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FEA7F">
      <w:pPr>
        <w:jc w:val="center"/>
        <w:rPr>
          <w:rFonts w:ascii="仿宋" w:hAnsi="仿宋" w:eastAsia="仿宋" w:cs="仿宋"/>
          <w:b/>
          <w:bCs/>
          <w:color w:val="auto"/>
          <w:spacing w:val="80"/>
          <w:sz w:val="72"/>
          <w:szCs w:val="21"/>
          <w:highlight w:val="none"/>
        </w:rPr>
      </w:pPr>
      <w:r>
        <w:rPr>
          <w:rFonts w:hint="eastAsia" w:ascii="仿宋" w:hAnsi="仿宋" w:eastAsia="仿宋" w:cs="仿宋"/>
          <w:color w:val="auto"/>
          <w:highlight w:val="none"/>
        </w:rPr>
        <w:drawing>
          <wp:inline distT="0" distB="0" distL="114300" distR="114300">
            <wp:extent cx="892810" cy="932815"/>
            <wp:effectExtent l="0" t="0" r="6350" b="12065"/>
            <wp:docPr id="3"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科文名片"/>
                    <pic:cNvPicPr>
                      <a:picLocks noChangeAspect="1"/>
                    </pic:cNvPicPr>
                  </pic:nvPicPr>
                  <pic:blipFill>
                    <a:blip r:embed="rId13"/>
                    <a:stretch>
                      <a:fillRect/>
                    </a:stretch>
                  </pic:blipFill>
                  <pic:spPr>
                    <a:xfrm>
                      <a:off x="0" y="0"/>
                      <a:ext cx="892810" cy="932815"/>
                    </a:xfrm>
                    <a:prstGeom prst="rect">
                      <a:avLst/>
                    </a:prstGeom>
                    <a:noFill/>
                    <a:ln>
                      <a:noFill/>
                    </a:ln>
                  </pic:spPr>
                </pic:pic>
              </a:graphicData>
            </a:graphic>
          </wp:inline>
        </w:drawing>
      </w:r>
    </w:p>
    <w:p w14:paraId="038606C8">
      <w:pPr>
        <w:pStyle w:val="16"/>
        <w:jc w:val="center"/>
        <w:rPr>
          <w:rFonts w:ascii="仿宋" w:hAnsi="仿宋" w:eastAsia="仿宋" w:cs="仿宋"/>
          <w:color w:val="auto"/>
          <w:sz w:val="52"/>
          <w:highlight w:val="none"/>
        </w:rPr>
      </w:pPr>
      <w:r>
        <w:rPr>
          <w:rFonts w:hint="eastAsia" w:ascii="仿宋" w:hAnsi="仿宋" w:eastAsia="仿宋" w:cs="仿宋"/>
          <w:b/>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263525</wp:posOffset>
                </wp:positionH>
                <wp:positionV relativeFrom="paragraph">
                  <wp:posOffset>534035</wp:posOffset>
                </wp:positionV>
                <wp:extent cx="51142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11429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连接符 1" o:spid="_x0000_s1026" o:spt="32" type="#_x0000_t32" style="position:absolute;left:0pt;margin-left:20.75pt;margin-top:42.05pt;height:0pt;width:402.7pt;z-index:251659264;mso-width-relative:page;mso-height-relative:page;" filled="f" stroked="t" coordsize="21600,21600" o:gfxdata="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fwGH0wAAAAgBAAAPAAAAAAAAAAEAIAAAACIAAABkcnMvZG93bnJldi54bWxQSwECFAAUAAAA&#10;CACHTuJAo1vh2/MBAADnAwAADgAAAAAAAAABACAAAAAiAQAAZHJzL2Uyb0RvYy54bWxQSwUGAAAA&#10;AAYABgBZAQAAhwUAAAAA&#10;">
                <v:fill on="f" focussize="0,0"/>
                <v:stroke weight="1pt" color="#000000" joinstyle="round"/>
                <v:imagedata o:title=""/>
                <o:lock v:ext="edit" aspectratio="f"/>
              </v:shape>
            </w:pict>
          </mc:Fallback>
        </mc:AlternateContent>
      </w:r>
      <w:r>
        <w:rPr>
          <w:rFonts w:hint="eastAsia" w:ascii="仿宋" w:hAnsi="仿宋" w:eastAsia="仿宋" w:cs="仿宋"/>
          <w:color w:val="auto"/>
          <w:sz w:val="52"/>
          <w:highlight w:val="none"/>
        </w:rPr>
        <w:t>广 西 科 文 招 标 有 限 公 司</w:t>
      </w:r>
    </w:p>
    <w:p w14:paraId="5C82D835">
      <w:pPr>
        <w:rPr>
          <w:rFonts w:ascii="仿宋" w:hAnsi="仿宋" w:eastAsia="仿宋" w:cs="仿宋"/>
          <w:color w:val="auto"/>
          <w:highlight w:val="none"/>
        </w:rPr>
      </w:pPr>
    </w:p>
    <w:p w14:paraId="0C58124D">
      <w:pPr>
        <w:rPr>
          <w:rFonts w:ascii="仿宋" w:hAnsi="仿宋" w:eastAsia="仿宋" w:cs="仿宋"/>
          <w:color w:val="auto"/>
          <w:highlight w:val="none"/>
        </w:rPr>
      </w:pPr>
    </w:p>
    <w:p w14:paraId="72E718A1">
      <w:pPr>
        <w:pStyle w:val="16"/>
        <w:jc w:val="center"/>
        <w:rPr>
          <w:rFonts w:ascii="仿宋" w:hAnsi="仿宋" w:eastAsia="仿宋" w:cs="仿宋"/>
          <w:color w:val="auto"/>
          <w:spacing w:val="30"/>
          <w:kern w:val="52"/>
          <w:sz w:val="64"/>
          <w:szCs w:val="64"/>
          <w:highlight w:val="none"/>
        </w:rPr>
      </w:pPr>
    </w:p>
    <w:p w14:paraId="01647805">
      <w:pPr>
        <w:snapToGrid w:val="0"/>
        <w:spacing w:before="156" w:beforeLines="50" w:line="360" w:lineRule="auto"/>
        <w:jc w:val="center"/>
        <w:rPr>
          <w:rFonts w:ascii="仿宋" w:hAnsi="仿宋" w:eastAsia="仿宋" w:cs="仿宋"/>
          <w:color w:val="auto"/>
          <w:sz w:val="120"/>
          <w:szCs w:val="120"/>
          <w:highlight w:val="none"/>
        </w:rPr>
      </w:pPr>
      <w:r>
        <w:rPr>
          <w:rFonts w:hint="eastAsia" w:ascii="仿宋" w:hAnsi="仿宋" w:eastAsia="仿宋" w:cs="仿宋"/>
          <w:color w:val="auto"/>
          <w:sz w:val="120"/>
          <w:szCs w:val="120"/>
          <w:highlight w:val="none"/>
        </w:rPr>
        <w:t>竞争性磋商文件</w:t>
      </w:r>
    </w:p>
    <w:p w14:paraId="6505B6A3">
      <w:pPr>
        <w:snapToGrid w:val="0"/>
        <w:spacing w:line="360" w:lineRule="auto"/>
        <w:rPr>
          <w:rFonts w:ascii="仿宋" w:hAnsi="仿宋" w:eastAsia="仿宋" w:cs="仿宋"/>
          <w:b/>
          <w:color w:val="auto"/>
          <w:sz w:val="48"/>
          <w:szCs w:val="48"/>
          <w:highlight w:val="none"/>
        </w:rPr>
      </w:pPr>
    </w:p>
    <w:p w14:paraId="3C6BED6D">
      <w:pPr>
        <w:pStyle w:val="16"/>
        <w:snapToGrid w:val="0"/>
        <w:spacing w:line="360" w:lineRule="auto"/>
        <w:ind w:firstLine="1205" w:firstLineChars="400"/>
        <w:rPr>
          <w:rFonts w:ascii="仿宋" w:hAnsi="仿宋" w:eastAsia="仿宋" w:cs="仿宋"/>
          <w:b/>
          <w:bCs/>
          <w:color w:val="auto"/>
          <w:sz w:val="30"/>
          <w:szCs w:val="30"/>
          <w:highlight w:val="none"/>
        </w:rPr>
      </w:pPr>
    </w:p>
    <w:p w14:paraId="2529FD52">
      <w:pPr>
        <w:pStyle w:val="16"/>
        <w:snapToGrid w:val="0"/>
        <w:spacing w:line="360" w:lineRule="auto"/>
        <w:ind w:left="2661" w:leftChars="550" w:hanging="1506" w:hangingChars="5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color w:val="auto"/>
          <w:sz w:val="32"/>
          <w:szCs w:val="32"/>
          <w:highlight w:val="none"/>
        </w:rPr>
        <w:t>广西水产畜牧学校智能网联汽车实训平台采购</w:t>
      </w:r>
    </w:p>
    <w:p w14:paraId="59D8A60C">
      <w:pPr>
        <w:pStyle w:val="16"/>
        <w:snapToGrid w:val="0"/>
        <w:spacing w:line="360" w:lineRule="auto"/>
        <w:ind w:firstLine="1205" w:firstLineChars="40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GXZC2025-C3-001536-KWZB</w:t>
      </w:r>
    </w:p>
    <w:p w14:paraId="348DF17C">
      <w:pPr>
        <w:snapToGrid w:val="0"/>
        <w:spacing w:line="360" w:lineRule="auto"/>
        <w:ind w:firstLine="1145" w:firstLineChars="400"/>
        <w:rPr>
          <w:rFonts w:ascii="仿宋" w:hAnsi="仿宋" w:eastAsia="仿宋" w:cs="仿宋"/>
          <w:b/>
          <w:bCs/>
          <w:color w:val="auto"/>
          <w:w w:val="95"/>
          <w:sz w:val="30"/>
          <w:szCs w:val="30"/>
          <w:highlight w:val="none"/>
        </w:rPr>
      </w:pPr>
    </w:p>
    <w:p w14:paraId="76F28412">
      <w:pPr>
        <w:snapToGrid w:val="0"/>
        <w:spacing w:line="360" w:lineRule="auto"/>
        <w:ind w:firstLine="1205" w:firstLineChars="400"/>
        <w:rPr>
          <w:rFonts w:ascii="仿宋" w:hAnsi="仿宋" w:eastAsia="仿宋" w:cs="仿宋"/>
          <w:color w:val="auto"/>
          <w:sz w:val="30"/>
          <w:szCs w:val="72"/>
          <w:highlight w:val="none"/>
        </w:rPr>
      </w:pPr>
      <w:r>
        <w:rPr>
          <w:rFonts w:hint="eastAsia" w:ascii="仿宋" w:hAnsi="仿宋" w:eastAsia="仿宋" w:cs="仿宋"/>
          <w:b/>
          <w:color w:val="auto"/>
          <w:sz w:val="30"/>
          <w:szCs w:val="48"/>
          <w:highlight w:val="none"/>
        </w:rPr>
        <w:t xml:space="preserve"> </w:t>
      </w:r>
    </w:p>
    <w:p w14:paraId="26891632">
      <w:pPr>
        <w:pStyle w:val="16"/>
        <w:snapToGrid w:val="0"/>
        <w:spacing w:line="360" w:lineRule="auto"/>
        <w:ind w:firstLine="1694" w:firstLineChars="592"/>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color w:val="auto"/>
          <w:sz w:val="32"/>
          <w:szCs w:val="32"/>
          <w:highlight w:val="none"/>
        </w:rPr>
        <w:t>广西水产畜牧学校</w:t>
      </w:r>
    </w:p>
    <w:p w14:paraId="5921E77B">
      <w:pPr>
        <w:pStyle w:val="16"/>
        <w:snapToGrid w:val="0"/>
        <w:spacing w:line="360" w:lineRule="auto"/>
        <w:ind w:firstLine="1694" w:firstLineChars="592"/>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color w:val="auto"/>
          <w:sz w:val="32"/>
          <w:szCs w:val="32"/>
          <w:highlight w:val="none"/>
        </w:rPr>
        <w:t>广西科文招标有限公司</w:t>
      </w:r>
    </w:p>
    <w:p w14:paraId="1D87E8A4">
      <w:pPr>
        <w:tabs>
          <w:tab w:val="left" w:pos="1080"/>
        </w:tabs>
        <w:spacing w:line="360" w:lineRule="auto"/>
        <w:jc w:val="center"/>
        <w:rPr>
          <w:rFonts w:ascii="仿宋" w:hAnsi="仿宋" w:eastAsia="仿宋" w:cs="仿宋"/>
          <w:color w:val="auto"/>
          <w:szCs w:val="21"/>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r>
        <w:rPr>
          <w:rFonts w:hint="eastAsia" w:ascii="仿宋" w:hAnsi="仿宋" w:eastAsia="仿宋" w:cs="仿宋"/>
          <w:b/>
          <w:bCs/>
          <w:color w:val="auto"/>
          <w:w w:val="95"/>
          <w:sz w:val="30"/>
          <w:szCs w:val="30"/>
          <w:highlight w:val="none"/>
        </w:rPr>
        <w:t>2025年6月</w:t>
      </w:r>
      <w:r>
        <w:rPr>
          <w:rFonts w:hint="eastAsia" w:ascii="仿宋" w:hAnsi="仿宋" w:eastAsia="仿宋" w:cs="仿宋"/>
          <w:b/>
          <w:bCs/>
          <w:color w:val="auto"/>
          <w:w w:val="95"/>
          <w:sz w:val="30"/>
          <w:szCs w:val="30"/>
          <w:highlight w:val="none"/>
          <w:lang w:val="en-US" w:eastAsia="zh-CN"/>
        </w:rPr>
        <w:t>10</w:t>
      </w:r>
      <w:r>
        <w:rPr>
          <w:rFonts w:hint="eastAsia" w:ascii="仿宋" w:hAnsi="仿宋" w:eastAsia="仿宋" w:cs="仿宋"/>
          <w:b/>
          <w:bCs/>
          <w:color w:val="auto"/>
          <w:w w:val="95"/>
          <w:sz w:val="30"/>
          <w:szCs w:val="30"/>
          <w:highlight w:val="none"/>
        </w:rPr>
        <w:t>日</w:t>
      </w:r>
    </w:p>
    <w:p w14:paraId="2F7660DB">
      <w:pPr>
        <w:pStyle w:val="16"/>
        <w:rPr>
          <w:rFonts w:ascii="仿宋" w:hAnsi="仿宋" w:eastAsia="仿宋" w:cs="仿宋"/>
          <w:color w:val="auto"/>
          <w:highlight w:val="none"/>
        </w:rPr>
      </w:pPr>
    </w:p>
    <w:p w14:paraId="0203EFFA">
      <w:pPr>
        <w:pStyle w:val="16"/>
        <w:rPr>
          <w:rFonts w:ascii="仿宋" w:hAnsi="仿宋" w:eastAsia="仿宋" w:cs="仿宋"/>
          <w:color w:val="auto"/>
          <w:highlight w:val="none"/>
        </w:rPr>
      </w:pPr>
    </w:p>
    <w:p w14:paraId="0FE64B12">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77CF2C21">
      <w:pPr>
        <w:spacing w:line="400" w:lineRule="exact"/>
        <w:jc w:val="center"/>
        <w:rPr>
          <w:rFonts w:ascii="仿宋" w:hAnsi="仿宋" w:eastAsia="仿宋" w:cs="仿宋"/>
          <w:b/>
          <w:color w:val="auto"/>
          <w:sz w:val="44"/>
          <w:szCs w:val="44"/>
          <w:highlight w:val="none"/>
        </w:rPr>
      </w:pPr>
    </w:p>
    <w:p w14:paraId="02847CD3">
      <w:pPr>
        <w:pStyle w:val="20"/>
        <w:tabs>
          <w:tab w:val="right" w:leader="dot" w:pos="8869"/>
        </w:tabs>
        <w:snapToGrid w:val="0"/>
        <w:spacing w:line="480" w:lineRule="auto"/>
        <w:rPr>
          <w:rFonts w:ascii="仿宋" w:hAnsi="仿宋" w:eastAsia="仿宋" w:cs="仿宋"/>
          <w:b/>
          <w:color w:val="auto"/>
          <w:sz w:val="28"/>
          <w:szCs w:val="28"/>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TOC \o "1-3" \h \z \u </w:instrText>
      </w:r>
      <w:r>
        <w:rPr>
          <w:rFonts w:hint="eastAsia" w:ascii="仿宋" w:hAnsi="仿宋" w:eastAsia="仿宋" w:cs="仿宋"/>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8"/>
          <w:rFonts w:hint="eastAsia" w:ascii="仿宋" w:hAnsi="仿宋" w:eastAsia="仿宋" w:cs="仿宋"/>
          <w:b/>
          <w:color w:val="auto"/>
          <w:sz w:val="28"/>
          <w:szCs w:val="28"/>
          <w:highlight w:val="none"/>
        </w:rPr>
        <w:t>第一章 竞争性磋商公告</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_Toc74323456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6137648B">
      <w:pPr>
        <w:pStyle w:val="20"/>
        <w:tabs>
          <w:tab w:val="right" w:leader="dot" w:pos="8869"/>
        </w:tabs>
        <w:snapToGrid w:val="0"/>
        <w:spacing w:line="480" w:lineRule="auto"/>
        <w:rPr>
          <w:rFonts w:ascii="仿宋" w:hAnsi="仿宋" w:eastAsia="仿宋" w:cs="仿宋"/>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8"/>
          <w:rFonts w:hint="eastAsia" w:ascii="仿宋" w:hAnsi="仿宋" w:eastAsia="仿宋" w:cs="仿宋"/>
          <w:b/>
          <w:color w:val="auto"/>
          <w:sz w:val="28"/>
          <w:szCs w:val="28"/>
          <w:highlight w:val="none"/>
        </w:rPr>
        <w:t>第二章 供应</w:t>
      </w:r>
      <w:bookmarkStart w:id="0" w:name="_Hlt82161237"/>
      <w:r>
        <w:rPr>
          <w:rStyle w:val="28"/>
          <w:rFonts w:hint="eastAsia" w:ascii="仿宋" w:hAnsi="仿宋" w:eastAsia="仿宋" w:cs="仿宋"/>
          <w:b/>
          <w:color w:val="auto"/>
          <w:sz w:val="28"/>
          <w:szCs w:val="28"/>
          <w:highlight w:val="none"/>
        </w:rPr>
        <w:t>商</w:t>
      </w:r>
      <w:bookmarkEnd w:id="0"/>
      <w:r>
        <w:rPr>
          <w:rStyle w:val="28"/>
          <w:rFonts w:hint="eastAsia" w:ascii="仿宋" w:hAnsi="仿宋" w:eastAsia="仿宋" w:cs="仿宋"/>
          <w:b/>
          <w:color w:val="auto"/>
          <w:sz w:val="28"/>
          <w:szCs w:val="28"/>
          <w:highlight w:val="none"/>
        </w:rPr>
        <w:t>须知</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_Toc74323457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5</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61A5BFEB">
      <w:pPr>
        <w:pStyle w:val="20"/>
        <w:tabs>
          <w:tab w:val="right" w:leader="dot" w:pos="8869"/>
        </w:tabs>
        <w:snapToGrid w:val="0"/>
        <w:spacing w:line="480" w:lineRule="auto"/>
        <w:rPr>
          <w:rFonts w:ascii="仿宋" w:hAnsi="仿宋" w:eastAsia="仿宋" w:cs="仿宋"/>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8"/>
          <w:rFonts w:hint="eastAsia" w:ascii="仿宋" w:hAnsi="仿宋" w:eastAsia="仿宋" w:cs="仿宋"/>
          <w:b/>
          <w:color w:val="auto"/>
          <w:sz w:val="28"/>
          <w:szCs w:val="28"/>
          <w:highlight w:val="none"/>
        </w:rPr>
        <w:t>第三章 采购需</w:t>
      </w:r>
      <w:bookmarkStart w:id="1" w:name="_Hlt82166940"/>
      <w:r>
        <w:rPr>
          <w:rStyle w:val="28"/>
          <w:rFonts w:hint="eastAsia" w:ascii="仿宋" w:hAnsi="仿宋" w:eastAsia="仿宋" w:cs="仿宋"/>
          <w:b/>
          <w:color w:val="auto"/>
          <w:sz w:val="28"/>
          <w:szCs w:val="28"/>
          <w:highlight w:val="none"/>
        </w:rPr>
        <w:t>求</w:t>
      </w:r>
      <w:bookmarkEnd w:id="1"/>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_Toc74323458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25</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7FA097AF">
      <w:pPr>
        <w:pStyle w:val="20"/>
        <w:tabs>
          <w:tab w:val="right" w:leader="dot" w:pos="8869"/>
        </w:tabs>
        <w:snapToGrid w:val="0"/>
        <w:spacing w:line="480" w:lineRule="auto"/>
        <w:rPr>
          <w:rFonts w:ascii="仿宋" w:hAnsi="仿宋" w:eastAsia="仿宋" w:cs="仿宋"/>
          <w:b/>
          <w:color w:val="auto"/>
          <w:sz w:val="28"/>
          <w:szCs w:val="28"/>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8"/>
          <w:rFonts w:hint="eastAsia" w:ascii="仿宋" w:hAnsi="仿宋" w:eastAsia="仿宋" w:cs="仿宋"/>
          <w:b/>
          <w:color w:val="auto"/>
          <w:sz w:val="28"/>
          <w:szCs w:val="28"/>
          <w:highlight w:val="none"/>
        </w:rPr>
        <w:t>第四章 评审程序、</w:t>
      </w:r>
      <w:bookmarkStart w:id="2" w:name="_Hlt82166000"/>
      <w:r>
        <w:rPr>
          <w:rStyle w:val="28"/>
          <w:rFonts w:hint="eastAsia" w:ascii="仿宋" w:hAnsi="仿宋" w:eastAsia="仿宋" w:cs="仿宋"/>
          <w:b/>
          <w:color w:val="auto"/>
          <w:sz w:val="28"/>
          <w:szCs w:val="28"/>
          <w:highlight w:val="none"/>
        </w:rPr>
        <w:t>评</w:t>
      </w:r>
      <w:bookmarkEnd w:id="2"/>
      <w:r>
        <w:rPr>
          <w:rStyle w:val="28"/>
          <w:rFonts w:hint="eastAsia" w:ascii="仿宋" w:hAnsi="仿宋" w:eastAsia="仿宋" w:cs="仿宋"/>
          <w:b/>
          <w:color w:val="auto"/>
          <w:sz w:val="28"/>
          <w:szCs w:val="28"/>
          <w:highlight w:val="none"/>
        </w:rPr>
        <w:t>审方法和评审标准</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_Toc74323459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57</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5AD2222E">
      <w:pPr>
        <w:pStyle w:val="20"/>
        <w:tabs>
          <w:tab w:val="right" w:leader="dot" w:pos="8869"/>
        </w:tabs>
        <w:snapToGrid w:val="0"/>
        <w:spacing w:line="480" w:lineRule="auto"/>
        <w:rPr>
          <w:rFonts w:ascii="仿宋" w:hAnsi="仿宋" w:eastAsia="仿宋" w:cs="仿宋"/>
          <w:b/>
          <w:color w:val="auto"/>
          <w:sz w:val="28"/>
          <w:szCs w:val="28"/>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8"/>
          <w:rFonts w:hint="eastAsia" w:ascii="仿宋" w:hAnsi="仿宋" w:eastAsia="仿宋" w:cs="仿宋"/>
          <w:b/>
          <w:color w:val="auto"/>
          <w:sz w:val="28"/>
          <w:szCs w:val="28"/>
          <w:highlight w:val="none"/>
        </w:rPr>
        <w:t>第五章 响应文件格式</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_Toc74323460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66</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6BE76C46">
      <w:pPr>
        <w:pStyle w:val="20"/>
        <w:tabs>
          <w:tab w:val="right" w:leader="dot" w:pos="8869"/>
        </w:tabs>
        <w:snapToGrid w:val="0"/>
        <w:spacing w:line="480" w:lineRule="auto"/>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8"/>
          <w:rFonts w:hint="eastAsia" w:ascii="仿宋" w:hAnsi="仿宋" w:eastAsia="仿宋" w:cs="仿宋"/>
          <w:b/>
          <w:color w:val="auto"/>
          <w:sz w:val="28"/>
          <w:szCs w:val="28"/>
          <w:highlight w:val="none"/>
        </w:rPr>
        <w:t>第六章 合同文本</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_Toc74323461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89</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40BAD359">
      <w:pPr>
        <w:pStyle w:val="21"/>
        <w:tabs>
          <w:tab w:val="right" w:leader="dot" w:pos="8931"/>
          <w:tab w:val="clear" w:pos="8296"/>
        </w:tabs>
        <w:snapToGrid w:val="0"/>
        <w:spacing w:line="500" w:lineRule="atLeast"/>
        <w:ind w:left="0" w:leftChars="0"/>
        <w:rPr>
          <w:rFonts w:ascii="仿宋" w:hAnsi="仿宋" w:eastAsia="仿宋" w:cs="仿宋"/>
          <w:b/>
          <w:color w:val="auto"/>
          <w:sz w:val="24"/>
          <w:highlight w:val="none"/>
        </w:rPr>
      </w:pPr>
      <w:r>
        <w:rPr>
          <w:rFonts w:hint="eastAsia" w:ascii="仿宋" w:hAnsi="仿宋" w:eastAsia="仿宋" w:cs="仿宋"/>
          <w:b/>
          <w:color w:val="auto"/>
          <w:sz w:val="24"/>
          <w:highlight w:val="none"/>
        </w:rPr>
        <w:fldChar w:fldCharType="end"/>
      </w:r>
    </w:p>
    <w:p w14:paraId="7FAF9B62">
      <w:pPr>
        <w:spacing w:line="400" w:lineRule="exact"/>
        <w:jc w:val="left"/>
        <w:rPr>
          <w:rFonts w:ascii="仿宋" w:hAnsi="仿宋" w:eastAsia="仿宋" w:cs="仿宋"/>
          <w:b/>
          <w:color w:val="auto"/>
          <w:sz w:val="32"/>
          <w:szCs w:val="32"/>
          <w:highlight w:val="none"/>
        </w:rPr>
      </w:pPr>
    </w:p>
    <w:p w14:paraId="16192E6D">
      <w:pPr>
        <w:spacing w:line="400" w:lineRule="exact"/>
        <w:jc w:val="center"/>
        <w:rPr>
          <w:rFonts w:ascii="仿宋" w:hAnsi="仿宋" w:eastAsia="仿宋" w:cs="仿宋"/>
          <w:b/>
          <w:color w:val="auto"/>
          <w:sz w:val="32"/>
          <w:szCs w:val="32"/>
          <w:highlight w:val="none"/>
        </w:rPr>
      </w:pPr>
    </w:p>
    <w:p w14:paraId="6FCB77F3">
      <w:pPr>
        <w:spacing w:line="400" w:lineRule="exact"/>
        <w:jc w:val="center"/>
        <w:rPr>
          <w:rFonts w:ascii="仿宋" w:hAnsi="仿宋" w:eastAsia="仿宋" w:cs="仿宋"/>
          <w:b/>
          <w:color w:val="auto"/>
          <w:sz w:val="32"/>
          <w:szCs w:val="32"/>
          <w:highlight w:val="none"/>
        </w:rPr>
      </w:pPr>
    </w:p>
    <w:p w14:paraId="2257C004">
      <w:pPr>
        <w:spacing w:line="400" w:lineRule="exact"/>
        <w:jc w:val="center"/>
        <w:rPr>
          <w:rFonts w:ascii="仿宋" w:hAnsi="仿宋" w:eastAsia="仿宋" w:cs="仿宋"/>
          <w:b/>
          <w:color w:val="auto"/>
          <w:sz w:val="32"/>
          <w:szCs w:val="32"/>
          <w:highlight w:val="none"/>
        </w:rPr>
      </w:pPr>
    </w:p>
    <w:p w14:paraId="4161F90C">
      <w:pPr>
        <w:spacing w:line="400" w:lineRule="exact"/>
        <w:jc w:val="center"/>
        <w:rPr>
          <w:rFonts w:ascii="仿宋" w:hAnsi="仿宋" w:eastAsia="仿宋" w:cs="仿宋"/>
          <w:b/>
          <w:color w:val="auto"/>
          <w:sz w:val="32"/>
          <w:szCs w:val="32"/>
          <w:highlight w:val="none"/>
        </w:rPr>
      </w:pPr>
    </w:p>
    <w:p w14:paraId="7CEE1CE6">
      <w:pPr>
        <w:spacing w:line="400" w:lineRule="exact"/>
        <w:rPr>
          <w:rFonts w:ascii="仿宋" w:hAnsi="仿宋" w:eastAsia="仿宋" w:cs="仿宋"/>
          <w:b/>
          <w:color w:val="auto"/>
          <w:sz w:val="32"/>
          <w:szCs w:val="32"/>
          <w:highlight w:val="none"/>
        </w:rPr>
        <w:sectPr>
          <w:footerReference r:id="rId10" w:type="first"/>
          <w:footerReference r:id="rId9" w:type="default"/>
          <w:pgSz w:w="11906" w:h="16838"/>
          <w:pgMar w:top="1417" w:right="1417" w:bottom="1417" w:left="1417" w:header="851" w:footer="992" w:gutter="0"/>
          <w:pgNumType w:start="0"/>
          <w:cols w:space="720" w:num="1"/>
          <w:docGrid w:type="lines" w:linePitch="312" w:charSpace="0"/>
        </w:sectPr>
      </w:pPr>
    </w:p>
    <w:p w14:paraId="37F2E771">
      <w:pPr>
        <w:pStyle w:val="4"/>
        <w:spacing w:line="360" w:lineRule="auto"/>
        <w:jc w:val="center"/>
        <w:rPr>
          <w:rFonts w:ascii="仿宋" w:hAnsi="仿宋" w:eastAsia="仿宋" w:cs="仿宋"/>
          <w:color w:val="auto"/>
          <w:highlight w:val="none"/>
        </w:rPr>
      </w:pPr>
      <w:bookmarkStart w:id="3" w:name="_Toc74323456"/>
      <w:r>
        <w:rPr>
          <w:rFonts w:hint="eastAsia" w:ascii="仿宋" w:hAnsi="仿宋" w:eastAsia="仿宋" w:cs="仿宋"/>
          <w:color w:val="auto"/>
          <w:highlight w:val="none"/>
        </w:rPr>
        <w:t>第一章 竞争性磋商公告</w:t>
      </w:r>
      <w:bookmarkEnd w:id="3"/>
    </w:p>
    <w:p w14:paraId="6CB7E829">
      <w:pPr>
        <w:spacing w:line="360" w:lineRule="auto"/>
        <w:jc w:val="center"/>
        <w:rPr>
          <w:rFonts w:ascii="仿宋" w:hAnsi="仿宋" w:eastAsia="仿宋" w:cs="仿宋"/>
          <w:b/>
          <w:bCs/>
          <w:color w:val="auto"/>
          <w:sz w:val="32"/>
          <w:szCs w:val="32"/>
          <w:highlight w:val="none"/>
        </w:rPr>
      </w:pPr>
    </w:p>
    <w:p w14:paraId="7874E9D8">
      <w:pPr>
        <w:pStyle w:val="16"/>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广西科文招标有限公司</w:t>
      </w:r>
    </w:p>
    <w:p w14:paraId="4367D401">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lang w:eastAsia="zh-CN"/>
        </w:rPr>
        <w:t>广西水产畜牧学校智能网联汽车实训平台采购</w:t>
      </w:r>
      <w:r>
        <w:rPr>
          <w:rFonts w:hint="eastAsia" w:ascii="仿宋" w:hAnsi="仿宋" w:eastAsia="仿宋" w:cs="仿宋"/>
          <w:b/>
          <w:color w:val="auto"/>
          <w:kern w:val="0"/>
          <w:sz w:val="36"/>
          <w:szCs w:val="36"/>
          <w:highlight w:val="none"/>
        </w:rPr>
        <w:t>（</w:t>
      </w:r>
      <w:r>
        <w:rPr>
          <w:rFonts w:hint="eastAsia" w:ascii="仿宋" w:hAnsi="仿宋" w:eastAsia="仿宋" w:cs="仿宋"/>
          <w:b/>
          <w:color w:val="auto"/>
          <w:kern w:val="0"/>
          <w:sz w:val="36"/>
          <w:szCs w:val="36"/>
          <w:highlight w:val="none"/>
          <w:lang w:eastAsia="zh-CN"/>
        </w:rPr>
        <w:t>GXZC2025-C3-001536-KWZB</w:t>
      </w:r>
      <w:r>
        <w:rPr>
          <w:rFonts w:hint="eastAsia" w:ascii="仿宋" w:hAnsi="仿宋" w:eastAsia="仿宋" w:cs="仿宋"/>
          <w:b/>
          <w:color w:val="auto"/>
          <w:kern w:val="0"/>
          <w:sz w:val="36"/>
          <w:szCs w:val="36"/>
          <w:highlight w:val="none"/>
        </w:rPr>
        <w:t>）</w:t>
      </w:r>
    </w:p>
    <w:p w14:paraId="4F8DC6BE">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竞争性磋商公告</w:t>
      </w:r>
    </w:p>
    <w:p w14:paraId="3665681D">
      <w:pPr>
        <w:spacing w:line="360" w:lineRule="auto"/>
        <w:jc w:val="center"/>
        <w:rPr>
          <w:rFonts w:ascii="仿宋" w:hAnsi="仿宋" w:eastAsia="仿宋" w:cs="仿宋"/>
          <w:color w:val="auto"/>
          <w:sz w:val="24"/>
          <w:highlight w:val="none"/>
        </w:rPr>
      </w:pPr>
    </w:p>
    <w:p w14:paraId="45B79AD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bookmarkStart w:id="4" w:name="_Hlk37430271"/>
      <w:r>
        <w:rPr>
          <w:rFonts w:hint="eastAsia" w:ascii="仿宋" w:hAnsi="仿宋" w:eastAsia="仿宋" w:cs="仿宋"/>
          <w:color w:val="auto"/>
          <w:sz w:val="24"/>
          <w:highlight w:val="none"/>
        </w:rPr>
        <w:t>项目概况</w:t>
      </w:r>
    </w:p>
    <w:p w14:paraId="716AF22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广西水产畜牧学校智能网联汽车实训平台采购项目的潜在供应商应在政采云平台（https://www.zcygov.cn/）获取（下载）竞争性磋商文件，并于</w:t>
      </w:r>
      <w:r>
        <w:rPr>
          <w:rFonts w:hint="eastAsia" w:ascii="仿宋" w:hAnsi="仿宋" w:eastAsia="仿宋" w:cs="仿宋"/>
          <w:bCs/>
          <w:color w:val="auto"/>
          <w:kern w:val="0"/>
          <w:sz w:val="24"/>
          <w:highlight w:val="none"/>
          <w:lang w:eastAsia="zh-CN"/>
        </w:rPr>
        <w:t>2025年6月20日15时00分</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7A6040A9">
      <w:pPr>
        <w:spacing w:line="360" w:lineRule="auto"/>
        <w:ind w:firstLine="354" w:firstLineChars="147"/>
        <w:rPr>
          <w:rFonts w:ascii="仿宋" w:hAnsi="仿宋" w:eastAsia="仿宋" w:cs="仿宋"/>
          <w:b/>
          <w:color w:val="auto"/>
          <w:sz w:val="24"/>
          <w:highlight w:val="none"/>
        </w:rPr>
      </w:pPr>
      <w:bookmarkStart w:id="5" w:name="_Toc28359089"/>
      <w:bookmarkStart w:id="6" w:name="_Toc35393629"/>
      <w:bookmarkStart w:id="7" w:name="_Toc71365905"/>
      <w:bookmarkStart w:id="8" w:name="_Toc28359012"/>
      <w:bookmarkStart w:id="9" w:name="_Toc44229878"/>
      <w:bookmarkStart w:id="10" w:name="_Toc35393798"/>
    </w:p>
    <w:bookmarkEnd w:id="5"/>
    <w:bookmarkEnd w:id="6"/>
    <w:bookmarkEnd w:id="7"/>
    <w:bookmarkEnd w:id="8"/>
    <w:bookmarkEnd w:id="9"/>
    <w:bookmarkEnd w:id="10"/>
    <w:p w14:paraId="4F504ABC">
      <w:pPr>
        <w:spacing w:line="360" w:lineRule="auto"/>
        <w:ind w:firstLine="354" w:firstLineChars="147"/>
        <w:rPr>
          <w:rFonts w:ascii="仿宋" w:hAnsi="仿宋" w:eastAsia="仿宋" w:cs="仿宋"/>
          <w:b/>
          <w:color w:val="auto"/>
          <w:sz w:val="24"/>
          <w:highlight w:val="none"/>
        </w:rPr>
      </w:pPr>
      <w:bookmarkStart w:id="11" w:name="_Hlk37429674"/>
      <w:bookmarkStart w:id="12" w:name="_Toc28359095"/>
      <w:bookmarkStart w:id="13" w:name="_Toc28359018"/>
      <w:bookmarkStart w:id="14" w:name="_Toc35393636"/>
      <w:bookmarkStart w:id="15" w:name="_Toc35393805"/>
      <w:bookmarkStart w:id="16" w:name="_Toc44229885"/>
      <w:r>
        <w:rPr>
          <w:rFonts w:hint="eastAsia" w:ascii="仿宋" w:hAnsi="仿宋" w:eastAsia="仿宋" w:cs="仿宋"/>
          <w:b/>
          <w:color w:val="auto"/>
          <w:sz w:val="24"/>
          <w:highlight w:val="none"/>
        </w:rPr>
        <w:t>一、项目基本情况</w:t>
      </w:r>
    </w:p>
    <w:p w14:paraId="23D1F8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GXZC2025-C3-001536-KWZB</w:t>
      </w:r>
      <w:r>
        <w:rPr>
          <w:rFonts w:hint="eastAsia" w:ascii="仿宋" w:hAnsi="仿宋" w:eastAsia="仿宋" w:cs="仿宋"/>
          <w:color w:val="auto"/>
          <w:sz w:val="24"/>
          <w:highlight w:val="none"/>
        </w:rPr>
        <w:t>（</w:t>
      </w:r>
      <w:r>
        <w:rPr>
          <w:color w:val="auto"/>
          <w:highlight w:val="none"/>
        </w:rPr>
        <w:fldChar w:fldCharType="begin"/>
      </w:r>
      <w:r>
        <w:rPr>
          <w:color w:val="auto"/>
          <w:highlight w:val="none"/>
        </w:rPr>
        <w:instrText xml:space="preserve"> HYPERLINK "https://pay.gcy.zfcg.gxzf.gov.cn/purchaseplan_front/" \l "/plan/list/view?id=1000000000025638878&amp;_app_=zcy.procurement" \t "https://www.gcy.zfcg.gxzf.gov.cn/delegation-order/_procurement_/order/_blank" </w:instrText>
      </w:r>
      <w:r>
        <w:rPr>
          <w:color w:val="auto"/>
          <w:highlight w:val="none"/>
        </w:rPr>
        <w:fldChar w:fldCharType="separate"/>
      </w:r>
      <w:r>
        <w:rPr>
          <w:rFonts w:hint="eastAsia" w:ascii="仿宋" w:hAnsi="仿宋" w:eastAsia="仿宋" w:cs="仿宋"/>
          <w:color w:val="auto"/>
          <w:sz w:val="24"/>
          <w:highlight w:val="none"/>
        </w:rPr>
        <w:t>广西政采[2025]3001号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1B51A016">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项目名称：广西水产畜牧学校智能网联汽车实训平台采购</w:t>
      </w:r>
    </w:p>
    <w:p w14:paraId="6F2690C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2CE22C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kern w:val="0"/>
          <w:sz w:val="24"/>
          <w:highlight w:val="none"/>
          <w:lang w:bidi="ar"/>
        </w:rPr>
        <w:t>199.9</w:t>
      </w:r>
      <w:r>
        <w:rPr>
          <w:rFonts w:hint="eastAsia" w:ascii="仿宋" w:hAnsi="仿宋" w:eastAsia="仿宋" w:cs="仿宋"/>
          <w:color w:val="auto"/>
          <w:sz w:val="24"/>
          <w:highlight w:val="none"/>
        </w:rPr>
        <w:t>万元</w:t>
      </w:r>
    </w:p>
    <w:p w14:paraId="74ACBF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最高限价：199.9万元</w:t>
      </w:r>
    </w:p>
    <w:p w14:paraId="51BDC5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采购需求：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3761"/>
        <w:gridCol w:w="747"/>
        <w:gridCol w:w="686"/>
        <w:gridCol w:w="3824"/>
      </w:tblGrid>
      <w:tr w14:paraId="29CA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5" w:type="pct"/>
            <w:vAlign w:val="center"/>
          </w:tcPr>
          <w:p w14:paraId="17C003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项号</w:t>
            </w:r>
          </w:p>
        </w:tc>
        <w:tc>
          <w:tcPr>
            <w:tcW w:w="1953" w:type="pct"/>
            <w:vAlign w:val="center"/>
          </w:tcPr>
          <w:p w14:paraId="1901AA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388" w:type="pct"/>
            <w:vAlign w:val="center"/>
          </w:tcPr>
          <w:p w14:paraId="4E8D11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356" w:type="pct"/>
            <w:vAlign w:val="center"/>
          </w:tcPr>
          <w:p w14:paraId="3F4F48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986" w:type="pct"/>
            <w:vAlign w:val="center"/>
          </w:tcPr>
          <w:p w14:paraId="3B5D7A1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简要技术需求</w:t>
            </w:r>
          </w:p>
        </w:tc>
      </w:tr>
      <w:tr w14:paraId="7E93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021EC644">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w:t>
            </w:r>
          </w:p>
        </w:tc>
        <w:tc>
          <w:tcPr>
            <w:tcW w:w="3761" w:type="dxa"/>
            <w:vAlign w:val="center"/>
          </w:tcPr>
          <w:p w14:paraId="520B1E59">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智能网联无人驾驶乘用车平台</w:t>
            </w:r>
          </w:p>
        </w:tc>
        <w:tc>
          <w:tcPr>
            <w:tcW w:w="388" w:type="pct"/>
            <w:vAlign w:val="center"/>
          </w:tcPr>
          <w:p w14:paraId="0246F476">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12E135A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restart"/>
            <w:vAlign w:val="center"/>
          </w:tcPr>
          <w:p w14:paraId="53FCDB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详见采购文件第三章《采购需求》</w:t>
            </w:r>
          </w:p>
          <w:p w14:paraId="72088355">
            <w:pPr>
              <w:jc w:val="center"/>
              <w:rPr>
                <w:rFonts w:ascii="仿宋" w:hAnsi="仿宋" w:eastAsia="仿宋" w:cs="仿宋"/>
                <w:color w:val="auto"/>
                <w:sz w:val="24"/>
                <w:highlight w:val="none"/>
              </w:rPr>
            </w:pPr>
          </w:p>
        </w:tc>
      </w:tr>
      <w:tr w14:paraId="1D7E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54D66BDA">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w:t>
            </w:r>
          </w:p>
        </w:tc>
        <w:tc>
          <w:tcPr>
            <w:tcW w:w="3761" w:type="dxa"/>
            <w:vAlign w:val="center"/>
          </w:tcPr>
          <w:p w14:paraId="269E3B0F">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深度学习无人驾驶小车和无人驾驶实验小型沙盘平台</w:t>
            </w:r>
          </w:p>
        </w:tc>
        <w:tc>
          <w:tcPr>
            <w:tcW w:w="388" w:type="pct"/>
            <w:vAlign w:val="center"/>
          </w:tcPr>
          <w:p w14:paraId="0D92C137">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7A1E8DB7">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045E64E8">
            <w:pPr>
              <w:jc w:val="center"/>
              <w:rPr>
                <w:rFonts w:ascii="仿宋" w:hAnsi="仿宋" w:eastAsia="仿宋" w:cs="仿宋"/>
                <w:color w:val="auto"/>
                <w:sz w:val="24"/>
                <w:highlight w:val="none"/>
              </w:rPr>
            </w:pPr>
          </w:p>
        </w:tc>
      </w:tr>
      <w:tr w14:paraId="3E3B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51DF767C">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w:t>
            </w:r>
          </w:p>
        </w:tc>
        <w:tc>
          <w:tcPr>
            <w:tcW w:w="3761" w:type="dxa"/>
            <w:vAlign w:val="center"/>
          </w:tcPr>
          <w:p w14:paraId="13E94DD3">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网联汽车智能化控制技术综合实训系统平台</w:t>
            </w:r>
          </w:p>
        </w:tc>
        <w:tc>
          <w:tcPr>
            <w:tcW w:w="388" w:type="pct"/>
            <w:vAlign w:val="center"/>
          </w:tcPr>
          <w:p w14:paraId="39CA493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4BBAC1DD">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0F7C8F3C">
            <w:pPr>
              <w:jc w:val="center"/>
              <w:rPr>
                <w:rFonts w:ascii="仿宋" w:hAnsi="仿宋" w:eastAsia="仿宋" w:cs="仿宋"/>
                <w:color w:val="auto"/>
                <w:sz w:val="24"/>
                <w:highlight w:val="none"/>
              </w:rPr>
            </w:pPr>
          </w:p>
        </w:tc>
      </w:tr>
      <w:tr w14:paraId="6063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4736C91C">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4</w:t>
            </w:r>
          </w:p>
        </w:tc>
        <w:tc>
          <w:tcPr>
            <w:tcW w:w="3761" w:type="dxa"/>
            <w:vAlign w:val="center"/>
          </w:tcPr>
          <w:p w14:paraId="19F62AAC">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智能网联汽车环境感知技术应用实训平台</w:t>
            </w:r>
          </w:p>
        </w:tc>
        <w:tc>
          <w:tcPr>
            <w:tcW w:w="388" w:type="pct"/>
            <w:vAlign w:val="center"/>
          </w:tcPr>
          <w:p w14:paraId="5CD750B4">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09EA195E">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4A9CA7B4">
            <w:pPr>
              <w:jc w:val="center"/>
              <w:rPr>
                <w:rFonts w:ascii="仿宋" w:hAnsi="仿宋" w:eastAsia="仿宋" w:cs="仿宋"/>
                <w:color w:val="auto"/>
                <w:sz w:val="24"/>
                <w:highlight w:val="none"/>
              </w:rPr>
            </w:pPr>
          </w:p>
        </w:tc>
      </w:tr>
      <w:tr w14:paraId="3A71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76D9DCB9">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5</w:t>
            </w:r>
          </w:p>
        </w:tc>
        <w:tc>
          <w:tcPr>
            <w:tcW w:w="3761" w:type="dxa"/>
            <w:vAlign w:val="center"/>
          </w:tcPr>
          <w:p w14:paraId="7A80E8B5">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智能网联汽线控底盘技术实训平台</w:t>
            </w:r>
          </w:p>
        </w:tc>
        <w:tc>
          <w:tcPr>
            <w:tcW w:w="388" w:type="pct"/>
            <w:vAlign w:val="center"/>
          </w:tcPr>
          <w:p w14:paraId="6CD4CF6F">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539F6A8F">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24CCE495">
            <w:pPr>
              <w:jc w:val="center"/>
              <w:rPr>
                <w:rFonts w:ascii="仿宋" w:hAnsi="仿宋" w:eastAsia="仿宋" w:cs="仿宋"/>
                <w:color w:val="auto"/>
                <w:sz w:val="24"/>
                <w:highlight w:val="none"/>
              </w:rPr>
            </w:pPr>
          </w:p>
        </w:tc>
      </w:tr>
      <w:tr w14:paraId="3737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024D33C6">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6</w:t>
            </w:r>
          </w:p>
        </w:tc>
        <w:tc>
          <w:tcPr>
            <w:tcW w:w="3761" w:type="dxa"/>
            <w:vAlign w:val="center"/>
          </w:tcPr>
          <w:p w14:paraId="6FE921A7">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超声波传感器实训平台</w:t>
            </w:r>
          </w:p>
        </w:tc>
        <w:tc>
          <w:tcPr>
            <w:tcW w:w="388" w:type="pct"/>
            <w:vAlign w:val="center"/>
          </w:tcPr>
          <w:p w14:paraId="150EB5FB">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356" w:type="pct"/>
            <w:vAlign w:val="center"/>
          </w:tcPr>
          <w:p w14:paraId="47E9B1B8">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457BA483">
            <w:pPr>
              <w:jc w:val="center"/>
              <w:rPr>
                <w:rFonts w:ascii="仿宋" w:hAnsi="仿宋" w:eastAsia="仿宋" w:cs="仿宋"/>
                <w:color w:val="auto"/>
                <w:sz w:val="24"/>
                <w:highlight w:val="none"/>
              </w:rPr>
            </w:pPr>
          </w:p>
        </w:tc>
      </w:tr>
      <w:tr w14:paraId="070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17ACDE31">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7</w:t>
            </w:r>
          </w:p>
        </w:tc>
        <w:tc>
          <w:tcPr>
            <w:tcW w:w="3761" w:type="dxa"/>
            <w:vAlign w:val="center"/>
          </w:tcPr>
          <w:p w14:paraId="64BC4AF6">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视觉传感器实训平台</w:t>
            </w:r>
          </w:p>
        </w:tc>
        <w:tc>
          <w:tcPr>
            <w:tcW w:w="388" w:type="pct"/>
            <w:vAlign w:val="center"/>
          </w:tcPr>
          <w:p w14:paraId="39E6B547">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356" w:type="pct"/>
            <w:vAlign w:val="center"/>
          </w:tcPr>
          <w:p w14:paraId="129ECEF4">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4EF0765A">
            <w:pPr>
              <w:jc w:val="center"/>
              <w:rPr>
                <w:rFonts w:ascii="仿宋" w:hAnsi="仿宋" w:eastAsia="仿宋" w:cs="仿宋"/>
                <w:color w:val="auto"/>
                <w:sz w:val="24"/>
                <w:highlight w:val="none"/>
              </w:rPr>
            </w:pPr>
          </w:p>
        </w:tc>
      </w:tr>
      <w:tr w14:paraId="785B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61EC5589">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8</w:t>
            </w:r>
          </w:p>
        </w:tc>
        <w:tc>
          <w:tcPr>
            <w:tcW w:w="3761" w:type="dxa"/>
            <w:vAlign w:val="center"/>
          </w:tcPr>
          <w:p w14:paraId="30D39CB6">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激光雷达示教平台</w:t>
            </w:r>
          </w:p>
        </w:tc>
        <w:tc>
          <w:tcPr>
            <w:tcW w:w="388" w:type="pct"/>
            <w:vAlign w:val="center"/>
          </w:tcPr>
          <w:p w14:paraId="03410E99">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356" w:type="pct"/>
            <w:vAlign w:val="center"/>
          </w:tcPr>
          <w:p w14:paraId="60D9CA99">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4FD119BB">
            <w:pPr>
              <w:jc w:val="center"/>
              <w:rPr>
                <w:rFonts w:ascii="仿宋" w:hAnsi="仿宋" w:eastAsia="仿宋" w:cs="仿宋"/>
                <w:color w:val="auto"/>
                <w:sz w:val="24"/>
                <w:highlight w:val="none"/>
              </w:rPr>
            </w:pPr>
          </w:p>
        </w:tc>
      </w:tr>
      <w:tr w14:paraId="08D4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5C889A00">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9</w:t>
            </w:r>
          </w:p>
        </w:tc>
        <w:tc>
          <w:tcPr>
            <w:tcW w:w="3761" w:type="dxa"/>
            <w:vAlign w:val="center"/>
          </w:tcPr>
          <w:p w14:paraId="45E8E891">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视觉传感器示教平台</w:t>
            </w:r>
          </w:p>
        </w:tc>
        <w:tc>
          <w:tcPr>
            <w:tcW w:w="388" w:type="pct"/>
            <w:vAlign w:val="center"/>
          </w:tcPr>
          <w:p w14:paraId="1D83A64C">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356" w:type="pct"/>
            <w:vAlign w:val="center"/>
          </w:tcPr>
          <w:p w14:paraId="78B0BD55">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1986" w:type="pct"/>
            <w:vMerge w:val="continue"/>
            <w:vAlign w:val="center"/>
          </w:tcPr>
          <w:p w14:paraId="5B5F5FA9">
            <w:pPr>
              <w:jc w:val="center"/>
              <w:rPr>
                <w:rFonts w:ascii="仿宋" w:hAnsi="仿宋" w:eastAsia="仿宋" w:cs="仿宋"/>
                <w:color w:val="auto"/>
                <w:sz w:val="24"/>
                <w:highlight w:val="none"/>
              </w:rPr>
            </w:pPr>
          </w:p>
        </w:tc>
      </w:tr>
      <w:tr w14:paraId="1118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3E318DD1">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10</w:t>
            </w:r>
          </w:p>
        </w:tc>
        <w:tc>
          <w:tcPr>
            <w:tcW w:w="3761" w:type="dxa"/>
            <w:vAlign w:val="center"/>
          </w:tcPr>
          <w:p w14:paraId="154B5CB3">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8S管理展板</w:t>
            </w:r>
          </w:p>
        </w:tc>
        <w:tc>
          <w:tcPr>
            <w:tcW w:w="388" w:type="pct"/>
            <w:vAlign w:val="center"/>
          </w:tcPr>
          <w:p w14:paraId="4F7B59D6">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4199ABC0">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64D115E9">
            <w:pPr>
              <w:jc w:val="center"/>
              <w:rPr>
                <w:rFonts w:ascii="仿宋" w:hAnsi="仿宋" w:eastAsia="仿宋" w:cs="仿宋"/>
                <w:color w:val="auto"/>
                <w:sz w:val="24"/>
                <w:highlight w:val="none"/>
              </w:rPr>
            </w:pPr>
          </w:p>
        </w:tc>
      </w:tr>
      <w:tr w14:paraId="1C9B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6B97B0B0">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11</w:t>
            </w:r>
          </w:p>
        </w:tc>
        <w:tc>
          <w:tcPr>
            <w:tcW w:w="3761" w:type="dxa"/>
            <w:vAlign w:val="center"/>
          </w:tcPr>
          <w:p w14:paraId="1AE96B5B">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实训守则和实训室规章制度</w:t>
            </w:r>
          </w:p>
        </w:tc>
        <w:tc>
          <w:tcPr>
            <w:tcW w:w="388" w:type="pct"/>
            <w:vAlign w:val="center"/>
          </w:tcPr>
          <w:p w14:paraId="263F2855">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6E93A2A4">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3F67B3B5">
            <w:pPr>
              <w:jc w:val="center"/>
              <w:rPr>
                <w:rFonts w:ascii="仿宋" w:hAnsi="仿宋" w:eastAsia="仿宋" w:cs="仿宋"/>
                <w:color w:val="auto"/>
                <w:sz w:val="24"/>
                <w:highlight w:val="none"/>
              </w:rPr>
            </w:pPr>
          </w:p>
        </w:tc>
      </w:tr>
      <w:tr w14:paraId="43B4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06" w:type="dxa"/>
            <w:vAlign w:val="center"/>
          </w:tcPr>
          <w:p w14:paraId="03661342">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12</w:t>
            </w:r>
          </w:p>
        </w:tc>
        <w:tc>
          <w:tcPr>
            <w:tcW w:w="3761" w:type="dxa"/>
            <w:vAlign w:val="center"/>
          </w:tcPr>
          <w:p w14:paraId="6ECFF1D4">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小板块文化</w:t>
            </w:r>
          </w:p>
        </w:tc>
        <w:tc>
          <w:tcPr>
            <w:tcW w:w="388" w:type="pct"/>
            <w:vAlign w:val="center"/>
          </w:tcPr>
          <w:p w14:paraId="1B7842DB">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5508FCC4">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39E2FF9C">
            <w:pPr>
              <w:jc w:val="center"/>
              <w:rPr>
                <w:rFonts w:ascii="仿宋" w:hAnsi="仿宋" w:eastAsia="仿宋" w:cs="仿宋"/>
                <w:color w:val="auto"/>
                <w:sz w:val="24"/>
                <w:highlight w:val="none"/>
              </w:rPr>
            </w:pPr>
          </w:p>
        </w:tc>
      </w:tr>
      <w:tr w14:paraId="1A94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3910142B">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13</w:t>
            </w:r>
          </w:p>
        </w:tc>
        <w:tc>
          <w:tcPr>
            <w:tcW w:w="3761" w:type="dxa"/>
            <w:vAlign w:val="center"/>
          </w:tcPr>
          <w:p w14:paraId="17272DAF">
            <w:pPr>
              <w:widowControl/>
              <w:adjustRightInd w:val="0"/>
              <w:snapToGrid w:val="0"/>
              <w:spacing w:line="400" w:lineRule="exact"/>
              <w:jc w:val="center"/>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智能网联汽车发展概述</w:t>
            </w:r>
            <w:r>
              <w:rPr>
                <w:rFonts w:hint="eastAsia" w:ascii="仿宋" w:hAnsi="仿宋" w:eastAsia="仿宋" w:cs="仿宋"/>
                <w:color w:val="auto"/>
                <w:kern w:val="0"/>
                <w:sz w:val="24"/>
                <w:highlight w:val="none"/>
                <w:shd w:val="clear" w:color="auto" w:fill="FFFFFF"/>
                <w:lang w:val="en-US" w:eastAsia="zh-CN"/>
              </w:rPr>
              <w:t>图</w:t>
            </w:r>
          </w:p>
        </w:tc>
        <w:tc>
          <w:tcPr>
            <w:tcW w:w="388" w:type="pct"/>
            <w:vAlign w:val="center"/>
          </w:tcPr>
          <w:p w14:paraId="3727C63A">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6BDF2574">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20501BD0">
            <w:pPr>
              <w:jc w:val="center"/>
              <w:rPr>
                <w:rFonts w:ascii="仿宋" w:hAnsi="仿宋" w:eastAsia="仿宋" w:cs="仿宋"/>
                <w:color w:val="auto"/>
                <w:sz w:val="24"/>
                <w:highlight w:val="none"/>
              </w:rPr>
            </w:pPr>
          </w:p>
        </w:tc>
      </w:tr>
      <w:tr w14:paraId="43C9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0D0EC3F2">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14</w:t>
            </w:r>
          </w:p>
        </w:tc>
        <w:tc>
          <w:tcPr>
            <w:tcW w:w="3761" w:type="dxa"/>
            <w:vAlign w:val="center"/>
          </w:tcPr>
          <w:p w14:paraId="6E0C8AC1">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智能网联汽车百年发展历程</w:t>
            </w:r>
          </w:p>
        </w:tc>
        <w:tc>
          <w:tcPr>
            <w:tcW w:w="388" w:type="pct"/>
            <w:vAlign w:val="center"/>
          </w:tcPr>
          <w:p w14:paraId="1954AD41">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07232046">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3DF7EC19">
            <w:pPr>
              <w:jc w:val="center"/>
              <w:rPr>
                <w:rFonts w:ascii="仿宋" w:hAnsi="仿宋" w:eastAsia="仿宋" w:cs="仿宋"/>
                <w:color w:val="auto"/>
                <w:sz w:val="24"/>
                <w:highlight w:val="none"/>
              </w:rPr>
            </w:pPr>
          </w:p>
        </w:tc>
      </w:tr>
      <w:tr w14:paraId="0AA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4726023F">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15</w:t>
            </w:r>
          </w:p>
        </w:tc>
        <w:tc>
          <w:tcPr>
            <w:tcW w:w="3761" w:type="dxa"/>
            <w:vAlign w:val="center"/>
          </w:tcPr>
          <w:p w14:paraId="6F022AA6">
            <w:pPr>
              <w:widowControl/>
              <w:adjustRightInd w:val="0"/>
              <w:snapToGrid w:val="0"/>
              <w:spacing w:line="400" w:lineRule="exact"/>
              <w:jc w:val="center"/>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智能汽车分类</w:t>
            </w:r>
            <w:r>
              <w:rPr>
                <w:rFonts w:hint="eastAsia" w:ascii="仿宋" w:hAnsi="仿宋" w:eastAsia="仿宋" w:cs="仿宋"/>
                <w:color w:val="auto"/>
                <w:kern w:val="0"/>
                <w:sz w:val="24"/>
                <w:highlight w:val="none"/>
                <w:shd w:val="clear" w:color="auto" w:fill="FFFFFF"/>
                <w:lang w:val="en-US" w:eastAsia="zh-CN"/>
              </w:rPr>
              <w:t>图</w:t>
            </w:r>
          </w:p>
        </w:tc>
        <w:tc>
          <w:tcPr>
            <w:tcW w:w="388" w:type="pct"/>
            <w:vAlign w:val="center"/>
          </w:tcPr>
          <w:p w14:paraId="7F660759">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1D401CB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2925520B">
            <w:pPr>
              <w:jc w:val="center"/>
              <w:rPr>
                <w:rFonts w:ascii="仿宋" w:hAnsi="仿宋" w:eastAsia="仿宋" w:cs="仿宋"/>
                <w:color w:val="auto"/>
                <w:sz w:val="24"/>
                <w:highlight w:val="none"/>
              </w:rPr>
            </w:pPr>
          </w:p>
        </w:tc>
      </w:tr>
      <w:tr w14:paraId="394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52239C8B">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16</w:t>
            </w:r>
          </w:p>
        </w:tc>
        <w:tc>
          <w:tcPr>
            <w:tcW w:w="3761" w:type="dxa"/>
            <w:vAlign w:val="center"/>
          </w:tcPr>
          <w:p w14:paraId="71994958">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智能网联汽车实训中心招牌</w:t>
            </w:r>
          </w:p>
        </w:tc>
        <w:tc>
          <w:tcPr>
            <w:tcW w:w="388" w:type="pct"/>
            <w:vAlign w:val="center"/>
          </w:tcPr>
          <w:p w14:paraId="6935A82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7E42C90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6388E702">
            <w:pPr>
              <w:jc w:val="center"/>
              <w:rPr>
                <w:rFonts w:ascii="仿宋" w:hAnsi="仿宋" w:eastAsia="仿宋" w:cs="仿宋"/>
                <w:color w:val="auto"/>
                <w:sz w:val="24"/>
                <w:highlight w:val="none"/>
              </w:rPr>
            </w:pPr>
          </w:p>
        </w:tc>
      </w:tr>
      <w:tr w14:paraId="2B2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5347EFE9">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17</w:t>
            </w:r>
          </w:p>
        </w:tc>
        <w:tc>
          <w:tcPr>
            <w:tcW w:w="3761" w:type="dxa"/>
            <w:vAlign w:val="center"/>
          </w:tcPr>
          <w:p w14:paraId="405E96B0">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全球智能汽车产业图谱</w:t>
            </w:r>
          </w:p>
        </w:tc>
        <w:tc>
          <w:tcPr>
            <w:tcW w:w="388" w:type="pct"/>
            <w:vAlign w:val="center"/>
          </w:tcPr>
          <w:p w14:paraId="456A026F">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w:t>
            </w:r>
          </w:p>
        </w:tc>
        <w:tc>
          <w:tcPr>
            <w:tcW w:w="356" w:type="pct"/>
            <w:vAlign w:val="center"/>
          </w:tcPr>
          <w:p w14:paraId="3EC98D4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套</w:t>
            </w:r>
          </w:p>
        </w:tc>
        <w:tc>
          <w:tcPr>
            <w:tcW w:w="1986" w:type="pct"/>
            <w:vMerge w:val="continue"/>
            <w:vAlign w:val="center"/>
          </w:tcPr>
          <w:p w14:paraId="59BAB7CF">
            <w:pPr>
              <w:jc w:val="center"/>
              <w:rPr>
                <w:rFonts w:ascii="仿宋" w:hAnsi="仿宋" w:eastAsia="仿宋" w:cs="仿宋"/>
                <w:color w:val="auto"/>
                <w:sz w:val="24"/>
                <w:highlight w:val="none"/>
              </w:rPr>
            </w:pPr>
          </w:p>
        </w:tc>
      </w:tr>
      <w:tr w14:paraId="7E3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2204D105">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18</w:t>
            </w:r>
          </w:p>
        </w:tc>
        <w:tc>
          <w:tcPr>
            <w:tcW w:w="3761" w:type="dxa"/>
            <w:vAlign w:val="center"/>
          </w:tcPr>
          <w:p w14:paraId="3F1451E1">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地面地漆</w:t>
            </w:r>
          </w:p>
        </w:tc>
        <w:tc>
          <w:tcPr>
            <w:tcW w:w="388" w:type="pct"/>
            <w:vAlign w:val="center"/>
          </w:tcPr>
          <w:p w14:paraId="72983D6D">
            <w:pPr>
              <w:spacing w:before="93" w:beforeLines="30" w:after="93" w:afterLines="30"/>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320</w:t>
            </w:r>
          </w:p>
        </w:tc>
        <w:tc>
          <w:tcPr>
            <w:tcW w:w="356" w:type="pct"/>
            <w:vAlign w:val="center"/>
          </w:tcPr>
          <w:p w14:paraId="4243A489">
            <w:pPr>
              <w:spacing w:before="93" w:beforeLines="30" w:after="93" w:afterLines="30"/>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w:t>
            </w:r>
          </w:p>
        </w:tc>
        <w:tc>
          <w:tcPr>
            <w:tcW w:w="1986" w:type="pct"/>
            <w:vMerge w:val="continue"/>
            <w:vAlign w:val="center"/>
          </w:tcPr>
          <w:p w14:paraId="30EAB58F">
            <w:pPr>
              <w:jc w:val="center"/>
              <w:rPr>
                <w:rFonts w:ascii="仿宋" w:hAnsi="仿宋" w:eastAsia="仿宋" w:cs="仿宋"/>
                <w:color w:val="auto"/>
                <w:sz w:val="24"/>
                <w:highlight w:val="none"/>
              </w:rPr>
            </w:pPr>
          </w:p>
        </w:tc>
      </w:tr>
      <w:tr w14:paraId="5069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06" w:type="dxa"/>
            <w:vAlign w:val="center"/>
          </w:tcPr>
          <w:p w14:paraId="785D5DB2">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19</w:t>
            </w:r>
          </w:p>
        </w:tc>
        <w:tc>
          <w:tcPr>
            <w:tcW w:w="3761" w:type="dxa"/>
            <w:vAlign w:val="center"/>
          </w:tcPr>
          <w:p w14:paraId="4F72A144">
            <w:pPr>
              <w:widowControl/>
              <w:adjustRightInd w:val="0"/>
              <w:snapToGrid w:val="0"/>
              <w:spacing w:line="400" w:lineRule="exact"/>
              <w:jc w:val="center"/>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线路改造</w:t>
            </w:r>
          </w:p>
        </w:tc>
        <w:tc>
          <w:tcPr>
            <w:tcW w:w="388" w:type="pct"/>
            <w:vAlign w:val="center"/>
          </w:tcPr>
          <w:p w14:paraId="250A776E">
            <w:pPr>
              <w:spacing w:before="93" w:beforeLines="30" w:after="93" w:afterLines="30"/>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1</w:t>
            </w:r>
          </w:p>
        </w:tc>
        <w:tc>
          <w:tcPr>
            <w:tcW w:w="356" w:type="pct"/>
            <w:vAlign w:val="center"/>
          </w:tcPr>
          <w:p w14:paraId="18A7E838">
            <w:pPr>
              <w:spacing w:before="93" w:beforeLines="30" w:after="93" w:afterLines="30"/>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项</w:t>
            </w:r>
          </w:p>
        </w:tc>
        <w:tc>
          <w:tcPr>
            <w:tcW w:w="1986" w:type="pct"/>
            <w:vMerge w:val="continue"/>
            <w:vAlign w:val="center"/>
          </w:tcPr>
          <w:p w14:paraId="51D0EA2B">
            <w:pPr>
              <w:jc w:val="center"/>
              <w:rPr>
                <w:rFonts w:ascii="仿宋" w:hAnsi="仿宋" w:eastAsia="仿宋" w:cs="仿宋"/>
                <w:color w:val="auto"/>
                <w:sz w:val="24"/>
                <w:highlight w:val="none"/>
              </w:rPr>
            </w:pPr>
          </w:p>
        </w:tc>
      </w:tr>
    </w:tbl>
    <w:p w14:paraId="622E7390">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合同履行期限：自签订合同之日起</w:t>
      </w:r>
      <w:r>
        <w:rPr>
          <w:rFonts w:hint="eastAsia" w:ascii="仿宋" w:hAnsi="仿宋" w:eastAsia="仿宋" w:cs="仿宋"/>
          <w:color w:val="auto"/>
          <w:sz w:val="24"/>
          <w:highlight w:val="none"/>
          <w:u w:val="single"/>
        </w:rPr>
        <w:t xml:space="preserve"> 60 </w:t>
      </w:r>
      <w:r>
        <w:rPr>
          <w:rFonts w:hint="eastAsia" w:ascii="仿宋" w:hAnsi="仿宋" w:eastAsia="仿宋" w:cs="仿宋"/>
          <w:color w:val="auto"/>
          <w:sz w:val="24"/>
          <w:highlight w:val="none"/>
        </w:rPr>
        <w:t>日内提交服务成果。</w:t>
      </w:r>
    </w:p>
    <w:p w14:paraId="6C9D7A8F">
      <w:pPr>
        <w:spacing w:line="360" w:lineRule="auto"/>
        <w:ind w:firstLine="352" w:firstLineChars="147"/>
        <w:rPr>
          <w:rFonts w:ascii="仿宋" w:hAnsi="仿宋" w:eastAsia="仿宋" w:cs="仿宋"/>
          <w:color w:val="auto"/>
          <w:sz w:val="24"/>
          <w:highlight w:val="none"/>
        </w:rPr>
      </w:pPr>
      <w:r>
        <w:rPr>
          <w:rFonts w:hint="eastAsia" w:ascii="仿宋" w:hAnsi="仿宋" w:eastAsia="仿宋" w:cs="仿宋"/>
          <w:color w:val="auto"/>
          <w:sz w:val="24"/>
          <w:highlight w:val="none"/>
        </w:rPr>
        <w:t>本项目是否接受联合体响应：□是，☑否。</w:t>
      </w:r>
    </w:p>
    <w:p w14:paraId="511564E7">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二、申请人的资格条件：</w:t>
      </w:r>
    </w:p>
    <w:p w14:paraId="1E4D89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3647E7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p>
    <w:p w14:paraId="544E803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☑专门面向中小企业采购的项目，[其中小微企业占中小企业预留份额不低于60.00%（供应商应为中小微企业、监狱企业、残疾人福利性单位)]</w:t>
      </w:r>
    </w:p>
    <w:p w14:paraId="2D9E619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□非专门面向中小企业采购的项目</w:t>
      </w:r>
    </w:p>
    <w:p w14:paraId="7C2BE49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3、本项目的特定资格要求：无。</w:t>
      </w:r>
      <w:r>
        <w:rPr>
          <w:rFonts w:hint="eastAsia" w:ascii="仿宋" w:hAnsi="仿宋" w:eastAsia="仿宋" w:cs="仿宋"/>
          <w:color w:val="auto"/>
          <w:sz w:val="24"/>
          <w:highlight w:val="none"/>
          <w:lang w:val="en-US" w:eastAsia="zh-CN"/>
        </w:rPr>
        <w:t>投标</w:t>
      </w:r>
    </w:p>
    <w:p w14:paraId="4197E6A5">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三、获取竞争性磋商文件</w:t>
      </w:r>
    </w:p>
    <w:p w14:paraId="5F0F481B">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w:t>
      </w:r>
      <w:r>
        <w:rPr>
          <w:rFonts w:hint="eastAsia" w:ascii="仿宋" w:hAnsi="仿宋" w:eastAsia="仿宋" w:cs="仿宋"/>
          <w:color w:val="auto"/>
          <w:sz w:val="24"/>
          <w:highlight w:val="none"/>
        </w:rPr>
        <w:t>2025年6月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日至2025年6月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日，每天上午00:00-12:00；下午12:00-23:59（北京时间，法定节假日除外）</w:t>
      </w:r>
      <w:r>
        <w:rPr>
          <w:rFonts w:hint="eastAsia" w:ascii="仿宋" w:hAnsi="仿宋" w:eastAsia="仿宋" w:cs="仿宋"/>
          <w:bCs/>
          <w:color w:val="auto"/>
          <w:kern w:val="0"/>
          <w:sz w:val="24"/>
          <w:highlight w:val="none"/>
        </w:rPr>
        <w:t>。</w:t>
      </w:r>
    </w:p>
    <w:p w14:paraId="798CBC6A">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地点：“政采云”平台（http：//www.zcygov.cn）</w:t>
      </w:r>
    </w:p>
    <w:p w14:paraId="348AB28F">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仿宋" w:hAnsi="仿宋" w:eastAsia="仿宋" w:cs="仿宋"/>
          <w:bCs/>
          <w:color w:val="auto"/>
          <w:kern w:val="0"/>
          <w:sz w:val="24"/>
          <w:highlight w:val="none"/>
        </w:rPr>
        <w:t>“政采云”平台（http：//www.zcygov.cn）下载竞争性磋商文件（操作路径：登录“政采云”平台-项目采购-获取采购文件-找到本项目-点击“申请获取采购文件”），电子响应文件制作需要基于“政采云”平台获取的竞争性磋商文件编制。</w:t>
      </w:r>
    </w:p>
    <w:p w14:paraId="5EECED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kern w:val="0"/>
          <w:sz w:val="24"/>
          <w:highlight w:val="none"/>
        </w:rPr>
        <w:t>售价：0元。</w:t>
      </w:r>
    </w:p>
    <w:p w14:paraId="47FC7C33">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w:t>
      </w:r>
    </w:p>
    <w:p w14:paraId="6D75C646">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1、首次响应文件提交截止时间：</w:t>
      </w:r>
      <w:r>
        <w:rPr>
          <w:rFonts w:hint="eastAsia" w:ascii="仿宋" w:hAnsi="仿宋" w:eastAsia="仿宋" w:cs="仿宋"/>
          <w:bCs/>
          <w:color w:val="auto"/>
          <w:kern w:val="0"/>
          <w:sz w:val="24"/>
          <w:highlight w:val="none"/>
        </w:rPr>
        <w:t>2025年6月</w:t>
      </w:r>
      <w:r>
        <w:rPr>
          <w:rFonts w:hint="eastAsia" w:ascii="仿宋" w:hAnsi="仿宋" w:eastAsia="仿宋" w:cs="仿宋"/>
          <w:bCs/>
          <w:color w:val="auto"/>
          <w:kern w:val="0"/>
          <w:sz w:val="24"/>
          <w:highlight w:val="none"/>
          <w:lang w:val="en-US" w:eastAsia="zh-CN"/>
        </w:rPr>
        <w:t>20</w:t>
      </w:r>
      <w:r>
        <w:rPr>
          <w:rFonts w:hint="eastAsia" w:ascii="仿宋" w:hAnsi="仿宋" w:eastAsia="仿宋" w:cs="仿宋"/>
          <w:bCs/>
          <w:color w:val="auto"/>
          <w:kern w:val="0"/>
          <w:sz w:val="24"/>
          <w:highlight w:val="none"/>
        </w:rPr>
        <w:t>日15时00分（北京时间）</w:t>
      </w:r>
    </w:p>
    <w:p w14:paraId="0DB7C4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bidi="ar"/>
        </w:rPr>
        <w:t>通过“政采云”平台在线提交。</w:t>
      </w:r>
    </w:p>
    <w:p w14:paraId="49048B69">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五、开启</w:t>
      </w:r>
    </w:p>
    <w:p w14:paraId="19168E89">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1、首次响应文件开启时间：</w:t>
      </w:r>
      <w:r>
        <w:rPr>
          <w:rFonts w:hint="eastAsia" w:ascii="仿宋" w:hAnsi="仿宋" w:eastAsia="仿宋" w:cs="仿宋"/>
          <w:bCs/>
          <w:color w:val="auto"/>
          <w:kern w:val="0"/>
          <w:sz w:val="24"/>
          <w:highlight w:val="none"/>
          <w:lang w:eastAsia="zh-CN"/>
        </w:rPr>
        <w:t>2025年6月20日15时00分</w:t>
      </w:r>
      <w:r>
        <w:rPr>
          <w:rFonts w:hint="eastAsia" w:ascii="仿宋" w:hAnsi="仿宋" w:eastAsia="仿宋" w:cs="仿宋"/>
          <w:bCs/>
          <w:color w:val="auto"/>
          <w:kern w:val="0"/>
          <w:sz w:val="24"/>
          <w:highlight w:val="none"/>
        </w:rPr>
        <w:t>（北京时间）</w:t>
      </w:r>
    </w:p>
    <w:p w14:paraId="63DFB0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bidi="ar"/>
        </w:rPr>
        <w:t>本项目将在“政采云”平台电子开标大厅解密、开启。</w:t>
      </w:r>
    </w:p>
    <w:p w14:paraId="4A38CA5F">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6E05FB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27CA5282">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bCs/>
          <w:color w:val="auto"/>
          <w:sz w:val="24"/>
          <w:highlight w:val="none"/>
        </w:rPr>
        <w:t>七、</w:t>
      </w:r>
      <w:r>
        <w:rPr>
          <w:rFonts w:hint="eastAsia" w:ascii="仿宋" w:hAnsi="仿宋" w:eastAsia="仿宋" w:cs="仿宋"/>
          <w:b/>
          <w:color w:val="auto"/>
          <w:sz w:val="24"/>
          <w:highlight w:val="none"/>
        </w:rPr>
        <w:t>其他补充事宜</w:t>
      </w:r>
    </w:p>
    <w:p w14:paraId="3D3CEEE4">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1、磋商保证金（人民币）：19900元。</w:t>
      </w:r>
    </w:p>
    <w:p w14:paraId="79DA27A5">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供应商应于投标截止时间前将竞标保证金以转账、支票、汇票、本票、保函等非现金形式交至广西科文招标有限公司账户，并确保到账。开户名称：广西科文招标有限公司，开户银行：广西北部湾银行南宁分行营业部，开户账号：0101012090615689。</w:t>
      </w:r>
    </w:p>
    <w:p w14:paraId="126C18E0">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116401">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39439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4、采购意向公开链接：</w:t>
      </w:r>
    </w:p>
    <w:p w14:paraId="5BA413E0">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https://zfcg.gxzf.gov.cn/luban/detail?parentId=66601&amp;articleId=ann_4JbtwPztSFxoBvS9s7YvwtD5ndTMr3NGt5TILBJnhQo=。</w:t>
      </w:r>
    </w:p>
    <w:p w14:paraId="6CB28788">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5、网上查询地址：中国政府采购网（www.ccgp.gov.cn）、广西政府采购网（zfcg.gxzf.gov.cn）。</w:t>
      </w:r>
    </w:p>
    <w:p w14:paraId="53C8977B">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6、本项目需要落实的政府采购政策：</w:t>
      </w:r>
    </w:p>
    <w:p w14:paraId="1BFDED8B">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（1）政府采购促进中小企业发展政策。</w:t>
      </w:r>
    </w:p>
    <w:p w14:paraId="5A61D17F">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（2）政府采购支持采用本国产品的政策。</w:t>
      </w:r>
    </w:p>
    <w:p w14:paraId="3E860859">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（3）强制采购节能产品；优先采购节能产品、环境标志产品。</w:t>
      </w:r>
    </w:p>
    <w:p w14:paraId="05060671">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（4）政府采购促进残疾人就业政策。</w:t>
      </w:r>
    </w:p>
    <w:p w14:paraId="0E753720">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（5）政府采购支持监狱企业发展政策。</w:t>
      </w:r>
    </w:p>
    <w:p w14:paraId="154F4781">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（6）扶持不发达地区和少数民族地区政策</w:t>
      </w:r>
    </w:p>
    <w:p w14:paraId="07491609">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7、磋商注意事项：</w:t>
      </w:r>
    </w:p>
    <w:p w14:paraId="4E7B95E5">
      <w:pPr>
        <w:widowControl/>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lang w:bidi="ar"/>
        </w:rPr>
        <w:t>（1）</w:t>
      </w:r>
      <w:r>
        <w:rPr>
          <w:rFonts w:hint="eastAsia" w:ascii="仿宋" w:hAnsi="仿宋" w:eastAsia="仿宋" w:cs="仿宋"/>
          <w:color w:val="auto"/>
          <w:sz w:val="24"/>
          <w:highlight w:val="none"/>
        </w:rPr>
        <w:t>响应文件</w:t>
      </w:r>
      <w:r>
        <w:rPr>
          <w:rFonts w:hint="eastAsia" w:ascii="仿宋" w:hAnsi="仿宋" w:eastAsia="仿宋" w:cs="仿宋"/>
          <w:color w:val="auto"/>
          <w:sz w:val="24"/>
          <w:highlight w:val="none"/>
          <w:lang w:bidi="ar"/>
        </w:rPr>
        <w:t>提交方式：本项目为全流程电子化政府采购项目，通过“政采云”平台（http：//www.zcygov.cn）实行在线电子磋商采购，供应商应先安装“政采云电子交易客户端”（请自行前往“政采云”平台进行下载），并按照本项目竞争性磋商文件和“政采云”平台的要求编制、加密后在</w:t>
      </w:r>
      <w:r>
        <w:rPr>
          <w:rFonts w:hint="eastAsia" w:ascii="仿宋" w:hAnsi="仿宋" w:eastAsia="仿宋" w:cs="仿宋"/>
          <w:color w:val="auto"/>
          <w:sz w:val="24"/>
          <w:highlight w:val="none"/>
        </w:rPr>
        <w:t>首次响应文件提交截止时间</w:t>
      </w:r>
      <w:r>
        <w:rPr>
          <w:rFonts w:hint="eastAsia" w:ascii="仿宋" w:hAnsi="仿宋" w:eastAsia="仿宋" w:cs="仿宋"/>
          <w:color w:val="auto"/>
          <w:sz w:val="24"/>
          <w:highlight w:val="none"/>
          <w:lang w:bidi="ar"/>
        </w:rPr>
        <w:t>前通过网络上传至“政采云”平台，</w:t>
      </w:r>
      <w:r>
        <w:rPr>
          <w:rFonts w:hint="eastAsia" w:ascii="仿宋" w:hAnsi="仿宋" w:eastAsia="仿宋" w:cs="仿宋"/>
          <w:b/>
          <w:color w:val="auto"/>
          <w:sz w:val="24"/>
          <w:highlight w:val="none"/>
          <w:lang w:bidi="ar"/>
        </w:rPr>
        <w:t>供应商在“政采云”平台提交电子版响应文件时，请填写参加远程开标活动经办人联系方式。</w:t>
      </w:r>
    </w:p>
    <w:p w14:paraId="74296DD2">
      <w:pPr>
        <w:widowControl/>
        <w:spacing w:line="36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hint="eastAsia" w:ascii="仿宋" w:hAnsi="仿宋" w:eastAsia="仿宋" w:cs="仿宋"/>
          <w:color w:val="auto"/>
          <w:sz w:val="24"/>
          <w:highlight w:val="none"/>
          <w:lang w:bidi="ar"/>
        </w:rPr>
        <w:t>https://service.zcygov.cn/#/knowledges/tree?tag=AG1DtGwBFdiHxlNdhY0r</w:t>
      </w:r>
      <w:r>
        <w:rPr>
          <w:rFonts w:hint="eastAsia" w:ascii="仿宋" w:hAnsi="仿宋" w:eastAsia="仿宋" w:cs="仿宋"/>
          <w:color w:val="auto"/>
          <w:sz w:val="24"/>
          <w:highlight w:val="none"/>
          <w:lang w:bidi="ar"/>
        </w:rPr>
        <w:fldChar w:fldCharType="end"/>
      </w:r>
      <w:r>
        <w:rPr>
          <w:rFonts w:hint="eastAsia" w:ascii="仿宋" w:hAnsi="仿宋" w:eastAsia="仿宋" w:cs="仿宋"/>
          <w:color w:val="auto"/>
          <w:sz w:val="24"/>
          <w:highlight w:val="none"/>
          <w:lang w:bidi="ar"/>
        </w:rPr>
        <w:t>；及时完成CA申领和绑定（见广西壮族自治区政府采购网—办事服务—下载专区-政采云CA证书办理操作指南）。</w:t>
      </w:r>
    </w:p>
    <w:p w14:paraId="27CC4A8F">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（3）未进行网上注册并办理数字证书（CA认证）的供应商将无法参与本项目政府采购活动，潜在供应商应当在</w:t>
      </w:r>
      <w:r>
        <w:rPr>
          <w:rFonts w:hint="eastAsia" w:ascii="仿宋" w:hAnsi="仿宋" w:eastAsia="仿宋" w:cs="仿宋"/>
          <w:color w:val="auto"/>
          <w:sz w:val="24"/>
          <w:highlight w:val="none"/>
        </w:rPr>
        <w:t>首次响应文件提交截止时间</w:t>
      </w:r>
      <w:r>
        <w:rPr>
          <w:rFonts w:hint="eastAsia" w:ascii="仿宋" w:hAnsi="仿宋" w:eastAsia="仿宋" w:cs="仿宋"/>
          <w:color w:val="auto"/>
          <w:sz w:val="24"/>
          <w:highlight w:val="none"/>
          <w:lang w:bidi="ar"/>
        </w:rPr>
        <w:t>前，完成电子交易平台上的CA数字证书办理及响应文件的提交。完成CA数字证书办理预计7日左右，供应商只需办理其中一家CA数字证书及签章，建议各供应商抓紧时间办理。</w:t>
      </w:r>
    </w:p>
    <w:p w14:paraId="5004368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3F52BE7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注：供应商应当在首次响应文件提交截止时间前完成电子响应文件的上传、递交，</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前可以补充、修改或者撤回响应文件。补充或者修改响应文件的，应当先行撤回原文件，补充、修改后重新上传、递交。</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前未完成上传、递交的，视为撤回响应文件。</w:t>
      </w:r>
      <w:r>
        <w:rPr>
          <w:rFonts w:hint="eastAsia" w:ascii="仿宋" w:hAnsi="仿宋" w:eastAsia="仿宋" w:cs="仿宋"/>
          <w:b/>
          <w:color w:val="auto"/>
          <w:sz w:val="24"/>
          <w:highlight w:val="none"/>
        </w:rPr>
        <w:t>首次响应文件提交截止时间</w:t>
      </w:r>
      <w:r>
        <w:rPr>
          <w:rFonts w:hint="eastAsia" w:ascii="仿宋" w:hAnsi="仿宋" w:eastAsia="仿宋" w:cs="仿宋"/>
          <w:b/>
          <w:bCs/>
          <w:color w:val="auto"/>
          <w:sz w:val="24"/>
          <w:highlight w:val="none"/>
          <w:lang w:bidi="ar"/>
        </w:rPr>
        <w:t>以后上传递交的响应文件，“政采云”平台将予以拒收。</w:t>
      </w:r>
    </w:p>
    <w:p w14:paraId="7DE2902E">
      <w:pPr>
        <w:widowControl/>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kern w:val="0"/>
          <w:sz w:val="24"/>
          <w:highlight w:val="none"/>
          <w:lang w:bidi="ar"/>
        </w:rPr>
        <w:t>8、</w:t>
      </w:r>
      <w:r>
        <w:rPr>
          <w:rFonts w:hint="eastAsia" w:ascii="仿宋" w:hAnsi="仿宋" w:eastAsia="仿宋" w:cs="仿宋"/>
          <w:color w:val="auto"/>
          <w:sz w:val="24"/>
          <w:highlight w:val="none"/>
          <w:lang w:bidi="ar"/>
        </w:rPr>
        <w:t>CA证书在线解密：首次响应文件开启时，须要供应商携带制作响应文件时用来加密的有效数字证书（CA认证）登录“政采云”平台电子开标大厅现场按规定时间对加密的响应文件进行解密，否则后果自负。</w:t>
      </w:r>
    </w:p>
    <w:p w14:paraId="5D2B9060">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9、供应商需要在具备有摄像头及语音功能且互联网网络状况良好的电脑登录“政采云”平台远程开标大厅参与本次磋商，否则后果自负。</w:t>
      </w:r>
    </w:p>
    <w:p w14:paraId="174A5520">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lang w:bidi="ar"/>
        </w:rPr>
        <w:t>10、若对项目采购电子交易系统操作有疑问，可登录“政采云”平台（https://www.zcygov.cn/），点击右侧咨询小采，获取采小蜜智能服务管家帮助，或拨打政采云服务热线95763获取热线服务帮助。</w:t>
      </w:r>
    </w:p>
    <w:bookmarkEnd w:id="11"/>
    <w:p w14:paraId="0B9C6935">
      <w:pPr>
        <w:spacing w:line="360" w:lineRule="auto"/>
        <w:ind w:firstLine="354" w:firstLineChars="147"/>
        <w:rPr>
          <w:rFonts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bookmarkEnd w:id="12"/>
      <w:bookmarkEnd w:id="13"/>
      <w:bookmarkEnd w:id="14"/>
      <w:bookmarkEnd w:id="15"/>
      <w:bookmarkEnd w:id="16"/>
    </w:p>
    <w:p w14:paraId="55864ED2">
      <w:pPr>
        <w:spacing w:line="360" w:lineRule="auto"/>
        <w:ind w:firstLine="648" w:firstLineChars="270"/>
        <w:jc w:val="left"/>
        <w:rPr>
          <w:rFonts w:ascii="仿宋" w:hAnsi="仿宋" w:eastAsia="仿宋" w:cs="仿宋"/>
          <w:color w:val="auto"/>
          <w:sz w:val="24"/>
          <w:highlight w:val="none"/>
        </w:rPr>
      </w:pPr>
      <w:bookmarkStart w:id="17" w:name="_Toc28359019"/>
      <w:bookmarkStart w:id="18" w:name="_Toc28359096"/>
      <w:bookmarkStart w:id="19" w:name="_Toc35393637"/>
      <w:bookmarkStart w:id="20" w:name="_Toc35393806"/>
      <w:r>
        <w:rPr>
          <w:rFonts w:hint="eastAsia" w:ascii="仿宋" w:hAnsi="仿宋" w:eastAsia="仿宋" w:cs="仿宋"/>
          <w:color w:val="auto"/>
          <w:sz w:val="24"/>
          <w:highlight w:val="none"/>
        </w:rPr>
        <w:t>1.采购人信息</w:t>
      </w:r>
    </w:p>
    <w:p w14:paraId="4BE27705">
      <w:pPr>
        <w:spacing w:line="360" w:lineRule="auto"/>
        <w:ind w:firstLine="648" w:firstLineChars="270"/>
        <w:jc w:val="left"/>
        <w:rPr>
          <w:rFonts w:ascii="仿宋" w:hAnsi="仿宋" w:eastAsia="仿宋" w:cs="仿宋"/>
          <w:color w:val="auto"/>
          <w:sz w:val="24"/>
          <w:highlight w:val="none"/>
        </w:rPr>
      </w:pPr>
      <w:bookmarkStart w:id="21" w:name="_Toc28359009"/>
      <w:bookmarkStart w:id="22" w:name="_Toc28359086"/>
      <w:r>
        <w:rPr>
          <w:rFonts w:hint="eastAsia" w:ascii="仿宋" w:hAnsi="仿宋" w:eastAsia="仿宋" w:cs="仿宋"/>
          <w:color w:val="auto"/>
          <w:sz w:val="24"/>
          <w:highlight w:val="none"/>
        </w:rPr>
        <w:t>名 称：广西水产畜牧学校</w:t>
      </w:r>
    </w:p>
    <w:p w14:paraId="4192E368">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地址：广西南宁市青山路7号</w:t>
      </w:r>
    </w:p>
    <w:p w14:paraId="2ED36434">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联系方式：周老师  联系电话：0771-5332817</w:t>
      </w:r>
    </w:p>
    <w:p w14:paraId="0505AB28">
      <w:pPr>
        <w:spacing w:line="360" w:lineRule="auto"/>
        <w:ind w:firstLine="648" w:firstLineChars="27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21"/>
      <w:bookmarkEnd w:id="22"/>
    </w:p>
    <w:p w14:paraId="4215B5DF">
      <w:pPr>
        <w:spacing w:line="360" w:lineRule="auto"/>
        <w:ind w:firstLine="648" w:firstLineChars="270"/>
        <w:rPr>
          <w:rFonts w:ascii="仿宋" w:hAnsi="仿宋" w:eastAsia="仿宋" w:cs="仿宋"/>
          <w:color w:val="auto"/>
          <w:sz w:val="24"/>
          <w:highlight w:val="none"/>
        </w:rPr>
      </w:pPr>
      <w:bookmarkStart w:id="23" w:name="_Toc28359087"/>
      <w:bookmarkStart w:id="24" w:name="_Toc28359010"/>
      <w:r>
        <w:rPr>
          <w:rFonts w:hint="eastAsia" w:ascii="仿宋" w:hAnsi="仿宋" w:eastAsia="仿宋" w:cs="仿宋"/>
          <w:color w:val="auto"/>
          <w:sz w:val="24"/>
          <w:highlight w:val="none"/>
        </w:rPr>
        <w:t>名 称：广西科文招标有限公司</w:t>
      </w:r>
    </w:p>
    <w:p w14:paraId="66DEC603">
      <w:pPr>
        <w:spacing w:line="360" w:lineRule="auto"/>
        <w:ind w:firstLine="648" w:firstLineChars="270"/>
        <w:rPr>
          <w:rFonts w:ascii="仿宋" w:hAnsi="仿宋" w:eastAsia="仿宋" w:cs="仿宋"/>
          <w:color w:val="auto"/>
          <w:sz w:val="24"/>
          <w:highlight w:val="none"/>
        </w:rPr>
      </w:pPr>
      <w:r>
        <w:rPr>
          <w:rFonts w:hint="eastAsia" w:ascii="仿宋" w:hAnsi="仿宋" w:eastAsia="仿宋" w:cs="仿宋"/>
          <w:color w:val="auto"/>
          <w:sz w:val="24"/>
          <w:highlight w:val="none"/>
        </w:rPr>
        <w:t>地　址：南宁市民族大道路141号中鼎万象东方大厦D区五层</w:t>
      </w:r>
    </w:p>
    <w:p w14:paraId="02E8FFA1">
      <w:pPr>
        <w:spacing w:line="360" w:lineRule="auto"/>
        <w:ind w:firstLine="648" w:firstLineChars="27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联系方式：陈上鹏    联系电话：</w:t>
      </w:r>
      <w:r>
        <w:rPr>
          <w:rFonts w:hint="eastAsia" w:ascii="仿宋" w:hAnsi="仿宋" w:eastAsia="仿宋" w:cs="仿宋"/>
          <w:color w:val="auto"/>
          <w:sz w:val="24"/>
          <w:highlight w:val="none"/>
          <w:lang w:eastAsia="zh-CN"/>
        </w:rPr>
        <w:t>0771-2023837</w:t>
      </w:r>
    </w:p>
    <w:p w14:paraId="0C6152FD">
      <w:pPr>
        <w:spacing w:line="360" w:lineRule="auto"/>
        <w:ind w:firstLine="648" w:firstLineChars="270"/>
        <w:rPr>
          <w:rFonts w:ascii="仿宋" w:hAnsi="仿宋" w:eastAsia="仿宋" w:cs="仿宋"/>
          <w:color w:val="auto"/>
          <w:sz w:val="24"/>
          <w:highlight w:val="none"/>
          <w:u w:val="single"/>
        </w:rPr>
      </w:pPr>
      <w:r>
        <w:rPr>
          <w:rFonts w:hint="eastAsia" w:ascii="仿宋" w:hAnsi="仿宋" w:eastAsia="仿宋" w:cs="仿宋"/>
          <w:color w:val="auto"/>
          <w:sz w:val="24"/>
          <w:highlight w:val="none"/>
        </w:rPr>
        <w:t>3.项目联系方式</w:t>
      </w:r>
      <w:bookmarkEnd w:id="23"/>
      <w:bookmarkEnd w:id="24"/>
    </w:p>
    <w:p w14:paraId="0C87F2C4">
      <w:pPr>
        <w:spacing w:line="360" w:lineRule="auto"/>
        <w:ind w:firstLine="648" w:firstLineChars="27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项目联系人：陈上鹏    联系电话：</w:t>
      </w:r>
      <w:r>
        <w:rPr>
          <w:rFonts w:hint="eastAsia" w:ascii="仿宋" w:hAnsi="仿宋" w:eastAsia="仿宋" w:cs="仿宋"/>
          <w:color w:val="auto"/>
          <w:sz w:val="24"/>
          <w:highlight w:val="none"/>
          <w:lang w:eastAsia="zh-CN"/>
        </w:rPr>
        <w:t>0771-2023837</w:t>
      </w:r>
    </w:p>
    <w:p w14:paraId="0E33BD83">
      <w:pPr>
        <w:spacing w:line="380" w:lineRule="exact"/>
        <w:ind w:firstLine="7080" w:firstLineChars="2950"/>
        <w:rPr>
          <w:rFonts w:ascii="仿宋" w:hAnsi="仿宋" w:eastAsia="仿宋" w:cs="仿宋"/>
          <w:color w:val="auto"/>
          <w:sz w:val="24"/>
          <w:highlight w:val="none"/>
        </w:rPr>
      </w:pPr>
    </w:p>
    <w:p w14:paraId="34B1946F">
      <w:pPr>
        <w:spacing w:line="380" w:lineRule="exact"/>
        <w:ind w:firstLine="7080" w:firstLineChars="2950"/>
        <w:rPr>
          <w:rFonts w:ascii="仿宋" w:hAnsi="仿宋" w:eastAsia="仿宋" w:cs="仿宋"/>
          <w:color w:val="auto"/>
          <w:sz w:val="24"/>
          <w:highlight w:val="none"/>
        </w:rPr>
      </w:pPr>
    </w:p>
    <w:p w14:paraId="6E9D26F0">
      <w:pPr>
        <w:spacing w:line="380" w:lineRule="exact"/>
        <w:ind w:firstLine="6720" w:firstLineChars="2800"/>
        <w:jc w:val="right"/>
        <w:rPr>
          <w:rFonts w:ascii="仿宋" w:hAnsi="仿宋" w:eastAsia="仿宋" w:cs="仿宋"/>
          <w:color w:val="auto"/>
          <w:sz w:val="24"/>
          <w:highlight w:val="none"/>
        </w:rPr>
      </w:pPr>
      <w:r>
        <w:rPr>
          <w:rFonts w:hint="eastAsia" w:ascii="仿宋" w:hAnsi="仿宋" w:eastAsia="仿宋" w:cs="仿宋"/>
          <w:color w:val="auto"/>
          <w:sz w:val="24"/>
          <w:highlight w:val="none"/>
        </w:rPr>
        <w:t>广西科文招标有限公司</w:t>
      </w:r>
    </w:p>
    <w:p w14:paraId="23A10811">
      <w:pPr>
        <w:snapToGrid w:val="0"/>
        <w:spacing w:line="380" w:lineRule="exact"/>
        <w:ind w:left="238"/>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
      <w:bookmarkEnd w:id="17"/>
      <w:bookmarkEnd w:id="18"/>
      <w:bookmarkEnd w:id="19"/>
      <w:bookmarkEnd w:id="20"/>
      <w:r>
        <w:rPr>
          <w:rFonts w:hint="eastAsia" w:ascii="仿宋" w:hAnsi="仿宋" w:eastAsia="仿宋" w:cs="仿宋"/>
          <w:color w:val="auto"/>
          <w:sz w:val="24"/>
          <w:highlight w:val="none"/>
        </w:rPr>
        <w:t>2025年6月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p>
    <w:p w14:paraId="094A54C9">
      <w:pPr>
        <w:rPr>
          <w:rFonts w:ascii="仿宋" w:hAnsi="仿宋" w:eastAsia="仿宋" w:cs="仿宋"/>
          <w:color w:val="auto"/>
          <w:sz w:val="24"/>
          <w:highlight w:val="none"/>
        </w:rPr>
      </w:pPr>
    </w:p>
    <w:p w14:paraId="144F847D">
      <w:pPr>
        <w:rPr>
          <w:rFonts w:ascii="仿宋" w:hAnsi="仿宋" w:eastAsia="仿宋" w:cs="仿宋"/>
          <w:color w:val="auto"/>
          <w:sz w:val="24"/>
          <w:highlight w:val="none"/>
        </w:rPr>
      </w:pPr>
    </w:p>
    <w:p w14:paraId="15235DC4">
      <w:pPr>
        <w:rPr>
          <w:rFonts w:ascii="仿宋" w:hAnsi="仿宋" w:eastAsia="仿宋" w:cs="仿宋"/>
          <w:color w:val="auto"/>
          <w:sz w:val="24"/>
          <w:highlight w:val="none"/>
        </w:rPr>
      </w:pPr>
    </w:p>
    <w:p w14:paraId="247111BC">
      <w:pPr>
        <w:rPr>
          <w:rFonts w:ascii="仿宋" w:hAnsi="仿宋" w:eastAsia="仿宋" w:cs="仿宋"/>
          <w:color w:val="auto"/>
          <w:sz w:val="24"/>
          <w:highlight w:val="none"/>
        </w:rPr>
      </w:pPr>
    </w:p>
    <w:p w14:paraId="7345733E">
      <w:pPr>
        <w:jc w:val="center"/>
        <w:rPr>
          <w:rFonts w:ascii="仿宋" w:hAnsi="仿宋" w:eastAsia="仿宋" w:cs="仿宋"/>
          <w:color w:val="auto"/>
          <w:highlight w:val="none"/>
        </w:rPr>
      </w:pPr>
      <w:bookmarkStart w:id="25" w:name="_Toc74323457"/>
      <w:r>
        <w:rPr>
          <w:rFonts w:hint="eastAsia" w:ascii="仿宋" w:hAnsi="仿宋" w:eastAsia="仿宋" w:cs="仿宋"/>
          <w:color w:val="auto"/>
          <w:highlight w:val="none"/>
        </w:rPr>
        <w:t xml:space="preserve">                                                             </w:t>
      </w:r>
    </w:p>
    <w:p w14:paraId="160481D5">
      <w:pPr>
        <w:rPr>
          <w:rFonts w:ascii="仿宋" w:hAnsi="仿宋" w:eastAsia="仿宋" w:cs="仿宋"/>
          <w:color w:val="auto"/>
          <w:highlight w:val="none"/>
        </w:rPr>
      </w:pPr>
    </w:p>
    <w:p w14:paraId="4ACA809D">
      <w:pPr>
        <w:pStyle w:val="24"/>
        <w:ind w:firstLine="640"/>
        <w:rPr>
          <w:rFonts w:ascii="仿宋" w:hAnsi="仿宋" w:eastAsia="仿宋" w:cs="仿宋"/>
          <w:color w:val="auto"/>
          <w:highlight w:val="none"/>
        </w:rPr>
      </w:pPr>
    </w:p>
    <w:p w14:paraId="4A3CF731">
      <w:pPr>
        <w:pStyle w:val="24"/>
        <w:ind w:firstLine="640"/>
        <w:rPr>
          <w:rFonts w:ascii="仿宋" w:hAnsi="仿宋" w:eastAsia="仿宋" w:cs="仿宋"/>
          <w:color w:val="auto"/>
          <w:highlight w:val="none"/>
        </w:rPr>
      </w:pPr>
    </w:p>
    <w:p w14:paraId="2F453945">
      <w:pPr>
        <w:pStyle w:val="24"/>
        <w:ind w:firstLine="640"/>
        <w:rPr>
          <w:rFonts w:ascii="仿宋" w:hAnsi="仿宋" w:eastAsia="仿宋" w:cs="仿宋"/>
          <w:color w:val="auto"/>
          <w:highlight w:val="none"/>
        </w:rPr>
      </w:pPr>
    </w:p>
    <w:p w14:paraId="08B16219">
      <w:pPr>
        <w:pStyle w:val="4"/>
        <w:jc w:val="center"/>
        <w:rPr>
          <w:rFonts w:ascii="仿宋" w:hAnsi="仿宋" w:eastAsia="仿宋" w:cs="仿宋"/>
          <w:color w:val="auto"/>
          <w:highlight w:val="none"/>
        </w:rPr>
      </w:pPr>
      <w:r>
        <w:rPr>
          <w:rFonts w:hint="eastAsia" w:ascii="仿宋" w:hAnsi="仿宋" w:eastAsia="仿宋" w:cs="仿宋"/>
          <w:color w:val="auto"/>
          <w:highlight w:val="none"/>
        </w:rPr>
        <w:t>第二章 供应商须知</w:t>
      </w:r>
      <w:bookmarkEnd w:id="25"/>
    </w:p>
    <w:p w14:paraId="29BA38A8">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7DDE00EB">
      <w:pPr>
        <w:spacing w:line="400" w:lineRule="exact"/>
        <w:jc w:val="center"/>
        <w:rPr>
          <w:rFonts w:ascii="仿宋" w:hAnsi="仿宋" w:eastAsia="仿宋" w:cs="仿宋"/>
          <w:b/>
          <w:color w:val="auto"/>
          <w:sz w:val="32"/>
          <w:szCs w:val="32"/>
          <w:highlight w:val="none"/>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16E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FA87E69">
            <w:pPr>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627" w:type="dxa"/>
          </w:tcPr>
          <w:p w14:paraId="23FFDBCA">
            <w:pPr>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3B9BA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F80E5E">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627" w:type="dxa"/>
            <w:vAlign w:val="center"/>
          </w:tcPr>
          <w:p w14:paraId="7DEEF0BF">
            <w:pPr>
              <w:spacing w:line="44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供应商的资格条件</w:t>
            </w:r>
            <w:r>
              <w:rPr>
                <w:rFonts w:hint="eastAsia" w:ascii="仿宋" w:hAnsi="仿宋" w:eastAsia="仿宋" w:cs="仿宋"/>
                <w:color w:val="auto"/>
                <w:sz w:val="24"/>
                <w:highlight w:val="none"/>
              </w:rPr>
              <w:t>：详见竞争性磋商公告</w:t>
            </w:r>
          </w:p>
        </w:tc>
      </w:tr>
      <w:tr w14:paraId="22BC8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E0AAB3">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8627" w:type="dxa"/>
            <w:vAlign w:val="center"/>
          </w:tcPr>
          <w:p w14:paraId="68389EA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是否接受联合体竞标：详见竞争性磋商公告</w:t>
            </w:r>
          </w:p>
        </w:tc>
      </w:tr>
      <w:tr w14:paraId="6F0ED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CE317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8627" w:type="dxa"/>
            <w:vAlign w:val="center"/>
          </w:tcPr>
          <w:p w14:paraId="550D5727">
            <w:pPr>
              <w:pStyle w:val="1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本项目不允许分包。</w:t>
            </w:r>
          </w:p>
        </w:tc>
      </w:tr>
      <w:tr w14:paraId="0A5E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40A430">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12.1.1</w:t>
            </w:r>
          </w:p>
        </w:tc>
        <w:tc>
          <w:tcPr>
            <w:tcW w:w="8627" w:type="dxa"/>
            <w:vAlign w:val="center"/>
          </w:tcPr>
          <w:p w14:paraId="0BCD9D4F">
            <w:pPr>
              <w:snapToGrid w:val="0"/>
              <w:spacing w:line="44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资格证明文件</w:t>
            </w:r>
          </w:p>
          <w:p w14:paraId="13937B06">
            <w:pPr>
              <w:pStyle w:val="10"/>
              <w:spacing w:line="44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bCs/>
                <w:color w:val="auto"/>
                <w:sz w:val="24"/>
                <w:highlight w:val="none"/>
              </w:rPr>
              <w:t>（必须提供，否则响应文件按无效响应处理）</w:t>
            </w:r>
          </w:p>
          <w:p w14:paraId="0036C963">
            <w:pPr>
              <w:spacing w:line="44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依法缴纳税收的相关材料（响应文件提交截止时间前半年内任意连续3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16B7377A">
            <w:pPr>
              <w:spacing w:line="44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依法缴纳社会保障资金的相关材料[在截标时间前半年内连续3个月份或最近一个季度的依法缴纳社会保障资金的缴费凭证（专用收据或者社会保险缴纳清单）复印件；依法不需要缴纳社会保障资金的供应商，必须提供相应文件证明不需要缴纳社会保障资金。从成立之日起到</w:t>
            </w:r>
            <w:r>
              <w:rPr>
                <w:rFonts w:hint="eastAsia" w:ascii="仿宋" w:hAnsi="仿宋" w:eastAsia="仿宋" w:cs="仿宋"/>
                <w:color w:val="auto"/>
                <w:sz w:val="24"/>
                <w:highlight w:val="none"/>
                <w:lang w:eastAsia="zh-CN"/>
              </w:rPr>
              <w:t>竞标文件</w:t>
            </w:r>
            <w:r>
              <w:rPr>
                <w:rFonts w:hint="eastAsia" w:ascii="仿宋" w:hAnsi="仿宋" w:eastAsia="仿宋" w:cs="仿宋"/>
                <w:color w:val="auto"/>
                <w:sz w:val="24"/>
                <w:highlight w:val="none"/>
              </w:rPr>
              <w:t>提交截止时间止不足要求月数的只需提供从成立之日起的依法缴纳社会保障资金的相应证明文件]；（</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34584921">
            <w:pPr>
              <w:spacing w:line="440" w:lineRule="exact"/>
              <w:contextualSpacing/>
              <w:jc w:val="left"/>
              <w:rPr>
                <w:rFonts w:ascii="仿宋" w:hAnsi="仿宋" w:eastAsia="仿宋" w:cs="仿宋"/>
                <w:b/>
                <w:color w:val="auto"/>
                <w:sz w:val="24"/>
                <w:highlight w:val="none"/>
              </w:rPr>
            </w:pPr>
            <w:r>
              <w:rPr>
                <w:rFonts w:hint="eastAsia" w:ascii="仿宋" w:hAnsi="仿宋" w:eastAsia="仿宋" w:cs="仿宋"/>
                <w:color w:val="auto"/>
                <w:sz w:val="24"/>
                <w:highlight w:val="none"/>
              </w:rPr>
              <w:t>4、供应商 2024年度财务状况报告表【财务报表复印件（账务报表至少包含资产负债表、利润表、现金流量表）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除自然人外必须提供，否则响应文件按无效响应处理</w:t>
            </w:r>
            <w:r>
              <w:rPr>
                <w:rFonts w:hint="eastAsia" w:ascii="仿宋" w:hAnsi="仿宋" w:eastAsia="仿宋" w:cs="仿宋"/>
                <w:bCs/>
                <w:color w:val="auto"/>
                <w:sz w:val="24"/>
                <w:highlight w:val="none"/>
              </w:rPr>
              <w:t>）</w:t>
            </w:r>
          </w:p>
          <w:p w14:paraId="4901050A">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5、供应商直接控股、管理关系信息表（格式后附）；（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7E9EA205">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6、竞标声明（格式后附）；（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4FBA4902">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7、中小企业声明函或监狱企业由省级以上监狱管理局、戒毒管理局（含新疆生产建设兵团）出具的属于监狱企业的证明文件或残疾人福利性单位声明函（格式后附）；（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31552996">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8、除磋商文件规定必须提供以外，供应商认为需要提供的其他证明材料；</w:t>
            </w:r>
          </w:p>
          <w:p w14:paraId="282C4370">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14:paraId="3017BAB4">
            <w:pPr>
              <w:snapToGrid w:val="0"/>
              <w:spacing w:line="440" w:lineRule="exact"/>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1、以上标明“必须提供”的材料属于复印件的，必须加盖供应商公章，否则响应文件按无效响应处理。</w:t>
            </w:r>
          </w:p>
          <w:p w14:paraId="45AD2784">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2、竞标声明必须由法定代表人在规定签章处签字并加盖供应商公章，否则响应文件按无效响应处理。</w:t>
            </w:r>
          </w:p>
          <w:p w14:paraId="643D8810">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3、供应商直接控股、管理关系信息表必须由法定代表人或者委托代理人在规定签章处签字并加盖供应商公章，否则响应文件按无效响应处理。</w:t>
            </w:r>
          </w:p>
          <w:p w14:paraId="2D9D6166">
            <w:pPr>
              <w:pStyle w:val="10"/>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4、联合体竞标时，第1-5项资格证明文件联合体各方均必须分别提供，联合体各方分别盖章和签字，否则响应文件按无效响应处理。</w:t>
            </w:r>
          </w:p>
        </w:tc>
      </w:tr>
      <w:tr w14:paraId="3643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618C9A">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12.1.2</w:t>
            </w:r>
          </w:p>
        </w:tc>
        <w:tc>
          <w:tcPr>
            <w:tcW w:w="8627" w:type="dxa"/>
            <w:vAlign w:val="center"/>
          </w:tcPr>
          <w:p w14:paraId="76A9702E">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报价商务技术文件</w:t>
            </w:r>
          </w:p>
          <w:p w14:paraId="5595ACA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1、无串通竞标行为的承诺函（格式后附）；（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28C28915">
            <w:pPr>
              <w:spacing w:line="440" w:lineRule="exact"/>
              <w:rPr>
                <w:rFonts w:ascii="仿宋" w:hAnsi="仿宋" w:eastAsia="仿宋" w:cs="仿宋"/>
                <w:color w:val="auto"/>
                <w:highlight w:val="none"/>
              </w:rPr>
            </w:pPr>
            <w:r>
              <w:rPr>
                <w:rFonts w:hint="eastAsia" w:ascii="仿宋" w:hAnsi="仿宋" w:eastAsia="仿宋" w:cs="仿宋"/>
                <w:color w:val="auto"/>
                <w:sz w:val="24"/>
                <w:highlight w:val="none"/>
              </w:rPr>
              <w:t>2、磋商报价表（格式后附）；（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7519E86C">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3、法定代表人身份证明及法定代表人有效身份证正反面复印件（格式后附）；（</w:t>
            </w:r>
            <w:r>
              <w:rPr>
                <w:rFonts w:hint="eastAsia" w:ascii="仿宋" w:hAnsi="仿宋" w:eastAsia="仿宋" w:cs="仿宋"/>
                <w:b/>
                <w:bCs/>
                <w:color w:val="auto"/>
                <w:sz w:val="24"/>
                <w:highlight w:val="none"/>
              </w:rPr>
              <w:t>除自然人竞标外</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5A218ADC">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4、授权委托书及委托代理人有效身份证正反面复印件（格式后附）；（</w:t>
            </w:r>
            <w:r>
              <w:rPr>
                <w:rFonts w:hint="eastAsia" w:ascii="仿宋" w:hAnsi="仿宋" w:eastAsia="仿宋" w:cs="仿宋"/>
                <w:b/>
                <w:color w:val="auto"/>
                <w:sz w:val="24"/>
                <w:highlight w:val="none"/>
              </w:rPr>
              <w:t>委托时必须提供，否则响应文件按无效响应处理</w:t>
            </w:r>
            <w:r>
              <w:rPr>
                <w:rFonts w:hint="eastAsia" w:ascii="仿宋" w:hAnsi="仿宋" w:eastAsia="仿宋" w:cs="仿宋"/>
                <w:color w:val="auto"/>
                <w:sz w:val="24"/>
                <w:highlight w:val="none"/>
              </w:rPr>
              <w:t>）</w:t>
            </w:r>
          </w:p>
          <w:p w14:paraId="7823012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5、磋商保证金提交凭证；（</w:t>
            </w:r>
            <w:r>
              <w:rPr>
                <w:rFonts w:hint="eastAsia" w:ascii="仿宋" w:hAnsi="仿宋" w:eastAsia="仿宋" w:cs="仿宋"/>
                <w:b/>
                <w:bCs/>
                <w:color w:val="auto"/>
                <w:sz w:val="24"/>
                <w:highlight w:val="none"/>
              </w:rPr>
              <w:t>如要求提交磋商保证金的则必须提供</w:t>
            </w:r>
            <w:r>
              <w:rPr>
                <w:rFonts w:hint="eastAsia" w:ascii="仿宋" w:hAnsi="仿宋" w:eastAsia="仿宋" w:cs="仿宋"/>
                <w:b/>
                <w:color w:val="auto"/>
                <w:sz w:val="24"/>
                <w:highlight w:val="none"/>
              </w:rPr>
              <w:t>，否则响应文件按无效响应处理，无要求的不需要提交</w:t>
            </w:r>
            <w:r>
              <w:rPr>
                <w:rFonts w:hint="eastAsia" w:ascii="仿宋" w:hAnsi="仿宋" w:eastAsia="仿宋" w:cs="仿宋"/>
                <w:color w:val="auto"/>
                <w:sz w:val="24"/>
                <w:highlight w:val="none"/>
              </w:rPr>
              <w:t>）</w:t>
            </w:r>
          </w:p>
          <w:p w14:paraId="55A2E38B">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6、商务要求偏离表（格式后附）；（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450F61CE">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7、实施方案、售后服务方案（格式自拟）；</w:t>
            </w:r>
          </w:p>
          <w:p w14:paraId="26668247">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8、技术要求偏离表（格式后附）；（</w:t>
            </w:r>
            <w:r>
              <w:rPr>
                <w:rFonts w:hint="eastAsia" w:ascii="仿宋" w:hAnsi="仿宋" w:eastAsia="仿宋" w:cs="仿宋"/>
                <w:b/>
                <w:color w:val="auto"/>
                <w:sz w:val="24"/>
                <w:highlight w:val="none"/>
              </w:rPr>
              <w:t>必须提供，否则响应文件按无效响应处理</w:t>
            </w:r>
            <w:r>
              <w:rPr>
                <w:rFonts w:hint="eastAsia" w:ascii="仿宋" w:hAnsi="仿宋" w:eastAsia="仿宋" w:cs="仿宋"/>
                <w:color w:val="auto"/>
                <w:sz w:val="24"/>
                <w:highlight w:val="none"/>
              </w:rPr>
              <w:t>）</w:t>
            </w:r>
          </w:p>
          <w:p w14:paraId="26E72A6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9、项目实施人员一览表（格式自拟）； </w:t>
            </w:r>
          </w:p>
          <w:p w14:paraId="09831304">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10、对应采购需求的技术要求、商务要求提供的其他文件资料（格式自拟）；</w:t>
            </w:r>
          </w:p>
          <w:p w14:paraId="5EDF8E9C">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11、供应商认为需要提供的其他有关资料。</w:t>
            </w:r>
          </w:p>
          <w:p w14:paraId="78D79B68">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注：以上标明“必须提供”的材料属于复印件的，必须加盖供应商公章，否则响应文件按无效响应处理。</w:t>
            </w:r>
          </w:p>
        </w:tc>
      </w:tr>
      <w:tr w14:paraId="4A407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0CA537">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627" w:type="dxa"/>
            <w:vAlign w:val="center"/>
          </w:tcPr>
          <w:p w14:paraId="457723D0">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磋商报价是履行合同的最终价格，即满足全部采购需求所应提供的服务及货物的价格；包括竞标服务及货物的成本、运输（含保险）、装卸、技术服务、培训、税费等所有费用。</w:t>
            </w:r>
            <w:r>
              <w:rPr>
                <w:rFonts w:hint="eastAsia" w:ascii="仿宋" w:hAnsi="仿宋" w:eastAsia="仿宋" w:cs="仿宋"/>
                <w:b/>
                <w:color w:val="auto"/>
                <w:sz w:val="24"/>
                <w:highlight w:val="none"/>
              </w:rPr>
              <w:t>（采购需求另有约定的，从其约定。）</w:t>
            </w:r>
          </w:p>
        </w:tc>
      </w:tr>
      <w:tr w14:paraId="3E0B3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DDB65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627" w:type="dxa"/>
            <w:vAlign w:val="center"/>
          </w:tcPr>
          <w:p w14:paraId="1FDC6203">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磋商有效期：首次响应文件提交截止之日起60天内。</w:t>
            </w:r>
          </w:p>
        </w:tc>
      </w:tr>
      <w:tr w14:paraId="5466F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FA773D">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627" w:type="dxa"/>
            <w:vAlign w:val="center"/>
          </w:tcPr>
          <w:p w14:paraId="47717587">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本项目不收取磋商保证金。</w:t>
            </w:r>
          </w:p>
          <w:p w14:paraId="5C6DD2CF">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本项目收取磋商保证金，具体金额见竞争性磋商公告：</w:t>
            </w:r>
          </w:p>
          <w:p w14:paraId="13BF68A5">
            <w:pPr>
              <w:snapToGrid w:val="0"/>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磋商保证金的交纳方式：银行转账、支票、汇票、本票或者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052A6E0B">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相关要求：</w:t>
            </w:r>
          </w:p>
          <w:p w14:paraId="75634E0E">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仿宋" w:hAnsi="仿宋" w:eastAsia="仿宋" w:cs="仿宋"/>
                <w:b/>
                <w:color w:val="auto"/>
                <w:sz w:val="24"/>
                <w:highlight w:val="none"/>
              </w:rPr>
              <w:t>否则响应文件按无效响应处理</w:t>
            </w:r>
            <w:r>
              <w:rPr>
                <w:rFonts w:hint="eastAsia" w:ascii="仿宋" w:hAnsi="仿宋" w:eastAsia="仿宋" w:cs="仿宋"/>
                <w:color w:val="auto"/>
                <w:sz w:val="24"/>
                <w:highlight w:val="none"/>
              </w:rPr>
              <w:t>。</w:t>
            </w:r>
          </w:p>
          <w:p w14:paraId="6A6EC630">
            <w:pPr>
              <w:snapToGrid w:val="0"/>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仿宋" w:hAnsi="仿宋" w:eastAsia="仿宋" w:cs="仿宋"/>
                <w:b/>
                <w:color w:val="auto"/>
                <w:sz w:val="24"/>
                <w:highlight w:val="none"/>
              </w:rPr>
              <w:t>否则响应文件按无效响应处理</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供应商必须在首次响应文件提交截止时间前将支票、汇票、本票或者金融、担保机构出具的保函原件提交给采购代理机构，由采购代理机构向供应商出具回执，并妥善保管。</w:t>
            </w:r>
          </w:p>
          <w:p w14:paraId="5E63605A">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29ABF035">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 响应文件提交截止时间后提交的，或者未足额交纳的，或者保函额度不足的，视为无效磋商保证金。</w:t>
            </w:r>
          </w:p>
          <w:p w14:paraId="76D53DBC">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2.供应商采用现钞方式或者从个人账户（自然人竞标除外）转出的磋商保证金，视为无效磋商保证金。</w:t>
            </w:r>
          </w:p>
          <w:p w14:paraId="32DFB694">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3.支票、汇票或者本票出现无效或者背书情形的，视为无效磋商保证金。</w:t>
            </w:r>
          </w:p>
          <w:p w14:paraId="3D1CA1F4">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4.保函有效期低于磋商有效期的，视为无效磋商保证金。</w:t>
            </w:r>
          </w:p>
          <w:p w14:paraId="5B442669">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5.磋商保证金采用金融、担保机构出具的保函为有条件保函的，视为无效磋商保证金。</w:t>
            </w:r>
          </w:p>
        </w:tc>
      </w:tr>
      <w:tr w14:paraId="59A0A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5642CA14">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18.2</w:t>
            </w:r>
          </w:p>
        </w:tc>
        <w:tc>
          <w:tcPr>
            <w:tcW w:w="8627" w:type="dxa"/>
            <w:vAlign w:val="center"/>
          </w:tcPr>
          <w:p w14:paraId="19A9A7F3">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响应文件应按资格证明文件、报价商务技术文件分别编制，</w:t>
            </w:r>
            <w:r>
              <w:rPr>
                <w:rFonts w:hint="eastAsia" w:ascii="仿宋" w:hAnsi="仿宋" w:eastAsia="仿宋" w:cs="仿宋"/>
                <w:color w:val="auto"/>
                <w:sz w:val="24"/>
                <w:highlight w:val="none"/>
                <w:lang w:bidi="ar"/>
              </w:rPr>
              <w:t>并按“政采云”平台的要求编制、加密、上传。</w:t>
            </w:r>
          </w:p>
        </w:tc>
      </w:tr>
      <w:tr w14:paraId="261D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2C450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20.1</w:t>
            </w:r>
          </w:p>
        </w:tc>
        <w:tc>
          <w:tcPr>
            <w:tcW w:w="8627" w:type="dxa"/>
            <w:vAlign w:val="center"/>
          </w:tcPr>
          <w:p w14:paraId="4F0A1472">
            <w:pPr>
              <w:spacing w:line="440" w:lineRule="exact"/>
              <w:contextualSpacing/>
              <w:rPr>
                <w:rFonts w:ascii="仿宋" w:hAnsi="仿宋" w:eastAsia="仿宋" w:cs="仿宋"/>
                <w:color w:val="auto"/>
                <w:sz w:val="24"/>
                <w:highlight w:val="none"/>
              </w:rPr>
            </w:pPr>
            <w:r>
              <w:rPr>
                <w:rFonts w:hint="eastAsia" w:ascii="仿宋" w:hAnsi="仿宋" w:eastAsia="仿宋" w:cs="仿宋"/>
                <w:color w:val="auto"/>
                <w:sz w:val="24"/>
                <w:highlight w:val="none"/>
              </w:rPr>
              <w:t>首次响应文件提交截止时间：详见竞争性磋商公告。</w:t>
            </w:r>
          </w:p>
          <w:p w14:paraId="46430FB5">
            <w:pPr>
              <w:spacing w:line="440" w:lineRule="exact"/>
              <w:contextualSpacing/>
              <w:rPr>
                <w:rFonts w:ascii="仿宋" w:hAnsi="仿宋" w:eastAsia="仿宋" w:cs="仿宋"/>
                <w:color w:val="auto"/>
                <w:sz w:val="24"/>
                <w:highlight w:val="none"/>
              </w:rPr>
            </w:pPr>
            <w:r>
              <w:rPr>
                <w:rFonts w:hint="eastAsia" w:ascii="仿宋" w:hAnsi="仿宋" w:eastAsia="仿宋" w:cs="仿宋"/>
                <w:color w:val="auto"/>
                <w:sz w:val="24"/>
                <w:highlight w:val="none"/>
              </w:rPr>
              <w:t>首次响应文件提交地点：详见竞争性磋商公告。</w:t>
            </w:r>
          </w:p>
        </w:tc>
      </w:tr>
      <w:tr w14:paraId="5C2D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F5D8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627" w:type="dxa"/>
            <w:vAlign w:val="center"/>
          </w:tcPr>
          <w:p w14:paraId="0DE21A35">
            <w:pPr>
              <w:snapToGrid w:val="0"/>
              <w:spacing w:line="44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磋商小组的人数：3人。</w:t>
            </w:r>
          </w:p>
        </w:tc>
      </w:tr>
      <w:tr w14:paraId="4C79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DAA06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25.2</w:t>
            </w:r>
          </w:p>
        </w:tc>
        <w:tc>
          <w:tcPr>
            <w:tcW w:w="8627" w:type="dxa"/>
            <w:vAlign w:val="center"/>
          </w:tcPr>
          <w:p w14:paraId="59352276">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采购代理机构将依托电子交易平台发起开始解密指令，</w:t>
            </w:r>
            <w:r>
              <w:rPr>
                <w:rFonts w:hint="eastAsia" w:ascii="仿宋" w:hAnsi="仿宋" w:eastAsia="仿宋" w:cs="仿宋"/>
                <w:b/>
                <w:color w:val="auto"/>
                <w:sz w:val="24"/>
                <w:highlight w:val="none"/>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b/>
                <w:bCs/>
                <w:color w:val="auto"/>
                <w:sz w:val="24"/>
                <w:highlight w:val="none"/>
              </w:rPr>
              <w:t>响应文件未按时解密的，</w:t>
            </w:r>
            <w:r>
              <w:rPr>
                <w:rFonts w:hint="eastAsia" w:ascii="仿宋" w:hAnsi="仿宋" w:eastAsia="仿宋" w:cs="仿宋"/>
                <w:b/>
                <w:color w:val="auto"/>
                <w:sz w:val="24"/>
                <w:highlight w:val="none"/>
              </w:rPr>
              <w:t>视为响应</w:t>
            </w:r>
            <w:r>
              <w:rPr>
                <w:rFonts w:hint="eastAsia" w:ascii="仿宋" w:hAnsi="仿宋" w:eastAsia="仿宋" w:cs="仿宋"/>
                <w:b/>
                <w:bCs/>
                <w:color w:val="auto"/>
                <w:sz w:val="24"/>
                <w:highlight w:val="none"/>
              </w:rPr>
              <w:t>文件无效。</w:t>
            </w:r>
          </w:p>
        </w:tc>
      </w:tr>
      <w:tr w14:paraId="02EFC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291EC69">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8627" w:type="dxa"/>
            <w:vAlign w:val="center"/>
          </w:tcPr>
          <w:p w14:paraId="67A8CA1E">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▲负偏离要求</w:t>
            </w:r>
          </w:p>
          <w:p w14:paraId="524C21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商务要求评审中非实质性允许负偏离的条款数为</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项（按分标计算）。</w:t>
            </w:r>
          </w:p>
          <w:p w14:paraId="683FD0F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技术要求评审中非实质性允许负偏离的条款数为</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项（按分标计算）。</w:t>
            </w:r>
          </w:p>
        </w:tc>
      </w:tr>
      <w:tr w14:paraId="1C5A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992" w:type="dxa"/>
            <w:vMerge w:val="continue"/>
            <w:vAlign w:val="center"/>
          </w:tcPr>
          <w:p w14:paraId="1BF60820">
            <w:pPr>
              <w:spacing w:line="440" w:lineRule="exact"/>
              <w:jc w:val="center"/>
              <w:rPr>
                <w:rFonts w:ascii="仿宋" w:hAnsi="仿宋" w:eastAsia="仿宋" w:cs="仿宋"/>
                <w:color w:val="auto"/>
                <w:sz w:val="24"/>
                <w:highlight w:val="none"/>
              </w:rPr>
            </w:pPr>
          </w:p>
        </w:tc>
        <w:tc>
          <w:tcPr>
            <w:tcW w:w="8627" w:type="dxa"/>
            <w:vAlign w:val="center"/>
          </w:tcPr>
          <w:p w14:paraId="0E382BA1">
            <w:pPr>
              <w:pStyle w:val="10"/>
              <w:spacing w:line="44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磋商的顺序：按“政采云”系统的编号顺序。</w:t>
            </w:r>
          </w:p>
          <w:p w14:paraId="0E606775">
            <w:pPr>
              <w:pStyle w:val="10"/>
              <w:spacing w:line="440" w:lineRule="exact"/>
              <w:jc w:val="both"/>
              <w:rPr>
                <w:rFonts w:ascii="仿宋" w:hAnsi="仿宋" w:eastAsia="仿宋" w:cs="仿宋"/>
                <w:b/>
                <w:color w:val="auto"/>
                <w:sz w:val="24"/>
                <w:highlight w:val="none"/>
              </w:rPr>
            </w:pPr>
            <w:r>
              <w:rPr>
                <w:rFonts w:hint="eastAsia" w:ascii="仿宋" w:hAnsi="仿宋" w:eastAsia="仿宋" w:cs="仿宋"/>
                <w:b/>
                <w:color w:val="auto"/>
                <w:sz w:val="24"/>
                <w:highlight w:val="none"/>
              </w:rPr>
              <w:t>符合磋商资格的供应商必须在接到磋商通知后规定时间内参加磋商，未在规定时间内参加磋商的视同放弃参加磋商权利，其响应文件按无效响应处理。</w:t>
            </w:r>
          </w:p>
          <w:p w14:paraId="631A5568">
            <w:pPr>
              <w:pStyle w:val="10"/>
              <w:spacing w:line="440" w:lineRule="exact"/>
              <w:jc w:val="both"/>
              <w:rPr>
                <w:rFonts w:ascii="仿宋" w:hAnsi="仿宋" w:eastAsia="仿宋" w:cs="仿宋"/>
                <w:b/>
                <w:color w:val="auto"/>
                <w:sz w:val="24"/>
                <w:highlight w:val="none"/>
              </w:rPr>
            </w:pPr>
            <w:r>
              <w:rPr>
                <w:rFonts w:hint="eastAsia" w:ascii="仿宋" w:hAnsi="仿宋" w:eastAsia="仿宋" w:cs="仿宋"/>
                <w:b/>
                <w:color w:val="auto"/>
                <w:sz w:val="24"/>
                <w:highlight w:val="none"/>
              </w:rPr>
              <w:t>注：参与磋商前，供应商法定代表人或者委托代理人向磋商小组出示本人有效证件原件[有效证件可以是身份证（含临时身份证明）或者护照的其中一项]。</w:t>
            </w:r>
          </w:p>
          <w:p w14:paraId="4535F1AB">
            <w:pPr>
              <w:pStyle w:val="10"/>
              <w:spacing w:line="440" w:lineRule="exact"/>
              <w:jc w:val="both"/>
              <w:rPr>
                <w:rFonts w:ascii="仿宋" w:hAnsi="仿宋" w:eastAsia="仿宋" w:cs="仿宋"/>
                <w:b/>
                <w:color w:val="auto"/>
                <w:sz w:val="24"/>
                <w:highlight w:val="none"/>
              </w:rPr>
            </w:pPr>
            <w:r>
              <w:rPr>
                <w:rFonts w:hint="eastAsia" w:ascii="仿宋" w:hAnsi="仿宋" w:eastAsia="仿宋" w:cs="仿宋"/>
                <w:b/>
                <w:color w:val="auto"/>
                <w:sz w:val="24"/>
                <w:highlight w:val="none"/>
              </w:rPr>
              <w:t>▲最后报价：供应商须自行提前准备好最后报价，最后报价以附件电子文件形式提交最后报价，（最后报价格式后附，必须提供并加盖公章，否则响应文件按无效响应处理）。</w:t>
            </w:r>
          </w:p>
        </w:tc>
      </w:tr>
      <w:tr w14:paraId="7F7F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E2B3A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28.1</w:t>
            </w:r>
          </w:p>
        </w:tc>
        <w:tc>
          <w:tcPr>
            <w:tcW w:w="8627" w:type="dxa"/>
            <w:vAlign w:val="center"/>
          </w:tcPr>
          <w:p w14:paraId="38269F52">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本项目不收取履约保证金。</w:t>
            </w:r>
          </w:p>
          <w:p w14:paraId="35BCD8BC">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□本项目收取履约保证金，具体规定如下：</w:t>
            </w:r>
          </w:p>
          <w:p w14:paraId="5A03C5AB">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履约保证金金额：按成交金额的</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（注：履约保证金不超过政府采购合同金额的5%，对中小微企业按中标金额的</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收取）。</w:t>
            </w:r>
          </w:p>
          <w:p w14:paraId="1AF5AD9E">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履约保证金递交时间及方式：在合同签订前，成交人以银行转账等非现金方式向采购人递交。</w:t>
            </w:r>
          </w:p>
          <w:p w14:paraId="78020D99">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履约保证金退付方式、时间及条件： 自验收合格起满一年后，成交人向采购人提出办理退还履约保证金，采购人应在收到申请相关材料（由成交人向履约保证金收取单位提供《广西壮族自治区政府采购项目合同验收书》（详见桂财采〔2015〕22号）后15个工作日内完成无息退付，如有扣除履约保证金的情形，只退履约保证金扣除后的余款（无息）。</w:t>
            </w:r>
          </w:p>
          <w:p w14:paraId="5A393799">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履约保证金指定账户：</w:t>
            </w:r>
          </w:p>
          <w:p w14:paraId="056EE0B6">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color w:val="auto"/>
                <w:sz w:val="24"/>
                <w:highlight w:val="none"/>
                <w:u w:val="single"/>
              </w:rPr>
              <w:t>广西水产畜牧学校</w:t>
            </w:r>
            <w:r>
              <w:rPr>
                <w:rFonts w:hint="eastAsia" w:ascii="仿宋" w:hAnsi="仿宋" w:eastAsia="仿宋" w:cs="仿宋"/>
                <w:color w:val="auto"/>
                <w:sz w:val="24"/>
                <w:highlight w:val="none"/>
              </w:rPr>
              <w:t xml:space="preserve">                  </w:t>
            </w:r>
          </w:p>
          <w:p w14:paraId="6496DFFD">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广西北部湾银行南宁市青山支行</w:t>
            </w:r>
            <w:r>
              <w:rPr>
                <w:rFonts w:hint="eastAsia" w:ascii="仿宋" w:hAnsi="仿宋" w:eastAsia="仿宋" w:cs="仿宋"/>
                <w:color w:val="auto"/>
                <w:sz w:val="24"/>
                <w:highlight w:val="none"/>
              </w:rPr>
              <w:t xml:space="preserve">             </w:t>
            </w:r>
          </w:p>
          <w:p w14:paraId="6EDBB48E">
            <w:pPr>
              <w:autoSpaceDE w:val="0"/>
              <w:autoSpaceDN w:val="0"/>
              <w:snapToGrid w:val="0"/>
              <w:spacing w:line="360"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u w:val="single"/>
              </w:rPr>
              <w:t xml:space="preserve"> 805210857788888</w:t>
            </w:r>
            <w:r>
              <w:rPr>
                <w:rFonts w:hint="eastAsia" w:ascii="仿宋" w:hAnsi="仿宋" w:eastAsia="仿宋" w:cs="仿宋"/>
                <w:color w:val="auto"/>
                <w:sz w:val="24"/>
                <w:highlight w:val="none"/>
              </w:rPr>
              <w:t xml:space="preserve">                </w:t>
            </w:r>
          </w:p>
          <w:p w14:paraId="7B60F6DB">
            <w:pPr>
              <w:spacing w:line="440" w:lineRule="exact"/>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2414D557">
            <w:pPr>
              <w:spacing w:line="440" w:lineRule="exact"/>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609B75DC">
            <w:pPr>
              <w:spacing w:line="440" w:lineRule="exact"/>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141F00F9">
            <w:pPr>
              <w:spacing w:line="440" w:lineRule="exact"/>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3、采用金融、担保机构出具的保函的，必须为无条件保函，否则不予签订合同。</w:t>
            </w:r>
          </w:p>
          <w:p w14:paraId="0A98B7F4">
            <w:pPr>
              <w:snapToGrid w:val="0"/>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4、供应商为联合体的，由联合体任意一方按规定提交的履约保证金，视为有效履约保证金。</w:t>
            </w:r>
          </w:p>
        </w:tc>
      </w:tr>
      <w:tr w14:paraId="4FA2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CDACE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29.1</w:t>
            </w:r>
          </w:p>
        </w:tc>
        <w:tc>
          <w:tcPr>
            <w:tcW w:w="8627" w:type="dxa"/>
            <w:vAlign w:val="center"/>
          </w:tcPr>
          <w:p w14:paraId="34C071CA">
            <w:pPr>
              <w:autoSpaceDE w:val="0"/>
              <w:autoSpaceDN w:val="0"/>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签订合同携带的证明材料： </w:t>
            </w:r>
          </w:p>
          <w:p w14:paraId="7CD8BF29">
            <w:pPr>
              <w:autoSpaceDE w:val="0"/>
              <w:autoSpaceDN w:val="0"/>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1、委托代理人负责签订合同的，须携带授权委托书及委托代理人身份证原件等其他资格证件。</w:t>
            </w:r>
          </w:p>
          <w:p w14:paraId="72E84E76">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2、法定代表人负责签订合同的，须携带法定代表人身份证明原件及身份证原件等其他证明材料。</w:t>
            </w:r>
          </w:p>
        </w:tc>
      </w:tr>
      <w:tr w14:paraId="706C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9F048A">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31.2</w:t>
            </w:r>
          </w:p>
        </w:tc>
        <w:tc>
          <w:tcPr>
            <w:tcW w:w="8627" w:type="dxa"/>
            <w:vAlign w:val="center"/>
          </w:tcPr>
          <w:p w14:paraId="3221ED66">
            <w:pPr>
              <w:pStyle w:val="16"/>
              <w:snapToGrid w:val="0"/>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接收质疑函方式：以纸质书面形式。</w:t>
            </w:r>
          </w:p>
          <w:p w14:paraId="39552B36">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质疑联系部门及联系方式：广西科文招标有限公司，质疑联系人：梁工，联系电话：0771-2023650，通讯地址：广西南宁市民族大道141号中鼎万象东方D区五层</w:t>
            </w:r>
          </w:p>
          <w:p w14:paraId="164F90DD">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现场提交质疑办理业务时间：工作日，上午8:00-12:00；下午15:00-18:00（北京时间）</w:t>
            </w:r>
          </w:p>
        </w:tc>
      </w:tr>
      <w:tr w14:paraId="0ED5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8" w:hRule="atLeast"/>
          <w:jc w:val="center"/>
        </w:trPr>
        <w:tc>
          <w:tcPr>
            <w:tcW w:w="992" w:type="dxa"/>
            <w:vAlign w:val="center"/>
          </w:tcPr>
          <w:p w14:paraId="0896DF0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627" w:type="dxa"/>
            <w:vAlign w:val="center"/>
          </w:tcPr>
          <w:p w14:paraId="42ECDE89">
            <w:pPr>
              <w:spacing w:line="38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代理服务费：</w:t>
            </w:r>
            <w:r>
              <w:rPr>
                <w:rFonts w:hint="eastAsia" w:ascii="仿宋" w:hAnsi="仿宋" w:eastAsia="仿宋" w:cs="仿宋"/>
                <w:color w:val="auto"/>
                <w:sz w:val="24"/>
                <w:highlight w:val="none"/>
              </w:rPr>
              <w:t>本项目的招标代理服务费参照原《招标代理服务收费管理暂行办法》（计价格【2002】1980号）和《国家发展改革委关于降低部分建设项目收费标准规范收费行为等有关问题的通知》（发改价格[2011]534号）的规定标准（服务类）向各分标成交供应商收取，成交供应商应向采购代理机构一次付清代理服务费。代理服务费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236"/>
              <w:gridCol w:w="1284"/>
              <w:gridCol w:w="1416"/>
            </w:tblGrid>
            <w:tr w14:paraId="53D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tcPr>
                <w:p w14:paraId="1EF41648">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346835" cy="449580"/>
                            <wp:effectExtent l="1270" t="4445" r="8255" b="18415"/>
                            <wp:wrapNone/>
                            <wp:docPr id="2" name="直接连接符 2"/>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0.5pt;height:35.4pt;width:106.05pt;z-index:251660288;mso-width-relative:page;mso-height-relative:page;" filled="f" stroked="t" coordsize="21600,21600" o:gfxdata="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vu7dcAAAAJAQAADwAAAAAAAAABACAAAAAiAAAAZHJzL2Rvd25yZXYueG1sUEsB&#10;AhQAFAAAAAgAh07iQLfr2kP2AQAA6w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w:t xml:space="preserve">          费率</w:t>
                  </w:r>
                </w:p>
                <w:p w14:paraId="1741590F">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中标（成交）金额</w:t>
                  </w:r>
                </w:p>
              </w:tc>
              <w:tc>
                <w:tcPr>
                  <w:tcW w:w="1236" w:type="dxa"/>
                  <w:tcBorders>
                    <w:top w:val="single" w:color="auto" w:sz="4" w:space="0"/>
                    <w:left w:val="single" w:color="auto" w:sz="4" w:space="0"/>
                    <w:bottom w:val="single" w:color="auto" w:sz="4" w:space="0"/>
                    <w:right w:val="single" w:color="auto" w:sz="4" w:space="0"/>
                  </w:tcBorders>
                  <w:vAlign w:val="center"/>
                </w:tcPr>
                <w:p w14:paraId="1FB8C94B">
                  <w:pPr>
                    <w:spacing w:line="380" w:lineRule="exact"/>
                    <w:ind w:firstLine="120" w:firstLineChars="5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货物类</w:t>
                  </w:r>
                </w:p>
              </w:tc>
              <w:tc>
                <w:tcPr>
                  <w:tcW w:w="1284" w:type="dxa"/>
                  <w:tcBorders>
                    <w:top w:val="single" w:color="auto" w:sz="4" w:space="0"/>
                    <w:left w:val="single" w:color="auto" w:sz="4" w:space="0"/>
                    <w:bottom w:val="single" w:color="auto" w:sz="4" w:space="0"/>
                    <w:right w:val="single" w:color="auto" w:sz="4" w:space="0"/>
                  </w:tcBorders>
                  <w:vAlign w:val="center"/>
                </w:tcPr>
                <w:p w14:paraId="07D67E5D">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c>
                <w:tcPr>
                  <w:tcW w:w="1416" w:type="dxa"/>
                  <w:tcBorders>
                    <w:top w:val="single" w:color="auto" w:sz="4" w:space="0"/>
                    <w:left w:val="single" w:color="auto" w:sz="4" w:space="0"/>
                    <w:bottom w:val="single" w:color="auto" w:sz="4" w:space="0"/>
                    <w:right w:val="single" w:color="auto" w:sz="4" w:space="0"/>
                  </w:tcBorders>
                  <w:vAlign w:val="center"/>
                </w:tcPr>
                <w:p w14:paraId="5702A201">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工程类</w:t>
                  </w:r>
                </w:p>
              </w:tc>
            </w:tr>
            <w:tr w14:paraId="1CEF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38EBDFAE">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100万元以下</w:t>
                  </w:r>
                </w:p>
              </w:tc>
              <w:tc>
                <w:tcPr>
                  <w:tcW w:w="1236" w:type="dxa"/>
                  <w:tcBorders>
                    <w:top w:val="single" w:color="auto" w:sz="4" w:space="0"/>
                    <w:left w:val="single" w:color="auto" w:sz="4" w:space="0"/>
                    <w:bottom w:val="single" w:color="auto" w:sz="4" w:space="0"/>
                    <w:right w:val="single" w:color="auto" w:sz="4" w:space="0"/>
                  </w:tcBorders>
                  <w:vAlign w:val="center"/>
                </w:tcPr>
                <w:p w14:paraId="5F5266E4">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284" w:type="dxa"/>
                  <w:tcBorders>
                    <w:top w:val="single" w:color="auto" w:sz="4" w:space="0"/>
                    <w:left w:val="single" w:color="auto" w:sz="4" w:space="0"/>
                    <w:bottom w:val="single" w:color="auto" w:sz="4" w:space="0"/>
                    <w:right w:val="single" w:color="auto" w:sz="4" w:space="0"/>
                  </w:tcBorders>
                  <w:vAlign w:val="center"/>
                </w:tcPr>
                <w:p w14:paraId="2D171606">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c>
                <w:tcPr>
                  <w:tcW w:w="1416" w:type="dxa"/>
                  <w:tcBorders>
                    <w:top w:val="single" w:color="auto" w:sz="4" w:space="0"/>
                    <w:left w:val="single" w:color="auto" w:sz="4" w:space="0"/>
                    <w:bottom w:val="single" w:color="auto" w:sz="4" w:space="0"/>
                    <w:right w:val="single" w:color="auto" w:sz="4" w:space="0"/>
                  </w:tcBorders>
                  <w:vAlign w:val="center"/>
                </w:tcPr>
                <w:p w14:paraId="2DB262A7">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r>
            <w:tr w14:paraId="3509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355EFC03">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100～500万元</w:t>
                  </w:r>
                </w:p>
              </w:tc>
              <w:tc>
                <w:tcPr>
                  <w:tcW w:w="1236" w:type="dxa"/>
                  <w:tcBorders>
                    <w:top w:val="single" w:color="auto" w:sz="4" w:space="0"/>
                    <w:left w:val="single" w:color="auto" w:sz="4" w:space="0"/>
                    <w:bottom w:val="single" w:color="auto" w:sz="4" w:space="0"/>
                    <w:right w:val="single" w:color="auto" w:sz="4" w:space="0"/>
                  </w:tcBorders>
                  <w:vAlign w:val="center"/>
                </w:tcPr>
                <w:p w14:paraId="631412A4">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1.1%</w:t>
                  </w:r>
                </w:p>
              </w:tc>
              <w:tc>
                <w:tcPr>
                  <w:tcW w:w="1284" w:type="dxa"/>
                  <w:tcBorders>
                    <w:top w:val="single" w:color="auto" w:sz="4" w:space="0"/>
                    <w:left w:val="single" w:color="auto" w:sz="4" w:space="0"/>
                    <w:bottom w:val="single" w:color="auto" w:sz="4" w:space="0"/>
                    <w:right w:val="single" w:color="auto" w:sz="4" w:space="0"/>
                  </w:tcBorders>
                  <w:vAlign w:val="center"/>
                </w:tcPr>
                <w:p w14:paraId="56B6C37E">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416" w:type="dxa"/>
                  <w:tcBorders>
                    <w:top w:val="single" w:color="auto" w:sz="4" w:space="0"/>
                    <w:left w:val="single" w:color="auto" w:sz="4" w:space="0"/>
                    <w:bottom w:val="single" w:color="auto" w:sz="4" w:space="0"/>
                    <w:right w:val="single" w:color="auto" w:sz="4" w:space="0"/>
                  </w:tcBorders>
                  <w:vAlign w:val="center"/>
                </w:tcPr>
                <w:p w14:paraId="1AAA80E5">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0.7%</w:t>
                  </w:r>
                </w:p>
              </w:tc>
            </w:tr>
            <w:tr w14:paraId="2834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24854B45">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500～1000万元</w:t>
                  </w:r>
                </w:p>
              </w:tc>
              <w:tc>
                <w:tcPr>
                  <w:tcW w:w="1236" w:type="dxa"/>
                  <w:tcBorders>
                    <w:top w:val="single" w:color="auto" w:sz="4" w:space="0"/>
                    <w:left w:val="single" w:color="auto" w:sz="4" w:space="0"/>
                    <w:bottom w:val="single" w:color="auto" w:sz="4" w:space="0"/>
                    <w:right w:val="single" w:color="auto" w:sz="4" w:space="0"/>
                  </w:tcBorders>
                  <w:vAlign w:val="center"/>
                </w:tcPr>
                <w:p w14:paraId="09D2E194">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0.8%</w:t>
                  </w:r>
                </w:p>
              </w:tc>
              <w:tc>
                <w:tcPr>
                  <w:tcW w:w="1284" w:type="dxa"/>
                  <w:tcBorders>
                    <w:top w:val="single" w:color="auto" w:sz="4" w:space="0"/>
                    <w:left w:val="single" w:color="auto" w:sz="4" w:space="0"/>
                    <w:bottom w:val="single" w:color="auto" w:sz="4" w:space="0"/>
                    <w:right w:val="single" w:color="auto" w:sz="4" w:space="0"/>
                  </w:tcBorders>
                  <w:vAlign w:val="center"/>
                </w:tcPr>
                <w:p w14:paraId="73162DB8">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0.45%</w:t>
                  </w:r>
                </w:p>
              </w:tc>
              <w:tc>
                <w:tcPr>
                  <w:tcW w:w="1416" w:type="dxa"/>
                  <w:tcBorders>
                    <w:top w:val="single" w:color="auto" w:sz="4" w:space="0"/>
                    <w:left w:val="single" w:color="auto" w:sz="4" w:space="0"/>
                    <w:bottom w:val="single" w:color="auto" w:sz="4" w:space="0"/>
                    <w:right w:val="single" w:color="auto" w:sz="4" w:space="0"/>
                  </w:tcBorders>
                  <w:vAlign w:val="center"/>
                </w:tcPr>
                <w:p w14:paraId="53F102FA">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0.55%</w:t>
                  </w:r>
                </w:p>
              </w:tc>
            </w:tr>
            <w:tr w14:paraId="22F9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2C7177F6">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1000～5000万元</w:t>
                  </w:r>
                </w:p>
              </w:tc>
              <w:tc>
                <w:tcPr>
                  <w:tcW w:w="1236" w:type="dxa"/>
                  <w:tcBorders>
                    <w:top w:val="single" w:color="auto" w:sz="4" w:space="0"/>
                    <w:left w:val="single" w:color="auto" w:sz="4" w:space="0"/>
                    <w:bottom w:val="single" w:color="auto" w:sz="4" w:space="0"/>
                    <w:right w:val="single" w:color="auto" w:sz="4" w:space="0"/>
                  </w:tcBorders>
                  <w:vAlign w:val="center"/>
                </w:tcPr>
                <w:p w14:paraId="3A588548">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0.5%</w:t>
                  </w:r>
                </w:p>
              </w:tc>
              <w:tc>
                <w:tcPr>
                  <w:tcW w:w="1284" w:type="dxa"/>
                  <w:tcBorders>
                    <w:top w:val="single" w:color="auto" w:sz="4" w:space="0"/>
                    <w:left w:val="single" w:color="auto" w:sz="4" w:space="0"/>
                    <w:bottom w:val="single" w:color="auto" w:sz="4" w:space="0"/>
                    <w:right w:val="single" w:color="auto" w:sz="4" w:space="0"/>
                  </w:tcBorders>
                  <w:vAlign w:val="center"/>
                </w:tcPr>
                <w:p w14:paraId="00B46E39">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0.25%</w:t>
                  </w:r>
                </w:p>
              </w:tc>
              <w:tc>
                <w:tcPr>
                  <w:tcW w:w="1416" w:type="dxa"/>
                  <w:tcBorders>
                    <w:top w:val="single" w:color="auto" w:sz="4" w:space="0"/>
                    <w:left w:val="single" w:color="auto" w:sz="4" w:space="0"/>
                    <w:bottom w:val="single" w:color="auto" w:sz="4" w:space="0"/>
                    <w:right w:val="single" w:color="auto" w:sz="4" w:space="0"/>
                  </w:tcBorders>
                  <w:vAlign w:val="center"/>
                </w:tcPr>
                <w:p w14:paraId="13B211E3">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0.35%</w:t>
                  </w:r>
                </w:p>
              </w:tc>
            </w:tr>
            <w:tr w14:paraId="55C1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275BD182">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5000万元～1亿元</w:t>
                  </w:r>
                </w:p>
              </w:tc>
              <w:tc>
                <w:tcPr>
                  <w:tcW w:w="1236" w:type="dxa"/>
                  <w:tcBorders>
                    <w:top w:val="single" w:color="auto" w:sz="4" w:space="0"/>
                    <w:left w:val="single" w:color="auto" w:sz="4" w:space="0"/>
                    <w:bottom w:val="single" w:color="auto" w:sz="4" w:space="0"/>
                    <w:right w:val="single" w:color="auto" w:sz="4" w:space="0"/>
                  </w:tcBorders>
                  <w:vAlign w:val="center"/>
                </w:tcPr>
                <w:p w14:paraId="7F700878">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0.25%</w:t>
                  </w:r>
                </w:p>
              </w:tc>
              <w:tc>
                <w:tcPr>
                  <w:tcW w:w="1284" w:type="dxa"/>
                  <w:tcBorders>
                    <w:top w:val="single" w:color="auto" w:sz="4" w:space="0"/>
                    <w:left w:val="single" w:color="auto" w:sz="4" w:space="0"/>
                    <w:bottom w:val="single" w:color="auto" w:sz="4" w:space="0"/>
                    <w:right w:val="single" w:color="auto" w:sz="4" w:space="0"/>
                  </w:tcBorders>
                  <w:vAlign w:val="center"/>
                </w:tcPr>
                <w:p w14:paraId="31D1950A">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0.1%</w:t>
                  </w:r>
                </w:p>
              </w:tc>
              <w:tc>
                <w:tcPr>
                  <w:tcW w:w="1416" w:type="dxa"/>
                  <w:tcBorders>
                    <w:top w:val="single" w:color="auto" w:sz="4" w:space="0"/>
                    <w:left w:val="single" w:color="auto" w:sz="4" w:space="0"/>
                    <w:bottom w:val="single" w:color="auto" w:sz="4" w:space="0"/>
                    <w:right w:val="single" w:color="auto" w:sz="4" w:space="0"/>
                  </w:tcBorders>
                  <w:vAlign w:val="center"/>
                </w:tcPr>
                <w:p w14:paraId="7ED9E57A">
                  <w:pPr>
                    <w:spacing w:line="38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0.2%</w:t>
                  </w:r>
                </w:p>
              </w:tc>
            </w:tr>
            <w:tr w14:paraId="6DE9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26465511">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1～5亿元</w:t>
                  </w:r>
                </w:p>
              </w:tc>
              <w:tc>
                <w:tcPr>
                  <w:tcW w:w="1236" w:type="dxa"/>
                  <w:tcBorders>
                    <w:top w:val="single" w:color="auto" w:sz="4" w:space="0"/>
                    <w:left w:val="single" w:color="auto" w:sz="4" w:space="0"/>
                    <w:bottom w:val="single" w:color="auto" w:sz="4" w:space="0"/>
                    <w:right w:val="single" w:color="auto" w:sz="4" w:space="0"/>
                  </w:tcBorders>
                  <w:vAlign w:val="center"/>
                </w:tcPr>
                <w:p w14:paraId="5F76EE4D">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284" w:type="dxa"/>
                  <w:tcBorders>
                    <w:top w:val="single" w:color="auto" w:sz="4" w:space="0"/>
                    <w:left w:val="single" w:color="auto" w:sz="4" w:space="0"/>
                    <w:bottom w:val="single" w:color="auto" w:sz="4" w:space="0"/>
                    <w:right w:val="single" w:color="auto" w:sz="4" w:space="0"/>
                  </w:tcBorders>
                  <w:vAlign w:val="center"/>
                </w:tcPr>
                <w:p w14:paraId="1E26BF73">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c>
                <w:tcPr>
                  <w:tcW w:w="1416" w:type="dxa"/>
                  <w:tcBorders>
                    <w:top w:val="single" w:color="auto" w:sz="4" w:space="0"/>
                    <w:left w:val="single" w:color="auto" w:sz="4" w:space="0"/>
                    <w:bottom w:val="single" w:color="auto" w:sz="4" w:space="0"/>
                    <w:right w:val="single" w:color="auto" w:sz="4" w:space="0"/>
                  </w:tcBorders>
                  <w:vAlign w:val="center"/>
                </w:tcPr>
                <w:p w14:paraId="0C377F57">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0.05%</w:t>
                  </w:r>
                </w:p>
              </w:tc>
            </w:tr>
            <w:tr w14:paraId="349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1E6EDD24">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5～10亿元</w:t>
                  </w:r>
                </w:p>
              </w:tc>
              <w:tc>
                <w:tcPr>
                  <w:tcW w:w="1236" w:type="dxa"/>
                  <w:tcBorders>
                    <w:top w:val="single" w:color="auto" w:sz="4" w:space="0"/>
                    <w:left w:val="single" w:color="auto" w:sz="4" w:space="0"/>
                    <w:bottom w:val="single" w:color="auto" w:sz="4" w:space="0"/>
                    <w:right w:val="single" w:color="auto" w:sz="4" w:space="0"/>
                  </w:tcBorders>
                  <w:vAlign w:val="center"/>
                </w:tcPr>
                <w:p w14:paraId="7911CD0D">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284" w:type="dxa"/>
                  <w:tcBorders>
                    <w:top w:val="single" w:color="auto" w:sz="4" w:space="0"/>
                    <w:left w:val="single" w:color="auto" w:sz="4" w:space="0"/>
                    <w:bottom w:val="single" w:color="auto" w:sz="4" w:space="0"/>
                    <w:right w:val="single" w:color="auto" w:sz="4" w:space="0"/>
                  </w:tcBorders>
                  <w:vAlign w:val="center"/>
                </w:tcPr>
                <w:p w14:paraId="1D59AD1A">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c>
                <w:tcPr>
                  <w:tcW w:w="1416" w:type="dxa"/>
                  <w:tcBorders>
                    <w:top w:val="single" w:color="auto" w:sz="4" w:space="0"/>
                    <w:left w:val="single" w:color="auto" w:sz="4" w:space="0"/>
                    <w:bottom w:val="single" w:color="auto" w:sz="4" w:space="0"/>
                    <w:right w:val="single" w:color="auto" w:sz="4" w:space="0"/>
                  </w:tcBorders>
                  <w:vAlign w:val="center"/>
                </w:tcPr>
                <w:p w14:paraId="521B4B79">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0.035%</w:t>
                  </w:r>
                </w:p>
              </w:tc>
            </w:tr>
            <w:tr w14:paraId="780C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6275CF08">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10～50亿元</w:t>
                  </w:r>
                </w:p>
              </w:tc>
              <w:tc>
                <w:tcPr>
                  <w:tcW w:w="1236" w:type="dxa"/>
                  <w:tcBorders>
                    <w:top w:val="single" w:color="auto" w:sz="4" w:space="0"/>
                    <w:left w:val="single" w:color="auto" w:sz="4" w:space="0"/>
                    <w:bottom w:val="single" w:color="auto" w:sz="4" w:space="0"/>
                    <w:right w:val="single" w:color="auto" w:sz="4" w:space="0"/>
                  </w:tcBorders>
                  <w:vAlign w:val="center"/>
                </w:tcPr>
                <w:p w14:paraId="3CFAC544">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284" w:type="dxa"/>
                  <w:tcBorders>
                    <w:top w:val="single" w:color="auto" w:sz="4" w:space="0"/>
                    <w:left w:val="single" w:color="auto" w:sz="4" w:space="0"/>
                    <w:bottom w:val="single" w:color="auto" w:sz="4" w:space="0"/>
                    <w:right w:val="single" w:color="auto" w:sz="4" w:space="0"/>
                  </w:tcBorders>
                  <w:vAlign w:val="center"/>
                </w:tcPr>
                <w:p w14:paraId="16F6080A">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c>
                <w:tcPr>
                  <w:tcW w:w="1416" w:type="dxa"/>
                  <w:tcBorders>
                    <w:top w:val="single" w:color="auto" w:sz="4" w:space="0"/>
                    <w:left w:val="single" w:color="auto" w:sz="4" w:space="0"/>
                    <w:bottom w:val="single" w:color="auto" w:sz="4" w:space="0"/>
                    <w:right w:val="single" w:color="auto" w:sz="4" w:space="0"/>
                  </w:tcBorders>
                  <w:vAlign w:val="center"/>
                </w:tcPr>
                <w:p w14:paraId="719FACF6">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0.008%</w:t>
                  </w:r>
                </w:p>
              </w:tc>
            </w:tr>
            <w:tr w14:paraId="20C7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1EC6CDBB">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50～100亿元</w:t>
                  </w:r>
                </w:p>
              </w:tc>
              <w:tc>
                <w:tcPr>
                  <w:tcW w:w="1236" w:type="dxa"/>
                  <w:tcBorders>
                    <w:top w:val="single" w:color="auto" w:sz="4" w:space="0"/>
                    <w:left w:val="single" w:color="auto" w:sz="4" w:space="0"/>
                    <w:bottom w:val="single" w:color="auto" w:sz="4" w:space="0"/>
                    <w:right w:val="single" w:color="auto" w:sz="4" w:space="0"/>
                  </w:tcBorders>
                  <w:vAlign w:val="center"/>
                </w:tcPr>
                <w:p w14:paraId="13A03153">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284" w:type="dxa"/>
                  <w:tcBorders>
                    <w:top w:val="single" w:color="auto" w:sz="4" w:space="0"/>
                    <w:left w:val="single" w:color="auto" w:sz="4" w:space="0"/>
                    <w:bottom w:val="single" w:color="auto" w:sz="4" w:space="0"/>
                    <w:right w:val="single" w:color="auto" w:sz="4" w:space="0"/>
                  </w:tcBorders>
                  <w:vAlign w:val="center"/>
                </w:tcPr>
                <w:p w14:paraId="4492A783">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c>
                <w:tcPr>
                  <w:tcW w:w="1416" w:type="dxa"/>
                  <w:tcBorders>
                    <w:top w:val="single" w:color="auto" w:sz="4" w:space="0"/>
                    <w:left w:val="single" w:color="auto" w:sz="4" w:space="0"/>
                    <w:bottom w:val="single" w:color="auto" w:sz="4" w:space="0"/>
                    <w:right w:val="single" w:color="auto" w:sz="4" w:space="0"/>
                  </w:tcBorders>
                  <w:vAlign w:val="center"/>
                </w:tcPr>
                <w:p w14:paraId="6B3A0A57">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0.006%</w:t>
                  </w:r>
                </w:p>
              </w:tc>
            </w:tr>
            <w:tr w14:paraId="3CB3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14:paraId="5F90E182">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100亿以上</w:t>
                  </w:r>
                </w:p>
              </w:tc>
              <w:tc>
                <w:tcPr>
                  <w:tcW w:w="1236" w:type="dxa"/>
                  <w:tcBorders>
                    <w:top w:val="single" w:color="auto" w:sz="4" w:space="0"/>
                    <w:left w:val="single" w:color="auto" w:sz="4" w:space="0"/>
                    <w:bottom w:val="single" w:color="auto" w:sz="4" w:space="0"/>
                    <w:right w:val="single" w:color="auto" w:sz="4" w:space="0"/>
                  </w:tcBorders>
                  <w:vAlign w:val="center"/>
                </w:tcPr>
                <w:p w14:paraId="18E06F1A">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284" w:type="dxa"/>
                  <w:tcBorders>
                    <w:top w:val="single" w:color="auto" w:sz="4" w:space="0"/>
                    <w:left w:val="single" w:color="auto" w:sz="4" w:space="0"/>
                    <w:bottom w:val="single" w:color="auto" w:sz="4" w:space="0"/>
                    <w:right w:val="single" w:color="auto" w:sz="4" w:space="0"/>
                  </w:tcBorders>
                  <w:vAlign w:val="center"/>
                </w:tcPr>
                <w:p w14:paraId="616394FC">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c>
                <w:tcPr>
                  <w:tcW w:w="1416" w:type="dxa"/>
                  <w:tcBorders>
                    <w:top w:val="single" w:color="auto" w:sz="4" w:space="0"/>
                    <w:left w:val="single" w:color="auto" w:sz="4" w:space="0"/>
                    <w:bottom w:val="single" w:color="auto" w:sz="4" w:space="0"/>
                    <w:right w:val="single" w:color="auto" w:sz="4" w:space="0"/>
                  </w:tcBorders>
                  <w:vAlign w:val="center"/>
                </w:tcPr>
                <w:p w14:paraId="4792952E">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0.004%</w:t>
                  </w:r>
                </w:p>
              </w:tc>
            </w:tr>
          </w:tbl>
          <w:p w14:paraId="194A66CE">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注：1、按本表费率计算的收费为招标代理服务全过程的收费基准价格，单独提供编制采购文件（有标底的含标底）服务的，可按规定标准的30%计收。</w:t>
            </w:r>
          </w:p>
          <w:p w14:paraId="37522261">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2、招标代理服务收费按差额定率累进法计算。例如：某工程招标代理业务中标金额为6000万元，计算招标代理服务收费额如下：</w:t>
            </w:r>
          </w:p>
          <w:p w14:paraId="278B3DBE">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100万元×1.0%=1万元</w:t>
            </w:r>
          </w:p>
          <w:p w14:paraId="5FAB6A52">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（500-100）万元×0.7%=2.8万元</w:t>
            </w:r>
          </w:p>
          <w:p w14:paraId="21BF5768">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(1000-500)万元×0.55%=2.75万元</w:t>
            </w:r>
          </w:p>
          <w:p w14:paraId="589E4182">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(5000-1000)万元×0.35%=14万元</w:t>
            </w:r>
          </w:p>
          <w:p w14:paraId="74519D75">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(6000-5000)万元×0.2%=2万元</w:t>
            </w:r>
          </w:p>
          <w:p w14:paraId="54AC0039">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合计收费=1+2.8+2.75+14+2=22.55 (万元)</w:t>
            </w:r>
          </w:p>
          <w:p w14:paraId="00F6375F">
            <w:pPr>
              <w:widowControl/>
              <w:tabs>
                <w:tab w:val="left" w:pos="540"/>
              </w:tabs>
              <w:spacing w:line="36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代理服务费缴纳银行帐户信息：</w:t>
            </w:r>
          </w:p>
          <w:p w14:paraId="6C8C9C60">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开户名称：广西科文招标有限公司南宁四分公司</w:t>
            </w:r>
          </w:p>
          <w:p w14:paraId="24A58E82">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开户银行：广西北部湾银行股份有限公司南宁市云景支行</w:t>
            </w:r>
          </w:p>
          <w:p w14:paraId="4588EC5A">
            <w:pPr>
              <w:widowControl/>
              <w:tabs>
                <w:tab w:val="left" w:pos="540"/>
              </w:tabs>
              <w:spacing w:line="3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银行账号：805029834500001</w:t>
            </w:r>
          </w:p>
        </w:tc>
      </w:tr>
      <w:tr w14:paraId="3DB8D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53F70B">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33.1</w:t>
            </w:r>
          </w:p>
        </w:tc>
        <w:tc>
          <w:tcPr>
            <w:tcW w:w="8627" w:type="dxa"/>
            <w:vAlign w:val="center"/>
          </w:tcPr>
          <w:p w14:paraId="48EDBFBE">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2190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FE880B5">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33.2</w:t>
            </w:r>
          </w:p>
        </w:tc>
        <w:tc>
          <w:tcPr>
            <w:tcW w:w="8627" w:type="dxa"/>
            <w:vAlign w:val="center"/>
          </w:tcPr>
          <w:p w14:paraId="0502DE93">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71A725C3">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2、供应商为其他组织或者自然人时，本磋商文件规定的法定代表人指负责人或者自然人。本磋商文件所称负责人是指参加竞标的其他组织</w:t>
            </w:r>
            <w:r>
              <w:rPr>
                <w:rFonts w:hint="eastAsia" w:ascii="仿宋" w:hAnsi="仿宋" w:eastAsia="仿宋" w:cs="仿宋"/>
                <w:bCs/>
                <w:color w:val="auto"/>
                <w:sz w:val="24"/>
                <w:szCs w:val="24"/>
                <w:highlight w:val="none"/>
              </w:rPr>
              <w:t>营业执照或者执业许可证等证照上的</w:t>
            </w:r>
            <w:r>
              <w:rPr>
                <w:rFonts w:hint="eastAsia" w:ascii="仿宋" w:hAnsi="仿宋" w:eastAsia="仿宋" w:cs="仿宋"/>
                <w:color w:val="auto"/>
                <w:sz w:val="24"/>
                <w:szCs w:val="24"/>
                <w:highlight w:val="none"/>
              </w:rPr>
              <w:t>负责人，本磋商文件所称自然人指参与竞标的自然人本人，</w:t>
            </w:r>
            <w:r>
              <w:rPr>
                <w:rFonts w:hint="eastAsia" w:ascii="仿宋" w:hAnsi="仿宋" w:eastAsia="仿宋" w:cs="仿宋"/>
                <w:bCs/>
                <w:color w:val="auto"/>
                <w:sz w:val="24"/>
                <w:szCs w:val="24"/>
                <w:highlight w:val="none"/>
              </w:rPr>
              <w:t>且应具备独立承担民事责任能力，自然人应当为年满18岁以上成年人（十六周岁以上的未成年人，以自己的劳动收入为主要生活来源的，视为完全民事行为能力人）。</w:t>
            </w:r>
          </w:p>
          <w:p w14:paraId="012662C4">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3、本磋商文件中描述供应商的“签字”是指供应商的法定代表人或者委托代理人在文件规定签署处签名（含电子签名）的行为，私章、印鉴等其他形式均不能代替签字。</w:t>
            </w:r>
          </w:p>
          <w:p w14:paraId="06C2DEB1">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4、自然人竞标的，磋商文件规定盖公章处由自然人摁手指指印。</w:t>
            </w:r>
          </w:p>
          <w:p w14:paraId="72E73740">
            <w:pPr>
              <w:pStyle w:val="16"/>
              <w:snapToGrid w:val="0"/>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5、本磋商文件所称的“以上”“以下”“以内”“届满”，包括本数；所称的“不满”“超过”“以外”，不包括本数。</w:t>
            </w:r>
          </w:p>
        </w:tc>
      </w:tr>
    </w:tbl>
    <w:p w14:paraId="634E85A5">
      <w:pPr>
        <w:spacing w:line="40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262647B5">
      <w:pPr>
        <w:spacing w:line="400" w:lineRule="exact"/>
        <w:jc w:val="center"/>
        <w:rPr>
          <w:rFonts w:ascii="仿宋" w:hAnsi="仿宋" w:eastAsia="仿宋" w:cs="仿宋"/>
          <w:b/>
          <w:color w:val="auto"/>
          <w:sz w:val="32"/>
          <w:szCs w:val="32"/>
          <w:highlight w:val="none"/>
        </w:rPr>
      </w:pPr>
    </w:p>
    <w:p w14:paraId="1E8A4460">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一、总则</w:t>
      </w:r>
    </w:p>
    <w:p w14:paraId="50609DC9">
      <w:pPr>
        <w:spacing w:line="400" w:lineRule="exact"/>
        <w:rPr>
          <w:rFonts w:ascii="仿宋" w:hAnsi="仿宋" w:eastAsia="仿宋" w:cs="仿宋"/>
          <w:color w:val="auto"/>
          <w:szCs w:val="21"/>
          <w:highlight w:val="none"/>
        </w:rPr>
      </w:pPr>
    </w:p>
    <w:p w14:paraId="2493B31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63FEA4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19942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pacing w:val="-6"/>
          <w:sz w:val="24"/>
          <w:highlight w:val="none"/>
        </w:rPr>
        <w:t>本竞争性磋商文件（以下简称磋商文件）适用于本项目的所有采购程序和环节（法律、法规另有规定的，从其规定）。</w:t>
      </w:r>
    </w:p>
    <w:p w14:paraId="77FBBEF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5315CD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2.1“采购人”是指依法进行政府采购的国家机关、事业单位、团体组织。</w:t>
      </w:r>
    </w:p>
    <w:p w14:paraId="5BCDC8F2">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2.2“采购代理机构”是指政府采购集中采购机构和集中采购机构以外的采购代理机构。</w:t>
      </w:r>
    </w:p>
    <w:p w14:paraId="11D0AC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2.3“供应商”是指向采购人提供货物、工程或者服务的法人、其他组织或者自然人。</w:t>
      </w:r>
    </w:p>
    <w:p w14:paraId="29CA69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2.4“货物”是指各种形态和种类的物品，包括原材料、燃料、设备、产品等。</w:t>
      </w:r>
    </w:p>
    <w:p w14:paraId="05D4B3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2.5“服务”是指除货物和工程以外的其他政府采购对象。</w:t>
      </w:r>
    </w:p>
    <w:p w14:paraId="0E08C6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2.6“竞标”是指供应商按照本项目竞争性磋商公告或者邀请函规定的方式获取磋商文件、提交响应文件并希望获得标的的行为。</w:t>
      </w:r>
    </w:p>
    <w:p w14:paraId="261FC73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2.7“书面形式”是指合同书、信件和数据电文（包括电报、电传、传真、电子数据交换和电子邮件）等可以有形地表现所载内容的形式。</w:t>
      </w:r>
    </w:p>
    <w:p w14:paraId="401E679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2.8“响应文件”</w:t>
      </w:r>
      <w:r>
        <w:rPr>
          <w:rFonts w:hint="eastAsia" w:ascii="仿宋" w:hAnsi="仿宋" w:eastAsia="仿宋" w:cs="仿宋"/>
          <w:color w:val="auto"/>
          <w:spacing w:val="-6"/>
          <w:sz w:val="24"/>
          <w:highlight w:val="none"/>
        </w:rPr>
        <w:t>是指：供应商根据本磋商文件要求，编制包含资格证明、报价商务技术等所有内容的文件。</w:t>
      </w:r>
    </w:p>
    <w:p w14:paraId="6A451AF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2.9“实质性要求”是指磋商文件中已经指明不满足则响应文件按无效响应处理的条款，或者不能负偏离的条款，或者采购需求中带“▲”的条款。</w:t>
      </w:r>
    </w:p>
    <w:p w14:paraId="44B353A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2.10“正偏离”，是指响应文件对磋商文件“采购需求”中有关条款作出的响应优于条款要求并有利于采购人的情形。</w:t>
      </w:r>
    </w:p>
    <w:p w14:paraId="04F56C9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2.11“负偏离”，是指响应文件对磋商文件“采购需求”中有关条款作出的响应不满足条款要求，导致采购人要求不能得到满足的情形。</w:t>
      </w:r>
    </w:p>
    <w:p w14:paraId="13853CC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2.12“允许负偏离的条款”是指采购需求中的不属于“实质性要求”的条款。</w:t>
      </w:r>
    </w:p>
    <w:p w14:paraId="15B93D5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2.13“首次报价”是指供应商提交的首次响应文件中的报价。</w:t>
      </w:r>
    </w:p>
    <w:p w14:paraId="57A9265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32D331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供应商的资格条件详见“供应商须知前附表”。</w:t>
      </w:r>
    </w:p>
    <w:p w14:paraId="04FBDA7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4.竞标费用</w:t>
      </w:r>
    </w:p>
    <w:p w14:paraId="50B5AE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供应商应承担参与本次采购活动有关的所有费用，包括但不限于获取磋商文件、勘查现场、编制和提交响应文件、参加磋商与应答、签订合同等，不论竞标结果如何，均应自行承担。</w:t>
      </w:r>
    </w:p>
    <w:p w14:paraId="7DDA5AE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4573B7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5.1本项目是否接受联合体竞标，详见“供应商须知前附表”。</w:t>
      </w:r>
    </w:p>
    <w:p w14:paraId="47D947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5.2如接受联合体竞标，联合体竞标要求详见“供应商须知前附表”。</w:t>
      </w:r>
    </w:p>
    <w:p w14:paraId="568376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w:t>
      </w:r>
      <w:bookmarkStart w:id="26" w:name="_Hlk66782192"/>
      <w:r>
        <w:rPr>
          <w:rFonts w:hint="eastAsia" w:ascii="仿宋" w:hAnsi="仿宋" w:eastAsia="仿宋" w:cs="仿宋"/>
          <w:color w:val="auto"/>
          <w:sz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26"/>
    </w:p>
    <w:p w14:paraId="00A833C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00FF7574">
      <w:pPr>
        <w:spacing w:line="360" w:lineRule="auto"/>
        <w:ind w:firstLine="480" w:firstLineChars="200"/>
        <w:rPr>
          <w:rFonts w:ascii="仿宋" w:hAnsi="仿宋" w:eastAsia="仿宋" w:cs="仿宋"/>
          <w:color w:val="auto"/>
          <w:sz w:val="24"/>
          <w:highlight w:val="none"/>
        </w:rPr>
      </w:pPr>
      <w:bookmarkStart w:id="27" w:name="_Toc254970532"/>
      <w:bookmarkStart w:id="28" w:name="_Toc254970673"/>
      <w:r>
        <w:rPr>
          <w:rFonts w:hint="eastAsia" w:ascii="仿宋" w:hAnsi="仿宋" w:eastAsia="仿宋" w:cs="仿宋"/>
          <w:color w:val="auto"/>
          <w:sz w:val="24"/>
          <w:highlight w:val="none"/>
        </w:rPr>
        <w:t>6.1本项目不允许转包。</w:t>
      </w:r>
    </w:p>
    <w:p w14:paraId="3C1B3F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35A75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F3712A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7.特别说明</w:t>
      </w:r>
      <w:bookmarkEnd w:id="27"/>
      <w:bookmarkEnd w:id="28"/>
    </w:p>
    <w:p w14:paraId="602D9FDD">
      <w:pPr>
        <w:spacing w:line="360" w:lineRule="auto"/>
        <w:ind w:firstLine="480" w:firstLineChars="200"/>
        <w:rPr>
          <w:rFonts w:ascii="仿宋" w:hAnsi="仿宋" w:eastAsia="仿宋" w:cs="仿宋"/>
          <w:color w:val="auto"/>
          <w:sz w:val="24"/>
          <w:highlight w:val="none"/>
        </w:rPr>
      </w:pPr>
      <w:bookmarkStart w:id="29" w:name="_8.1提供相同品牌产品且通过资格审查、符合性审查的不同投标人参加同一合"/>
      <w:bookmarkEnd w:id="29"/>
      <w:r>
        <w:rPr>
          <w:rFonts w:hint="eastAsia" w:ascii="仿宋" w:hAnsi="仿宋" w:eastAsia="仿宋" w:cs="仿宋"/>
          <w:color w:val="auto"/>
          <w:sz w:val="24"/>
          <w:highlight w:val="none"/>
        </w:rPr>
        <w:t>7.1</w:t>
      </w:r>
      <w:bookmarkStart w:id="30" w:name="_Hlk65832145"/>
      <w:r>
        <w:rPr>
          <w:rFonts w:hint="eastAsia" w:ascii="仿宋" w:hAnsi="仿宋" w:eastAsia="仿宋" w:cs="仿宋"/>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30"/>
    <w:p w14:paraId="7769CC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7.2供应商应仔细阅读磋商文件的所有内容，按照磋商文件的要求提交响应文件，并对所提供的全部资料的真实性承担法律责任。</w:t>
      </w:r>
    </w:p>
    <w:p w14:paraId="6A54E2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7.3供应商在竞标活动中提供任何疑似虚假材料，将报监管部门查处；签订合同后发现的，成交供应商须依法赔偿采购人，且民事赔偿并不免除违法供应商的行政与刑事责任。</w:t>
      </w:r>
    </w:p>
    <w:p w14:paraId="3AA3CF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7.4在政府采购活动中，采购人员及相关人员与供应商有下列利害关系之一的，应当回避：</w:t>
      </w:r>
    </w:p>
    <w:p w14:paraId="036E75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（1）参加采购活动前3年内与供应商存在劳动关系；</w:t>
      </w:r>
    </w:p>
    <w:p w14:paraId="61F31E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（2）参加采购活动前3年内担任供应商的董事、监事；</w:t>
      </w:r>
    </w:p>
    <w:p w14:paraId="42835F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（3）参加采购活动前3年内是供应商的控股股东或者实际控制人；</w:t>
      </w:r>
    </w:p>
    <w:p w14:paraId="7ADC83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（4）与供应商的法定代表人或者负责人有夫妻、直系血亲、三代以内旁系血亲或者近姻亲关系；</w:t>
      </w:r>
    </w:p>
    <w:p w14:paraId="54D3F5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（5）与供应商有其他可能影响政府采购活动公平、公正进行的关系。</w:t>
      </w:r>
    </w:p>
    <w:p w14:paraId="7277FE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E76B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7.5有下列情形之一的视为供应商相互串通竞标，响应文件将被视为无效：</w:t>
      </w:r>
    </w:p>
    <w:p w14:paraId="4D82F4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0963DD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44FF24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（3）不同的供应商的响应文件载明的项目管理员为同一个人；</w:t>
      </w:r>
    </w:p>
    <w:p w14:paraId="660B1D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（4）不同供应商的响应文件异常一致或者报价呈规律性差异；</w:t>
      </w:r>
    </w:p>
    <w:p w14:paraId="5CA85B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4B9D23B6">
      <w:pPr>
        <w:tabs>
          <w:tab w:val="left" w:pos="6931"/>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r>
        <w:rPr>
          <w:rFonts w:hint="eastAsia" w:ascii="仿宋" w:hAnsi="仿宋" w:eastAsia="仿宋" w:cs="仿宋"/>
          <w:color w:val="auto"/>
          <w:sz w:val="24"/>
          <w:highlight w:val="none"/>
        </w:rPr>
        <w:tab/>
      </w:r>
    </w:p>
    <w:p w14:paraId="17B18F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7.6供应商有下列情形之一的，属于恶意串通行为，将报同级监督管理部门：</w:t>
      </w:r>
    </w:p>
    <w:p w14:paraId="3011A4D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05855D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6FEAC3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（3）供应商之间协商报价、技术方案等响应文件或者响应文件的实质性内容；</w:t>
      </w:r>
    </w:p>
    <w:p w14:paraId="4E5124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68AAAE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（5）供应商之间事先约定一致抬高或者压低报价，或者在政府采购活动中事先约定轮流以高价位或者低价位成交，或者事先约定由某一特定供应商成交，然后再参加竞标；</w:t>
      </w:r>
    </w:p>
    <w:p w14:paraId="614E82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2770E3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（7）供应商与采购人或者采购代理机构之间、供应商相互之间，为谋求特定供应商成交或者排斥其他供应商的其他串通行为。</w:t>
      </w:r>
    </w:p>
    <w:p w14:paraId="037D2E2D">
      <w:pPr>
        <w:spacing w:line="360" w:lineRule="auto"/>
        <w:ind w:firstLine="420" w:firstLineChars="200"/>
        <w:rPr>
          <w:rFonts w:ascii="仿宋" w:hAnsi="仿宋" w:eastAsia="仿宋" w:cs="仿宋"/>
          <w:color w:val="auto"/>
          <w:szCs w:val="21"/>
          <w:highlight w:val="none"/>
        </w:rPr>
      </w:pPr>
    </w:p>
    <w:p w14:paraId="475FA18E">
      <w:pPr>
        <w:spacing w:line="360" w:lineRule="auto"/>
        <w:ind w:left="1" w:firstLine="417" w:firstLineChars="199"/>
        <w:jc w:val="center"/>
        <w:rPr>
          <w:rFonts w:ascii="仿宋" w:hAnsi="仿宋" w:eastAsia="仿宋" w:cs="仿宋"/>
          <w:color w:val="auto"/>
          <w:highlight w:val="none"/>
        </w:rPr>
      </w:pPr>
      <w:bookmarkStart w:id="31" w:name="_Toc254970675"/>
      <w:bookmarkStart w:id="32" w:name="_Toc254970534"/>
    </w:p>
    <w:p w14:paraId="389E1B7B">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二、磋商文件</w:t>
      </w:r>
      <w:bookmarkEnd w:id="31"/>
      <w:bookmarkEnd w:id="32"/>
    </w:p>
    <w:p w14:paraId="222FDF1A">
      <w:pPr>
        <w:spacing w:line="360" w:lineRule="auto"/>
        <w:ind w:firstLine="482" w:firstLineChars="200"/>
        <w:rPr>
          <w:rFonts w:ascii="仿宋" w:hAnsi="仿宋" w:eastAsia="仿宋" w:cs="仿宋"/>
          <w:b/>
          <w:bCs/>
          <w:color w:val="auto"/>
          <w:sz w:val="24"/>
          <w:highlight w:val="none"/>
        </w:rPr>
      </w:pPr>
    </w:p>
    <w:p w14:paraId="61BE278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62F5AB0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（1）竞争性磋商公告；</w:t>
      </w:r>
    </w:p>
    <w:p w14:paraId="73BA26C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（2）供应商须知； </w:t>
      </w:r>
    </w:p>
    <w:p w14:paraId="2389B4A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（3）采购需求；</w:t>
      </w:r>
    </w:p>
    <w:p w14:paraId="326B9C4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（4）评审程序、评审方法和评审标准；</w:t>
      </w:r>
    </w:p>
    <w:p w14:paraId="51F4C60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（5）响应文件格式；</w:t>
      </w:r>
    </w:p>
    <w:p w14:paraId="15CFA6A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（6）合同文本。</w:t>
      </w:r>
    </w:p>
    <w:p w14:paraId="0B1F501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7BD8C3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认真阅读磋商文件的采购需求，如供应商对磋商文件有疑问的，如要求采购人作出澄清或者修改的，供应商应在提交首次响应文件截止之日前，以纸质书面形式向采购人、采购代理机构提出，否则，由此产生的后果由供应商自行负责。</w:t>
      </w:r>
    </w:p>
    <w:p w14:paraId="5B91A52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27C48D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51653C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10.2采购人和采购代理机构可以视采购具体情况，变更首次响应文件提交截止时间和开启时间，并在原公告发布媒体上发布更正公告。</w:t>
      </w:r>
    </w:p>
    <w:p w14:paraId="6068F8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10.3磋商文件澄清、答复、修改、补充的内容为磋商文件的组成部分。</w:t>
      </w:r>
      <w:r>
        <w:rPr>
          <w:rFonts w:hint="eastAsia" w:ascii="仿宋" w:hAnsi="仿宋" w:eastAsia="仿宋" w:cs="仿宋"/>
          <w:b/>
          <w:color w:val="auto"/>
          <w:sz w:val="24"/>
          <w:highlight w:val="none"/>
        </w:rPr>
        <w:t>当磋商文件与磋商文件的澄清、答复、修改、补充通知就同一内容的表述不一致时，以最后发出的文件为准。</w:t>
      </w:r>
    </w:p>
    <w:p w14:paraId="4269235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10.4响应文件未按磋商文件的澄清、修改后的内容编制的，其响应文件作无效响应处理。</w:t>
      </w:r>
    </w:p>
    <w:p w14:paraId="65E23D9E">
      <w:pPr>
        <w:spacing w:line="400" w:lineRule="exact"/>
        <w:ind w:firstLine="482" w:firstLineChars="200"/>
        <w:rPr>
          <w:rFonts w:ascii="仿宋" w:hAnsi="仿宋" w:eastAsia="仿宋" w:cs="仿宋"/>
          <w:b/>
          <w:color w:val="auto"/>
          <w:sz w:val="24"/>
          <w:highlight w:val="none"/>
        </w:rPr>
      </w:pPr>
    </w:p>
    <w:p w14:paraId="5DEEF0C6">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三、响应文件的编制</w:t>
      </w:r>
    </w:p>
    <w:p w14:paraId="19294EA1">
      <w:pPr>
        <w:spacing w:line="360" w:lineRule="auto"/>
        <w:ind w:firstLine="482" w:firstLineChars="200"/>
        <w:rPr>
          <w:rFonts w:ascii="仿宋" w:hAnsi="仿宋" w:eastAsia="仿宋" w:cs="仿宋"/>
          <w:b/>
          <w:bCs/>
          <w:color w:val="auto"/>
          <w:sz w:val="24"/>
          <w:highlight w:val="none"/>
        </w:rPr>
      </w:pPr>
    </w:p>
    <w:p w14:paraId="3C15597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28F3C0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供应商必须按照磋商文件的要求编制响应文件，并对其提交的响应文件的真实性、合法性承担法律责任。响应文件必须对磋商文件作出实质性响应。</w:t>
      </w:r>
    </w:p>
    <w:p w14:paraId="3332C7B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418947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12.1响应文件由资格证明文件、报价商务技术文件两部分组成。</w:t>
      </w:r>
    </w:p>
    <w:p w14:paraId="0F8C96BD">
      <w:pPr>
        <w:spacing w:line="360" w:lineRule="auto"/>
        <w:ind w:left="900" w:leftChars="20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12.1.1资格证明文件：详见须知前附表</w:t>
      </w:r>
    </w:p>
    <w:p w14:paraId="673B2C8C">
      <w:pPr>
        <w:spacing w:line="360" w:lineRule="auto"/>
        <w:ind w:left="900" w:leftChars="200" w:hanging="480" w:hangingChars="200"/>
        <w:rPr>
          <w:rFonts w:ascii="仿宋" w:hAnsi="仿宋" w:eastAsia="仿宋" w:cs="仿宋"/>
          <w:color w:val="auto"/>
          <w:sz w:val="24"/>
          <w:highlight w:val="none"/>
        </w:rPr>
      </w:pPr>
      <w:r>
        <w:rPr>
          <w:rFonts w:hint="eastAsia" w:ascii="仿宋" w:hAnsi="仿宋" w:eastAsia="仿宋" w:cs="仿宋"/>
          <w:color w:val="auto"/>
          <w:sz w:val="24"/>
          <w:highlight w:val="none"/>
        </w:rPr>
        <w:t>12.1.2报价商务技术文件：详见须知前附表</w:t>
      </w:r>
    </w:p>
    <w:p w14:paraId="39888B29">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1D6DE6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磋商文件已有明确规定的，使用磋商文件规定的计量单位；磋商文件没有规定的，应采用中华人民共和国法定计量单位，货币种类为人民币，否则视同未响应。</w:t>
      </w:r>
    </w:p>
    <w:p w14:paraId="4B46155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237E3B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供应商没有按照磋商文件要求提供全部资料，或者供应商没有对磋商文件在各方面作出实质性响应可能导致其响应无效，是供应商应当考虑的风险。</w:t>
      </w:r>
    </w:p>
    <w:p w14:paraId="5051C17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15.磋商报价</w:t>
      </w:r>
    </w:p>
    <w:p w14:paraId="02A28B2A">
      <w:pPr>
        <w:tabs>
          <w:tab w:val="left" w:pos="2492"/>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15.1磋商报价应按磋商文件中“磋商报价表”格式填写。</w:t>
      </w:r>
    </w:p>
    <w:p w14:paraId="751A8B6C">
      <w:pPr>
        <w:tabs>
          <w:tab w:val="left" w:pos="2492"/>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15.2磋商报价的内容见“供应商须知前附表”。</w:t>
      </w:r>
    </w:p>
    <w:p w14:paraId="56CBFADC">
      <w:pPr>
        <w:spacing w:line="360" w:lineRule="auto"/>
        <w:ind w:left="426" w:leftChars="203"/>
        <w:rPr>
          <w:rFonts w:ascii="仿宋" w:hAnsi="仿宋" w:eastAsia="仿宋" w:cs="仿宋"/>
          <w:color w:val="auto"/>
          <w:sz w:val="24"/>
          <w:highlight w:val="none"/>
        </w:rPr>
      </w:pPr>
      <w:r>
        <w:rPr>
          <w:rFonts w:hint="eastAsia" w:ascii="仿宋" w:hAnsi="仿宋" w:eastAsia="仿宋" w:cs="仿宋"/>
          <w:color w:val="auto"/>
          <w:sz w:val="24"/>
          <w:highlight w:val="none"/>
        </w:rPr>
        <w:t>15.3磋商报价要求</w:t>
      </w:r>
    </w:p>
    <w:p w14:paraId="5D5A2EA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15.3.1供应商的磋商报价应符合以下要求，否则响应文件按无效响应处理：</w:t>
      </w:r>
    </w:p>
    <w:p w14:paraId="36AA66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（1）供应商必须就“采购需求”中的全部内容分别作完整唯一总价报价，不得存在漏项报价；</w:t>
      </w:r>
    </w:p>
    <w:p w14:paraId="6B1998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（2）竞标人必须就所投每个分标的全部内容分别作完整唯一总价报价，不得存在漏项报价；竞标人必须就所投分标的单项内容作唯一报价。</w:t>
      </w:r>
    </w:p>
    <w:p w14:paraId="531B38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15.3.2最后报价超过项目规定的采购预算金额或者最高限价的，其响应文件将按无效响应处理。</w:t>
      </w:r>
      <w:bookmarkStart w:id="33" w:name="_Hlk42592874"/>
    </w:p>
    <w:bookmarkEnd w:id="33"/>
    <w:p w14:paraId="3E1A0B7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16.磋商有效期</w:t>
      </w:r>
    </w:p>
    <w:p w14:paraId="323835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16.1磋商有效期是指为保证采购人有足够的时间在提交响应文件后完成评审、确定成交供应商、合同签订等工作而要求供应商提交的响应文件在一定时间内保持有效的期限。</w:t>
      </w:r>
    </w:p>
    <w:p w14:paraId="368954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磋商有效期应由供应商按“供应商须知前附表”规定的期限作出响应。</w:t>
      </w:r>
    </w:p>
    <w:p w14:paraId="0258D9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16.3供应商的响应文件在磋商有效期内均保持有效。</w:t>
      </w:r>
    </w:p>
    <w:p w14:paraId="1ABDBBA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2E71664C">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17.1供应商须按“供应商须知前附表”的规定提交磋商保证金。</w:t>
      </w:r>
    </w:p>
    <w:p w14:paraId="03E9225D">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17.2磋商保证金的退还</w:t>
      </w:r>
    </w:p>
    <w:p w14:paraId="480EA929">
      <w:pPr>
        <w:spacing w:line="360" w:lineRule="auto"/>
        <w:ind w:firstLine="480" w:firstLineChars="200"/>
        <w:rPr>
          <w:rFonts w:ascii="仿宋" w:hAnsi="仿宋" w:eastAsia="仿宋" w:cs="仿宋"/>
          <w:color w:val="auto"/>
          <w:sz w:val="24"/>
          <w:highlight w:val="none"/>
        </w:rPr>
      </w:pPr>
      <w:bookmarkStart w:id="34" w:name="_Hlk66782243"/>
      <w:r>
        <w:rPr>
          <w:rFonts w:hint="eastAsia" w:ascii="仿宋" w:hAnsi="仿宋" w:eastAsia="仿宋" w:cs="仿宋"/>
          <w:color w:val="auto"/>
          <w:sz w:val="24"/>
          <w:highlight w:val="none"/>
        </w:rPr>
        <w:t>未</w:t>
      </w:r>
      <w:r>
        <w:rPr>
          <w:rFonts w:hint="eastAsia" w:ascii="仿宋" w:hAnsi="仿宋" w:eastAsia="仿宋" w:cs="仿宋"/>
          <w:color w:val="auto"/>
          <w:spacing w:val="-6"/>
          <w:sz w:val="24"/>
          <w:highlight w:val="none"/>
        </w:rPr>
        <w:t>成交供应商的磋商保证金自成交通知书发出之日起5个工作日内退还；</w:t>
      </w:r>
      <w:r>
        <w:rPr>
          <w:rFonts w:hint="eastAsia" w:ascii="仿宋" w:hAnsi="仿宋" w:eastAsia="仿宋" w:cs="仿宋"/>
          <w:color w:val="auto"/>
          <w:sz w:val="24"/>
          <w:highlight w:val="none"/>
        </w:rPr>
        <w:t>成交供应商的磋商保证金自签订合同之日起5个工作日内退还。</w:t>
      </w:r>
      <w:bookmarkEnd w:id="34"/>
      <w:r>
        <w:rPr>
          <w:rFonts w:hint="eastAsia" w:ascii="仿宋" w:hAnsi="仿宋" w:eastAsia="仿宋" w:cs="仿宋"/>
          <w:color w:val="auto"/>
          <w:sz w:val="24"/>
          <w:highlight w:val="none"/>
        </w:rPr>
        <w:t xml:space="preserve"> </w:t>
      </w:r>
    </w:p>
    <w:p w14:paraId="4CA4754B">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17.3磋商保证金不计息。</w:t>
      </w:r>
    </w:p>
    <w:p w14:paraId="10FB2C88">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17.4供应商有下列情形之一的，磋商保证金将不予退还： </w:t>
      </w:r>
    </w:p>
    <w:p w14:paraId="70EA4121">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（1）供应商在提交首次响应文件截止时间后撤回响应文件的；</w:t>
      </w:r>
    </w:p>
    <w:p w14:paraId="37EC029A">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（2）未按规定提交履约保证金的；</w:t>
      </w:r>
    </w:p>
    <w:p w14:paraId="769B3024">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（3）供应商在响应文件中提供虚假材料的；</w:t>
      </w:r>
    </w:p>
    <w:p w14:paraId="443A77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（4）除因不可抗力或者磋商文件认可的情形以外，成交供应商不与采购人签订合同的；</w:t>
      </w:r>
    </w:p>
    <w:p w14:paraId="6B5585A6">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（5）供应商与采购人、其他供应商或者采购代理机构恶意串通的；</w:t>
      </w:r>
    </w:p>
    <w:p w14:paraId="4FB5BF95">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（6）法律法规规定的其他情形。</w:t>
      </w:r>
    </w:p>
    <w:p w14:paraId="15DE355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72078ABD">
      <w:pPr>
        <w:spacing w:line="360" w:lineRule="auto"/>
        <w:ind w:firstLine="480" w:firstLineChars="200"/>
        <w:rPr>
          <w:rFonts w:ascii="仿宋" w:hAnsi="仿宋" w:eastAsia="仿宋" w:cs="仿宋"/>
          <w:color w:val="auto"/>
          <w:spacing w:val="-6"/>
          <w:sz w:val="24"/>
          <w:highlight w:val="none"/>
        </w:rPr>
      </w:pPr>
      <w:r>
        <w:rPr>
          <w:rFonts w:hint="eastAsia" w:ascii="仿宋" w:hAnsi="仿宋" w:eastAsia="仿宋" w:cs="仿宋"/>
          <w:color w:val="auto"/>
          <w:sz w:val="24"/>
          <w:highlight w:val="none"/>
        </w:rPr>
        <w:t>18.1供应商应按本磋商文件规定的格式和顺序编制响应文件并标注页码，响应文件内容</w:t>
      </w:r>
      <w:r>
        <w:rPr>
          <w:rFonts w:hint="eastAsia" w:ascii="仿宋" w:hAnsi="仿宋" w:eastAsia="仿宋" w:cs="仿宋"/>
          <w:color w:val="auto"/>
          <w:spacing w:val="-6"/>
          <w:sz w:val="24"/>
          <w:highlight w:val="none"/>
        </w:rPr>
        <w:t>不完整、编排混乱导致响应文件被误读、漏读或者查找不到相关内容的，</w:t>
      </w:r>
      <w:r>
        <w:rPr>
          <w:rFonts w:hint="eastAsia" w:ascii="仿宋" w:hAnsi="仿宋" w:eastAsia="仿宋" w:cs="仿宋"/>
          <w:color w:val="auto"/>
          <w:sz w:val="24"/>
          <w:highlight w:val="none"/>
        </w:rPr>
        <w:t>由此引发的</w:t>
      </w:r>
      <w:r>
        <w:rPr>
          <w:rFonts w:hint="eastAsia" w:ascii="仿宋" w:hAnsi="仿宋" w:eastAsia="仿宋" w:cs="仿宋"/>
          <w:color w:val="auto"/>
          <w:spacing w:val="-6"/>
          <w:sz w:val="24"/>
          <w:highlight w:val="none"/>
        </w:rPr>
        <w:t>后果由供应商承担。</w:t>
      </w:r>
    </w:p>
    <w:p w14:paraId="6A4129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18.2响应文件应按资格证明文件、报价商务技术文件分别编制电子文件，</w:t>
      </w:r>
      <w:r>
        <w:rPr>
          <w:rFonts w:hint="eastAsia" w:ascii="仿宋" w:hAnsi="仿宋" w:eastAsia="仿宋" w:cs="仿宋"/>
          <w:color w:val="auto"/>
          <w:sz w:val="24"/>
          <w:highlight w:val="none"/>
          <w:lang w:bidi="ar"/>
        </w:rPr>
        <w:t>并按“政采云”平台的要求编制、加密、上传。</w:t>
      </w:r>
    </w:p>
    <w:p w14:paraId="719533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w:t>
      </w:r>
      <w:bookmarkStart w:id="35" w:name="_Hlk65832699"/>
      <w:r>
        <w:rPr>
          <w:rFonts w:hint="eastAsia" w:ascii="仿宋" w:hAnsi="仿宋" w:eastAsia="仿宋" w:cs="仿宋"/>
          <w:color w:val="auto"/>
          <w:sz w:val="24"/>
          <w:highlight w:val="none"/>
        </w:rPr>
        <w:t>3响应文件须由供应商在规定位置盖公章并签字</w:t>
      </w:r>
      <w:bookmarkStart w:id="36" w:name="_Hlk65832569"/>
      <w:r>
        <w:rPr>
          <w:rFonts w:hint="eastAsia" w:ascii="仿宋" w:hAnsi="仿宋" w:eastAsia="仿宋" w:cs="仿宋"/>
          <w:color w:val="auto"/>
          <w:sz w:val="24"/>
          <w:highlight w:val="none"/>
        </w:rPr>
        <w:t>（具体以供应商须知前附表或响应文件格式规定为准）</w:t>
      </w:r>
      <w:bookmarkEnd w:id="35"/>
      <w:bookmarkEnd w:id="36"/>
      <w:r>
        <w:rPr>
          <w:rFonts w:hint="eastAsia" w:ascii="仿宋" w:hAnsi="仿宋" w:eastAsia="仿宋" w:cs="仿宋"/>
          <w:color w:val="auto"/>
          <w:sz w:val="24"/>
          <w:highlight w:val="none"/>
        </w:rPr>
        <w:t>，否则其响应文件按无效响应处理。</w:t>
      </w:r>
    </w:p>
    <w:p w14:paraId="6EA437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18.4响应文件中标注的供应商名称应与营业执照（事业单位法人证书、执业许可证、自然人身份证）及公章一致，否则其响应文件按无效响应处理。</w:t>
      </w:r>
    </w:p>
    <w:p w14:paraId="154C8E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34F711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19.响应文件的加密、解密</w:t>
      </w:r>
    </w:p>
    <w:p w14:paraId="75BD83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19.1电子响应文件编制完成后，供应商应按“政采云”平台的要求进行加密，并在规定时间内解密，否则，由此产生的后果由供应商自行负责。</w:t>
      </w:r>
    </w:p>
    <w:p w14:paraId="0920EE5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51E4C9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20.1供应商必须在“供应商须知前附表”规定的时间和地点提交响应文件。</w:t>
      </w:r>
    </w:p>
    <w:p w14:paraId="5C0AE0A5">
      <w:pPr>
        <w:widowControl/>
        <w:spacing w:line="360" w:lineRule="auto"/>
        <w:ind w:firstLine="480" w:firstLineChars="200"/>
        <w:rPr>
          <w:rFonts w:ascii="仿宋" w:hAnsi="仿宋" w:eastAsia="仿宋" w:cs="仿宋"/>
          <w:b/>
          <w:color w:val="auto"/>
          <w:sz w:val="24"/>
          <w:highlight w:val="none"/>
          <w:lang w:bidi="ar"/>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bidi="ar"/>
        </w:rPr>
        <w:t>本项目为全流程电子化政府采购项目，通过“政采云”平台（http：//www.zcygov.cn）实行在线电子竞标，供应商应先安装“政采云电子交易客户端”（请自行前往“政采云”平台进行下载），并按照本项目磋商文件和“政采云”平台的要求编制、加密后在首次响应文件提交截止时间前通过网络上传至“政采云”平台，</w:t>
      </w:r>
      <w:r>
        <w:rPr>
          <w:rFonts w:hint="eastAsia" w:ascii="仿宋" w:hAnsi="仿宋" w:eastAsia="仿宋" w:cs="仿宋"/>
          <w:b/>
          <w:color w:val="auto"/>
          <w:sz w:val="24"/>
          <w:highlight w:val="none"/>
          <w:lang w:bidi="ar"/>
        </w:rPr>
        <w:t>供应商在“政采云”平台提交电子版响应文件时，请填写参加远程开标活动经办人联系方式。</w:t>
      </w:r>
    </w:p>
    <w:p w14:paraId="7BA61CE4">
      <w:pPr>
        <w:pStyle w:val="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20.3未在规定时间内上传或者未按“政采云”平台的要求编制、加密的电子响应文件，“政采云”平台将拒收。</w:t>
      </w:r>
    </w:p>
    <w:p w14:paraId="39C2AB99">
      <w:pPr>
        <w:pStyle w:val="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20.4电子响应文件提交方</w:t>
      </w:r>
      <w:r>
        <w:rPr>
          <w:rFonts w:hint="eastAsia" w:ascii="仿宋" w:hAnsi="仿宋" w:eastAsia="仿宋" w:cs="仿宋"/>
          <w:bCs/>
          <w:color w:val="auto"/>
          <w:sz w:val="24"/>
          <w:szCs w:val="24"/>
          <w:highlight w:val="none"/>
        </w:rPr>
        <w:t>式见“竞争性磋商公告”</w:t>
      </w:r>
      <w:r>
        <w:rPr>
          <w:rFonts w:hint="eastAsia" w:ascii="仿宋" w:hAnsi="仿宋" w:eastAsia="仿宋" w:cs="仿宋"/>
          <w:color w:val="auto"/>
          <w:sz w:val="24"/>
          <w:szCs w:val="24"/>
          <w:highlight w:val="none"/>
        </w:rPr>
        <w:t>中“四、响应文件提交”。</w:t>
      </w:r>
    </w:p>
    <w:p w14:paraId="22D8D77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18764ACD">
      <w:pPr>
        <w:spacing w:line="360" w:lineRule="auto"/>
        <w:ind w:firstLine="480" w:firstLineChars="200"/>
        <w:rPr>
          <w:rFonts w:ascii="仿宋" w:hAnsi="仿宋" w:eastAsia="仿宋" w:cs="仿宋"/>
          <w:bCs/>
          <w:color w:val="auto"/>
          <w:sz w:val="24"/>
          <w:highlight w:val="none"/>
          <w:lang w:bidi="ar"/>
        </w:rPr>
      </w:pPr>
      <w:r>
        <w:rPr>
          <w:rFonts w:hint="eastAsia" w:ascii="仿宋" w:hAnsi="仿宋" w:eastAsia="仿宋" w:cs="仿宋"/>
          <w:bCs/>
          <w:color w:val="auto"/>
          <w:sz w:val="24"/>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14:paraId="3307B2CB">
      <w:pPr>
        <w:spacing w:line="360" w:lineRule="auto"/>
        <w:ind w:firstLine="482" w:firstLineChars="200"/>
        <w:rPr>
          <w:rFonts w:ascii="仿宋" w:hAnsi="仿宋" w:eastAsia="仿宋" w:cs="仿宋"/>
          <w:b/>
          <w:bCs/>
          <w:color w:val="auto"/>
          <w:sz w:val="24"/>
          <w:highlight w:val="none"/>
        </w:rPr>
      </w:pPr>
      <w:bookmarkStart w:id="37" w:name="_Hlk45702405"/>
      <w:r>
        <w:rPr>
          <w:rFonts w:hint="eastAsia" w:ascii="仿宋" w:hAnsi="仿宋" w:eastAsia="仿宋" w:cs="仿宋"/>
          <w:b/>
          <w:bCs/>
          <w:color w:val="auto"/>
          <w:sz w:val="24"/>
          <w:highlight w:val="none"/>
        </w:rPr>
        <w:t>22. 首次响应文件的退回</w:t>
      </w:r>
    </w:p>
    <w:p w14:paraId="00B5EEB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22.1在首次响应文件提交截止时间止提交响应文件的供应商不足3家时，采购代理机构将根据“政采云”平台的操作将电子版响应文件退回，除此之外采购人和采购代理机构对已提交的电子响应文件概不退回。</w:t>
      </w:r>
    </w:p>
    <w:p w14:paraId="1B50180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5CD4D3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23.1供应商在首次响应文件提交截止时间后书面通知采购人、采购代理机构书面撤回响应文件的，将根据本须知正文17.4的规定不予退还其磋商保证金。</w:t>
      </w:r>
    </w:p>
    <w:bookmarkEnd w:id="37"/>
    <w:p w14:paraId="5C5AB081">
      <w:pPr>
        <w:spacing w:line="360" w:lineRule="auto"/>
        <w:rPr>
          <w:rFonts w:ascii="仿宋" w:hAnsi="仿宋" w:eastAsia="仿宋" w:cs="仿宋"/>
          <w:color w:val="auto"/>
          <w:szCs w:val="21"/>
          <w:highlight w:val="none"/>
        </w:rPr>
      </w:pPr>
    </w:p>
    <w:p w14:paraId="42739F83">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四、评审及磋商</w:t>
      </w:r>
    </w:p>
    <w:p w14:paraId="010A1128">
      <w:pPr>
        <w:spacing w:line="360" w:lineRule="auto"/>
        <w:ind w:firstLine="482" w:firstLineChars="200"/>
        <w:rPr>
          <w:rFonts w:ascii="仿宋" w:hAnsi="仿宋" w:eastAsia="仿宋" w:cs="仿宋"/>
          <w:b/>
          <w:bCs/>
          <w:color w:val="auto"/>
          <w:sz w:val="24"/>
          <w:highlight w:val="none"/>
        </w:rPr>
      </w:pPr>
    </w:p>
    <w:p w14:paraId="39D4C7F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022AD5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3174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FB48C0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w:t>
      </w:r>
    </w:p>
    <w:p w14:paraId="0A2905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25.1首次响应文件由磋商小组或者采购代理机构在“供应商须知前附表”规定的时间开启。</w:t>
      </w:r>
    </w:p>
    <w:p w14:paraId="21C4250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color w:val="auto"/>
          <w:sz w:val="24"/>
          <w:highlight w:val="none"/>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b/>
          <w:bCs/>
          <w:color w:val="auto"/>
          <w:sz w:val="24"/>
          <w:highlight w:val="none"/>
        </w:rPr>
        <w:t>响应文件未按时解密的，</w:t>
      </w:r>
      <w:r>
        <w:rPr>
          <w:rFonts w:hint="eastAsia" w:ascii="仿宋" w:hAnsi="仿宋" w:eastAsia="仿宋" w:cs="仿宋"/>
          <w:b/>
          <w:color w:val="auto"/>
          <w:sz w:val="24"/>
          <w:highlight w:val="none"/>
        </w:rPr>
        <w:t>视为响应</w:t>
      </w:r>
      <w:r>
        <w:rPr>
          <w:rFonts w:hint="eastAsia" w:ascii="仿宋" w:hAnsi="仿宋" w:eastAsia="仿宋" w:cs="仿宋"/>
          <w:b/>
          <w:bCs/>
          <w:color w:val="auto"/>
          <w:sz w:val="24"/>
          <w:highlight w:val="none"/>
        </w:rPr>
        <w:t>文件无效。</w:t>
      </w:r>
      <w:r>
        <w:rPr>
          <w:rFonts w:hint="eastAsia" w:ascii="仿宋" w:hAnsi="仿宋" w:eastAsia="仿宋" w:cs="仿宋"/>
          <w:color w:val="auto"/>
          <w:sz w:val="24"/>
          <w:highlight w:val="none"/>
        </w:rPr>
        <w:t>（解密异常情况处理：详见本章26.2电子交易活动的中止。）</w:t>
      </w:r>
    </w:p>
    <w:p w14:paraId="702B6B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25.3成功解密响应文件的供应商不足3家的，不得磋商。</w:t>
      </w:r>
    </w:p>
    <w:p w14:paraId="617FE86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0CB9D4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26.1磋商小组按照“第四章 评审程序、评审方法和评审标准”规定的方法、评审因素、标准和程序对响应文件进行评审。</w:t>
      </w:r>
    </w:p>
    <w:p w14:paraId="74DFBD6F">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26.2电子交易活动的中止。采购过程中出现以下情形，导致电子交易平台无法正常运行，或者无法保证电子交易的公平、公正和安全时，采购机构可中止电子交易活动：</w:t>
      </w:r>
    </w:p>
    <w:p w14:paraId="5B539BF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（1）电子交易平台发生故障而无法登录访问的； </w:t>
      </w:r>
    </w:p>
    <w:p w14:paraId="20E9BD8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02AD0EA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66E6E68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（4）病毒发作导致不能进行正常操作的； </w:t>
      </w:r>
    </w:p>
    <w:p w14:paraId="058D220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（4）其他无法保证电子交易的公平、公正和安全的情况。</w:t>
      </w:r>
    </w:p>
    <w:p w14:paraId="7C23117F">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26.3出现以上情形，不影响采购公平、公正性的，采购代理机构可以待上述情形消除后继续组织电子交易活动；影响或可能影响采购公平、公正性的，经采购代理机构确认后，应当重新采购。</w:t>
      </w:r>
    </w:p>
    <w:p w14:paraId="68DD566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7F8960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CF94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27.2采购代理机构应当在</w:t>
      </w:r>
      <w:r>
        <w:rPr>
          <w:rFonts w:hint="eastAsia" w:ascii="仿宋" w:hAnsi="仿宋" w:eastAsia="仿宋" w:cs="仿宋"/>
          <w:color w:val="auto"/>
          <w:kern w:val="0"/>
          <w:sz w:val="24"/>
          <w:highlight w:val="none"/>
        </w:rPr>
        <w:t>成交</w:t>
      </w:r>
      <w:r>
        <w:rPr>
          <w:rFonts w:hint="eastAsia" w:ascii="仿宋" w:hAnsi="仿宋" w:eastAsia="仿宋" w:cs="仿宋"/>
          <w:color w:val="auto"/>
          <w:sz w:val="24"/>
          <w:highlight w:val="none"/>
        </w:rPr>
        <w:t>供应商确定后2个工作日内，在省级以上财政部门指定的媒体上公告成交结果，同时向成交供应商发出成交通知书。</w:t>
      </w:r>
      <w:r>
        <w:rPr>
          <w:rFonts w:hint="eastAsia" w:ascii="仿宋" w:hAnsi="仿宋" w:eastAsia="仿宋" w:cs="仿宋"/>
          <w:b/>
          <w:color w:val="auto"/>
          <w:sz w:val="24"/>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color w:val="auto"/>
          <w:sz w:val="24"/>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8" w:name="_Hlk66782294"/>
      <w:r>
        <w:rPr>
          <w:rFonts w:hint="eastAsia" w:ascii="仿宋" w:hAnsi="仿宋" w:eastAsia="仿宋" w:cs="仿宋"/>
          <w:color w:val="auto"/>
          <w:sz w:val="24"/>
          <w:highlight w:val="none"/>
        </w:rPr>
        <w:t>成交供应商享受《政府采购促进中小企业发展管理办法》（财库〔2020〕46号）规定的中小企业扶持政策的，采购人、采购代理机构应当随成交结果公开成交供应商的《中小企业声明函》。</w:t>
      </w:r>
      <w:bookmarkEnd w:id="38"/>
    </w:p>
    <w:p w14:paraId="10B55B6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73A64C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2CC236BC">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28.1 履约保证金的金额、提交方式、退付的时间和条件详见 “供应商须知前附表”。成交供应商未按规定提交履约保证金的，视为拒绝与采购人签订合同。</w:t>
      </w:r>
    </w:p>
    <w:p w14:paraId="136E2A1B">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28.2在履约保证金退还日期前，若成交供应商的开户名称、开户银行、帐号有变动的，请以书面形式通知履约保证金收取单位，否则由此产生的后果由成交供应商自行承担。</w:t>
      </w:r>
    </w:p>
    <w:p w14:paraId="288F3A9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30D12743">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13A89CC5">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29.2 签订合同时间：按成交通知书规定的时间与采购人签订政府采购合同（最长不能超过25日）。</w:t>
      </w:r>
    </w:p>
    <w:p w14:paraId="37C42421">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29.3成交供应商拒绝与采购人签订合同的，按照本须知正文第27.3条的规定执行。</w:t>
      </w:r>
    </w:p>
    <w:p w14:paraId="720CD9D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4E645B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AEECA86">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1801D7A6">
      <w:pPr>
        <w:pStyle w:val="8"/>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552292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仿宋" w:hAnsi="仿宋" w:eastAsia="仿宋" w:cs="仿宋"/>
          <w:color w:val="auto"/>
          <w:sz w:val="24"/>
          <w:highlight w:val="none"/>
          <w:shd w:val="clear" w:color="auto" w:fill="FFFFFF"/>
        </w:rPr>
        <w:t>接收质疑函的方式、联系部门、联系电话和通讯地址等信息详见</w:t>
      </w:r>
      <w:r>
        <w:rPr>
          <w:rFonts w:hint="eastAsia" w:ascii="仿宋" w:hAnsi="仿宋" w:eastAsia="仿宋" w:cs="仿宋"/>
          <w:color w:val="auto"/>
          <w:sz w:val="24"/>
          <w:highlight w:val="none"/>
        </w:rPr>
        <w:t>“供应商须知前附表”。具体质疑起算时间如下：</w:t>
      </w:r>
    </w:p>
    <w:p w14:paraId="2C00EA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（1）对可以质疑的磋商文件提出质疑的，为收到磋商文件之日或者竞争性磋商公告期限届满之日；</w:t>
      </w:r>
    </w:p>
    <w:p w14:paraId="09016F7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（2）对采购过程提出质疑的，为各采购程序环节结束之日；</w:t>
      </w:r>
    </w:p>
    <w:p w14:paraId="732044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（3）对成交结果提出质疑的，为成交结果公告期限届满之日。</w:t>
      </w:r>
    </w:p>
    <w:p w14:paraId="0CF1AE2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44640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4"/>
          <w:highlight w:val="none"/>
        </w:rPr>
        <w:t>（质疑函格式后附）</w:t>
      </w:r>
      <w:r>
        <w:rPr>
          <w:rFonts w:hint="eastAsia" w:ascii="仿宋" w:hAnsi="仿宋" w:eastAsia="仿宋" w:cs="仿宋"/>
          <w:color w:val="auto"/>
          <w:sz w:val="24"/>
          <w:highlight w:val="none"/>
        </w:rPr>
        <w:t>：</w:t>
      </w:r>
    </w:p>
    <w:p w14:paraId="0D952D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1D496E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0E8BC1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5B2090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FF567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6BA0A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D97FB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供应商为自然人的，应当由本人签字；供应商为法人或者其他组织的，应当由法定代表人、主要负责人，或者其委托代理人签字或者盖章，并加盖公章。</w:t>
      </w:r>
    </w:p>
    <w:p w14:paraId="3CE5FE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1F8AD50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（1）对采购文件提出的质疑，依法通过澄清或者修改可以继续开展采购活动的，澄清或者修改采购文件后继续开展采购活动；否则应当修改采购文件后重新开展采购活动。</w:t>
      </w:r>
    </w:p>
    <w:p w14:paraId="5A0C2F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（2）对采购过程或者成交结果提出的质疑，合格供应商符合法定数量时，可以从合格的成交候选人中另行确定成交供应商的，应当依法另行确定成交供应商；否则应当重新开展采购活动。</w:t>
      </w:r>
    </w:p>
    <w:p w14:paraId="6BD7E1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质疑答复导致成交结果改变的，采购人或者采购代理机构应当将有关情况书面报告本级财政部门。</w:t>
      </w:r>
    </w:p>
    <w:p w14:paraId="014E7C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CA31F5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510289F7">
      <w:pPr>
        <w:tabs>
          <w:tab w:val="left" w:pos="2835"/>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32.1代理服务费：代理服务收取标准及缴费账户详见“供应商须知前附表”。</w:t>
      </w:r>
    </w:p>
    <w:p w14:paraId="5593989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33.需要补充的其他内容</w:t>
      </w:r>
    </w:p>
    <w:p w14:paraId="06A3714E">
      <w:pPr>
        <w:pStyle w:val="16"/>
        <w:spacing w:line="360" w:lineRule="auto"/>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33.1本磋商文件解释规则详见“供应商须知前附表”。</w:t>
      </w:r>
    </w:p>
    <w:p w14:paraId="25F92213">
      <w:pPr>
        <w:pStyle w:val="16"/>
        <w:spacing w:line="360" w:lineRule="auto"/>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33.2 其他事项详见“供应商须知前附表”。</w:t>
      </w:r>
    </w:p>
    <w:p w14:paraId="1281BC09">
      <w:pPr>
        <w:pStyle w:val="16"/>
        <w:spacing w:line="360" w:lineRule="auto"/>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E19AB24">
      <w:pPr>
        <w:pStyle w:val="16"/>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（1）在货物采购项目中，货物由中小企业制造，即货物由中小企业生产且使用该中小企业商号或者注册商标，不对其中涉及的工程承建商和服务的承接商作出要求；</w:t>
      </w:r>
    </w:p>
    <w:p w14:paraId="383D2B38">
      <w:pPr>
        <w:pStyle w:val="16"/>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（2）在工程采购项目中，工程由中小企业承建，即工程施工单位为中小企业，不对其中涉及的货物的制造商和服务的承接商作出要求；</w:t>
      </w:r>
    </w:p>
    <w:p w14:paraId="7CEF69A3">
      <w:pPr>
        <w:pStyle w:val="16"/>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26CCCB0">
      <w:pPr>
        <w:pStyle w:val="16"/>
        <w:spacing w:line="360" w:lineRule="auto"/>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9D44A52">
      <w:pPr>
        <w:pStyle w:val="16"/>
        <w:spacing w:line="360" w:lineRule="auto"/>
        <w:ind w:firstLine="480" w:firstLineChars="200"/>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依据本磋商文件规定享受扶持政策获得政府采购合同的，小微企业不得将合同分包给大中型企业，中型企业不得将合同分包给大型企业。</w:t>
      </w:r>
    </w:p>
    <w:p w14:paraId="202EEC17">
      <w:pPr>
        <w:pStyle w:val="16"/>
        <w:snapToGrid w:val="0"/>
        <w:spacing w:before="120" w:after="120"/>
        <w:rPr>
          <w:rFonts w:ascii="仿宋" w:hAnsi="仿宋" w:eastAsia="仿宋" w:cs="仿宋"/>
          <w:color w:val="auto"/>
          <w:highlight w:val="none"/>
        </w:rPr>
      </w:pPr>
    </w:p>
    <w:p w14:paraId="390F8779">
      <w:pPr>
        <w:jc w:val="left"/>
        <w:rPr>
          <w:rFonts w:ascii="仿宋" w:hAnsi="仿宋" w:eastAsia="仿宋" w:cs="仿宋"/>
          <w:b/>
          <w:color w:val="auto"/>
          <w:sz w:val="32"/>
          <w:szCs w:val="32"/>
          <w:highlight w:val="none"/>
        </w:rPr>
      </w:pPr>
    </w:p>
    <w:p w14:paraId="0F8C3045">
      <w:pPr>
        <w:pStyle w:val="4"/>
        <w:spacing w:line="360" w:lineRule="auto"/>
        <w:jc w:val="center"/>
        <w:rPr>
          <w:rFonts w:ascii="仿宋" w:hAnsi="仿宋" w:eastAsia="仿宋" w:cs="仿宋"/>
          <w:color w:val="auto"/>
          <w:highlight w:val="none"/>
        </w:rPr>
      </w:pPr>
      <w:bookmarkStart w:id="39" w:name="_Toc74323458"/>
      <w:r>
        <w:rPr>
          <w:rFonts w:hint="eastAsia" w:ascii="仿宋" w:hAnsi="仿宋" w:eastAsia="仿宋" w:cs="仿宋"/>
          <w:color w:val="auto"/>
          <w:highlight w:val="none"/>
        </w:rPr>
        <w:br w:type="page"/>
      </w:r>
      <w:r>
        <w:rPr>
          <w:rFonts w:hint="eastAsia" w:ascii="仿宋" w:hAnsi="仿宋" w:eastAsia="仿宋" w:cs="仿宋"/>
          <w:color w:val="auto"/>
          <w:highlight w:val="none"/>
        </w:rPr>
        <w:t>第三章 采购需求</w:t>
      </w:r>
      <w:bookmarkEnd w:id="39"/>
    </w:p>
    <w:p w14:paraId="309660F0">
      <w:pPr>
        <w:spacing w:line="440" w:lineRule="exact"/>
        <w:jc w:val="center"/>
        <w:rPr>
          <w:rFonts w:ascii="仿宋" w:hAnsi="仿宋" w:eastAsia="仿宋" w:cs="仿宋"/>
          <w:b/>
          <w:color w:val="auto"/>
          <w:sz w:val="32"/>
          <w:szCs w:val="32"/>
          <w:highlight w:val="none"/>
        </w:rPr>
      </w:pPr>
    </w:p>
    <w:p w14:paraId="146F47AD">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说明：</w:t>
      </w:r>
    </w:p>
    <w:p w14:paraId="06EF42B0">
      <w:pPr>
        <w:spacing w:line="360" w:lineRule="exact"/>
        <w:ind w:left="-10" w:leftChars="-5" w:right="2" w:rightChars="1"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供应商的竞标货物必须使用政府强制采购的节能产品，否则响应文件作无效响应处理。</w:t>
      </w:r>
    </w:p>
    <w:p w14:paraId="1218AE5E">
      <w:pPr>
        <w:spacing w:line="360" w:lineRule="exact"/>
        <w:ind w:left="-10" w:leftChars="-5" w:right="2" w:rightChars="1"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2、如供应商磋商产品存在侵犯他人的知识产权或者专利成果行为的，由供应商自行承担相应法律责任。</w:t>
      </w:r>
    </w:p>
    <w:p w14:paraId="6C0DB968">
      <w:pPr>
        <w:spacing w:line="360" w:lineRule="exact"/>
        <w:ind w:left="-10" w:leftChars="-5" w:right="2" w:rightChars="1"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3、“实质性要求”是指竞争性磋商文件中已经指明不满足则响应无效的条款，或者不能负偏离的条款，或者采购需求中带“▲”的条款。</w:t>
      </w:r>
    </w:p>
    <w:p w14:paraId="1EE240F4">
      <w:pPr>
        <w:pStyle w:val="24"/>
        <w:ind w:firstLine="482"/>
        <w:rPr>
          <w:rFonts w:eastAsia="仿宋"/>
          <w:color w:val="auto"/>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szCs w:val="24"/>
          <w:highlight w:val="none"/>
        </w:rPr>
        <w:t>技术需求中标注“●”号的为重要条款，仅作为评分项。</w:t>
      </w:r>
    </w:p>
    <w:p w14:paraId="36146CF8">
      <w:pPr>
        <w:pStyle w:val="16"/>
        <w:rPr>
          <w:rFonts w:ascii="仿宋" w:hAnsi="仿宋" w:eastAsia="仿宋" w:cs="仿宋"/>
          <w:b/>
          <w:bCs/>
          <w:color w:val="auto"/>
          <w:highlight w:val="none"/>
        </w:rPr>
      </w:pPr>
    </w:p>
    <w:p w14:paraId="2B8B3431">
      <w:pPr>
        <w:pStyle w:val="1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本项目所属行业：软件和信息技术服务业</w:t>
      </w:r>
    </w:p>
    <w:tbl>
      <w:tblPr>
        <w:tblStyle w:val="25"/>
        <w:tblW w:w="0" w:type="auto"/>
        <w:tblInd w:w="0" w:type="dxa"/>
        <w:tblLayout w:type="fixed"/>
        <w:tblCellMar>
          <w:top w:w="0" w:type="dxa"/>
          <w:left w:w="108" w:type="dxa"/>
          <w:bottom w:w="0" w:type="dxa"/>
          <w:right w:w="108" w:type="dxa"/>
        </w:tblCellMar>
      </w:tblPr>
      <w:tblGrid>
        <w:gridCol w:w="603"/>
        <w:gridCol w:w="1480"/>
        <w:gridCol w:w="692"/>
        <w:gridCol w:w="703"/>
        <w:gridCol w:w="5998"/>
      </w:tblGrid>
      <w:tr w14:paraId="08551EA7">
        <w:tblPrEx>
          <w:tblCellMar>
            <w:top w:w="0" w:type="dxa"/>
            <w:left w:w="108" w:type="dxa"/>
            <w:bottom w:w="0" w:type="dxa"/>
            <w:right w:w="108" w:type="dxa"/>
          </w:tblCellMar>
        </w:tblPrEx>
        <w:trPr>
          <w:trHeight w:val="462" w:hRule="atLeast"/>
        </w:trPr>
        <w:tc>
          <w:tcPr>
            <w:tcW w:w="9476" w:type="dxa"/>
            <w:gridSpan w:val="5"/>
            <w:tcBorders>
              <w:top w:val="single" w:color="auto" w:sz="4" w:space="0"/>
              <w:left w:val="single" w:color="auto" w:sz="4" w:space="0"/>
              <w:bottom w:val="single" w:color="auto" w:sz="4" w:space="0"/>
              <w:right w:val="single" w:color="auto" w:sz="4" w:space="0"/>
            </w:tcBorders>
            <w:noWrap/>
            <w:vAlign w:val="center"/>
          </w:tcPr>
          <w:p w14:paraId="42BBF874">
            <w:pPr>
              <w:widowControl/>
              <w:spacing w:line="3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bCs/>
                <w:color w:val="auto"/>
                <w:kern w:val="0"/>
                <w:sz w:val="24"/>
                <w:highlight w:val="none"/>
              </w:rPr>
              <w:t>项目要求及技术需求</w:t>
            </w:r>
          </w:p>
        </w:tc>
      </w:tr>
      <w:tr w14:paraId="605290ED">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062A5B20">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项号</w:t>
            </w:r>
          </w:p>
        </w:tc>
        <w:tc>
          <w:tcPr>
            <w:tcW w:w="1480" w:type="dxa"/>
            <w:tcBorders>
              <w:top w:val="single" w:color="auto" w:sz="4" w:space="0"/>
              <w:left w:val="nil"/>
              <w:bottom w:val="single" w:color="auto" w:sz="4" w:space="0"/>
              <w:right w:val="single" w:color="auto" w:sz="4" w:space="0"/>
            </w:tcBorders>
            <w:noWrap/>
            <w:vAlign w:val="center"/>
          </w:tcPr>
          <w:p w14:paraId="7FBE9076">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标的名称</w:t>
            </w:r>
          </w:p>
        </w:tc>
        <w:tc>
          <w:tcPr>
            <w:tcW w:w="692" w:type="dxa"/>
            <w:tcBorders>
              <w:top w:val="single" w:color="auto" w:sz="4" w:space="0"/>
              <w:left w:val="nil"/>
              <w:bottom w:val="single" w:color="auto" w:sz="4" w:space="0"/>
              <w:right w:val="single" w:color="auto" w:sz="4" w:space="0"/>
            </w:tcBorders>
            <w:noWrap/>
            <w:vAlign w:val="center"/>
          </w:tcPr>
          <w:p w14:paraId="52B2516B">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数量</w:t>
            </w:r>
          </w:p>
        </w:tc>
        <w:tc>
          <w:tcPr>
            <w:tcW w:w="703" w:type="dxa"/>
            <w:tcBorders>
              <w:top w:val="single" w:color="auto" w:sz="4" w:space="0"/>
              <w:left w:val="nil"/>
              <w:bottom w:val="single" w:color="auto" w:sz="4" w:space="0"/>
              <w:right w:val="single" w:color="auto" w:sz="4" w:space="0"/>
            </w:tcBorders>
            <w:noWrap/>
            <w:vAlign w:val="center"/>
          </w:tcPr>
          <w:p w14:paraId="5DFBB704">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5998" w:type="dxa"/>
            <w:tcBorders>
              <w:top w:val="single" w:color="auto" w:sz="4" w:space="0"/>
              <w:left w:val="nil"/>
              <w:bottom w:val="single" w:color="auto" w:sz="4" w:space="0"/>
              <w:right w:val="single" w:color="auto" w:sz="4" w:space="0"/>
            </w:tcBorders>
            <w:noWrap/>
            <w:vAlign w:val="center"/>
          </w:tcPr>
          <w:p w14:paraId="46300ABB">
            <w:pPr>
              <w:widowControl/>
              <w:spacing w:line="340" w:lineRule="exact"/>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技术参数及性能（配置）要求</w:t>
            </w:r>
          </w:p>
        </w:tc>
      </w:tr>
      <w:tr w14:paraId="51C22A86">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4C6A70F6">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1480" w:type="dxa"/>
            <w:tcBorders>
              <w:top w:val="single" w:color="auto" w:sz="4" w:space="0"/>
              <w:left w:val="nil"/>
              <w:bottom w:val="single" w:color="auto" w:sz="4" w:space="0"/>
              <w:right w:val="single" w:color="auto" w:sz="4" w:space="0"/>
            </w:tcBorders>
            <w:noWrap/>
            <w:vAlign w:val="center"/>
          </w:tcPr>
          <w:p w14:paraId="7F16918B">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智能网联无人驾驶乘用车平台</w:t>
            </w:r>
          </w:p>
        </w:tc>
        <w:tc>
          <w:tcPr>
            <w:tcW w:w="692" w:type="dxa"/>
            <w:tcBorders>
              <w:top w:val="single" w:color="auto" w:sz="4" w:space="0"/>
              <w:left w:val="nil"/>
              <w:bottom w:val="single" w:color="auto" w:sz="4" w:space="0"/>
              <w:right w:val="single" w:color="auto" w:sz="4" w:space="0"/>
            </w:tcBorders>
            <w:noWrap/>
            <w:vAlign w:val="center"/>
          </w:tcPr>
          <w:p w14:paraId="7C2801A2">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76D5EDD6">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2056EE6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一、车辆技术要求：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1.无人车本身的子系统线控底盘车辆进入《道路机动车辆生产企业及产品公告》目录；</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2.无人车尺寸：长度≤3100mm；宽度≥1600mm，高度≤2000mm；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3.质量≥1000kg；</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4.转向半径≥4.5米；</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5.底盘结构：阿克曼转向；</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6.座位≤2座；</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7.最小离地间隙≥150mm；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8.驾驶模式：支持有人驾驶、无人驾驶双模式；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9.有人驾驶速度≥90km/h；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10.自动驾驶最高速度≤10km/h；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11.电池容量≥31.9kWh；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12.续航里程≥250km（气温25°C，10km/h等速巡航标准测试工况）；</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13.使用环境温度：-20℃~50℃；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14.存储环境温度：-40~70°C；</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二、自动驾驶套件参数</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1.自动驾驶域控制器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1.1自主导航控制器： Xavier + TC397 芯片。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1.2域控制器：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（1）算力：不低于 64TOPS+1.3TFLOPS；</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（2）工作电压： 9-32V；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（3）工作温度： -25℃~75℃；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2.组合导航控制器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组合导航控制器：连接 GNSS  蘑菇头天线、 4G  天线、WiFi  天线，组合导航结果将结果传输到自主导航控制器的 Xavier 上。</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3.一个16线主激光雷达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功耗：12W；工作电压;9~32V；重量：0.87KG；工作温度：-30°~＋60°；尺寸：直径109mm*高80.7mm；测距;0.4m~150m；精度：±2cm；视角（垂直）：30°；视角（水平）：360°。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4.两个32线补盲激光雷达，分别位于车的前端与后端，前后激光雷达盲区≤20cm。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功耗：13W；工作电压;9~32V；重量：0.92KG；尺寸：直径100mm*高111mm；测距;0.1m~30m；精度：±3cm；视角（垂直）：90°；视角（水平）：360°。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5.一个车载感知摄像头H60、四个车载环视摄像头H190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6.一个毫米波雷达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（1）近距：0.39m,0.2m@静止目标；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（2）距离测量精度：精度远距0.4m,近距0.1m；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（3）水平视场角：远距:±9°,近距:±60°；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（4）垂直视场角：远距:14°,近距:20°；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（5）水平测角分辨率：远距1.6°,近距3.2°@±45°,12.3°@±60°；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（6）雷达频率：76-77GHz；</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（7）工作电压:8-32V DC；</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（8）工作温度:-40°C-85°C。</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7.支持传感器的成像功能。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▲三、自动驾驶功能：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1.基于AI的非高精地图特种专用技术路线，组合导航及自主系统软硬件均不得采用激光SLAM，以保障安保的数据安全；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2.设备支持固定循迹、绕圈循迹、倒车往复循迹、一键返航、定点停车、自主避障的功能。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四、手机 APP 交互要具备以下功能：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●1.具备手机APP交互，支持手机APP实现对车辆的任务部署和循迹设定。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部署时间：快速部署功能：车辆进行作业时，用户可以通过人机交互界面进行路径记录，然后根据记录的文件进行循迹任务下发，方便自动驾驶车辆的快速部署。10km的应用路径可在1小时内部署完毕并交付使用，无额外交付成本。</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3.支持WIFI入口和公网入口两种方式。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●4.APP主界面支持显示电池电量、当前车速、定位状态、驾驶模式、网络状态、故障提示信息、车辆状态、自主模式控制按键。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●5.支持车身控制：点击不同控制按键，可控制车辆近光灯、远光灯、补光灯开闭等。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●6.支持手机APP端路线采集、任务部署。</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7.支持手机端电子围栏设置。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8.支持手机端切换手动/自动驾驶模式。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●9.支持车辆故障监控及故障查询：进入车辆故障监控界面，绿色表示该模块运行正常，灰色表示该模块未启动，其他色表示模块有故障，点击有故障的模块弹出故障信息弹窗可查询故障信息。</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10.故障提示：发生故障时，支持在设备主页面提示。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11.车辆信息显示：支持显示主车实时车速；支持显示主车电量（电动车）；支持显示主车实时定位状态；支持显示主车实时档位；支持显示主车当前驾驶模式；支持车辆急停控制；支持下发车辆急停控制。</w:t>
            </w:r>
          </w:p>
        </w:tc>
      </w:tr>
      <w:tr w14:paraId="2617ECC7">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6E2332CA">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2</w:t>
            </w:r>
          </w:p>
        </w:tc>
        <w:tc>
          <w:tcPr>
            <w:tcW w:w="1480" w:type="dxa"/>
            <w:tcBorders>
              <w:top w:val="single" w:color="auto" w:sz="4" w:space="0"/>
              <w:left w:val="nil"/>
              <w:bottom w:val="single" w:color="auto" w:sz="4" w:space="0"/>
              <w:right w:val="single" w:color="auto" w:sz="4" w:space="0"/>
            </w:tcBorders>
            <w:noWrap/>
            <w:vAlign w:val="center"/>
          </w:tcPr>
          <w:p w14:paraId="4FF3FC83">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深度学习无人驾驶小车和无人驾驶实验小型沙盘平台</w:t>
            </w:r>
          </w:p>
        </w:tc>
        <w:tc>
          <w:tcPr>
            <w:tcW w:w="692" w:type="dxa"/>
            <w:tcBorders>
              <w:top w:val="single" w:color="auto" w:sz="4" w:space="0"/>
              <w:left w:val="nil"/>
              <w:bottom w:val="single" w:color="auto" w:sz="4" w:space="0"/>
              <w:right w:val="single" w:color="auto" w:sz="4" w:space="0"/>
            </w:tcBorders>
            <w:noWrap/>
            <w:vAlign w:val="center"/>
          </w:tcPr>
          <w:p w14:paraId="6AB4809F">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53121136">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0A6392A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一、平台要求:</w:t>
            </w:r>
          </w:p>
          <w:p w14:paraId="7455A2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面向院校开发的无人驾驶教学平台，套装包含无人驾驶智能车、智能沙盘小车、无人驾驶智能小车控制系统、无人驾驶智能沙盘运行系统、模拟交通沙盘、实训课程；智能车集激光雷达、摄像头、超声波雷达等传感器于一体，具备环境感知、自动规划路径、障碍物识别、自主泊车、高精度地图等无人驾驶功能；配套模拟交通沙盘和教学课程，可进行车道线识别、红绿灯识别、动态避障、倒车避障、多车协同等实训项目的教学，满足智能网联专业学生教学。</w:t>
            </w:r>
          </w:p>
          <w:p w14:paraId="3D81BFC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二、产品功能:</w:t>
            </w:r>
          </w:p>
          <w:p w14:paraId="24C7484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1.超声波雷达障碍物检测；</w:t>
            </w:r>
          </w:p>
          <w:p w14:paraId="4CE7BB1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2.支持激光雷达地图构建、自主导航；</w:t>
            </w:r>
          </w:p>
          <w:p w14:paraId="2B87460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3.IMU（陀螺仪）标定+GPS标定；</w:t>
            </w:r>
          </w:p>
          <w:p w14:paraId="53E0AEE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4.线速度标定+角速度标定；</w:t>
            </w:r>
          </w:p>
          <w:p w14:paraId="12E4946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▲5.支持自主泊车入位；</w:t>
            </w:r>
          </w:p>
          <w:p w14:paraId="7302DC4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6.可实现动静态障碍物避障；</w:t>
            </w:r>
          </w:p>
          <w:p w14:paraId="291393E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7.倒车避障；</w:t>
            </w:r>
          </w:p>
          <w:p w14:paraId="676364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8.自主路径规划；</w:t>
            </w:r>
          </w:p>
          <w:p w14:paraId="6DB52BA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9.无线ps2遥控，自动驾驶模式与手动驾驶模式一键切换；</w:t>
            </w:r>
          </w:p>
          <w:p w14:paraId="3B2CAE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10.车道线识别；</w:t>
            </w:r>
          </w:p>
          <w:p w14:paraId="786CD06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11.红绿灯识别；</w:t>
            </w:r>
          </w:p>
          <w:p w14:paraId="7206A0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12.视觉跟随；</w:t>
            </w:r>
          </w:p>
          <w:p w14:paraId="0557340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13.手机APP远程遥控；</w:t>
            </w:r>
          </w:p>
          <w:p w14:paraId="70E2436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14.满足无人驾驶智能车自主导航需求；</w:t>
            </w:r>
          </w:p>
          <w:p w14:paraId="2A6FF5E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15可实现静态障碍物与动态障碍物的避障所需求的场景；</w:t>
            </w:r>
          </w:p>
          <w:p w14:paraId="13A330C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16.支持车道线识别；</w:t>
            </w:r>
          </w:p>
          <w:p w14:paraId="2955B7B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17.支持红绿灯识别；</w:t>
            </w:r>
          </w:p>
          <w:p w14:paraId="073778D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18.支持交通标志识别；</w:t>
            </w:r>
          </w:p>
          <w:p w14:paraId="00E664F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19.满足无人驾驶智能车深度学习自动驾驶；</w:t>
            </w:r>
          </w:p>
          <w:p w14:paraId="2F7E0DE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20.支持多车协同自动驾驶。</w:t>
            </w:r>
          </w:p>
          <w:p w14:paraId="19A62DA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三、技术参数：</w:t>
            </w:r>
          </w:p>
          <w:p w14:paraId="139982B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1.整车尺寸（L*W*H)：≥350*220*205mm；</w:t>
            </w:r>
          </w:p>
          <w:p w14:paraId="78A1491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2.车身尺寸（L*W*H)：≥400*220*110mm；</w:t>
            </w:r>
          </w:p>
          <w:p w14:paraId="1DB6CF7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3.驱动方式：①后轮驱动，前轮转向，配专用电机及驱动器，转弯半径为45cm，速度可调；②差速转向，配专用电机及驱动器，可实现R=0转弯，速度可调；</w:t>
            </w:r>
          </w:p>
          <w:p w14:paraId="4033BE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4.电机功率：①3W，低速电机最大速度0.2m/s，载重8kg；②3W，低速电机最大速度0.2m/s，载重8kg，高速电机最大速度1m/s，载重3kg；</w:t>
            </w:r>
          </w:p>
          <w:p w14:paraId="66A3D6E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5.控制器：STM32单片机；</w:t>
            </w:r>
          </w:p>
          <w:p w14:paraId="56CFEA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6.计算板：英伟达jetsonnano，负责上层ROS系统以及算法模型运行；</w:t>
            </w:r>
          </w:p>
          <w:p w14:paraId="745F14B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7.激光雷达：12米测量半径、360度扫描测距、OPTMAG光磁融合；</w:t>
            </w:r>
          </w:p>
          <w:p w14:paraId="71C876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8.视觉传感器：双目相机（同时输出rgb图和深度图，像素1280*720，有效距离0.6m-4m）；</w:t>
            </w:r>
          </w:p>
          <w:p w14:paraId="156A272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9.软件：支持标准C语言、C++、Python编程，提供基本算法源代码；</w:t>
            </w:r>
          </w:p>
          <w:p w14:paraId="4E9730B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驱动器（电机驱动）：2路，最大驱动电流：7A；电压输入24V；欠压保护；</w:t>
            </w:r>
          </w:p>
          <w:p w14:paraId="563CA03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10.能源：12v、容量：5600mAH。</w:t>
            </w:r>
          </w:p>
          <w:p w14:paraId="46355F8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四、模拟交通沙盘：</w:t>
            </w:r>
          </w:p>
          <w:p w14:paraId="674EE51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1.沙盘简介：</w:t>
            </w:r>
          </w:p>
          <w:p w14:paraId="71E6262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智能驾驶交通沙盘整体木质结构，采用拼装式设计，拆卸和移动比较方便，由仿真公路、仿真草坪、景物微观、ABS板、道路防护林、停车场、红绿灯、交通标志等组成，可满足智能小车车道线识别、红绿灯识别、交通标志识别、导航避障、自主泊车、多车协同、倒车避障等实训场景。</w:t>
            </w:r>
          </w:p>
          <w:p w14:paraId="2ABA690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2.沙盘参数：</w:t>
            </w:r>
          </w:p>
          <w:p w14:paraId="16B9568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2.1整体尺寸：长≥4800mm宽≥3600mm高≥700mm</w:t>
            </w:r>
          </w:p>
          <w:p w14:paraId="58D5D6D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2.2结构组成：木质结构，</w:t>
            </w:r>
          </w:p>
          <w:p w14:paraId="4C70763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2.3仿真公路：仿真公路采用木板和ABS板组成，厚度≥19mm。</w:t>
            </w:r>
          </w:p>
          <w:p w14:paraId="01990A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2.4仿真草坪：采用高端的涂层涂覆，草丝拔脱力性能优良，采用进口PP基布有效锁定草丝，抗拉强度相对更高更牢固。</w:t>
            </w:r>
          </w:p>
          <w:p w14:paraId="27AB8A1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2.5红绿灯：长≥210mm宽≥120mm高≥210mm</w:t>
            </w:r>
          </w:p>
          <w:p w14:paraId="3808564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2.6交通标志：包含左转、右转、停车三个标志，高≥230mm宽≥200mm厚度≥2mm</w:t>
            </w:r>
          </w:p>
          <w:p w14:paraId="00E312E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2.7道路防护林：使用100mm-170mm的仿真树构成了沙盘景观防护林，防护林覆盖了仿真公路两侧及仿真建筑两侧。</w:t>
            </w:r>
          </w:p>
          <w:p w14:paraId="589F63A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2.8停车场：按照智能小车的尺寸，可停放3-6辆智能小车，满足智能小车自主泊车的场景。</w:t>
            </w:r>
          </w:p>
          <w:p w14:paraId="26FF6A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2.9景物微观：模拟景观包含篮球场地、足球场、仿真学校建筑、小区建筑以及花坛景观等组成。</w:t>
            </w:r>
          </w:p>
          <w:p w14:paraId="7718171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2.10沙盘平台：满足路面载荷测试要求，承重80kg以上，满足多辆测试车辆上台的强度和稳定性要求。</w:t>
            </w:r>
          </w:p>
          <w:p w14:paraId="094BA62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2.11选用表面喷漆对道路框架进行防腐处理。</w:t>
            </w:r>
          </w:p>
          <w:p w14:paraId="328BDF5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2.12拼接过程中不出现应力。</w:t>
            </w:r>
          </w:p>
          <w:p w14:paraId="41E87BF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2.13拼接单元见的接口无偏差。</w:t>
            </w:r>
          </w:p>
          <w:p w14:paraId="60925D4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2.14表面进行喷漆防腐处理。</w:t>
            </w:r>
          </w:p>
          <w:p w14:paraId="105CB8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2.15两侧进行倒角磨屑处理。</w:t>
            </w:r>
          </w:p>
          <w:p w14:paraId="06E858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2.16底端采用加固增加防倾倒底座。</w:t>
            </w:r>
          </w:p>
          <w:p w14:paraId="6D0BDC6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2.17顶端采用加固增加固定及连接支撑平台，并预留出连接需要的连接孔。</w:t>
            </w:r>
          </w:p>
          <w:p w14:paraId="76F676F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▲五、实训课程</w:t>
            </w:r>
          </w:p>
          <w:p w14:paraId="477F0D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1.安全注意事项；</w:t>
            </w:r>
          </w:p>
          <w:p w14:paraId="7D67350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2.智能小车设计认知；</w:t>
            </w:r>
          </w:p>
          <w:p w14:paraId="0B1E9A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2.1项目一：智能小车硬件系统认知；</w:t>
            </w:r>
          </w:p>
          <w:p w14:paraId="2899CBB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2.2项目二：智能小车控制系统认知；</w:t>
            </w:r>
          </w:p>
          <w:p w14:paraId="0E4555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3.专业技能实训；</w:t>
            </w:r>
          </w:p>
          <w:p w14:paraId="64B62EF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3.1模块一嵌入式实训；</w:t>
            </w:r>
          </w:p>
          <w:p w14:paraId="2C9D917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3.1.1项目一Linux基础；</w:t>
            </w:r>
          </w:p>
          <w:p w14:paraId="18C9C4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3.1.2项目二ROS机器人操作系统；</w:t>
            </w:r>
          </w:p>
          <w:p w14:paraId="1F655B6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3.2模块二超声波雷达实训；</w:t>
            </w:r>
          </w:p>
          <w:p w14:paraId="2DE5BE6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3.2.1项目一超声波雷达结构认识；</w:t>
            </w:r>
          </w:p>
          <w:p w14:paraId="2C7F21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3.2.2项目二超声波雷达的拆装与调整；</w:t>
            </w:r>
          </w:p>
          <w:p w14:paraId="2759BCD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3.2.3项目三超声波雷达障碍物检测；</w:t>
            </w:r>
          </w:p>
          <w:p w14:paraId="3BCDC97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3.3模块三激光雷达实训；</w:t>
            </w:r>
          </w:p>
          <w:p w14:paraId="5CD2FA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3.3.1项目一激光雷达结构认识；</w:t>
            </w:r>
          </w:p>
          <w:p w14:paraId="6BCA00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3.3.2项目二激光雷达的拆装与调整；</w:t>
            </w:r>
          </w:p>
          <w:p w14:paraId="700B70A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3.3.3项目三激光雷达SLAM建图与定位；</w:t>
            </w:r>
          </w:p>
          <w:p w14:paraId="1D55638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3.3.4项目四激光雷达自动导航；</w:t>
            </w:r>
          </w:p>
          <w:p w14:paraId="16555D2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3.3.5项目五激光雷达点云数据读取与解析；</w:t>
            </w:r>
          </w:p>
          <w:p w14:paraId="3A6427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3.4模块四视觉传感器实训；</w:t>
            </w:r>
          </w:p>
          <w:p w14:paraId="7217FE0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3.4.1项目一视觉传感器达结构认识；</w:t>
            </w:r>
          </w:p>
          <w:p w14:paraId="211AB0F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3.4.2项目二视觉传感器的拆装；</w:t>
            </w:r>
          </w:p>
          <w:p w14:paraId="1E42136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3.4.3项目三视觉传感器标定；</w:t>
            </w:r>
          </w:p>
          <w:p w14:paraId="581D3FF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3.4.4项目四车道线检测；</w:t>
            </w:r>
          </w:p>
          <w:p w14:paraId="5A50DDD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3.4.5项目七交通标识识别；</w:t>
            </w:r>
          </w:p>
          <w:p w14:paraId="7AA59AF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3.4.6项目八红绿灯识别；</w:t>
            </w:r>
          </w:p>
          <w:p w14:paraId="258CC68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3.5模块五定位与导航传感器实训；</w:t>
            </w:r>
          </w:p>
          <w:p w14:paraId="47059D7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3.5.1项目一定位与导航传感器结构认识；</w:t>
            </w:r>
          </w:p>
          <w:p w14:paraId="51525B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3.5.2项目三GPS标定；</w:t>
            </w:r>
          </w:p>
          <w:p w14:paraId="198FF49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4.综合设计实训</w:t>
            </w:r>
          </w:p>
          <w:p w14:paraId="62AD25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4.1项目一基于Mouse建图；</w:t>
            </w:r>
          </w:p>
          <w:p w14:paraId="6563F17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4.2项目二基于KartoSLAM算法建图；</w:t>
            </w:r>
          </w:p>
          <w:p w14:paraId="440316E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4.3项目三基于HectorSLAM算法建图；</w:t>
            </w:r>
          </w:p>
          <w:p w14:paraId="3F37957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4.4项目四基于Cartorrapher算法建图；</w:t>
            </w:r>
          </w:p>
          <w:p w14:paraId="112AD36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4.5项目五基于视觉自动循迹行驶；</w:t>
            </w:r>
          </w:p>
          <w:p w14:paraId="61DAE3F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4.6项目六智能汽车的速度控制；</w:t>
            </w:r>
          </w:p>
          <w:p w14:paraId="4EB1017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5.创新实训</w:t>
            </w:r>
          </w:p>
          <w:p w14:paraId="7A92AC7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5.1项目一基于无人驾驶算法倒车入库；</w:t>
            </w:r>
          </w:p>
          <w:p w14:paraId="56B68F0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5.2项目二激光雷达自动跟随；</w:t>
            </w:r>
          </w:p>
          <w:p w14:paraId="0D3EDA5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5.3项目三基于IMU（陀螺仪）标定；</w:t>
            </w:r>
          </w:p>
          <w:p w14:paraId="4D89140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5.4项目四线速度标定；</w:t>
            </w:r>
          </w:p>
          <w:p w14:paraId="5856D0A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5.5项目五角速度标定；</w:t>
            </w:r>
          </w:p>
          <w:p w14:paraId="12507F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5.6项目六基于激光雷达的多点导航；</w:t>
            </w:r>
          </w:p>
        </w:tc>
      </w:tr>
      <w:tr w14:paraId="5C3EC56D">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40EA7C38">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3</w:t>
            </w:r>
          </w:p>
        </w:tc>
        <w:tc>
          <w:tcPr>
            <w:tcW w:w="1480" w:type="dxa"/>
            <w:tcBorders>
              <w:top w:val="single" w:color="auto" w:sz="4" w:space="0"/>
              <w:left w:val="nil"/>
              <w:bottom w:val="single" w:color="auto" w:sz="4" w:space="0"/>
              <w:right w:val="single" w:color="auto" w:sz="4" w:space="0"/>
            </w:tcBorders>
            <w:noWrap/>
            <w:vAlign w:val="center"/>
          </w:tcPr>
          <w:p w14:paraId="4321ED42">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网联汽车智能化控制技术综合实训系统平台</w:t>
            </w:r>
          </w:p>
        </w:tc>
        <w:tc>
          <w:tcPr>
            <w:tcW w:w="692" w:type="dxa"/>
            <w:tcBorders>
              <w:top w:val="single" w:color="auto" w:sz="4" w:space="0"/>
              <w:left w:val="nil"/>
              <w:bottom w:val="single" w:color="auto" w:sz="4" w:space="0"/>
              <w:right w:val="single" w:color="auto" w:sz="4" w:space="0"/>
            </w:tcBorders>
            <w:noWrap/>
            <w:vAlign w:val="center"/>
          </w:tcPr>
          <w:p w14:paraId="6F42956E">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2F9AF3E2">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4C515AE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一、低速车辆</w:t>
            </w:r>
          </w:p>
          <w:p w14:paraId="2DB387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1.能源类型：纯电动；</w:t>
            </w:r>
          </w:p>
          <w:p w14:paraId="355ACA8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2.车辆规格：≥2050mm*990mm*1935mm（长*宽*高）；</w:t>
            </w:r>
          </w:p>
          <w:p w14:paraId="4D5504F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3.上装支架：桁架式支架（桁架采用为圆管喷塑，外壳采用玻璃钢材质）；</w:t>
            </w:r>
          </w:p>
          <w:p w14:paraId="6CEF939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4.整车质量：≤320kg，最大承重≥500kg；</w:t>
            </w:r>
          </w:p>
          <w:p w14:paraId="065FFB9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5.最小转弯半径：≤2800mm；</w:t>
            </w:r>
          </w:p>
          <w:p w14:paraId="4D01D33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6.离地间隙：≥145mm；</w:t>
            </w:r>
          </w:p>
          <w:p w14:paraId="44D7E3A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7.轴距：≤1100mm；</w:t>
            </w:r>
          </w:p>
          <w:p w14:paraId="65C59B7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8.轮距：≤800mm；</w:t>
            </w:r>
          </w:p>
          <w:p w14:paraId="4A3BE3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9.最大车速：≥20km/h；</w:t>
            </w:r>
          </w:p>
          <w:p w14:paraId="1B0FB1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10.续航里程：≥80km；</w:t>
            </w:r>
          </w:p>
          <w:p w14:paraId="4C35D48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11.爬坡能力：≥20%；</w:t>
            </w:r>
          </w:p>
          <w:p w14:paraId="4BB32DF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12.底盘结构：前双叉臂独立悬挂+后整体桥拖拽臂；</w:t>
            </w:r>
          </w:p>
          <w:p w14:paraId="0097E64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二、车架及车身系统</w:t>
            </w:r>
          </w:p>
          <w:p w14:paraId="0F8CD52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1.车架形式：桁架式高强度车架；</w:t>
            </w:r>
          </w:p>
          <w:p w14:paraId="1236C4D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2.车壳防护等级IP55；</w:t>
            </w:r>
          </w:p>
          <w:p w14:paraId="12D0063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三、悬架系统</w:t>
            </w:r>
          </w:p>
          <w:p w14:paraId="61FC957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1.前悬架形式：双叉臂独立悬挂；</w:t>
            </w:r>
          </w:p>
          <w:p w14:paraId="350CF0F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2.后悬架形式：拖曳臂一体桥结构；</w:t>
            </w:r>
          </w:p>
          <w:p w14:paraId="34EDBCD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四、线控驱动/制动系统</w:t>
            </w:r>
          </w:p>
          <w:p w14:paraId="7A19A9C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1.驱动方式：后轮单电机驱动；</w:t>
            </w:r>
          </w:p>
          <w:p w14:paraId="22116FF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2.控制方式：转速控制额定功率：≥1.2kW；</w:t>
            </w:r>
          </w:p>
          <w:p w14:paraId="0E6F8A1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3.额定电压：≥48V；</w:t>
            </w:r>
          </w:p>
          <w:p w14:paraId="5334F8F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4.最高转速：≥3000rpm；</w:t>
            </w:r>
          </w:p>
          <w:p w14:paraId="3D7972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5.制动方式：线控液压制动（行车制动，基于ibooster的电液制动），EPB（行驻一体拉线式驻车制动）；</w:t>
            </w:r>
          </w:p>
          <w:p w14:paraId="76F559D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五、线控转向系统</w:t>
            </w:r>
          </w:p>
          <w:p w14:paraId="6CB064A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1.转向形式：前桥阿克曼转向（高精度伺服电机）；</w:t>
            </w:r>
          </w:p>
          <w:p w14:paraId="30D17BF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2.控制方式：转速/角度/位置；</w:t>
            </w:r>
          </w:p>
          <w:p w14:paraId="5518E22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3.额定功率：≥220W；</w:t>
            </w:r>
          </w:p>
          <w:p w14:paraId="21FF91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4.额定电压：≥12V；</w:t>
            </w:r>
          </w:p>
          <w:p w14:paraId="26C5DEC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5.响应时间：≤50ms；</w:t>
            </w:r>
          </w:p>
          <w:p w14:paraId="043BD91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6.控制精度：±1°；</w:t>
            </w:r>
          </w:p>
          <w:p w14:paraId="6424CC4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7.系统具有过载保护；</w:t>
            </w:r>
          </w:p>
          <w:p w14:paraId="7CA875C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六、底盘控制系统</w:t>
            </w:r>
          </w:p>
          <w:p w14:paraId="4FD1A11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1.底盘VCU：车规级VCU；</w:t>
            </w:r>
          </w:p>
          <w:p w14:paraId="7074DEA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2.通讯方式：CAN通讯；</w:t>
            </w:r>
          </w:p>
          <w:p w14:paraId="2D586B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3.开发环境：KEIL；</w:t>
            </w:r>
          </w:p>
          <w:p w14:paraId="3B04B55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4.车辆具备故障报警功能，可通过上位机读取故障信息</w:t>
            </w:r>
          </w:p>
          <w:p w14:paraId="22332EB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车辆可响应一、二、三级别故障，执行报警，降功率，切断电源的处理方式；</w:t>
            </w:r>
          </w:p>
          <w:p w14:paraId="1B23DC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七、动力电池系统</w:t>
            </w:r>
          </w:p>
          <w:p w14:paraId="669C4F2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1.形式：车规级三元锂电池；</w:t>
            </w:r>
          </w:p>
          <w:p w14:paraId="5D7ED3D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2.额定电压：≥48V；</w:t>
            </w:r>
          </w:p>
          <w:p w14:paraId="4981EA5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3.额定电流：≥70A；</w:t>
            </w:r>
          </w:p>
          <w:p w14:paraId="7C24C1E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4.电量：≥3kWh；</w:t>
            </w:r>
          </w:p>
          <w:p w14:paraId="391FC2C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5.电池箱防水等级：不低于IP66；</w:t>
            </w:r>
          </w:p>
          <w:p w14:paraId="4AE5295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6.BMS系统：具备过充、过放、短接、高温等保护通讯接口：支持CAN总线方式；</w:t>
            </w:r>
          </w:p>
          <w:p w14:paraId="626C82F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7.可读取电池主要参数：包含且不少于剩余电量、实时电流、当前电压、当前温度、自定义报警信息等；</w:t>
            </w:r>
          </w:p>
          <w:p w14:paraId="1CD9D5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8.充电器：≥750w；</w:t>
            </w:r>
          </w:p>
        </w:tc>
      </w:tr>
      <w:tr w14:paraId="3DDD18E7">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034D83C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4</w:t>
            </w:r>
          </w:p>
        </w:tc>
        <w:tc>
          <w:tcPr>
            <w:tcW w:w="1480" w:type="dxa"/>
            <w:tcBorders>
              <w:top w:val="single" w:color="auto" w:sz="4" w:space="0"/>
              <w:left w:val="nil"/>
              <w:bottom w:val="single" w:color="auto" w:sz="4" w:space="0"/>
              <w:right w:val="single" w:color="auto" w:sz="4" w:space="0"/>
            </w:tcBorders>
            <w:noWrap/>
            <w:vAlign w:val="center"/>
          </w:tcPr>
          <w:p w14:paraId="522A3396">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智能网联汽车环境感知技术应用实训平台</w:t>
            </w:r>
          </w:p>
        </w:tc>
        <w:tc>
          <w:tcPr>
            <w:tcW w:w="692" w:type="dxa"/>
            <w:tcBorders>
              <w:top w:val="single" w:color="auto" w:sz="4" w:space="0"/>
              <w:left w:val="nil"/>
              <w:bottom w:val="single" w:color="auto" w:sz="4" w:space="0"/>
              <w:right w:val="single" w:color="auto" w:sz="4" w:space="0"/>
            </w:tcBorders>
            <w:noWrap/>
            <w:vAlign w:val="center"/>
          </w:tcPr>
          <w:p w14:paraId="15BF80D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56561B15">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00B3C90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一、实训平台要求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用于理论教学、实训及考核，台架通过部署毫米波雷达、超声波雷达、激光雷达、相机、组合导航实现智能传感器的原理介绍、结构展示、装配、数据检测及考核功能。包含毫米波雷达、超声波雷达、激光雷达、相机、组合导航，配套软件，仪器仪表工具以及其他配套模块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二、实训台配置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1、操作台</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尺寸≥1200×500×1580mm（L×W×H），钣金外壳，含示教面板用于设备原理教学。</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2、激光雷达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2.1水平视角：360度；</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2.2垂直视场角：-16°～ +14°；</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2.3探测距离：≥150m；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2.4测距准度：±3cm；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2.5测距通道不低于16线；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2.6提供百兆以太网数据输出，包含距离、旋转角度、反射率等信息；</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2.7工作温度至少满足：-20℃～85℃；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2.8工作电压：9～32V；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2.9防护等级：不低于IP67。</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3.毫米波雷达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3.1工作频率范围：76GHz～77GHz；</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3.探测距离范围（远距）：0.2m～250m；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3.距离测量分辨率：远距±1.79m；近距±0.39m；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3.距离测量精度：远距±0.40m；近距±0.10m；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3.速度范围：-400km/h～+200km/h(-去向目标～+来向目标)；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3.速度分辨率：远距0.37km/h，近距0.43km/h；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3.速度精度：±0.1km/h；</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3.探测目标类型：远离目标、靠近目标、静止目标、横穿静止目标、横穿目标；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3.提供CAN/CANFD数据输出，至少包含跟踪目标ID、距离、速度、RCS等信息；</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3.工作温度至少满足：-40℃～85℃；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3.工作电压：9～16V；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3.防护等级：IP6K 9K/IP6K7。</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4.超声波雷达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4.1超声波稳定测距范围：200mm～3500mm；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4.波束角：10～60度可调；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4.处理板和探头工作温度-40～85度；</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4.精度：5mm（近距离）探测距离的0.5%（远距离）；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4.工作电源：+12V～24V；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4.工作电流：≤200mA。</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5、摄像头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5.1 sensor IMX291，lens Size 1/2.8；</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USB3.0接口；</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5.2最高有效像素硬件200万像素1920（H）×1080(V)；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5.3输出图像格式MJPEG/YUV2(YUVY）；</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5.4支持最高帧率1920×1080p50帧/YUV/MJPEG。</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6.组合导航</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6.1具有GNSS和IMU组合导航定位；</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6.2 IMU测量维度：加速度3维，角速度3维；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6.3量程：加速度:±2/4/8/16g（可选），角速度:±250/500/1000/2000°/s（可选），角度X、Z轴±180°，Y轴±90°；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6.4稳定性：加速度：0.01g，角速度0.05°/s；</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6.5姿态测量稳定度：0.01°；</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6.6收星频点：BDS B1I/B2I/B3I/B1C/B2a/B2b；GPS L1CA/L1C/L2C/L2P/L5；GLONASS L1/L2；Galileo E1/E5a/E5b；QZSS L1/L2/L5；SBAS L1；</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6.7单点定位精度：平面≤ 1.5m (RMS)；高程≤3.0m(RMS)；</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6.8 RTK精度：平面≤8.0mm+1ppm(RMS)；高程≤15mm+1ppm(RMS)；</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6.9支持RS-232接口；</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6.10包含组合导航主机、2个卫星天线及连接线等。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7.计算单元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7.1 GPU：显存频率不低于1590MHz，显存类型不低于4G DDR6；</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7.2内存：不少于16GB LPDDR4 2666MHz；</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7.3存储：固态硬盘，不少于500GB。</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8.CAN收发器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8.1以太网转CAN；</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8.2具有静电防护、浪涌防护；通讯隔离；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8.3工作温度工业级：-40～85℃；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8.4配置方式：网页版配置界面。</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三、设备功能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▲1.激光雷达教学软件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（1）通过上位机软件设置激光雷达参数，包括以太网、时间、电机参数等；接收激光雷达数据流，可视化显示点云。</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（2）可以通过软件设置激光雷达的外部参数x，y，z的值和俯仰角，航向角，翻滚角的值进行标定。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（3）通过激光雷达感知算法控件，通过调节探测范围、滤波阀值、分割参数等参数，改变点云识别状态并对障碍物进行标识，实现对激光雷达识别算法的理解；可以测出障碍物与试验台自身的距离。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（4）设置安全区域，安全区域内障碍物将被标志识别。</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（5）多种数据源输入，可调用激光雷达实时数据，录制的数据包、仿真实训台输出点云（需配备仿真实训台）。</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（6）提供Linux环境下激光雷达配置软件。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▲2.摄像头教学软件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（1）通过软件进行摄像头的内参标定，生成标定文件；可加载不同的标定文件，观察摄像头的畸变矫正效果。</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（2）提供包括但不限于以下算法：yolo的目标识别算法。ROI感兴趣区域车道保持算法，深度学习车道线识别算法，深度学习单目测距算法。</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（3）可通过加载不同识别算法，界面显示不同的识别功能，进行不同项目的功能实训。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（4）多种数据源输入，可调用摄像头实时数据、录制的数据包、视频图像、决策规划仿真实训台输出图像。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3.毫米波教学软件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（1）系统提供人机友好交流界面，可实时更改雷达参数设置，观测调试效果。</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（2）可准确识别静态与动态障碍物，显示距离、速度、位置等数据。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可以设置毫米波雷在x，y上的坐标值，实现外部参数的标定，显示标定后的毫米波检测图像，修改x，y坐标后可以看到障碍物相对于坐标原点的变化；检测结果可通过ROI区域设置，实现需求区域障碍物检测过滤。</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4.超声波雷达教学软件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通过发送不同指令，超声波模块可返回不同探测模式的数据，可演示不同探测模式下的探测精度和探测范围。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5.组合惯导教学软件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（1）进行组合导航标定，接收组合导航数据信息；可以实时读取GNSS卫星数据及惯导姿态数据，并使用串口指令对模块进行配置。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（2）设备具备RTK差分定位功能，可进行RTK差分定位系统原理教学实训；具备双RTK天线，进行相关定向实训。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6.感知融合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设备具备感知融合功能，通过激光雷达和摄像头的联合标定，实现感知融合结果输出，并在界面上显示。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7.传感器台架可与决策规划仿真台架联动。联动状态下可实现以下功能：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将决策规划仿真台架的传感器数据作为传感器台架算法软件的数据源，对决策规划仿真台架行驶环境数据进行处理，便于更直观的观察各种算法的输出结果，进行传感器相关教学。</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●四、实训项目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1.传感器基础知识及搭建；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2.视觉摄像头实训；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3.激光雷达实训；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4.毫米波雷达实训；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5.超声波雷达实训；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6.卫星定位导航系统实训；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7.惯性测量实训；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8.传感器调试工具软件操作实训；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9.传感器感知融合及联合标定实训；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10.传感器实际应用与配置优化实训；</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11.传感器应用与数据处理实训；</w:t>
            </w:r>
          </w:p>
          <w:p w14:paraId="3F4C1AB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▲五、配套工具系统管理软件，有入库、借出，归还等操作功能，工具设备管理系统支持产生一张空白的工具信息录入窗体，填写相关信息单击入库按钮可完成新工具的入库。</w:t>
            </w:r>
            <w:r>
              <w:rPr>
                <w:rFonts w:hint="eastAsia" w:ascii="仿宋" w:hAnsi="仿宋" w:eastAsia="仿宋" w:cs="仿宋"/>
                <w:b/>
                <w:bCs/>
                <w:color w:val="auto"/>
                <w:sz w:val="24"/>
                <w:highlight w:val="none"/>
              </w:rPr>
              <w:t>(须在响应文件中提供相关证明，如产品图文证明等)</w:t>
            </w:r>
            <w:r>
              <w:rPr>
                <w:rFonts w:hint="eastAsia" w:ascii="仿宋" w:hAnsi="仿宋" w:eastAsia="仿宋" w:cs="仿宋"/>
                <w:color w:val="auto"/>
                <w:sz w:val="24"/>
                <w:highlight w:val="none"/>
              </w:rPr>
              <w:t>。</w:t>
            </w:r>
          </w:p>
        </w:tc>
      </w:tr>
      <w:tr w14:paraId="33FB5097">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478B75A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5</w:t>
            </w:r>
          </w:p>
        </w:tc>
        <w:tc>
          <w:tcPr>
            <w:tcW w:w="1480" w:type="dxa"/>
            <w:tcBorders>
              <w:top w:val="single" w:color="auto" w:sz="4" w:space="0"/>
              <w:left w:val="nil"/>
              <w:bottom w:val="single" w:color="auto" w:sz="4" w:space="0"/>
              <w:right w:val="single" w:color="auto" w:sz="4" w:space="0"/>
            </w:tcBorders>
            <w:noWrap/>
            <w:vAlign w:val="center"/>
          </w:tcPr>
          <w:p w14:paraId="5E57F11E">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智能网联汽线控底盘技术实训平台</w:t>
            </w:r>
          </w:p>
        </w:tc>
        <w:tc>
          <w:tcPr>
            <w:tcW w:w="692" w:type="dxa"/>
            <w:tcBorders>
              <w:top w:val="single" w:color="auto" w:sz="4" w:space="0"/>
              <w:left w:val="nil"/>
              <w:bottom w:val="single" w:color="auto" w:sz="4" w:space="0"/>
              <w:right w:val="single" w:color="auto" w:sz="4" w:space="0"/>
            </w:tcBorders>
            <w:noWrap/>
            <w:vAlign w:val="center"/>
          </w:tcPr>
          <w:p w14:paraId="67E114E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4A17972F">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497515F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1、用于完成智能网联汽车底盘线控系统理实一体化教学及考核任务。通过部署线控转向系统、线控制动系统、线控驱动系统等装置，能够直观展示出典型底盘线控系统及部件的组成、结构和工作原理。 </w:t>
            </w:r>
          </w:p>
          <w:p w14:paraId="7995B7F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2、产品组成</w:t>
            </w:r>
          </w:p>
          <w:p w14:paraId="7C10A97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包含示教板，工作台，故障检测板、故障设置与显示终端、线控转向系统、线控制动系统、线控驱动系统、线控底盘、电脑和配套软件等。 </w:t>
            </w:r>
          </w:p>
          <w:p w14:paraId="135A81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3、功能要求：</w:t>
            </w:r>
          </w:p>
          <w:p w14:paraId="23AF5F9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3.1结构原理展示：展示线控转向、线控制动、线控驱动、故障检测、故障设置等系统的组成、结构和功能；展示各线控系统的工作原理 ；</w:t>
            </w:r>
          </w:p>
          <w:p w14:paraId="5999EFC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3.2装配调试：支持各线控系统及部件整车安装实训；支持控制电路信号检测 ；</w:t>
            </w:r>
          </w:p>
          <w:p w14:paraId="4E0EB0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3.3标定测试：支持各线控系统标定实训；支持接口测试；支持各线控系统功能测试；支持 CAN/CANFD 通信 </w:t>
            </w:r>
          </w:p>
          <w:p w14:paraId="60E189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3.4.故障检测：支持各线控系统的故障设置及故障检测；支持各线控系统故障设置及排除实训 ；</w:t>
            </w:r>
          </w:p>
          <w:p w14:paraId="0A9508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4.规格参数要求：</w:t>
            </w:r>
          </w:p>
          <w:p w14:paraId="5B8BCC2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基本参数： </w:t>
            </w:r>
          </w:p>
          <w:p w14:paraId="00AB70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长*宽*高≥1200mm*600mm*1600mm； </w:t>
            </w:r>
          </w:p>
          <w:p w14:paraId="40FC8A0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线控驱动/制动系统；</w:t>
            </w:r>
          </w:p>
          <w:p w14:paraId="3A435AC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驱动方式：后轮单电机驱动；</w:t>
            </w:r>
          </w:p>
          <w:p w14:paraId="1EE3BA8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控制方式：转速控制；</w:t>
            </w:r>
          </w:p>
          <w:p w14:paraId="08AA04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额定功率：≥1.2kW；</w:t>
            </w:r>
          </w:p>
          <w:p w14:paraId="58071E1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额定电压：≥48V；</w:t>
            </w:r>
          </w:p>
          <w:p w14:paraId="1AE2AC2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制动方式：四轮碟刹、线控液压制动（行车制动，基于ibooster的电液制动），EPB（行驻一体拉线式驻车制动）。</w:t>
            </w:r>
          </w:p>
          <w:p w14:paraId="31133EA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转向形式：前桥阿克曼转向（高精度伺服电机）；</w:t>
            </w:r>
          </w:p>
          <w:p w14:paraId="2847EE5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控制方式：转速/角度/位置；</w:t>
            </w:r>
          </w:p>
          <w:p w14:paraId="0487EA7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（10）额定功率：≥220W；</w:t>
            </w:r>
          </w:p>
          <w:p w14:paraId="15CE064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（11）额定电压：≥12V；</w:t>
            </w:r>
          </w:p>
          <w:p w14:paraId="3E53776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（12）响应时间：≤50ms；</w:t>
            </w:r>
          </w:p>
          <w:p w14:paraId="2D6C90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（13）控制精度：±1°；</w:t>
            </w:r>
          </w:p>
          <w:p w14:paraId="121B4B5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（14）系统具有过载保护；</w:t>
            </w:r>
          </w:p>
          <w:p w14:paraId="2F492A2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（15）底盘VCU：车规级VCU</w:t>
            </w:r>
          </w:p>
          <w:p w14:paraId="0878C12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（16）通讯方式：CAN通讯</w:t>
            </w:r>
          </w:p>
          <w:p w14:paraId="4C6E2EC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（17）车辆具备故障报警功能，可通过上位机读取故障信息。</w:t>
            </w:r>
          </w:p>
          <w:p w14:paraId="06C2084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5、产品工艺及规格</w:t>
            </w:r>
          </w:p>
          <w:p w14:paraId="5E6AA40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5.1产品分为三个部分，上部为故障检测板、故障设置与显示终端采用 4mm 厚耐腐蚀、耐创击、耐污染、绝缘、防火、防潮的高端亚格力版 UV 喷描技术加工制作，制造工艺先进，不变形，不褪色； </w:t>
            </w:r>
          </w:p>
          <w:p w14:paraId="5B6A713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5.2.产品下部分为柜式结构，采用白色哑光漆制作，用于相关控制器的放置。 </w:t>
            </w:r>
          </w:p>
          <w:p w14:paraId="6A364B1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5.3.产品两侧支撑主体采用欧标40*200铝型材，用于固定和连接产品上下两个部分。</w:t>
            </w:r>
          </w:p>
          <w:p w14:paraId="633FA2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5.4.底部安装有4个60S的福马轮，带有高低调节装置，带单轮可承重200KG。</w:t>
            </w:r>
          </w:p>
        </w:tc>
      </w:tr>
      <w:tr w14:paraId="124887BF">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26DD27CE">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6</w:t>
            </w:r>
          </w:p>
        </w:tc>
        <w:tc>
          <w:tcPr>
            <w:tcW w:w="1480" w:type="dxa"/>
            <w:tcBorders>
              <w:top w:val="single" w:color="auto" w:sz="4" w:space="0"/>
              <w:left w:val="nil"/>
              <w:bottom w:val="single" w:color="auto" w:sz="4" w:space="0"/>
              <w:right w:val="single" w:color="auto" w:sz="4" w:space="0"/>
            </w:tcBorders>
            <w:noWrap/>
            <w:vAlign w:val="center"/>
          </w:tcPr>
          <w:p w14:paraId="53C0677B">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超声波传感器实训平台</w:t>
            </w:r>
          </w:p>
        </w:tc>
        <w:tc>
          <w:tcPr>
            <w:tcW w:w="692" w:type="dxa"/>
            <w:tcBorders>
              <w:top w:val="single" w:color="auto" w:sz="4" w:space="0"/>
              <w:left w:val="nil"/>
              <w:bottom w:val="single" w:color="auto" w:sz="4" w:space="0"/>
              <w:right w:val="single" w:color="auto" w:sz="4" w:space="0"/>
            </w:tcBorders>
            <w:noWrap/>
            <w:vAlign w:val="center"/>
          </w:tcPr>
          <w:p w14:paraId="4CA4C3E5">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703" w:type="dxa"/>
            <w:tcBorders>
              <w:top w:val="single" w:color="auto" w:sz="4" w:space="0"/>
              <w:left w:val="nil"/>
              <w:bottom w:val="single" w:color="auto" w:sz="4" w:space="0"/>
              <w:right w:val="single" w:color="auto" w:sz="4" w:space="0"/>
            </w:tcBorders>
            <w:noWrap/>
            <w:vAlign w:val="center"/>
          </w:tcPr>
          <w:p w14:paraId="28D7A76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4E92B02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一、实训台要求</w:t>
            </w:r>
          </w:p>
          <w:p w14:paraId="2109630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用于理论教学、实训及考核，台架通过部署超声波雷达实现智能传感器的原理介绍、结构展示、装配、数据检测及考核功能。包含超声波雷达、配套软件、仪器仪表工具以及其他配套模块等。</w:t>
            </w:r>
          </w:p>
          <w:p w14:paraId="7D26189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二、实训台配置</w:t>
            </w:r>
          </w:p>
          <w:p w14:paraId="5CF3C19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1、操作台</w:t>
            </w:r>
          </w:p>
          <w:p w14:paraId="6DCEB26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尺寸≥1200×500×1580mm（L×W×H），钣金外壳，含示教面板用于设备原理教学。</w:t>
            </w:r>
          </w:p>
          <w:p w14:paraId="2316AA1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2、超声波雷达</w:t>
            </w:r>
          </w:p>
          <w:p w14:paraId="2E18333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2.1超声波稳定测距范围：200mm～3500mm；</w:t>
            </w:r>
          </w:p>
          <w:p w14:paraId="24B7213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2.2波束角10～60度可调；</w:t>
            </w:r>
          </w:p>
          <w:p w14:paraId="25B4582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2.3处理板和探头工作温度 -40～85度；</w:t>
            </w:r>
          </w:p>
          <w:p w14:paraId="00577F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2.4精度: 5mm（近距离）探测距离的0.5%（远距离）；</w:t>
            </w:r>
          </w:p>
          <w:p w14:paraId="439CF2A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2.5工作电源：+12V～24V；</w:t>
            </w:r>
          </w:p>
          <w:p w14:paraId="0BE507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2.6工作电流：≤200mA。</w:t>
            </w:r>
          </w:p>
          <w:p w14:paraId="56AD54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3、计算单元</w:t>
            </w:r>
          </w:p>
          <w:p w14:paraId="666894C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 CPU：Intel N100 3.4GHz；</w:t>
            </w:r>
          </w:p>
          <w:p w14:paraId="268A415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 GPU：Intel UHD Graphics 750MHz；</w:t>
            </w:r>
          </w:p>
          <w:p w14:paraId="01E4A02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 内存：DDR4 3200MHz；</w:t>
            </w:r>
          </w:p>
          <w:p w14:paraId="6B554AC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 硬盘：M.2 SSD 256G。</w:t>
            </w:r>
          </w:p>
          <w:p w14:paraId="119A6EF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4、CAN收发器</w:t>
            </w:r>
          </w:p>
          <w:p w14:paraId="1FC5DCF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4.1以太网转CAN；</w:t>
            </w:r>
          </w:p>
          <w:p w14:paraId="24A4AEF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4.2具有静电防护、浪涌防护；通讯隔离；</w:t>
            </w:r>
          </w:p>
          <w:p w14:paraId="0A48DBC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4.3工作温度工业级：-40～85℃；</w:t>
            </w:r>
          </w:p>
          <w:p w14:paraId="4624880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4.4配置方式：网页版配置界面。</w:t>
            </w:r>
          </w:p>
          <w:p w14:paraId="1173931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三、设备功能</w:t>
            </w:r>
          </w:p>
          <w:p w14:paraId="455B0E7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通过发送不同指令，超声波模块可返回不同探测模式的数据，可演示不同探测模式下的探测精度和探测范围。</w:t>
            </w:r>
          </w:p>
          <w:p w14:paraId="322657D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▲四、实训项目</w:t>
            </w:r>
          </w:p>
          <w:p w14:paraId="65F79E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1.智能汽车传感器超声波雷达认知；</w:t>
            </w:r>
          </w:p>
          <w:p w14:paraId="5D4B2CF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2.超声波雷达的装调测试；</w:t>
            </w:r>
          </w:p>
          <w:p w14:paraId="2C17806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3.超声波雷达显示失效故障排查；</w:t>
            </w:r>
          </w:p>
          <w:p w14:paraId="5DA0DB8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4.超声波雷达有探头不工作故障排查；</w:t>
            </w:r>
          </w:p>
          <w:p w14:paraId="2D5669E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5.超声波雷达装调常见异常；</w:t>
            </w:r>
          </w:p>
        </w:tc>
      </w:tr>
      <w:tr w14:paraId="65413D46">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30462009">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7</w:t>
            </w:r>
          </w:p>
        </w:tc>
        <w:tc>
          <w:tcPr>
            <w:tcW w:w="1480" w:type="dxa"/>
            <w:tcBorders>
              <w:top w:val="single" w:color="auto" w:sz="4" w:space="0"/>
              <w:left w:val="nil"/>
              <w:bottom w:val="single" w:color="auto" w:sz="4" w:space="0"/>
              <w:right w:val="single" w:color="auto" w:sz="4" w:space="0"/>
            </w:tcBorders>
            <w:noWrap/>
            <w:vAlign w:val="center"/>
          </w:tcPr>
          <w:p w14:paraId="61A21543">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视觉传感器实训平台</w:t>
            </w:r>
          </w:p>
        </w:tc>
        <w:tc>
          <w:tcPr>
            <w:tcW w:w="692" w:type="dxa"/>
            <w:tcBorders>
              <w:top w:val="single" w:color="auto" w:sz="4" w:space="0"/>
              <w:left w:val="nil"/>
              <w:bottom w:val="single" w:color="auto" w:sz="4" w:space="0"/>
              <w:right w:val="single" w:color="auto" w:sz="4" w:space="0"/>
            </w:tcBorders>
            <w:noWrap/>
            <w:vAlign w:val="center"/>
          </w:tcPr>
          <w:p w14:paraId="148CBF89">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703" w:type="dxa"/>
            <w:tcBorders>
              <w:top w:val="single" w:color="auto" w:sz="4" w:space="0"/>
              <w:left w:val="nil"/>
              <w:bottom w:val="single" w:color="auto" w:sz="4" w:space="0"/>
              <w:right w:val="single" w:color="auto" w:sz="4" w:space="0"/>
            </w:tcBorders>
            <w:noWrap/>
            <w:vAlign w:val="center"/>
          </w:tcPr>
          <w:p w14:paraId="72A5D90A">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4175673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一、实训平台要求</w:t>
            </w:r>
          </w:p>
          <w:p w14:paraId="627FBC1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用于理论教学、实训及考核，台架通过部署相机实现原理介绍、结构展示、装配、数据检测及考核功能。结合理论与实践，深入理解摄像头技术，提升实际操作能力。</w:t>
            </w:r>
          </w:p>
          <w:p w14:paraId="0ED1E9B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二、实训台配置</w:t>
            </w:r>
          </w:p>
          <w:p w14:paraId="06B696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1.操作台</w:t>
            </w:r>
          </w:p>
          <w:p w14:paraId="189361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尺寸≥1200×500×1580mm（L×W×H），钣金外壳，含示教面板用于设备原理教学。</w:t>
            </w:r>
          </w:p>
          <w:p w14:paraId="753BAEE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2.摄像头</w:t>
            </w:r>
          </w:p>
          <w:p w14:paraId="5276D9F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 sensor IMX291，lens Size 1/2.8；</w:t>
            </w:r>
          </w:p>
          <w:p w14:paraId="7F942F4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 USB3.0接口；</w:t>
            </w:r>
          </w:p>
          <w:p w14:paraId="2E2B227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2.最高有效像素硬件≥200万像素1920（H）×1080(V)；</w:t>
            </w:r>
          </w:p>
          <w:p w14:paraId="5752E0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2.输出图像格式MJPEG/YUV2(YUVY）；</w:t>
            </w:r>
          </w:p>
          <w:p w14:paraId="172CC7A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2.支持最高帧率1920×1080p50帧/YUV/MJPEG。</w:t>
            </w:r>
          </w:p>
          <w:p w14:paraId="1E9818C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3.计算单元</w:t>
            </w:r>
          </w:p>
          <w:p w14:paraId="3A3E47A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 CPU：ARM Cortex-A78AEV8.2 64bit@1.5GHz(六核)；</w:t>
            </w:r>
          </w:p>
          <w:p w14:paraId="4946808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 GPU：搭载16个Tensor Core的512核NVIDIA Ampere架构GPU@625MHz；</w:t>
            </w:r>
          </w:p>
          <w:p w14:paraId="4544D79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3.3算力：≥20TOPS；</w:t>
            </w:r>
          </w:p>
          <w:p w14:paraId="59288BC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3.4内存：4GB 64-bit LPDDR5、34GB/S；</w:t>
            </w:r>
          </w:p>
          <w:p w14:paraId="2B1F5E0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3.5USB接口：3个USB3.0接口+1个USB2.0接口+1个Type-C接口；</w:t>
            </w:r>
          </w:p>
          <w:p w14:paraId="4674EC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3.6视频编码：1080p30由1-2个CPU核心提供支持；</w:t>
            </w:r>
          </w:p>
          <w:p w14:paraId="6D55B27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3.7视频解码：H.265(4K60，2×4K30，5×1080p60，11×1080p30)；</w:t>
            </w:r>
          </w:p>
          <w:p w14:paraId="3D7B7CB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3.8 GPIO引脚数：40。</w:t>
            </w:r>
          </w:p>
          <w:p w14:paraId="427B5F4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4.CAN收发器</w:t>
            </w:r>
          </w:p>
          <w:p w14:paraId="6353D1F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4.1 以太网转CAN；</w:t>
            </w:r>
          </w:p>
          <w:p w14:paraId="1F1FB56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4.2具有静电防护、浪涌防护；通讯隔离；</w:t>
            </w:r>
          </w:p>
          <w:p w14:paraId="6FC297E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4.3工作温度工业级：-40～85℃；</w:t>
            </w:r>
          </w:p>
          <w:p w14:paraId="1E19F57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4.4配置方式：网页版配置界面。</w:t>
            </w:r>
          </w:p>
          <w:p w14:paraId="4EB29C7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三、设备功能</w:t>
            </w:r>
          </w:p>
          <w:p w14:paraId="29C9B1E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▲1.通过软件进行摄像头的内参标定，生成标定文件；可加载不同的标定文件，观察摄像头的畸变矫正效果。</w:t>
            </w:r>
          </w:p>
          <w:p w14:paraId="0B9D43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2.提供包括但不限于以下算法：yolo的目标识别算法。ROI感兴趣区域车道保持算法，深度学习车道线识别算法，深度学习单目测距算法。</w:t>
            </w:r>
          </w:p>
          <w:p w14:paraId="505B054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3.可通过加载不同识别算法，界面显示不同的识别功能，进行不同项目的功能实训。</w:t>
            </w:r>
          </w:p>
          <w:p w14:paraId="76C0588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4.多种数据源输入，可调用摄像头实时数据、录制的数据包、视频图像、决策规划仿真实训台输出图像。</w:t>
            </w:r>
          </w:p>
          <w:p w14:paraId="2F31453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●四、实训项目</w:t>
            </w:r>
          </w:p>
          <w:p w14:paraId="6B69E3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1.智能汽车传感器摄像头认知；</w:t>
            </w:r>
          </w:p>
          <w:p w14:paraId="192BDB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2.摄像头的装调测试；</w:t>
            </w:r>
          </w:p>
          <w:p w14:paraId="528B29A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3.视觉摄像头畸变异常故障排除；</w:t>
            </w:r>
          </w:p>
          <w:p w14:paraId="7F68EAB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4.视觉摄像头不显示故障排查；</w:t>
            </w:r>
          </w:p>
          <w:p w14:paraId="1D515E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5.视觉摄像头装调常见异常；</w:t>
            </w:r>
          </w:p>
        </w:tc>
      </w:tr>
      <w:tr w14:paraId="34FE56C4">
        <w:tblPrEx>
          <w:tblCellMar>
            <w:top w:w="0" w:type="dxa"/>
            <w:left w:w="108" w:type="dxa"/>
            <w:bottom w:w="0" w:type="dxa"/>
            <w:right w:w="108" w:type="dxa"/>
          </w:tblCellMar>
        </w:tblPrEx>
        <w:trPr>
          <w:trHeight w:val="402"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46D9D40F">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8</w:t>
            </w:r>
          </w:p>
        </w:tc>
        <w:tc>
          <w:tcPr>
            <w:tcW w:w="1480" w:type="dxa"/>
            <w:tcBorders>
              <w:top w:val="single" w:color="auto" w:sz="4" w:space="0"/>
              <w:left w:val="nil"/>
              <w:bottom w:val="single" w:color="auto" w:sz="4" w:space="0"/>
              <w:right w:val="single" w:color="auto" w:sz="4" w:space="0"/>
            </w:tcBorders>
            <w:noWrap/>
            <w:vAlign w:val="center"/>
          </w:tcPr>
          <w:p w14:paraId="10989B68">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激光雷达示教平台</w:t>
            </w:r>
          </w:p>
        </w:tc>
        <w:tc>
          <w:tcPr>
            <w:tcW w:w="692" w:type="dxa"/>
            <w:tcBorders>
              <w:top w:val="single" w:color="auto" w:sz="4" w:space="0"/>
              <w:left w:val="nil"/>
              <w:bottom w:val="single" w:color="auto" w:sz="4" w:space="0"/>
              <w:right w:val="single" w:color="auto" w:sz="4" w:space="0"/>
            </w:tcBorders>
            <w:noWrap/>
            <w:vAlign w:val="center"/>
          </w:tcPr>
          <w:p w14:paraId="2F04920D">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p>
        </w:tc>
        <w:tc>
          <w:tcPr>
            <w:tcW w:w="703" w:type="dxa"/>
            <w:tcBorders>
              <w:top w:val="single" w:color="auto" w:sz="4" w:space="0"/>
              <w:left w:val="nil"/>
              <w:bottom w:val="single" w:color="auto" w:sz="4" w:space="0"/>
              <w:right w:val="single" w:color="auto" w:sz="4" w:space="0"/>
            </w:tcBorders>
            <w:noWrap/>
            <w:vAlign w:val="center"/>
          </w:tcPr>
          <w:p w14:paraId="49FA3A81">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2429865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产品要求：适用于《新能源汽车驾驶辅助系统检修》《环境感知部件的装配与标定》《智能传感器技术》激光雷达结构认知、装配标定、基础应用开发的实训实验项目。激光雷达实验箱集UDP协议、TTL协议、激光雷达结构原理、装调与标定、障碍物识别的综合应用实训实验装备，要求配备单线激光雷达，13.3寸工控机1台、测试车辆1台，内含无线键鼠、专用工具，可满足多样化开发学习需求，配有教学视频及相关实训实验附件。</w:t>
            </w:r>
          </w:p>
          <w:p w14:paraId="3D67827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二、技术要求：</w:t>
            </w:r>
          </w:p>
          <w:p w14:paraId="13676AE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1、通讯协议：</w:t>
            </w:r>
          </w:p>
          <w:p w14:paraId="6870B00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（1）TTL（Transistor-Transistor Logic，晶体管-晶体管逻辑）串口是指在电子通信中使用TTL电平信号进行数据传输的串行通信方式。</w:t>
            </w:r>
          </w:p>
          <w:p w14:paraId="6DD0B6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（2）UDP是一种简单的网络通信协议，属于传输层协议，用于在网络中传输数据。</w:t>
            </w:r>
          </w:p>
          <w:p w14:paraId="74C8019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2、输入与输出接口：实验箱支持双路USB接口、千兆网口，可拓展COM接口、LPT接口、GPIO口等。</w:t>
            </w:r>
          </w:p>
          <w:p w14:paraId="51AFB7F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3、功能1：结合FLASH技术完成激光雷达零件的分解、组装，完成激光雷达结构与原理实训；</w:t>
            </w:r>
          </w:p>
          <w:p w14:paraId="3F8982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4、功能2：结合激光雷达装调与测试软件，完成激光雷达检测实训；</w:t>
            </w:r>
          </w:p>
          <w:p w14:paraId="680C5AD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5、功能3：结合激光雷达标定软件，完成激光雷达的装配标定及性能测试；</w:t>
            </w:r>
          </w:p>
          <w:p w14:paraId="6CA27BB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6、功能4：结合激光雷达开发应用系统，完成障碍物识别的综合应用实训实验；</w:t>
            </w:r>
          </w:p>
          <w:p w14:paraId="0F51FD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三、实训（实验）项目：                                                         </w:t>
            </w:r>
          </w:p>
          <w:p w14:paraId="593E3404">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1、激光雷达的结构认知实训；                                                                                                                  2、激光雷达的性能测试；                                                                3、激光雷达的装配与标定；                                                               4、激光雷达点云采集应用开发实验；</w:t>
            </w:r>
          </w:p>
          <w:p w14:paraId="6E41E7E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5、激光雷达障碍物识别应用开发实验；</w:t>
            </w:r>
          </w:p>
          <w:p w14:paraId="3DBFEEF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6、激光雷达地图创建应用开发实验；</w:t>
            </w:r>
          </w:p>
          <w:p w14:paraId="60316E4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五、教学资源</w:t>
            </w:r>
          </w:p>
          <w:p w14:paraId="30D2857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1、学习工作页：包含激光雷达认知、激光雷达品质检测、激光雷达调试、激光雷达标定、障碍物测试、基于ROS小车的建图实验；</w:t>
            </w:r>
          </w:p>
          <w:p w14:paraId="19D38A3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2、仿真测试：根据智能驾驶仿真软件，完成对LDW车道偏离预警、LCC车道居中控制；</w:t>
            </w:r>
          </w:p>
          <w:p w14:paraId="7C6F3D5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六、性能参数：</w:t>
            </w:r>
          </w:p>
          <w:p w14:paraId="4E3472E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1、外观参数：</w:t>
            </w:r>
          </w:p>
          <w:p w14:paraId="1EC910B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（1）箱体尺寸：≥505*420*180mm；</w:t>
            </w:r>
          </w:p>
          <w:p w14:paraId="39C57BD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（2）工作电压：DC12V；</w:t>
            </w:r>
          </w:p>
          <w:p w14:paraId="066CE2C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（3）工作温度：-20℃ - 60℃；</w:t>
            </w:r>
          </w:p>
          <w:p w14:paraId="5218FD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2、工控机参数：</w:t>
            </w:r>
          </w:p>
          <w:p w14:paraId="119889E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（1）处理器：INTEL酷睿I7或以上；</w:t>
            </w:r>
          </w:p>
          <w:p w14:paraId="38ACDED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（2）内存：4G或以上；</w:t>
            </w:r>
          </w:p>
          <w:p w14:paraId="4B70E14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（3）硬盘：128G固态硬盘或以上；</w:t>
            </w:r>
          </w:p>
          <w:p w14:paraId="68732C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（4）系统：WIN10；</w:t>
            </w:r>
          </w:p>
          <w:p w14:paraId="168AC70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3、激光雷达参数：</w:t>
            </w:r>
          </w:p>
          <w:p w14:paraId="258900F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（1）扫描角度：360°；</w:t>
            </w:r>
          </w:p>
          <w:p w14:paraId="7D31479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（1）发射重频：4.5KHz、；</w:t>
            </w:r>
          </w:p>
          <w:p w14:paraId="7CB397A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（1）角度分辨率：0.8°；</w:t>
            </w:r>
          </w:p>
          <w:p w14:paraId="2546D8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（1）扫描频率：10Hz；</w:t>
            </w:r>
          </w:p>
          <w:p w14:paraId="37986A9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（1）测量精度：±3cm；</w:t>
            </w:r>
          </w:p>
          <w:p w14:paraId="3EE0BC0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（1）光源：905nm激光；</w:t>
            </w:r>
          </w:p>
          <w:p w14:paraId="7409BC9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（1）量程：0~12m；</w:t>
            </w:r>
          </w:p>
          <w:p w14:paraId="63ACF0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（1）电源：5V；</w:t>
            </w:r>
          </w:p>
          <w:p w14:paraId="236ED4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（1）工作温度：-10℃~40℃；</w:t>
            </w:r>
          </w:p>
          <w:p w14:paraId="559855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（1）防护等级：IPX-4；</w:t>
            </w:r>
          </w:p>
          <w:p w14:paraId="08B2E8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4、测试车辆参数：</w:t>
            </w:r>
          </w:p>
          <w:p w14:paraId="14FA6BD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（1）产品参考尺寸：260*190*65mm；</w:t>
            </w:r>
          </w:p>
          <w:p w14:paraId="0FCD446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（2）CPU:ARM Cortex-A72 64bit@1.5GHz（四核）或以上</w:t>
            </w:r>
          </w:p>
          <w:p w14:paraId="4F4DE77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（3）算力：0.2TOPS(FP16)；</w:t>
            </w:r>
          </w:p>
          <w:p w14:paraId="2D31F1B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（4）接口：2个USB2.0、2个USB3.0、Type-C网口；</w:t>
            </w:r>
          </w:p>
          <w:p w14:paraId="21510E7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（5）最小转弯半径：0.8m；</w:t>
            </w:r>
          </w:p>
          <w:p w14:paraId="1D3D97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（6）舵机：S20F 20kg扭矩数字舵机；</w:t>
            </w:r>
          </w:p>
          <w:p w14:paraId="0F4A1B7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（7）电机：MD36 35W 直流有刷电机；</w:t>
            </w:r>
          </w:p>
          <w:p w14:paraId="063A24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（8）电机减速比：1: 27；</w:t>
            </w:r>
          </w:p>
          <w:p w14:paraId="0D920CF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（9）最大速度：1.3m/s；</w:t>
            </w:r>
          </w:p>
          <w:p w14:paraId="080F86C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（10）最大爬坡角度：17°；</w:t>
            </w:r>
          </w:p>
          <w:p w14:paraId="7D84E21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（11）越障能力说明：30mm；</w:t>
            </w:r>
          </w:p>
          <w:p w14:paraId="360979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七、激光雷达教学软件；</w:t>
            </w:r>
          </w:p>
          <w:p w14:paraId="2725F0C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1.软件要求：</w:t>
            </w:r>
          </w:p>
          <w:p w14:paraId="29E1DE3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软件要求采用创新的实物教学方法，结合激光雷达实物图片、视频和动画教学方式，为用户提供一个集成化的互动学习平台。配套完成激光雷达原理结构、测速、识别障碍物；通过这种多元化的教学手段，增强学习体验，提高教学效果。</w:t>
            </w:r>
          </w:p>
          <w:p w14:paraId="79AE67C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2.操作系统和硬件要求</w:t>
            </w:r>
          </w:p>
          <w:p w14:paraId="364509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2.1支持的操作系统：Windows 10/11（64位）或 Ubuntu 20.04 LTS及以上版本</w:t>
            </w:r>
          </w:p>
          <w:p w14:paraId="067B27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2.2硬件要求：</w:t>
            </w:r>
          </w:p>
          <w:p w14:paraId="3533FFC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（1）GPU：集成显卡或独立显卡；</w:t>
            </w:r>
          </w:p>
          <w:p w14:paraId="15382CF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（2）内存：8GB RAM或以上；</w:t>
            </w:r>
          </w:p>
          <w:p w14:paraId="09F2393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（3）硬盘空间：100GB可用空间或以上；</w:t>
            </w:r>
          </w:p>
          <w:p w14:paraId="548C4C7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三、软件架构和开发环境：软件采用Flash软件及QT开发软件融合开发，包含以下特点。</w:t>
            </w:r>
          </w:p>
          <w:p w14:paraId="021A2AC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1、Adobe Animate： Adobe Animate是专业动画和互动内容创作软件，广泛应用于网页动画、互动广告、游戏开发和多媒体内容的制作，它提供了一个强大的工具集，支持创作者设计复杂的动画和互动元素。</w:t>
            </w:r>
          </w:p>
          <w:p w14:paraId="1B197CB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2、编程语言：ActionScript，ActionScript是基于ECMAScript标准的语言，主要用于Flash环境中。它支持强大的面向对象编程、类型安全和高效的性能。</w:t>
            </w:r>
          </w:p>
          <w:p w14:paraId="67686D3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3、采用Qt CreatorIDE 制作，它是集成开发环境，为Qt应用程序开发而设计。Qt可使用C++库，支持开发GUI应用程序，适用于非图形化应用程序。Qt Creator提供工具集，支持Qt应用的开发、调试和测试。</w:t>
            </w:r>
          </w:p>
          <w:p w14:paraId="294477A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4、开发框架及编程语言：</w:t>
            </w:r>
          </w:p>
          <w:p w14:paraId="6F357F3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（1）Qt框架：用于构建跨平台的GUI应用程序。</w:t>
            </w:r>
          </w:p>
          <w:p w14:paraId="5B9E77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（2）Boost库：提供对标准库的补充，C++编程能力。</w:t>
            </w:r>
          </w:p>
          <w:p w14:paraId="2243004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（3）轻量级Web框架：提供快速的页面加载和响应。</w:t>
            </w:r>
          </w:p>
          <w:p w14:paraId="59B3395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（4）内置公用库：包含常用的功能模块，简化开发流程。 </w:t>
            </w:r>
          </w:p>
          <w:p w14:paraId="103BD3F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（5）语言：C++，应用于系统编程、嵌入式系统、应用程序开发以及高性能计算等领域。</w:t>
            </w:r>
          </w:p>
          <w:p w14:paraId="6438627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四、产品功能：</w:t>
            </w:r>
          </w:p>
          <w:p w14:paraId="317C5F3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1、测试软件中可通过串口协议活UDP协议实时获取数据；</w:t>
            </w:r>
          </w:p>
          <w:p w14:paraId="3632CB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2、测试软件可设置不同类型可视化模式，例如障碍物；</w:t>
            </w:r>
          </w:p>
          <w:p w14:paraId="45EF4A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3、测试软件具有测量距离工具并支持连续多帧同时显示；</w:t>
            </w:r>
          </w:p>
          <w:p w14:paraId="00E865C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4、能运用软件实现对激光雷达标定及参数设置；</w:t>
            </w:r>
          </w:p>
          <w:p w14:paraId="4E943D9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5、传感器认知：包含传感器认知相关工作原理等的基础知识、结构模型、视频解说。</w:t>
            </w:r>
          </w:p>
          <w:p w14:paraId="18D0041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6、传感器装调：包含传感器装配与标定等的操作视频解说。</w:t>
            </w:r>
          </w:p>
          <w:p w14:paraId="6CECF64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7、传感器应用开发实验：</w:t>
            </w:r>
          </w:p>
          <w:p w14:paraId="7330B2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1）智能辅助驾驶障碍物识别：主要功能为通过激光雷达实时识别障碍物，并在系统中进行计算获取障碍物信息。</w:t>
            </w:r>
          </w:p>
          <w:p w14:paraId="79886B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8、用户界面：界面清晰，包含传感器认知、传感器装调、传感器应用基础操作，方便用户快速导航。</w:t>
            </w:r>
          </w:p>
          <w:p w14:paraId="1A262A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五、性能参数：</w:t>
            </w:r>
          </w:p>
          <w:p w14:paraId="3249E8A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1、文件格式支持：支持exe、swf、html文件格式，确保软件在不同平台和设备上的兼容性。</w:t>
            </w:r>
          </w:p>
          <w:p w14:paraId="4E0CDCF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2、加密标准：采用先进的硬件加密技术，确保数据传输和存储的安全性，有效防止数据泄露和非法访问。硬件加密标准不仅提升了软件的安全性，还为用户提供了更加可靠的数据保护方案。</w:t>
            </w:r>
          </w:p>
        </w:tc>
      </w:tr>
      <w:tr w14:paraId="07103966">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6DF5A6A8">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9</w:t>
            </w:r>
          </w:p>
        </w:tc>
        <w:tc>
          <w:tcPr>
            <w:tcW w:w="1480" w:type="dxa"/>
            <w:tcBorders>
              <w:top w:val="single" w:color="auto" w:sz="4" w:space="0"/>
              <w:left w:val="nil"/>
              <w:bottom w:val="single" w:color="auto" w:sz="4" w:space="0"/>
              <w:right w:val="single" w:color="auto" w:sz="4" w:space="0"/>
            </w:tcBorders>
            <w:noWrap/>
            <w:vAlign w:val="center"/>
          </w:tcPr>
          <w:p w14:paraId="4D174453">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视觉传感器示教平台</w:t>
            </w:r>
          </w:p>
        </w:tc>
        <w:tc>
          <w:tcPr>
            <w:tcW w:w="692" w:type="dxa"/>
            <w:tcBorders>
              <w:top w:val="single" w:color="auto" w:sz="4" w:space="0"/>
              <w:left w:val="nil"/>
              <w:bottom w:val="single" w:color="auto" w:sz="4" w:space="0"/>
              <w:right w:val="single" w:color="auto" w:sz="4" w:space="0"/>
            </w:tcBorders>
            <w:noWrap/>
            <w:vAlign w:val="center"/>
          </w:tcPr>
          <w:p w14:paraId="7401FAAE">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4EAC635B">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套</w:t>
            </w:r>
          </w:p>
        </w:tc>
        <w:tc>
          <w:tcPr>
            <w:tcW w:w="5998" w:type="dxa"/>
            <w:tcBorders>
              <w:top w:val="single" w:color="auto" w:sz="4" w:space="0"/>
              <w:left w:val="nil"/>
              <w:bottom w:val="single" w:color="auto" w:sz="4" w:space="0"/>
              <w:right w:val="single" w:color="auto" w:sz="4" w:space="0"/>
            </w:tcBorders>
            <w:noWrap/>
            <w:vAlign w:val="center"/>
          </w:tcPr>
          <w:p w14:paraId="0B95ED9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一、产品要求：适用于《新能源汽车驾驶辅助系统检修》《环境感知部件的装配与标定》《智能传感器技术》视觉传感器结构认知、装配标定、基础应用开发的实训实验项目。视觉传感器实验箱集UVC协议、视觉传感器结构原理、车道线识别、红绿灯识别、人脸识别的综合应用实训实验装备，要求配备视觉传感器3种，13.3寸工控机1台、测试车辆1台，内含无线键鼠、专用工具，可满足多样化开发学习需求，配有教学视频及相关实训实验附件。</w:t>
            </w:r>
          </w:p>
          <w:p w14:paraId="5A625B1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二、技术要求：</w:t>
            </w:r>
          </w:p>
          <w:p w14:paraId="53A00B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1、通讯协议：采用UVC协议，UVC（USB Video Class）协议是一种USB设备协议标准，主要用于数字视频设备之间的数据传输。它定义了如何通过USB接口进行视频数据的传输，广泛应用于网络摄像头、视频采集卡、数字摄像头和其他视频设备中。</w:t>
            </w:r>
          </w:p>
          <w:p w14:paraId="082D4A2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2、输入与输出接口：实验箱支持双路USB接口、千兆网口，可拓展COM接口、LPT接口、GPIO口等。</w:t>
            </w:r>
          </w:p>
          <w:p w14:paraId="749F5A4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3、功能1：结合FLASH技术完成视觉传感器零件的分解、组装，完成视觉传感器结构与原理实训；</w:t>
            </w:r>
          </w:p>
          <w:p w14:paraId="5FA7B80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4、功能2：结合视觉传感器装调与测试软件，完成视觉传感器检测实训；</w:t>
            </w:r>
          </w:p>
          <w:p w14:paraId="0BBAD6E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5、功能3：结合视觉传感器标定软件，完成视觉传感器的装配标定及性能测试；</w:t>
            </w:r>
          </w:p>
          <w:p w14:paraId="058B9BD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6、功能4：结合视觉传感器开发应用系统，完成车道线识别、红绿灯识别、人脸识别的综合应用实训实验；</w:t>
            </w:r>
          </w:p>
          <w:p w14:paraId="7147378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三、实训（实验）项目：                                                         </w:t>
            </w:r>
          </w:p>
          <w:p w14:paraId="1C3E85FD">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1、视觉传感器的结构认知实训；                                                                                                                  2、视觉传感器的性能测试；                                                                3、视觉传感器的装配与标定；                                                               4、视觉传感器车道线识别应用开发实验；</w:t>
            </w:r>
          </w:p>
          <w:p w14:paraId="61EFC28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5、视觉传感器红绿灯识别应用开发实验；</w:t>
            </w:r>
          </w:p>
          <w:p w14:paraId="79AFB1B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6、视觉传感器人脸识别应用开发实验；</w:t>
            </w:r>
          </w:p>
          <w:p w14:paraId="5D89CE4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四、教学资源</w:t>
            </w:r>
          </w:p>
          <w:p w14:paraId="6C465DB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1、学习工作页：包含视觉传感器认知、视觉传感器品质检测、视觉传感器调试、视觉传感器标定、车道线识别测试、红绿灯识别测试、人脸识别测试、基于ROS小车的车道保持实验</w:t>
            </w:r>
          </w:p>
          <w:p w14:paraId="5B5BEE9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2、仿真测试：根据智能驾驶仿真软件，完成对LDW车道偏离预警、LCC车道居中控制；</w:t>
            </w:r>
          </w:p>
          <w:p w14:paraId="15C390A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五、性能参数：</w:t>
            </w:r>
          </w:p>
          <w:p w14:paraId="5D2A6A3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1、外观参数：</w:t>
            </w:r>
          </w:p>
          <w:p w14:paraId="31F10B1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（1）箱体尺寸：≥505*420*180mm</w:t>
            </w:r>
          </w:p>
          <w:p w14:paraId="0ABC1E8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（2）工作电压：DC12V</w:t>
            </w:r>
          </w:p>
          <w:p w14:paraId="603682F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（3）工作温度：-20℃ - 60℃</w:t>
            </w:r>
          </w:p>
          <w:p w14:paraId="619FE9B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2、工控机参数：</w:t>
            </w:r>
          </w:p>
          <w:p w14:paraId="6831C04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（1）处理器：INTEL酷睿I7或以上</w:t>
            </w:r>
          </w:p>
          <w:p w14:paraId="3A0A65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（2）内存：4G或以上</w:t>
            </w:r>
          </w:p>
          <w:p w14:paraId="1C9839E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（3）硬盘：128G固态硬盘或以上</w:t>
            </w:r>
          </w:p>
          <w:p w14:paraId="4AAB0B1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（4）系统：WIN10</w:t>
            </w:r>
          </w:p>
          <w:p w14:paraId="0324D8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3、视觉传感器参数：</w:t>
            </w:r>
          </w:p>
          <w:p w14:paraId="2D3B0FB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3.1单目摄像头参数：</w:t>
            </w:r>
          </w:p>
          <w:p w14:paraId="795962A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（1）参考尺寸：44*36*22mm</w:t>
            </w:r>
          </w:p>
          <w:p w14:paraId="7CA3BDE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（2）工作电压：5V</w:t>
            </w:r>
          </w:p>
          <w:p w14:paraId="1C5629A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（3）焦距：6mm</w:t>
            </w:r>
          </w:p>
          <w:p w14:paraId="6FDF974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（4）分辨率：1080P</w:t>
            </w:r>
          </w:p>
          <w:p w14:paraId="238BCCD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（5）水平角度：60度</w:t>
            </w:r>
          </w:p>
          <w:p w14:paraId="6C63D57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（6）垂直角度：32度</w:t>
            </w:r>
          </w:p>
          <w:p w14:paraId="50B96DD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（7）频率：50Hz</w:t>
            </w:r>
          </w:p>
          <w:p w14:paraId="53FE0E7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（8）输出格式：MJPG格式，支持YUY2/YUYV</w:t>
            </w:r>
          </w:p>
          <w:p w14:paraId="402BBAE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（9）支持系统：windows/Ubuntu等UVC协议</w:t>
            </w:r>
          </w:p>
          <w:p w14:paraId="7A11114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3.2鱼眼摄像头参数：</w:t>
            </w:r>
          </w:p>
          <w:p w14:paraId="33C8E2E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（1）参考尺寸：44*36*26mm</w:t>
            </w:r>
          </w:p>
          <w:p w14:paraId="0ACCFB5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（2）工作电压：5V</w:t>
            </w:r>
          </w:p>
          <w:p w14:paraId="3F0F008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（3）分辨率：1080P</w:t>
            </w:r>
          </w:p>
          <w:p w14:paraId="279EF2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（4）水平角度：180度</w:t>
            </w:r>
          </w:p>
          <w:p w14:paraId="6D5E550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（5）垂直角度：180度</w:t>
            </w:r>
          </w:p>
          <w:p w14:paraId="55C54BE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（6）频率：50Hz</w:t>
            </w:r>
          </w:p>
          <w:p w14:paraId="644805E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（7）输出格式：MJPG格式，支持YUY2/YUYV</w:t>
            </w:r>
          </w:p>
          <w:p w14:paraId="01A0AFB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（8）支持系统：windows/Ubuntu等UVC协议</w:t>
            </w:r>
          </w:p>
          <w:p w14:paraId="7C78B13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4、测试车辆参数：</w:t>
            </w:r>
          </w:p>
          <w:p w14:paraId="47B470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（1）产品尺寸：约260*190*65mm</w:t>
            </w:r>
          </w:p>
          <w:p w14:paraId="192E108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（2）CPU:ARM Cortex-A72 64bit@1.5GHz（四核）或以上</w:t>
            </w:r>
          </w:p>
          <w:p w14:paraId="6A68A29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（3）算力：0.2TOPS(FP16)</w:t>
            </w:r>
          </w:p>
          <w:p w14:paraId="03C4F8A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（4）接口：2个USB2.0  2个USB3.0  Type-C  网口</w:t>
            </w:r>
          </w:p>
          <w:p w14:paraId="75FD4F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（5）最小转弯半径：0.8m</w:t>
            </w:r>
          </w:p>
          <w:p w14:paraId="48DB660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（6）舵机：S20F 20kg扭矩数字舵机</w:t>
            </w:r>
          </w:p>
          <w:p w14:paraId="742C337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（7）电机：MD36 35W 直流有刷电机</w:t>
            </w:r>
          </w:p>
          <w:p w14:paraId="2D01AF3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（8）电机减速比：1: 27</w:t>
            </w:r>
          </w:p>
          <w:p w14:paraId="6C435F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（9）最大速度：1.3m/s</w:t>
            </w:r>
          </w:p>
          <w:p w14:paraId="5C3FC88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（10）最大爬坡角度：17°</w:t>
            </w:r>
          </w:p>
          <w:p w14:paraId="66E777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（11）越障能力说明：30mm</w:t>
            </w:r>
          </w:p>
          <w:p w14:paraId="431A1E3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五、视觉传感器教学软件：</w:t>
            </w:r>
          </w:p>
          <w:p w14:paraId="300C07F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▲1.软件要求：</w:t>
            </w:r>
          </w:p>
          <w:p w14:paraId="367035F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软件要求采用创新的实物教学方法，结合视觉传感器实物图片、视频和动画教学方式，为用户提供一个集成化的互动学习平台。配套完成视觉传感器原理结构、人脸识别、红绿灯识别、车道线识别、鱼眼摄像头标定；通过这种多元化的教学手段，增强学习体验，提高教学效果。</w:t>
            </w:r>
          </w:p>
          <w:p w14:paraId="2D41EBF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2.操作系统和硬件要求</w:t>
            </w:r>
          </w:p>
          <w:p w14:paraId="35D2DF1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2.1支持的操作系统：Windows 10/11（64位）或 Ubuntu 20.04 LTS及以上版本</w:t>
            </w:r>
          </w:p>
          <w:p w14:paraId="5F9AC7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2.2硬件要求：</w:t>
            </w:r>
          </w:p>
          <w:p w14:paraId="1ABD71D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（1）GPU：集成显卡或独立显卡</w:t>
            </w:r>
          </w:p>
          <w:p w14:paraId="3CFEFFB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（2）内存：8GB RAM或以上</w:t>
            </w:r>
          </w:p>
          <w:p w14:paraId="2834636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（3）硬盘空间：100GB可用空间或以上</w:t>
            </w:r>
          </w:p>
          <w:p w14:paraId="690524E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3.软件架构和开发环境：软件采用Flash软件及QT开发软件融合开发，包含以下特点。</w:t>
            </w:r>
          </w:p>
          <w:p w14:paraId="102452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3.1 Adobe Animate： Adobe Animate是专业动画和互动内容创作软件，广泛应用于网页动画、互动广告、游戏开发和多媒体内容的制作，它提供了一个强大的工具集，支持创作者设计复杂的动画和互动元素。</w:t>
            </w:r>
          </w:p>
          <w:p w14:paraId="01CF59D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3.2 编程语言：ActionScript，ActionScript是基于ECMAScript标准的语言，主要用于Flash环境中。它支持强大的面向对象编程、类型安全和高效的性能。</w:t>
            </w:r>
          </w:p>
          <w:p w14:paraId="6286198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3.3 采用Qt CreatorIDE 制作，它是集成开发环境，为Qt应用程序开发而设计。Qt可使用C++库，支持开发GUI应用程序，适用于非图形化应用程序。Qt Creator提供工具集，支持Qt应用的开发、调试和测试。</w:t>
            </w:r>
          </w:p>
          <w:p w14:paraId="3BBC79D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3.4 开发框架及编程语言：</w:t>
            </w:r>
          </w:p>
          <w:p w14:paraId="36FCDC9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（1）Qt框架：用于构建跨平台的GUI应用程序。</w:t>
            </w:r>
          </w:p>
          <w:p w14:paraId="7368994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（2）Boost库：提供对标准库的补充，C++编程能力。</w:t>
            </w:r>
          </w:p>
          <w:p w14:paraId="2954FB4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（3）轻量级Web框架：提供快速的页面加载和响应。</w:t>
            </w:r>
          </w:p>
          <w:p w14:paraId="6924687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（4）内置公用库：包含常用的功能模块，简化开发流程。 </w:t>
            </w:r>
          </w:p>
          <w:p w14:paraId="6D8E60C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（5）语言：C++，应用于系统编程、嵌入式系统、应用程序开发以及高性能计算等领域。</w:t>
            </w:r>
          </w:p>
          <w:p w14:paraId="2FFF94B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4.产品功能：</w:t>
            </w:r>
          </w:p>
          <w:p w14:paraId="4D85434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4.1测试软件中可通过UVC协议实现视频流的传输和控制；</w:t>
            </w:r>
          </w:p>
          <w:p w14:paraId="73D008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4.2测试软件可同时检测多个视觉传感器；</w:t>
            </w:r>
          </w:p>
          <w:p w14:paraId="3EFBABE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4.3测试软件附带鱼眼摄像头校正功能；</w:t>
            </w:r>
          </w:p>
          <w:p w14:paraId="2142AA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4.4能运用软件实现对鱼眼摄像头进行标定与校正参数填写实现图像校正；</w:t>
            </w:r>
          </w:p>
          <w:p w14:paraId="25D9FA5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4.5传感器认知：包含传感器认知相关工作原理等的基础知识、结构模型、视频解说。</w:t>
            </w:r>
          </w:p>
          <w:p w14:paraId="7EB8E34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4.6传感器装调：包含传感器装配与标定等的操作视频解说。</w:t>
            </w:r>
          </w:p>
          <w:p w14:paraId="5C4676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4.7传感器应用开发实验：</w:t>
            </w:r>
          </w:p>
          <w:p w14:paraId="675DF7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1）车道线识别开发应用软件： 主要功能为通过视觉传感器实时道路车道线，并在系统判断即将发生车道偏离时，计算偏离角度进行矫正实现车道保持。</w:t>
            </w:r>
          </w:p>
          <w:p w14:paraId="4FE39F6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2）红绿灯识别开发应用软件：主要功能为通过视觉传感器实时识别红绿灯，并在视频留显示区域标注识别的交通灯颜色。</w:t>
            </w:r>
          </w:p>
          <w:p w14:paraId="6E79428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3）人脸识别开发应用软件：主要功能为通过视觉传感器实时识别人脸，根据已有数据集识别人脸信息。</w:t>
            </w:r>
          </w:p>
          <w:p w14:paraId="3748C0D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4.8用户界面：界面清晰，包含传感器认知、传感器装调、传感器应用基础操作，方便用户快速导航。</w:t>
            </w:r>
          </w:p>
          <w:p w14:paraId="47D099B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5.性能参数：</w:t>
            </w:r>
          </w:p>
          <w:p w14:paraId="31EF9A5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5.1 文件格式支持： 支持exe、swf、html文件格式，确保软件在不同平台和设备上的兼容性。</w:t>
            </w:r>
          </w:p>
          <w:p w14:paraId="0DF4596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5.2加密标准：采用先进的硬件加密技术，确保数据传输和存储的安全性，有效防止数据泄露和非法访问。硬件加密标准不仅提升了软件的安全性，还为用户提供了更加可靠的数据保护方案。</w:t>
            </w:r>
          </w:p>
        </w:tc>
      </w:tr>
      <w:tr w14:paraId="55A25411">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24AB25F5">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10</w:t>
            </w:r>
          </w:p>
        </w:tc>
        <w:tc>
          <w:tcPr>
            <w:tcW w:w="1480" w:type="dxa"/>
            <w:tcBorders>
              <w:top w:val="single" w:color="auto" w:sz="4" w:space="0"/>
              <w:left w:val="nil"/>
              <w:bottom w:val="single" w:color="auto" w:sz="4" w:space="0"/>
              <w:right w:val="single" w:color="auto" w:sz="4" w:space="0"/>
            </w:tcBorders>
            <w:noWrap/>
            <w:vAlign w:val="center"/>
          </w:tcPr>
          <w:p w14:paraId="55C56C13">
            <w:pPr>
              <w:widowControl/>
              <w:adjustRightInd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8S管理展板</w:t>
            </w:r>
          </w:p>
        </w:tc>
        <w:tc>
          <w:tcPr>
            <w:tcW w:w="692" w:type="dxa"/>
            <w:tcBorders>
              <w:top w:val="single" w:color="auto" w:sz="4" w:space="0"/>
              <w:left w:val="nil"/>
              <w:bottom w:val="single" w:color="auto" w:sz="4" w:space="0"/>
              <w:right w:val="single" w:color="auto" w:sz="4" w:space="0"/>
            </w:tcBorders>
            <w:noWrap/>
            <w:vAlign w:val="center"/>
          </w:tcPr>
          <w:p w14:paraId="229EF949">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2B0F6763">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4AA86DA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1.包含8块展板，KT版材料制作；</w:t>
            </w:r>
          </w:p>
          <w:p w14:paraId="6BD949E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2.内容包含整理、整顿、清扫、清洁、素养、安全、学习、节约；</w:t>
            </w:r>
          </w:p>
          <w:p w14:paraId="02CC134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3.展板内容采样图文并茂形式设计；</w:t>
            </w:r>
          </w:p>
          <w:p w14:paraId="3AB149C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4.长宽：≥60cm*90cm</w:t>
            </w:r>
          </w:p>
        </w:tc>
      </w:tr>
      <w:tr w14:paraId="660D33BB">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32DC7702">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11</w:t>
            </w:r>
          </w:p>
        </w:tc>
        <w:tc>
          <w:tcPr>
            <w:tcW w:w="1480" w:type="dxa"/>
            <w:tcBorders>
              <w:top w:val="single" w:color="auto" w:sz="4" w:space="0"/>
              <w:left w:val="nil"/>
              <w:bottom w:val="single" w:color="auto" w:sz="4" w:space="0"/>
              <w:right w:val="single" w:color="auto" w:sz="4" w:space="0"/>
            </w:tcBorders>
            <w:noWrap/>
            <w:vAlign w:val="center"/>
          </w:tcPr>
          <w:p w14:paraId="46A15433">
            <w:pPr>
              <w:widowControl/>
              <w:adjustRightInd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实训守则和实训室规章制度</w:t>
            </w:r>
          </w:p>
        </w:tc>
        <w:tc>
          <w:tcPr>
            <w:tcW w:w="692" w:type="dxa"/>
            <w:tcBorders>
              <w:top w:val="single" w:color="auto" w:sz="4" w:space="0"/>
              <w:left w:val="nil"/>
              <w:bottom w:val="single" w:color="auto" w:sz="4" w:space="0"/>
              <w:right w:val="single" w:color="auto" w:sz="4" w:space="0"/>
            </w:tcBorders>
            <w:noWrap/>
            <w:vAlign w:val="center"/>
          </w:tcPr>
          <w:p w14:paraId="6BEFED4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1F92402A">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608AFB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1.包含5块展板，KT版材料制作；</w:t>
            </w:r>
          </w:p>
          <w:p w14:paraId="327B271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2.内容主要包含学生实训守则、智能网联实训室规章制度、智能传感器实训室规章制度、线控底盘实训室规章制度、智慧沙盘实训室操作规程等。</w:t>
            </w:r>
          </w:p>
          <w:p w14:paraId="6962178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3.展板内容采样图文并茂形式设计；</w:t>
            </w:r>
          </w:p>
          <w:p w14:paraId="2F56DD5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4.长宽：≥60cm*90cm</w:t>
            </w:r>
          </w:p>
        </w:tc>
      </w:tr>
      <w:tr w14:paraId="4D0375A5">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2332E518">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12</w:t>
            </w:r>
          </w:p>
        </w:tc>
        <w:tc>
          <w:tcPr>
            <w:tcW w:w="1480" w:type="dxa"/>
            <w:tcBorders>
              <w:top w:val="single" w:color="auto" w:sz="4" w:space="0"/>
              <w:left w:val="nil"/>
              <w:bottom w:val="single" w:color="auto" w:sz="4" w:space="0"/>
              <w:right w:val="single" w:color="auto" w:sz="4" w:space="0"/>
            </w:tcBorders>
            <w:noWrap/>
            <w:vAlign w:val="center"/>
          </w:tcPr>
          <w:p w14:paraId="09631141">
            <w:pPr>
              <w:widowControl/>
              <w:adjustRightInd w:val="0"/>
              <w:snapToGrid w:val="0"/>
              <w:spacing w:line="3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小板块文化</w:t>
            </w:r>
          </w:p>
        </w:tc>
        <w:tc>
          <w:tcPr>
            <w:tcW w:w="692" w:type="dxa"/>
            <w:tcBorders>
              <w:top w:val="single" w:color="auto" w:sz="4" w:space="0"/>
              <w:left w:val="nil"/>
              <w:bottom w:val="single" w:color="auto" w:sz="4" w:space="0"/>
              <w:right w:val="single" w:color="auto" w:sz="4" w:space="0"/>
            </w:tcBorders>
            <w:noWrap/>
            <w:vAlign w:val="center"/>
          </w:tcPr>
          <w:p w14:paraId="5F78E25E">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29E39D70">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7A2D49F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1.包含5块展板，KT版材料制作；</w:t>
            </w:r>
          </w:p>
          <w:p w14:paraId="39AF648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2.内容包含智能网联汽车概述、智能网联汽车结构组成、智能网联关键技术、传感器系统概述、线控底盘系统概述；</w:t>
            </w:r>
          </w:p>
          <w:p w14:paraId="68B17D7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3.展板内容采样图文并茂形式设计；</w:t>
            </w:r>
          </w:p>
          <w:p w14:paraId="0F2799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4.长宽：≥60cm*90cm</w:t>
            </w:r>
          </w:p>
        </w:tc>
      </w:tr>
      <w:tr w14:paraId="4B452346">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110F98EC">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13</w:t>
            </w:r>
          </w:p>
        </w:tc>
        <w:tc>
          <w:tcPr>
            <w:tcW w:w="1480" w:type="dxa"/>
            <w:tcBorders>
              <w:top w:val="single" w:color="auto" w:sz="4" w:space="0"/>
              <w:left w:val="nil"/>
              <w:bottom w:val="single" w:color="auto" w:sz="4" w:space="0"/>
              <w:right w:val="single" w:color="auto" w:sz="4" w:space="0"/>
            </w:tcBorders>
            <w:noWrap/>
            <w:vAlign w:val="center"/>
          </w:tcPr>
          <w:p w14:paraId="0BD49033">
            <w:pPr>
              <w:widowControl/>
              <w:spacing w:before="93" w:beforeLines="30" w:after="93" w:afterLines="30" w:line="30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bidi="ar"/>
              </w:rPr>
              <w:t>智能网联汽车发展概述</w:t>
            </w:r>
            <w:r>
              <w:rPr>
                <w:rFonts w:hint="eastAsia" w:ascii="仿宋" w:hAnsi="仿宋" w:eastAsia="仿宋" w:cs="仿宋"/>
                <w:color w:val="auto"/>
                <w:kern w:val="0"/>
                <w:sz w:val="24"/>
                <w:highlight w:val="none"/>
                <w:lang w:val="en-US" w:eastAsia="zh-CN" w:bidi="ar"/>
              </w:rPr>
              <w:t>图</w:t>
            </w:r>
          </w:p>
        </w:tc>
        <w:tc>
          <w:tcPr>
            <w:tcW w:w="692" w:type="dxa"/>
            <w:tcBorders>
              <w:top w:val="single" w:color="auto" w:sz="4" w:space="0"/>
              <w:left w:val="nil"/>
              <w:bottom w:val="single" w:color="auto" w:sz="4" w:space="0"/>
              <w:right w:val="single" w:color="auto" w:sz="4" w:space="0"/>
            </w:tcBorders>
            <w:noWrap/>
            <w:vAlign w:val="center"/>
          </w:tcPr>
          <w:p w14:paraId="4EE1E5A1">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2B89F451">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797B76D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1.包含智能网联汽车“前世今生”、智能网联汽车的各大“门派”、深度了解智能网联汽车“家族”。</w:t>
            </w:r>
          </w:p>
          <w:p w14:paraId="52687B9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2.长宽：≥3000mm*1200mm</w:t>
            </w:r>
          </w:p>
        </w:tc>
      </w:tr>
      <w:tr w14:paraId="73091F40">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617D3273">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14</w:t>
            </w:r>
          </w:p>
        </w:tc>
        <w:tc>
          <w:tcPr>
            <w:tcW w:w="1480" w:type="dxa"/>
            <w:tcBorders>
              <w:top w:val="single" w:color="auto" w:sz="4" w:space="0"/>
              <w:left w:val="nil"/>
              <w:bottom w:val="single" w:color="auto" w:sz="4" w:space="0"/>
              <w:right w:val="single" w:color="auto" w:sz="4" w:space="0"/>
            </w:tcBorders>
            <w:noWrap/>
            <w:vAlign w:val="center"/>
          </w:tcPr>
          <w:p w14:paraId="1953FAB4">
            <w:pPr>
              <w:widowControl/>
              <w:spacing w:before="93" w:beforeLines="30" w:after="93" w:afterLines="30" w:line="3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智能网联汽车百年发展历程</w:t>
            </w:r>
          </w:p>
        </w:tc>
        <w:tc>
          <w:tcPr>
            <w:tcW w:w="692" w:type="dxa"/>
            <w:tcBorders>
              <w:top w:val="single" w:color="auto" w:sz="4" w:space="0"/>
              <w:left w:val="nil"/>
              <w:bottom w:val="single" w:color="auto" w:sz="4" w:space="0"/>
              <w:right w:val="single" w:color="auto" w:sz="4" w:space="0"/>
            </w:tcBorders>
            <w:noWrap/>
            <w:vAlign w:val="center"/>
          </w:tcPr>
          <w:p w14:paraId="7EC3962F">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63E7D2C8">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2AD4436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1.包含智能网联汽车的启蒙时代、智能网联汽车焕发新生；</w:t>
            </w:r>
          </w:p>
          <w:p w14:paraId="4A6CE50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2.长宽≥2000mm*900mm。</w:t>
            </w:r>
          </w:p>
        </w:tc>
      </w:tr>
      <w:tr w14:paraId="153CE269">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1388CBAE">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15</w:t>
            </w:r>
          </w:p>
        </w:tc>
        <w:tc>
          <w:tcPr>
            <w:tcW w:w="1480" w:type="dxa"/>
            <w:tcBorders>
              <w:top w:val="single" w:color="auto" w:sz="4" w:space="0"/>
              <w:left w:val="nil"/>
              <w:bottom w:val="single" w:color="auto" w:sz="4" w:space="0"/>
              <w:right w:val="single" w:color="auto" w:sz="4" w:space="0"/>
            </w:tcBorders>
            <w:noWrap/>
            <w:vAlign w:val="center"/>
          </w:tcPr>
          <w:p w14:paraId="6EEAFE2C">
            <w:pPr>
              <w:widowControl/>
              <w:spacing w:before="93" w:beforeLines="30" w:after="93" w:afterLines="30" w:line="30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智能汽车分类</w:t>
            </w:r>
            <w:r>
              <w:rPr>
                <w:rFonts w:hint="eastAsia" w:ascii="仿宋" w:hAnsi="仿宋" w:eastAsia="仿宋" w:cs="仿宋"/>
                <w:color w:val="auto"/>
                <w:kern w:val="0"/>
                <w:sz w:val="24"/>
                <w:highlight w:val="none"/>
                <w:shd w:val="clear" w:color="auto" w:fill="FFFFFF"/>
                <w:lang w:val="en-US" w:eastAsia="zh-CN"/>
              </w:rPr>
              <w:t>图</w:t>
            </w:r>
          </w:p>
        </w:tc>
        <w:tc>
          <w:tcPr>
            <w:tcW w:w="692" w:type="dxa"/>
            <w:tcBorders>
              <w:top w:val="single" w:color="auto" w:sz="4" w:space="0"/>
              <w:left w:val="nil"/>
              <w:bottom w:val="single" w:color="auto" w:sz="4" w:space="0"/>
              <w:right w:val="single" w:color="auto" w:sz="4" w:space="0"/>
            </w:tcBorders>
            <w:noWrap/>
            <w:vAlign w:val="center"/>
          </w:tcPr>
          <w:p w14:paraId="6D67C2E3">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290F8AC5">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78E3AB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1.包含纯电动汽车、燃料电池电动汽车、其他新能源汽车、氢发动机汽车、混合动力汽车；</w:t>
            </w:r>
          </w:p>
          <w:p w14:paraId="2F9CCC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2.长宽≥3000mm*1200mm</w:t>
            </w:r>
          </w:p>
        </w:tc>
      </w:tr>
      <w:tr w14:paraId="4D654B12">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1CADCA6A">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16</w:t>
            </w:r>
          </w:p>
        </w:tc>
        <w:tc>
          <w:tcPr>
            <w:tcW w:w="1480" w:type="dxa"/>
            <w:tcBorders>
              <w:top w:val="single" w:color="auto" w:sz="4" w:space="0"/>
              <w:left w:val="nil"/>
              <w:bottom w:val="single" w:color="auto" w:sz="4" w:space="0"/>
              <w:right w:val="single" w:color="auto" w:sz="4" w:space="0"/>
            </w:tcBorders>
            <w:noWrap/>
            <w:vAlign w:val="center"/>
          </w:tcPr>
          <w:p w14:paraId="0A33401E">
            <w:pPr>
              <w:widowControl/>
              <w:spacing w:before="93" w:beforeLines="30" w:after="93" w:afterLines="30" w:line="3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智能网联汽车实训中心招牌</w:t>
            </w:r>
          </w:p>
        </w:tc>
        <w:tc>
          <w:tcPr>
            <w:tcW w:w="692" w:type="dxa"/>
            <w:tcBorders>
              <w:top w:val="single" w:color="auto" w:sz="4" w:space="0"/>
              <w:left w:val="nil"/>
              <w:bottom w:val="single" w:color="auto" w:sz="4" w:space="0"/>
              <w:right w:val="single" w:color="auto" w:sz="4" w:space="0"/>
            </w:tcBorders>
            <w:noWrap/>
            <w:vAlign w:val="center"/>
          </w:tcPr>
          <w:p w14:paraId="6299B5F1">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68089F02">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7C56BD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1.实训中心招牌，亚克力字；</w:t>
            </w:r>
          </w:p>
          <w:p w14:paraId="600C45B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2.长宽≥3000*1000mm。</w:t>
            </w:r>
          </w:p>
        </w:tc>
      </w:tr>
      <w:tr w14:paraId="26FE24ED">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36FA55F0">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17</w:t>
            </w:r>
          </w:p>
        </w:tc>
        <w:tc>
          <w:tcPr>
            <w:tcW w:w="1480" w:type="dxa"/>
            <w:tcBorders>
              <w:top w:val="single" w:color="auto" w:sz="4" w:space="0"/>
              <w:left w:val="nil"/>
              <w:bottom w:val="single" w:color="auto" w:sz="4" w:space="0"/>
              <w:right w:val="single" w:color="auto" w:sz="4" w:space="0"/>
            </w:tcBorders>
            <w:noWrap/>
            <w:vAlign w:val="center"/>
          </w:tcPr>
          <w:p w14:paraId="06B9B09A">
            <w:pPr>
              <w:widowControl/>
              <w:spacing w:before="93" w:beforeLines="30" w:after="93" w:afterLines="30" w:line="3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全球智能汽车产业图谱</w:t>
            </w:r>
          </w:p>
        </w:tc>
        <w:tc>
          <w:tcPr>
            <w:tcW w:w="692" w:type="dxa"/>
            <w:tcBorders>
              <w:top w:val="single" w:color="auto" w:sz="4" w:space="0"/>
              <w:left w:val="nil"/>
              <w:bottom w:val="single" w:color="auto" w:sz="4" w:space="0"/>
              <w:right w:val="single" w:color="auto" w:sz="4" w:space="0"/>
            </w:tcBorders>
            <w:noWrap/>
            <w:vAlign w:val="center"/>
          </w:tcPr>
          <w:p w14:paraId="554B65AA">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p>
        </w:tc>
        <w:tc>
          <w:tcPr>
            <w:tcW w:w="703" w:type="dxa"/>
            <w:tcBorders>
              <w:top w:val="single" w:color="auto" w:sz="4" w:space="0"/>
              <w:left w:val="nil"/>
              <w:bottom w:val="single" w:color="auto" w:sz="4" w:space="0"/>
              <w:right w:val="single" w:color="auto" w:sz="4" w:space="0"/>
            </w:tcBorders>
            <w:noWrap/>
            <w:vAlign w:val="center"/>
          </w:tcPr>
          <w:p w14:paraId="43618FBC">
            <w:pPr>
              <w:widowControl/>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998" w:type="dxa"/>
            <w:tcBorders>
              <w:top w:val="single" w:color="auto" w:sz="4" w:space="0"/>
              <w:left w:val="nil"/>
              <w:bottom w:val="single" w:color="auto" w:sz="4" w:space="0"/>
              <w:right w:val="single" w:color="auto" w:sz="4" w:space="0"/>
            </w:tcBorders>
            <w:noWrap/>
            <w:vAlign w:val="center"/>
          </w:tcPr>
          <w:p w14:paraId="017B92D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1.展示自动驾驶、智能座舱上下游产业链供应；</w:t>
            </w:r>
          </w:p>
          <w:p w14:paraId="41C033D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2.长宽≥3000mm*1200mm</w:t>
            </w:r>
          </w:p>
        </w:tc>
      </w:tr>
      <w:tr w14:paraId="02EC9B07">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3AA91031">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18</w:t>
            </w:r>
          </w:p>
        </w:tc>
        <w:tc>
          <w:tcPr>
            <w:tcW w:w="1480" w:type="dxa"/>
            <w:tcBorders>
              <w:top w:val="single" w:color="auto" w:sz="4" w:space="0"/>
              <w:left w:val="nil"/>
              <w:bottom w:val="single" w:color="auto" w:sz="4" w:space="0"/>
              <w:right w:val="single" w:color="auto" w:sz="4" w:space="0"/>
            </w:tcBorders>
            <w:noWrap/>
            <w:vAlign w:val="center"/>
          </w:tcPr>
          <w:p w14:paraId="0BA15976">
            <w:pPr>
              <w:spacing w:before="93" w:beforeLines="30" w:after="93" w:afterLines="30"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地面地漆</w:t>
            </w:r>
          </w:p>
        </w:tc>
        <w:tc>
          <w:tcPr>
            <w:tcW w:w="692" w:type="dxa"/>
            <w:tcBorders>
              <w:top w:val="single" w:color="auto" w:sz="4" w:space="0"/>
              <w:left w:val="nil"/>
              <w:bottom w:val="single" w:color="auto" w:sz="4" w:space="0"/>
              <w:right w:val="single" w:color="auto" w:sz="4" w:space="0"/>
            </w:tcBorders>
            <w:noWrap/>
            <w:vAlign w:val="center"/>
          </w:tcPr>
          <w:p w14:paraId="5D6FF6F4">
            <w:pPr>
              <w:spacing w:before="93" w:beforeLines="30" w:after="93" w:afterLines="30"/>
              <w:jc w:val="center"/>
              <w:rPr>
                <w:rFonts w:ascii="仿宋" w:hAnsi="仿宋" w:eastAsia="仿宋" w:cs="仿宋"/>
                <w:color w:val="auto"/>
                <w:sz w:val="24"/>
                <w:highlight w:val="none"/>
              </w:rPr>
            </w:pPr>
            <w:r>
              <w:rPr>
                <w:rFonts w:hint="eastAsia" w:ascii="仿宋" w:hAnsi="仿宋" w:eastAsia="仿宋" w:cs="仿宋"/>
                <w:color w:val="auto"/>
                <w:sz w:val="24"/>
                <w:highlight w:val="none"/>
              </w:rPr>
              <w:t>320</w:t>
            </w:r>
          </w:p>
        </w:tc>
        <w:tc>
          <w:tcPr>
            <w:tcW w:w="703" w:type="dxa"/>
            <w:tcBorders>
              <w:top w:val="single" w:color="auto" w:sz="4" w:space="0"/>
              <w:left w:val="nil"/>
              <w:bottom w:val="single" w:color="auto" w:sz="4" w:space="0"/>
              <w:right w:val="single" w:color="auto" w:sz="4" w:space="0"/>
            </w:tcBorders>
            <w:noWrap/>
            <w:vAlign w:val="center"/>
          </w:tcPr>
          <w:p w14:paraId="13ABA071">
            <w:pPr>
              <w:spacing w:before="93" w:beforeLines="30" w:after="93" w:afterLines="3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5998" w:type="dxa"/>
            <w:tcBorders>
              <w:top w:val="single" w:color="auto" w:sz="4" w:space="0"/>
              <w:left w:val="nil"/>
              <w:bottom w:val="single" w:color="auto" w:sz="4" w:space="0"/>
              <w:right w:val="single" w:color="auto" w:sz="4" w:space="0"/>
            </w:tcBorders>
            <w:noWrap/>
            <w:vAlign w:val="center"/>
          </w:tcPr>
          <w:p w14:paraId="2F38CCE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地面自流平与地坪漆处理</w:t>
            </w:r>
          </w:p>
        </w:tc>
      </w:tr>
      <w:tr w14:paraId="43DCEEF2">
        <w:tblPrEx>
          <w:tblCellMar>
            <w:top w:w="0" w:type="dxa"/>
            <w:left w:w="108" w:type="dxa"/>
            <w:bottom w:w="0" w:type="dxa"/>
            <w:right w:w="108" w:type="dxa"/>
          </w:tblCellMar>
        </w:tblPrEx>
        <w:trPr>
          <w:trHeight w:val="799" w:hRule="atLeast"/>
        </w:trPr>
        <w:tc>
          <w:tcPr>
            <w:tcW w:w="603" w:type="dxa"/>
            <w:tcBorders>
              <w:top w:val="single" w:color="auto" w:sz="4" w:space="0"/>
              <w:left w:val="single" w:color="auto" w:sz="4" w:space="0"/>
              <w:bottom w:val="single" w:color="auto" w:sz="4" w:space="0"/>
              <w:right w:val="single" w:color="auto" w:sz="4" w:space="0"/>
            </w:tcBorders>
            <w:noWrap/>
            <w:vAlign w:val="center"/>
          </w:tcPr>
          <w:p w14:paraId="107CEC6D">
            <w:pPr>
              <w:widowControl/>
              <w:adjustRightInd w:val="0"/>
              <w:snapToGrid w:val="0"/>
              <w:spacing w:line="400" w:lineRule="exact"/>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shd w:val="clear" w:color="auto" w:fill="FFFFFF"/>
              </w:rPr>
              <w:t>19</w:t>
            </w:r>
          </w:p>
        </w:tc>
        <w:tc>
          <w:tcPr>
            <w:tcW w:w="1480" w:type="dxa"/>
            <w:tcBorders>
              <w:top w:val="single" w:color="auto" w:sz="4" w:space="0"/>
              <w:left w:val="nil"/>
              <w:bottom w:val="single" w:color="auto" w:sz="4" w:space="0"/>
              <w:right w:val="single" w:color="auto" w:sz="4" w:space="0"/>
            </w:tcBorders>
            <w:noWrap/>
            <w:vAlign w:val="center"/>
          </w:tcPr>
          <w:p w14:paraId="094F6812">
            <w:pPr>
              <w:spacing w:before="93" w:beforeLines="30" w:after="93" w:afterLines="30"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线路改造</w:t>
            </w:r>
          </w:p>
        </w:tc>
        <w:tc>
          <w:tcPr>
            <w:tcW w:w="692" w:type="dxa"/>
            <w:tcBorders>
              <w:top w:val="single" w:color="auto" w:sz="4" w:space="0"/>
              <w:left w:val="nil"/>
              <w:bottom w:val="single" w:color="auto" w:sz="4" w:space="0"/>
              <w:right w:val="single" w:color="auto" w:sz="4" w:space="0"/>
            </w:tcBorders>
            <w:noWrap/>
            <w:vAlign w:val="center"/>
          </w:tcPr>
          <w:p w14:paraId="5911ACF1">
            <w:pPr>
              <w:spacing w:before="93" w:beforeLines="30" w:after="93" w:afterLines="3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03" w:type="dxa"/>
            <w:tcBorders>
              <w:top w:val="single" w:color="auto" w:sz="4" w:space="0"/>
              <w:left w:val="nil"/>
              <w:bottom w:val="single" w:color="auto" w:sz="4" w:space="0"/>
              <w:right w:val="single" w:color="auto" w:sz="4" w:space="0"/>
            </w:tcBorders>
            <w:noWrap/>
            <w:vAlign w:val="center"/>
          </w:tcPr>
          <w:p w14:paraId="09C28E16">
            <w:pPr>
              <w:spacing w:before="93" w:beforeLines="30" w:after="93" w:afterLines="30"/>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5998" w:type="dxa"/>
            <w:tcBorders>
              <w:top w:val="single" w:color="auto" w:sz="4" w:space="0"/>
              <w:left w:val="nil"/>
              <w:bottom w:val="single" w:color="auto" w:sz="4" w:space="0"/>
              <w:right w:val="single" w:color="auto" w:sz="4" w:space="0"/>
            </w:tcBorders>
            <w:noWrap/>
            <w:vAlign w:val="center"/>
          </w:tcPr>
          <w:p w14:paraId="4D32A45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根据需要，全部为铜线，按照国标布置。墙面采用绝缘PVC线槽布线，顶面采用阻燃线管布线。含人工费及材料、普通插座。</w:t>
            </w:r>
          </w:p>
        </w:tc>
      </w:tr>
      <w:tr w14:paraId="1CCEAC58">
        <w:tblPrEx>
          <w:tblCellMar>
            <w:top w:w="0" w:type="dxa"/>
            <w:left w:w="108" w:type="dxa"/>
            <w:bottom w:w="0" w:type="dxa"/>
            <w:right w:w="108" w:type="dxa"/>
          </w:tblCellMar>
        </w:tblPrEx>
        <w:trPr>
          <w:trHeight w:val="549" w:hRule="atLeast"/>
        </w:trPr>
        <w:tc>
          <w:tcPr>
            <w:tcW w:w="9476" w:type="dxa"/>
            <w:gridSpan w:val="5"/>
            <w:tcBorders>
              <w:top w:val="single" w:color="auto" w:sz="4" w:space="0"/>
              <w:left w:val="single" w:color="auto" w:sz="4" w:space="0"/>
              <w:bottom w:val="single" w:color="auto" w:sz="4" w:space="0"/>
              <w:right w:val="single" w:color="auto" w:sz="4" w:space="0"/>
            </w:tcBorders>
            <w:noWrap/>
            <w:vAlign w:val="center"/>
          </w:tcPr>
          <w:p w14:paraId="39454B01">
            <w:pPr>
              <w:rPr>
                <w:rFonts w:ascii="仿宋" w:hAnsi="仿宋" w:eastAsia="仿宋" w:cs="仿宋"/>
                <w:color w:val="auto"/>
                <w:sz w:val="24"/>
                <w:highlight w:val="none"/>
              </w:rPr>
            </w:pPr>
            <w:r>
              <w:rPr>
                <w:rFonts w:hint="eastAsia" w:ascii="仿宋" w:hAnsi="仿宋" w:eastAsia="仿宋" w:cs="仿宋"/>
                <w:b/>
                <w:bCs/>
                <w:color w:val="auto"/>
                <w:sz w:val="24"/>
                <w:highlight w:val="none"/>
              </w:rPr>
              <w:t>二、商务条款</w:t>
            </w:r>
          </w:p>
        </w:tc>
      </w:tr>
      <w:tr w14:paraId="63D1CDC9">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4E1718F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竞标报价要求</w:t>
            </w:r>
          </w:p>
        </w:tc>
        <w:tc>
          <w:tcPr>
            <w:tcW w:w="7393" w:type="dxa"/>
            <w:gridSpan w:val="3"/>
            <w:tcBorders>
              <w:top w:val="single" w:color="auto" w:sz="4" w:space="0"/>
              <w:left w:val="nil"/>
              <w:bottom w:val="single" w:color="auto" w:sz="4" w:space="0"/>
              <w:right w:val="single" w:color="auto" w:sz="4" w:space="0"/>
            </w:tcBorders>
            <w:noWrap/>
            <w:vAlign w:val="center"/>
          </w:tcPr>
          <w:p w14:paraId="6180A8E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实行总承包报价；包括货物采购、标准附件、备品备件、运抵指定交货地点、合理利润、风险、运输、保管、验收等各种费用和售后服务、税金、招标代理服务费及其它所有成本费用的总和，采购人不再支付任何费用。</w:t>
            </w:r>
          </w:p>
        </w:tc>
      </w:tr>
      <w:tr w14:paraId="6B7C0262">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035E167D">
            <w:pPr>
              <w:spacing w:line="400" w:lineRule="exact"/>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质保期</w:t>
            </w:r>
          </w:p>
        </w:tc>
        <w:tc>
          <w:tcPr>
            <w:tcW w:w="7393" w:type="dxa"/>
            <w:gridSpan w:val="3"/>
            <w:tcBorders>
              <w:top w:val="single" w:color="auto" w:sz="4" w:space="0"/>
              <w:left w:val="nil"/>
              <w:bottom w:val="single" w:color="auto" w:sz="4" w:space="0"/>
              <w:right w:val="single" w:color="auto" w:sz="4" w:space="0"/>
            </w:tcBorders>
            <w:noWrap/>
            <w:vAlign w:val="center"/>
          </w:tcPr>
          <w:p w14:paraId="47FD0F2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质保期从验收合格之日起计算，质保期除“技术参数及性能（配置）要求”中有特别要求的，所有货物质保期不少于1年，质保期期内产品实行三包。设备终身维护，保修期内免费更换所有故障零配件，并免费提供设备的系统软件及硬件的安全性改版升级和技术支持，质保期内免费系统升级，确保设备正常运行。</w:t>
            </w:r>
          </w:p>
          <w:p w14:paraId="523AD22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2、质量保证期承诺优于国家“三包”规定的，或优于采购文件规定的，按供应商实际承诺执行。</w:t>
            </w:r>
          </w:p>
        </w:tc>
      </w:tr>
      <w:tr w14:paraId="720C1197">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11BCA621">
            <w:pPr>
              <w:spacing w:line="400" w:lineRule="exact"/>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售后服务要求</w:t>
            </w:r>
          </w:p>
        </w:tc>
        <w:tc>
          <w:tcPr>
            <w:tcW w:w="7393" w:type="dxa"/>
            <w:gridSpan w:val="3"/>
            <w:tcBorders>
              <w:top w:val="single" w:color="auto" w:sz="4" w:space="0"/>
              <w:left w:val="nil"/>
              <w:bottom w:val="single" w:color="auto" w:sz="4" w:space="0"/>
              <w:right w:val="single" w:color="auto" w:sz="4" w:space="0"/>
            </w:tcBorders>
            <w:noWrap/>
            <w:vAlign w:val="center"/>
          </w:tcPr>
          <w:p w14:paraId="2A8F3E63">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1、售后服务要求：①按国家有关规定实行产品“三包”；②免费送货上门；③问题响应时间:成交供应商接到采购单位的通知后，在≤1小时响应，在≤8小时到达采购人指定现场</w:t>
            </w:r>
            <w:r>
              <w:rPr>
                <w:rFonts w:hint="eastAsia" w:ascii="仿宋" w:hAnsi="仿宋" w:eastAsia="仿宋" w:cs="仿宋"/>
                <w:color w:val="auto"/>
                <w:kern w:val="1"/>
                <w:sz w:val="24"/>
                <w:highlight w:val="none"/>
              </w:rPr>
              <w:t>，按国家及行业标准及其售后服务承诺（如有不一致，以标准高者为准，下同）进行维修，一般问题应</w:t>
            </w:r>
            <w:r>
              <w:rPr>
                <w:rFonts w:hint="eastAsia" w:ascii="仿宋" w:hAnsi="仿宋" w:eastAsia="仿宋" w:cs="仿宋"/>
                <w:color w:val="auto"/>
                <w:sz w:val="24"/>
                <w:highlight w:val="none"/>
              </w:rPr>
              <w:t>在≤24小时处理完毕，</w:t>
            </w:r>
            <w:r>
              <w:rPr>
                <w:rFonts w:hint="eastAsia" w:ascii="仿宋" w:hAnsi="仿宋" w:eastAsia="仿宋" w:cs="仿宋"/>
                <w:color w:val="auto"/>
                <w:kern w:val="1"/>
                <w:sz w:val="24"/>
                <w:highlight w:val="none"/>
              </w:rPr>
              <w:t>重大问题或其它无法迅速解决的问题应</w:t>
            </w:r>
            <w:r>
              <w:rPr>
                <w:rFonts w:hint="eastAsia" w:ascii="仿宋" w:hAnsi="仿宋" w:eastAsia="仿宋" w:cs="仿宋"/>
                <w:color w:val="auto"/>
                <w:sz w:val="24"/>
                <w:highlight w:val="none"/>
              </w:rPr>
              <w:t>在≤48小时解决，48小时未能解决问题须在48小时内提供备品备件，备品备件必须保证是同型号或相近型号、性能不低于原型号的全新、未使用过的备品备件，保证采购人正常使用。④定期回访、走访及</w:t>
            </w:r>
            <w:r>
              <w:rPr>
                <w:rFonts w:hint="eastAsia" w:ascii="仿宋" w:hAnsi="仿宋" w:eastAsia="仿宋" w:cs="仿宋"/>
                <w:color w:val="auto"/>
                <w:kern w:val="1"/>
                <w:sz w:val="24"/>
                <w:highlight w:val="none"/>
              </w:rPr>
              <w:t>对本项目产品检测维护</w:t>
            </w:r>
            <w:r>
              <w:rPr>
                <w:rFonts w:hint="eastAsia" w:ascii="仿宋" w:hAnsi="仿宋" w:eastAsia="仿宋" w:cs="仿宋"/>
                <w:color w:val="auto"/>
                <w:sz w:val="24"/>
                <w:highlight w:val="none"/>
              </w:rPr>
              <w:t>；⑤质量保证期内免费上门维修、免费更换零配件；⑥提供售后服务人员名单、联系电话及E-mail等，以便为采购人提供完善的售前和售后技术咨询服务；⑦其余按厂家和成交供应商承诺进行；⑧</w:t>
            </w:r>
            <w:r>
              <w:rPr>
                <w:rFonts w:hint="eastAsia" w:ascii="仿宋" w:hAnsi="仿宋" w:eastAsia="仿宋" w:cs="仿宋"/>
                <w:color w:val="auto"/>
                <w:kern w:val="1"/>
                <w:sz w:val="24"/>
                <w:highlight w:val="none"/>
              </w:rPr>
              <w:t>因故意性因素造成的损坏或故障，或质保期满后发生的损坏或故障，不在免费保修范围内，但成交供应商也要按照国家及行业标准及其售后服务承诺（如有不一致，以标准高者为准）积极修理，并提供优惠价格的配件和服务</w:t>
            </w:r>
            <w:r>
              <w:rPr>
                <w:rFonts w:hint="eastAsia" w:ascii="仿宋" w:hAnsi="仿宋" w:eastAsia="仿宋" w:cs="仿宋"/>
                <w:color w:val="auto"/>
                <w:sz w:val="24"/>
                <w:highlight w:val="none"/>
              </w:rPr>
              <w:t>。质保期满后成交供应商提供终身维修、升级及保养服务，只收成本费。</w:t>
            </w:r>
          </w:p>
          <w:p w14:paraId="386CE668">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2、免费培训：成交供应商负责免费培训采购人使用人员和维护人员，内容包括设备及软件系统操作、日常维护，确保其熟练掌握全部功能为止。培训次数、时间、地点、人数由采购人视情况决定。</w:t>
            </w:r>
          </w:p>
          <w:p w14:paraId="64B5A6BB">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3、免费安装调试：成交供应商负责本项目所有货物的安装、调试及项目整体测试、联调和开通，并在试运行结束后由成交供应商整理验收材料提交采购人验收。</w:t>
            </w:r>
          </w:p>
          <w:p w14:paraId="6E70A7B3">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技术支持与服务：提供每周7×24小时技术响应服务，成交供应商应负责所售产品的售后服务，并提供至少一年的免费原厂保修服务；质保期内设备发生故障，维修或更换配件所需的全部费用由成交供应商承担；维修完毕后工程师及时填写维修报告，维修报告包括故障原因、处理情况及用户意见，维修报告由双方各持一份备案。</w:t>
            </w:r>
          </w:p>
          <w:p w14:paraId="03014757">
            <w:pPr>
              <w:spacing w:line="420" w:lineRule="exact"/>
              <w:ind w:left="360" w:hanging="360" w:hangingChars="150"/>
              <w:rPr>
                <w:rFonts w:ascii="仿宋" w:hAnsi="仿宋" w:eastAsia="仿宋" w:cs="仿宋"/>
                <w:color w:val="auto"/>
                <w:sz w:val="24"/>
                <w:highlight w:val="none"/>
              </w:rPr>
            </w:pPr>
            <w:r>
              <w:rPr>
                <w:rFonts w:hint="eastAsia" w:ascii="仿宋" w:hAnsi="仿宋" w:eastAsia="仿宋" w:cs="仿宋"/>
                <w:color w:val="auto"/>
                <w:sz w:val="24"/>
                <w:highlight w:val="none"/>
              </w:rPr>
              <w:t>5、供应商在响应文件中提供具体的售后服务方案（内容包括但不限于：明确质保期、问题响应时间、定期回访/走访采购人具体时间、质保期限外提供优惠服务等，格式自拟，必须提供）。</w:t>
            </w:r>
          </w:p>
        </w:tc>
      </w:tr>
      <w:tr w14:paraId="1B14928D">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0A8FD04E">
            <w:pPr>
              <w:spacing w:line="360" w:lineRule="exact"/>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交付时间和交付地点</w:t>
            </w:r>
          </w:p>
        </w:tc>
        <w:tc>
          <w:tcPr>
            <w:tcW w:w="7393" w:type="dxa"/>
            <w:gridSpan w:val="3"/>
            <w:tcBorders>
              <w:top w:val="single" w:color="auto" w:sz="4" w:space="0"/>
              <w:left w:val="nil"/>
              <w:bottom w:val="single" w:color="auto" w:sz="4" w:space="0"/>
              <w:right w:val="single" w:color="auto" w:sz="4" w:space="0"/>
            </w:tcBorders>
            <w:noWrap/>
            <w:vAlign w:val="center"/>
          </w:tcPr>
          <w:p w14:paraId="5D2DD56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1、交付时间：自签订合同之日起 60日内提交服务成果。</w:t>
            </w:r>
          </w:p>
          <w:p w14:paraId="5C253C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2、交付地点：广西壮族自治区南宁市青山路7号。</w:t>
            </w:r>
          </w:p>
        </w:tc>
      </w:tr>
      <w:tr w14:paraId="4C2D808C">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0108071C">
            <w:pPr>
              <w:widowControl/>
              <w:spacing w:line="360" w:lineRule="exact"/>
              <w:ind w:left="-50" w:leftChars="-24"/>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付款条件</w:t>
            </w:r>
          </w:p>
        </w:tc>
        <w:tc>
          <w:tcPr>
            <w:tcW w:w="7393" w:type="dxa"/>
            <w:gridSpan w:val="3"/>
            <w:tcBorders>
              <w:top w:val="single" w:color="auto" w:sz="4" w:space="0"/>
              <w:left w:val="nil"/>
              <w:bottom w:val="single" w:color="auto" w:sz="4" w:space="0"/>
              <w:right w:val="single" w:color="auto" w:sz="4" w:space="0"/>
            </w:tcBorders>
            <w:noWrap/>
            <w:vAlign w:val="center"/>
          </w:tcPr>
          <w:p w14:paraId="493C0977">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签订合同10个工作日内支付合同金额的50%作为预付款，成果交付并全部验收合格且供应商开具全额发票后10个工作日内支付合同金额的50%。</w:t>
            </w:r>
          </w:p>
        </w:tc>
      </w:tr>
      <w:tr w14:paraId="30045487">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2B09F7B5">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▲备品备件及易损件</w:t>
            </w:r>
          </w:p>
        </w:tc>
        <w:tc>
          <w:tcPr>
            <w:tcW w:w="7393" w:type="dxa"/>
            <w:gridSpan w:val="3"/>
            <w:tcBorders>
              <w:top w:val="single" w:color="auto" w:sz="4" w:space="0"/>
              <w:left w:val="nil"/>
              <w:bottom w:val="single" w:color="auto" w:sz="4" w:space="0"/>
              <w:right w:val="single" w:color="auto" w:sz="4" w:space="0"/>
            </w:tcBorders>
            <w:noWrap/>
            <w:vAlign w:val="center"/>
          </w:tcPr>
          <w:p w14:paraId="03F85DE8">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tc>
      </w:tr>
      <w:tr w14:paraId="19747AAA">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4E33C973">
            <w:pPr>
              <w:snapToGrid w:val="0"/>
              <w:spacing w:line="4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▲进口产品说明</w:t>
            </w:r>
          </w:p>
        </w:tc>
        <w:tc>
          <w:tcPr>
            <w:tcW w:w="7393" w:type="dxa"/>
            <w:gridSpan w:val="3"/>
            <w:tcBorders>
              <w:top w:val="single" w:color="auto" w:sz="4" w:space="0"/>
              <w:left w:val="nil"/>
              <w:bottom w:val="single" w:color="auto" w:sz="4" w:space="0"/>
              <w:right w:val="single" w:color="auto" w:sz="4" w:space="0"/>
            </w:tcBorders>
            <w:noWrap/>
          </w:tcPr>
          <w:p w14:paraId="77508986">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本项目货物所涉及的货物不接受进口产品（即通过中国海关报关验放进入中国境内且产自关境外的产品）参与投标，</w:t>
            </w:r>
            <w:r>
              <w:rPr>
                <w:rFonts w:hint="eastAsia" w:ascii="仿宋" w:hAnsi="仿宋" w:eastAsia="仿宋" w:cs="仿宋"/>
                <w:b/>
                <w:color w:val="auto"/>
                <w:sz w:val="24"/>
                <w:highlight w:val="none"/>
              </w:rPr>
              <w:t>如有进口产品参与磋商的作无效标处理</w:t>
            </w:r>
            <w:r>
              <w:rPr>
                <w:rFonts w:hint="eastAsia" w:ascii="仿宋" w:hAnsi="仿宋" w:eastAsia="仿宋" w:cs="仿宋"/>
                <w:color w:val="auto"/>
                <w:sz w:val="24"/>
                <w:highlight w:val="none"/>
              </w:rPr>
              <w:t>。</w:t>
            </w:r>
          </w:p>
        </w:tc>
      </w:tr>
      <w:tr w14:paraId="7772ABD3">
        <w:tblPrEx>
          <w:tblCellMar>
            <w:top w:w="0" w:type="dxa"/>
            <w:left w:w="108" w:type="dxa"/>
            <w:bottom w:w="0" w:type="dxa"/>
            <w:right w:w="108" w:type="dxa"/>
          </w:tblCellMar>
        </w:tblPrEx>
        <w:trPr>
          <w:trHeight w:val="799" w:hRule="atLeast"/>
        </w:trPr>
        <w:tc>
          <w:tcPr>
            <w:tcW w:w="2083" w:type="dxa"/>
            <w:gridSpan w:val="2"/>
            <w:tcBorders>
              <w:top w:val="single" w:color="auto" w:sz="4" w:space="0"/>
              <w:left w:val="single" w:color="auto" w:sz="4" w:space="0"/>
              <w:bottom w:val="single" w:color="auto" w:sz="4" w:space="0"/>
              <w:right w:val="single" w:color="auto" w:sz="4" w:space="0"/>
            </w:tcBorders>
            <w:noWrap/>
            <w:vAlign w:val="center"/>
          </w:tcPr>
          <w:p w14:paraId="65F105FF">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其他要求</w:t>
            </w:r>
          </w:p>
        </w:tc>
        <w:tc>
          <w:tcPr>
            <w:tcW w:w="7393" w:type="dxa"/>
            <w:gridSpan w:val="3"/>
            <w:tcBorders>
              <w:top w:val="single" w:color="auto" w:sz="4" w:space="0"/>
              <w:left w:val="nil"/>
              <w:bottom w:val="single" w:color="auto" w:sz="4" w:space="0"/>
              <w:right w:val="single" w:color="auto" w:sz="4" w:space="0"/>
            </w:tcBorders>
            <w:noWrap/>
            <w:vAlign w:val="center"/>
          </w:tcPr>
          <w:p w14:paraId="7949DA44">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1、核心服务及产品：第1项 智能网联无人驾驶乘用车平台。</w:t>
            </w:r>
          </w:p>
          <w:p w14:paraId="30DC43B5">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货物必须是为原厂全新、完整、未使用过的产品，货物送达现场后，成交供应商和采购人应在现场进行清点；清点过程中如果发现因包装或运输不当引起的货物外观或内部的损坏，成交供应商应负责更换；若发现错发、漏发情况，成交供应商应负责更换和补发。成交供应商所提供的产品、资料等要满足中华人民共和国的相应国家、地方、行业标准，本项目货物质量技术参数要求及成交供应商承诺的货物质量标准（如有不一致，以标准高者为准），交货验收必须由采购人和成交供应商共同进行，采购人如认为有需要的，可委托相关检验部门对产品进行抽检，自检或检验部门抽检不合格的不给予验收，影响采购人使用货物的采购人将追究成交供应商的相关责任，抽检所产生的费用全部由成交供应商负责。</w:t>
            </w:r>
          </w:p>
          <w:p w14:paraId="779D2A45">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▲3、验收：验收标准应符合中国有关的国家、地方、行业标准。</w:t>
            </w:r>
          </w:p>
          <w:p w14:paraId="45BBDBA7">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▲4、供应商必须承诺不得转让或转包本项目，须在响应文件单独提供承诺函原件，承诺函须有法定代表人（负责人）或其委托代理人签字，并加盖投标单位公章，承诺函格式自拟。</w:t>
            </w:r>
          </w:p>
          <w:p w14:paraId="3CB704D6">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5、项目验收合格后，提供1年的免费软件系统维护，包括系统业务缺陷、系统功能缺陷及系统错误的维修与升级。</w:t>
            </w:r>
          </w:p>
          <w:p w14:paraId="104C4B21">
            <w:pPr>
              <w:widowControl/>
              <w:adjustRightInd w:val="0"/>
              <w:spacing w:line="400" w:lineRule="exact"/>
              <w:ind w:firstLine="480" w:firstLineChars="20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6、供应商在响应文件中提供针对本项目详细的技术方案、实施方案、售后服务方案（格式自拟）。</w:t>
            </w:r>
          </w:p>
        </w:tc>
      </w:tr>
    </w:tbl>
    <w:p w14:paraId="17ED00CC">
      <w:pPr>
        <w:pStyle w:val="16"/>
        <w:rPr>
          <w:rFonts w:ascii="仿宋" w:hAnsi="仿宋" w:eastAsia="仿宋" w:cs="仿宋"/>
          <w:b/>
          <w:bCs/>
          <w:color w:val="auto"/>
          <w:highlight w:val="none"/>
        </w:rPr>
      </w:pPr>
    </w:p>
    <w:p w14:paraId="72D0F2DE">
      <w:pPr>
        <w:pStyle w:val="9"/>
        <w:rPr>
          <w:rFonts w:ascii="仿宋" w:hAnsi="仿宋" w:eastAsia="仿宋" w:cs="仿宋"/>
          <w:color w:val="auto"/>
          <w:highlight w:val="none"/>
        </w:rPr>
      </w:pPr>
    </w:p>
    <w:p w14:paraId="16EB6857">
      <w:pPr>
        <w:pStyle w:val="16"/>
        <w:rPr>
          <w:rFonts w:ascii="仿宋" w:hAnsi="仿宋" w:eastAsia="仿宋" w:cs="仿宋"/>
          <w:color w:val="auto"/>
          <w:highlight w:val="none"/>
        </w:rPr>
      </w:pPr>
    </w:p>
    <w:p w14:paraId="7852D79E">
      <w:pPr>
        <w:pStyle w:val="16"/>
        <w:rPr>
          <w:rFonts w:ascii="仿宋" w:hAnsi="仿宋" w:eastAsia="仿宋" w:cs="仿宋"/>
          <w:color w:val="auto"/>
          <w:sz w:val="24"/>
          <w:szCs w:val="24"/>
          <w:highlight w:val="none"/>
        </w:rPr>
      </w:pPr>
    </w:p>
    <w:p w14:paraId="77C43ACD">
      <w:pPr>
        <w:tabs>
          <w:tab w:val="left" w:pos="180"/>
          <w:tab w:val="left" w:pos="1620"/>
        </w:tabs>
        <w:spacing w:line="360" w:lineRule="auto"/>
        <w:ind w:firstLine="422" w:firstLineChars="200"/>
        <w:rPr>
          <w:rFonts w:ascii="仿宋" w:hAnsi="仿宋" w:eastAsia="仿宋" w:cs="仿宋"/>
          <w:b/>
          <w:bCs/>
          <w:color w:val="auto"/>
          <w:szCs w:val="21"/>
          <w:highlight w:val="none"/>
        </w:rPr>
      </w:pPr>
    </w:p>
    <w:p w14:paraId="286C3129">
      <w:pPr>
        <w:spacing w:line="428" w:lineRule="exact"/>
        <w:ind w:left="119"/>
        <w:rPr>
          <w:rFonts w:ascii="仿宋" w:hAnsi="仿宋" w:eastAsia="仿宋" w:cs="仿宋"/>
          <w:color w:val="auto"/>
          <w:sz w:val="32"/>
          <w:szCs w:val="32"/>
          <w:highlight w:val="none"/>
        </w:rPr>
      </w:pPr>
      <w:r>
        <w:rPr>
          <w:rFonts w:hint="eastAsia" w:ascii="仿宋" w:hAnsi="仿宋" w:eastAsia="仿宋" w:cs="仿宋"/>
          <w:color w:val="auto"/>
          <w:sz w:val="20"/>
          <w:szCs w:val="20"/>
          <w:highlight w:val="none"/>
        </w:rPr>
        <w:br w:type="page"/>
      </w:r>
      <w:r>
        <w:rPr>
          <w:rFonts w:hint="eastAsia" w:ascii="仿宋" w:hAnsi="仿宋" w:eastAsia="仿宋" w:cs="仿宋"/>
          <w:color w:val="auto"/>
          <w:sz w:val="32"/>
          <w:szCs w:val="32"/>
          <w:highlight w:val="none"/>
        </w:rPr>
        <w:t>附件1：</w:t>
      </w:r>
    </w:p>
    <w:p w14:paraId="71479704">
      <w:pPr>
        <w:spacing w:before="7"/>
        <w:rPr>
          <w:rFonts w:ascii="仿宋" w:hAnsi="仿宋" w:eastAsia="仿宋" w:cs="仿宋"/>
          <w:color w:val="auto"/>
          <w:sz w:val="17"/>
          <w:szCs w:val="17"/>
          <w:highlight w:val="none"/>
        </w:rPr>
      </w:pPr>
    </w:p>
    <w:p w14:paraId="555B6C1E">
      <w:pPr>
        <w:spacing w:line="528" w:lineRule="exact"/>
        <w:ind w:left="1871"/>
        <w:rPr>
          <w:rFonts w:ascii="仿宋" w:hAnsi="仿宋" w:eastAsia="仿宋" w:cs="仿宋"/>
          <w:color w:val="auto"/>
          <w:sz w:val="40"/>
          <w:szCs w:val="40"/>
          <w:highlight w:val="none"/>
        </w:rPr>
      </w:pPr>
      <w:r>
        <w:rPr>
          <w:rFonts w:hint="eastAsia" w:ascii="仿宋" w:hAnsi="仿宋" w:eastAsia="仿宋" w:cs="仿宋"/>
          <w:color w:val="auto"/>
          <w:sz w:val="40"/>
          <w:szCs w:val="40"/>
          <w:highlight w:val="none"/>
        </w:rPr>
        <w:t>节能产品政府采购品目清单</w:t>
      </w:r>
    </w:p>
    <w:tbl>
      <w:tblPr>
        <w:tblStyle w:val="25"/>
        <w:tblW w:w="0" w:type="auto"/>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0"/>
        <w:gridCol w:w="1080"/>
        <w:gridCol w:w="1320"/>
        <w:gridCol w:w="1620"/>
        <w:gridCol w:w="4540"/>
      </w:tblGrid>
      <w:tr w14:paraId="4C4B9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660" w:type="dxa"/>
          </w:tcPr>
          <w:p w14:paraId="6861834F">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品目序号</w:t>
            </w:r>
          </w:p>
        </w:tc>
        <w:tc>
          <w:tcPr>
            <w:tcW w:w="4020" w:type="dxa"/>
            <w:gridSpan w:val="3"/>
            <w:vAlign w:val="center"/>
          </w:tcPr>
          <w:p w14:paraId="1072212F">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名称</w:t>
            </w:r>
          </w:p>
        </w:tc>
        <w:tc>
          <w:tcPr>
            <w:tcW w:w="4540" w:type="dxa"/>
            <w:vAlign w:val="center"/>
          </w:tcPr>
          <w:p w14:paraId="6A820D64">
            <w:pPr>
              <w:widowControl/>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依据的标准</w:t>
            </w:r>
          </w:p>
        </w:tc>
      </w:tr>
      <w:tr w14:paraId="5E872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68146B3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080" w:type="dxa"/>
            <w:vMerge w:val="restart"/>
            <w:vAlign w:val="center"/>
          </w:tcPr>
          <w:p w14:paraId="1EABEF9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A020101计算机设备</w:t>
            </w:r>
          </w:p>
        </w:tc>
        <w:tc>
          <w:tcPr>
            <w:tcW w:w="1320" w:type="dxa"/>
            <w:vAlign w:val="center"/>
          </w:tcPr>
          <w:p w14:paraId="2284798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★A02010104台式计算机</w:t>
            </w:r>
          </w:p>
        </w:tc>
        <w:tc>
          <w:tcPr>
            <w:tcW w:w="1620" w:type="dxa"/>
            <w:vAlign w:val="center"/>
          </w:tcPr>
          <w:p w14:paraId="6139AB5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5208F4A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66F11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1D8A9E2F">
            <w:pPr>
              <w:widowControl/>
              <w:jc w:val="left"/>
              <w:rPr>
                <w:rFonts w:ascii="仿宋" w:hAnsi="仿宋" w:eastAsia="仿宋" w:cs="仿宋"/>
                <w:color w:val="auto"/>
                <w:kern w:val="0"/>
                <w:sz w:val="20"/>
                <w:szCs w:val="20"/>
                <w:highlight w:val="none"/>
              </w:rPr>
            </w:pPr>
          </w:p>
        </w:tc>
        <w:tc>
          <w:tcPr>
            <w:tcW w:w="1080" w:type="dxa"/>
            <w:vMerge w:val="continue"/>
            <w:vAlign w:val="center"/>
          </w:tcPr>
          <w:p w14:paraId="24F6C39D">
            <w:pPr>
              <w:widowControl/>
              <w:jc w:val="left"/>
              <w:rPr>
                <w:rFonts w:ascii="仿宋" w:hAnsi="仿宋" w:eastAsia="仿宋" w:cs="仿宋"/>
                <w:color w:val="auto"/>
                <w:kern w:val="0"/>
                <w:sz w:val="20"/>
                <w:szCs w:val="20"/>
                <w:highlight w:val="none"/>
              </w:rPr>
            </w:pPr>
          </w:p>
        </w:tc>
        <w:tc>
          <w:tcPr>
            <w:tcW w:w="1320" w:type="dxa"/>
            <w:vAlign w:val="center"/>
          </w:tcPr>
          <w:p w14:paraId="58641B1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★A02010105便携式计算机</w:t>
            </w:r>
          </w:p>
        </w:tc>
        <w:tc>
          <w:tcPr>
            <w:tcW w:w="1620" w:type="dxa"/>
            <w:vAlign w:val="center"/>
          </w:tcPr>
          <w:p w14:paraId="34E0887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37D2337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6D5C6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78C52038">
            <w:pPr>
              <w:widowControl/>
              <w:jc w:val="left"/>
              <w:rPr>
                <w:rFonts w:ascii="仿宋" w:hAnsi="仿宋" w:eastAsia="仿宋" w:cs="仿宋"/>
                <w:color w:val="auto"/>
                <w:kern w:val="0"/>
                <w:sz w:val="20"/>
                <w:szCs w:val="20"/>
                <w:highlight w:val="none"/>
              </w:rPr>
            </w:pPr>
          </w:p>
        </w:tc>
        <w:tc>
          <w:tcPr>
            <w:tcW w:w="1080" w:type="dxa"/>
            <w:vMerge w:val="continue"/>
            <w:vAlign w:val="center"/>
          </w:tcPr>
          <w:p w14:paraId="76495CC5">
            <w:pPr>
              <w:widowControl/>
              <w:jc w:val="left"/>
              <w:rPr>
                <w:rFonts w:ascii="仿宋" w:hAnsi="仿宋" w:eastAsia="仿宋" w:cs="仿宋"/>
                <w:color w:val="auto"/>
                <w:kern w:val="0"/>
                <w:sz w:val="20"/>
                <w:szCs w:val="20"/>
                <w:highlight w:val="none"/>
              </w:rPr>
            </w:pPr>
          </w:p>
        </w:tc>
        <w:tc>
          <w:tcPr>
            <w:tcW w:w="1320" w:type="dxa"/>
            <w:vAlign w:val="center"/>
          </w:tcPr>
          <w:p w14:paraId="70231D1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★A02010107平板式微型计算机</w:t>
            </w:r>
          </w:p>
        </w:tc>
        <w:tc>
          <w:tcPr>
            <w:tcW w:w="1620" w:type="dxa"/>
            <w:vAlign w:val="center"/>
          </w:tcPr>
          <w:p w14:paraId="362D2E4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1E716ED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《微型计算机能效限定值及能效等级》（GB28380）</w:t>
            </w:r>
          </w:p>
        </w:tc>
      </w:tr>
      <w:tr w14:paraId="46D87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133CDC5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080" w:type="dxa"/>
            <w:vMerge w:val="restart"/>
            <w:vAlign w:val="center"/>
          </w:tcPr>
          <w:p w14:paraId="43311C5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A020106输入输出设备</w:t>
            </w:r>
          </w:p>
        </w:tc>
        <w:tc>
          <w:tcPr>
            <w:tcW w:w="1320" w:type="dxa"/>
            <w:vMerge w:val="restart"/>
            <w:vAlign w:val="center"/>
          </w:tcPr>
          <w:p w14:paraId="324BCE0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A02010601打印设备</w:t>
            </w:r>
          </w:p>
        </w:tc>
        <w:tc>
          <w:tcPr>
            <w:tcW w:w="1620" w:type="dxa"/>
            <w:vAlign w:val="center"/>
          </w:tcPr>
          <w:p w14:paraId="18732D4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A0201060101喷墨打印机</w:t>
            </w:r>
          </w:p>
        </w:tc>
        <w:tc>
          <w:tcPr>
            <w:tcW w:w="4540" w:type="dxa"/>
            <w:vAlign w:val="center"/>
          </w:tcPr>
          <w:p w14:paraId="6546AE4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174C1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1F0EF191">
            <w:pPr>
              <w:widowControl/>
              <w:jc w:val="left"/>
              <w:rPr>
                <w:rFonts w:ascii="仿宋" w:hAnsi="仿宋" w:eastAsia="仿宋" w:cs="仿宋"/>
                <w:color w:val="auto"/>
                <w:kern w:val="0"/>
                <w:sz w:val="20"/>
                <w:szCs w:val="20"/>
                <w:highlight w:val="none"/>
              </w:rPr>
            </w:pPr>
          </w:p>
        </w:tc>
        <w:tc>
          <w:tcPr>
            <w:tcW w:w="1080" w:type="dxa"/>
            <w:vMerge w:val="continue"/>
            <w:vAlign w:val="center"/>
          </w:tcPr>
          <w:p w14:paraId="507DC396">
            <w:pPr>
              <w:widowControl/>
              <w:jc w:val="left"/>
              <w:rPr>
                <w:rFonts w:ascii="仿宋" w:hAnsi="仿宋" w:eastAsia="仿宋" w:cs="仿宋"/>
                <w:color w:val="auto"/>
                <w:kern w:val="0"/>
                <w:sz w:val="20"/>
                <w:szCs w:val="20"/>
                <w:highlight w:val="none"/>
              </w:rPr>
            </w:pPr>
          </w:p>
        </w:tc>
        <w:tc>
          <w:tcPr>
            <w:tcW w:w="1320" w:type="dxa"/>
            <w:vMerge w:val="continue"/>
            <w:vAlign w:val="center"/>
          </w:tcPr>
          <w:p w14:paraId="55DBEB4F">
            <w:pPr>
              <w:widowControl/>
              <w:jc w:val="left"/>
              <w:rPr>
                <w:rFonts w:ascii="仿宋" w:hAnsi="仿宋" w:eastAsia="仿宋" w:cs="仿宋"/>
                <w:color w:val="auto"/>
                <w:kern w:val="0"/>
                <w:sz w:val="20"/>
                <w:szCs w:val="20"/>
                <w:highlight w:val="none"/>
              </w:rPr>
            </w:pPr>
          </w:p>
        </w:tc>
        <w:tc>
          <w:tcPr>
            <w:tcW w:w="1620" w:type="dxa"/>
            <w:vAlign w:val="center"/>
          </w:tcPr>
          <w:p w14:paraId="2219E30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★A0201060102激光打印机</w:t>
            </w:r>
          </w:p>
        </w:tc>
        <w:tc>
          <w:tcPr>
            <w:tcW w:w="4540" w:type="dxa"/>
            <w:vAlign w:val="center"/>
          </w:tcPr>
          <w:p w14:paraId="6852F24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134C3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43C8FC41">
            <w:pPr>
              <w:widowControl/>
              <w:jc w:val="left"/>
              <w:rPr>
                <w:rFonts w:ascii="仿宋" w:hAnsi="仿宋" w:eastAsia="仿宋" w:cs="仿宋"/>
                <w:color w:val="auto"/>
                <w:kern w:val="0"/>
                <w:sz w:val="20"/>
                <w:szCs w:val="20"/>
                <w:highlight w:val="none"/>
              </w:rPr>
            </w:pPr>
          </w:p>
        </w:tc>
        <w:tc>
          <w:tcPr>
            <w:tcW w:w="1080" w:type="dxa"/>
            <w:vMerge w:val="continue"/>
            <w:vAlign w:val="center"/>
          </w:tcPr>
          <w:p w14:paraId="19664C62">
            <w:pPr>
              <w:widowControl/>
              <w:jc w:val="left"/>
              <w:rPr>
                <w:rFonts w:ascii="仿宋" w:hAnsi="仿宋" w:eastAsia="仿宋" w:cs="仿宋"/>
                <w:color w:val="auto"/>
                <w:kern w:val="0"/>
                <w:sz w:val="20"/>
                <w:szCs w:val="20"/>
                <w:highlight w:val="none"/>
              </w:rPr>
            </w:pPr>
          </w:p>
        </w:tc>
        <w:tc>
          <w:tcPr>
            <w:tcW w:w="1320" w:type="dxa"/>
            <w:vMerge w:val="continue"/>
            <w:vAlign w:val="center"/>
          </w:tcPr>
          <w:p w14:paraId="5CB79470">
            <w:pPr>
              <w:widowControl/>
              <w:jc w:val="left"/>
              <w:rPr>
                <w:rFonts w:ascii="仿宋" w:hAnsi="仿宋" w:eastAsia="仿宋" w:cs="仿宋"/>
                <w:color w:val="auto"/>
                <w:kern w:val="0"/>
                <w:sz w:val="20"/>
                <w:szCs w:val="20"/>
                <w:highlight w:val="none"/>
              </w:rPr>
            </w:pPr>
          </w:p>
        </w:tc>
        <w:tc>
          <w:tcPr>
            <w:tcW w:w="1620" w:type="dxa"/>
            <w:vAlign w:val="center"/>
          </w:tcPr>
          <w:p w14:paraId="0CE7A82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★A0201060104针式打印机</w:t>
            </w:r>
          </w:p>
        </w:tc>
        <w:tc>
          <w:tcPr>
            <w:tcW w:w="4540" w:type="dxa"/>
            <w:vAlign w:val="center"/>
          </w:tcPr>
          <w:p w14:paraId="4C816EB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530F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121B7FD6">
            <w:pPr>
              <w:widowControl/>
              <w:jc w:val="left"/>
              <w:rPr>
                <w:rFonts w:ascii="仿宋" w:hAnsi="仿宋" w:eastAsia="仿宋" w:cs="仿宋"/>
                <w:color w:val="auto"/>
                <w:kern w:val="0"/>
                <w:sz w:val="20"/>
                <w:szCs w:val="20"/>
                <w:highlight w:val="none"/>
              </w:rPr>
            </w:pPr>
          </w:p>
        </w:tc>
        <w:tc>
          <w:tcPr>
            <w:tcW w:w="1080" w:type="dxa"/>
            <w:vMerge w:val="continue"/>
            <w:vAlign w:val="center"/>
          </w:tcPr>
          <w:p w14:paraId="3F13091C">
            <w:pPr>
              <w:widowControl/>
              <w:jc w:val="left"/>
              <w:rPr>
                <w:rFonts w:ascii="仿宋" w:hAnsi="仿宋" w:eastAsia="仿宋" w:cs="仿宋"/>
                <w:color w:val="auto"/>
                <w:kern w:val="0"/>
                <w:sz w:val="20"/>
                <w:szCs w:val="20"/>
                <w:highlight w:val="none"/>
              </w:rPr>
            </w:pPr>
          </w:p>
        </w:tc>
        <w:tc>
          <w:tcPr>
            <w:tcW w:w="1320" w:type="dxa"/>
            <w:vAlign w:val="center"/>
          </w:tcPr>
          <w:p w14:paraId="2C33484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A02010604显示设备</w:t>
            </w:r>
          </w:p>
        </w:tc>
        <w:tc>
          <w:tcPr>
            <w:tcW w:w="1620" w:type="dxa"/>
            <w:vAlign w:val="center"/>
          </w:tcPr>
          <w:p w14:paraId="370C976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★A0201060401液晶显示器</w:t>
            </w:r>
          </w:p>
        </w:tc>
        <w:tc>
          <w:tcPr>
            <w:tcW w:w="4540" w:type="dxa"/>
            <w:vAlign w:val="center"/>
          </w:tcPr>
          <w:p w14:paraId="568A34D4">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《计算机显示器能效限定值及能效等级》（GB21520）</w:t>
            </w:r>
          </w:p>
        </w:tc>
      </w:tr>
      <w:tr w14:paraId="2FE12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60" w:type="dxa"/>
            <w:vMerge w:val="continue"/>
            <w:vAlign w:val="center"/>
          </w:tcPr>
          <w:p w14:paraId="0D025310">
            <w:pPr>
              <w:widowControl/>
              <w:jc w:val="left"/>
              <w:rPr>
                <w:rFonts w:ascii="仿宋" w:hAnsi="仿宋" w:eastAsia="仿宋" w:cs="仿宋"/>
                <w:color w:val="auto"/>
                <w:kern w:val="0"/>
                <w:sz w:val="20"/>
                <w:szCs w:val="20"/>
                <w:highlight w:val="none"/>
              </w:rPr>
            </w:pPr>
          </w:p>
        </w:tc>
        <w:tc>
          <w:tcPr>
            <w:tcW w:w="1080" w:type="dxa"/>
            <w:vMerge w:val="continue"/>
            <w:vAlign w:val="center"/>
          </w:tcPr>
          <w:p w14:paraId="13D825AF">
            <w:pPr>
              <w:widowControl/>
              <w:jc w:val="left"/>
              <w:rPr>
                <w:rFonts w:ascii="仿宋" w:hAnsi="仿宋" w:eastAsia="仿宋" w:cs="仿宋"/>
                <w:color w:val="auto"/>
                <w:kern w:val="0"/>
                <w:sz w:val="20"/>
                <w:szCs w:val="20"/>
                <w:highlight w:val="none"/>
              </w:rPr>
            </w:pPr>
          </w:p>
        </w:tc>
        <w:tc>
          <w:tcPr>
            <w:tcW w:w="1320" w:type="dxa"/>
            <w:vAlign w:val="center"/>
          </w:tcPr>
          <w:p w14:paraId="307F0D7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A02010609图形图像输入设备</w:t>
            </w:r>
          </w:p>
        </w:tc>
        <w:tc>
          <w:tcPr>
            <w:tcW w:w="1620" w:type="dxa"/>
            <w:vAlign w:val="center"/>
          </w:tcPr>
          <w:p w14:paraId="1D24739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A0201060901扫描仪</w:t>
            </w:r>
          </w:p>
        </w:tc>
        <w:tc>
          <w:tcPr>
            <w:tcW w:w="4540" w:type="dxa"/>
            <w:vAlign w:val="center"/>
          </w:tcPr>
          <w:p w14:paraId="5B900DE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ACD9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3B41A3D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080" w:type="dxa"/>
            <w:vAlign w:val="center"/>
          </w:tcPr>
          <w:p w14:paraId="221542C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A020202投影仪</w:t>
            </w:r>
          </w:p>
        </w:tc>
        <w:tc>
          <w:tcPr>
            <w:tcW w:w="1320" w:type="dxa"/>
            <w:vAlign w:val="center"/>
          </w:tcPr>
          <w:p w14:paraId="14332C8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1F14D1C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D8772E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《投影机能效限定值及能效等级》（GB32028）</w:t>
            </w:r>
          </w:p>
        </w:tc>
      </w:tr>
      <w:tr w14:paraId="52D6E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5F52C9F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080" w:type="dxa"/>
            <w:vAlign w:val="center"/>
          </w:tcPr>
          <w:p w14:paraId="2941351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A020204多功能一体机</w:t>
            </w:r>
          </w:p>
        </w:tc>
        <w:tc>
          <w:tcPr>
            <w:tcW w:w="1320" w:type="dxa"/>
            <w:vAlign w:val="center"/>
          </w:tcPr>
          <w:p w14:paraId="0C2EAB8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677B7E1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04EF0781">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《复印机、打印机和传真机能效限定值及能效等级》（GB21521）</w:t>
            </w:r>
          </w:p>
        </w:tc>
      </w:tr>
      <w:tr w14:paraId="0FBCA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265BF48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080" w:type="dxa"/>
            <w:vAlign w:val="center"/>
          </w:tcPr>
          <w:p w14:paraId="03E50CC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A020519泵</w:t>
            </w:r>
          </w:p>
        </w:tc>
        <w:tc>
          <w:tcPr>
            <w:tcW w:w="1320" w:type="dxa"/>
            <w:vAlign w:val="center"/>
          </w:tcPr>
          <w:p w14:paraId="57E8E6E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A02051901离心泵</w:t>
            </w:r>
          </w:p>
        </w:tc>
        <w:tc>
          <w:tcPr>
            <w:tcW w:w="1620" w:type="dxa"/>
            <w:vAlign w:val="center"/>
          </w:tcPr>
          <w:p w14:paraId="2D158A3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F31B582">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《清水离心泵能效限定值及节能评价值》（GB19762）</w:t>
            </w:r>
          </w:p>
        </w:tc>
      </w:tr>
      <w:tr w14:paraId="6E66F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restart"/>
            <w:vAlign w:val="center"/>
          </w:tcPr>
          <w:p w14:paraId="527B924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080" w:type="dxa"/>
            <w:vMerge w:val="restart"/>
            <w:vAlign w:val="center"/>
          </w:tcPr>
          <w:p w14:paraId="745A092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A020523制冷空调设备</w:t>
            </w:r>
          </w:p>
        </w:tc>
        <w:tc>
          <w:tcPr>
            <w:tcW w:w="1320" w:type="dxa"/>
            <w:vMerge w:val="restart"/>
            <w:vAlign w:val="center"/>
          </w:tcPr>
          <w:p w14:paraId="03FE60C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★A02052301制冷压缩机</w:t>
            </w:r>
          </w:p>
        </w:tc>
        <w:tc>
          <w:tcPr>
            <w:tcW w:w="1620" w:type="dxa"/>
            <w:vAlign w:val="center"/>
          </w:tcPr>
          <w:p w14:paraId="68B9E98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w:t>
            </w:r>
          </w:p>
        </w:tc>
        <w:tc>
          <w:tcPr>
            <w:tcW w:w="4540" w:type="dxa"/>
            <w:vAlign w:val="center"/>
          </w:tcPr>
          <w:p w14:paraId="425F4C2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《冷水机组能效限定值及能效等级》（GB19577），《低环境温度空气源热泵（冷水）机组能效限定值及能效等级》（GB37480）</w:t>
            </w:r>
          </w:p>
        </w:tc>
      </w:tr>
      <w:tr w14:paraId="51B0E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756CF18C">
            <w:pPr>
              <w:widowControl/>
              <w:jc w:val="left"/>
              <w:rPr>
                <w:rFonts w:ascii="仿宋" w:hAnsi="仿宋" w:eastAsia="仿宋" w:cs="仿宋"/>
                <w:color w:val="auto"/>
                <w:kern w:val="0"/>
                <w:sz w:val="20"/>
                <w:szCs w:val="20"/>
                <w:highlight w:val="none"/>
              </w:rPr>
            </w:pPr>
          </w:p>
        </w:tc>
        <w:tc>
          <w:tcPr>
            <w:tcW w:w="1080" w:type="dxa"/>
            <w:vMerge w:val="continue"/>
            <w:vAlign w:val="center"/>
          </w:tcPr>
          <w:p w14:paraId="06CD1027">
            <w:pPr>
              <w:widowControl/>
              <w:jc w:val="left"/>
              <w:rPr>
                <w:rFonts w:ascii="仿宋" w:hAnsi="仿宋" w:eastAsia="仿宋" w:cs="仿宋"/>
                <w:color w:val="auto"/>
                <w:kern w:val="0"/>
                <w:sz w:val="20"/>
                <w:szCs w:val="20"/>
                <w:highlight w:val="none"/>
              </w:rPr>
            </w:pPr>
          </w:p>
        </w:tc>
        <w:tc>
          <w:tcPr>
            <w:tcW w:w="1320" w:type="dxa"/>
            <w:vMerge w:val="continue"/>
            <w:vAlign w:val="center"/>
          </w:tcPr>
          <w:p w14:paraId="10DA5302">
            <w:pPr>
              <w:widowControl/>
              <w:jc w:val="left"/>
              <w:rPr>
                <w:rFonts w:ascii="仿宋" w:hAnsi="仿宋" w:eastAsia="仿宋" w:cs="仿宋"/>
                <w:color w:val="auto"/>
                <w:kern w:val="0"/>
                <w:sz w:val="20"/>
                <w:szCs w:val="20"/>
                <w:highlight w:val="none"/>
              </w:rPr>
            </w:pPr>
          </w:p>
        </w:tc>
        <w:tc>
          <w:tcPr>
            <w:tcW w:w="1620" w:type="dxa"/>
            <w:vAlign w:val="center"/>
          </w:tcPr>
          <w:p w14:paraId="29262F1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水源热泵机组</w:t>
            </w:r>
          </w:p>
        </w:tc>
        <w:tc>
          <w:tcPr>
            <w:tcW w:w="4540" w:type="dxa"/>
            <w:vAlign w:val="center"/>
          </w:tcPr>
          <w:p w14:paraId="5F60587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《水（地）源热泵机组能效限定值及能效等级》（GB30721）</w:t>
            </w:r>
          </w:p>
        </w:tc>
      </w:tr>
      <w:tr w14:paraId="46BB4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2097F799">
            <w:pPr>
              <w:widowControl/>
              <w:jc w:val="left"/>
              <w:rPr>
                <w:rFonts w:ascii="仿宋" w:hAnsi="仿宋" w:eastAsia="仿宋" w:cs="仿宋"/>
                <w:color w:val="auto"/>
                <w:kern w:val="0"/>
                <w:sz w:val="20"/>
                <w:szCs w:val="20"/>
                <w:highlight w:val="none"/>
              </w:rPr>
            </w:pPr>
          </w:p>
        </w:tc>
        <w:tc>
          <w:tcPr>
            <w:tcW w:w="1080" w:type="dxa"/>
            <w:vMerge w:val="continue"/>
            <w:vAlign w:val="center"/>
          </w:tcPr>
          <w:p w14:paraId="20048BE3">
            <w:pPr>
              <w:widowControl/>
              <w:jc w:val="left"/>
              <w:rPr>
                <w:rFonts w:ascii="仿宋" w:hAnsi="仿宋" w:eastAsia="仿宋" w:cs="仿宋"/>
                <w:color w:val="auto"/>
                <w:kern w:val="0"/>
                <w:sz w:val="20"/>
                <w:szCs w:val="20"/>
                <w:highlight w:val="none"/>
              </w:rPr>
            </w:pPr>
          </w:p>
        </w:tc>
        <w:tc>
          <w:tcPr>
            <w:tcW w:w="1320" w:type="dxa"/>
            <w:vMerge w:val="continue"/>
            <w:vAlign w:val="center"/>
          </w:tcPr>
          <w:p w14:paraId="02D93219">
            <w:pPr>
              <w:widowControl/>
              <w:jc w:val="left"/>
              <w:rPr>
                <w:rFonts w:ascii="仿宋" w:hAnsi="仿宋" w:eastAsia="仿宋" w:cs="仿宋"/>
                <w:color w:val="auto"/>
                <w:kern w:val="0"/>
                <w:sz w:val="20"/>
                <w:szCs w:val="20"/>
                <w:highlight w:val="none"/>
              </w:rPr>
            </w:pPr>
          </w:p>
        </w:tc>
        <w:tc>
          <w:tcPr>
            <w:tcW w:w="1620" w:type="dxa"/>
            <w:vAlign w:val="center"/>
          </w:tcPr>
          <w:p w14:paraId="15269E0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w:t>
            </w:r>
          </w:p>
        </w:tc>
        <w:tc>
          <w:tcPr>
            <w:tcW w:w="4540" w:type="dxa"/>
            <w:vAlign w:val="center"/>
          </w:tcPr>
          <w:p w14:paraId="07917E5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《溴化锂吸收式冷水机组能效限定值及能效等级》（GB29540）</w:t>
            </w:r>
          </w:p>
        </w:tc>
      </w:tr>
      <w:tr w14:paraId="70210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5826902B">
            <w:pPr>
              <w:widowControl/>
              <w:jc w:val="left"/>
              <w:rPr>
                <w:rFonts w:ascii="仿宋" w:hAnsi="仿宋" w:eastAsia="仿宋" w:cs="仿宋"/>
                <w:color w:val="auto"/>
                <w:kern w:val="0"/>
                <w:sz w:val="20"/>
                <w:szCs w:val="20"/>
                <w:highlight w:val="none"/>
              </w:rPr>
            </w:pPr>
          </w:p>
        </w:tc>
        <w:tc>
          <w:tcPr>
            <w:tcW w:w="1080" w:type="dxa"/>
            <w:vMerge w:val="continue"/>
            <w:vAlign w:val="center"/>
          </w:tcPr>
          <w:p w14:paraId="359E475F">
            <w:pPr>
              <w:widowControl/>
              <w:jc w:val="left"/>
              <w:rPr>
                <w:rFonts w:ascii="仿宋" w:hAnsi="仿宋" w:eastAsia="仿宋" w:cs="仿宋"/>
                <w:color w:val="auto"/>
                <w:kern w:val="0"/>
                <w:sz w:val="20"/>
                <w:szCs w:val="20"/>
                <w:highlight w:val="none"/>
              </w:rPr>
            </w:pPr>
          </w:p>
        </w:tc>
        <w:tc>
          <w:tcPr>
            <w:tcW w:w="1320" w:type="dxa"/>
            <w:vMerge w:val="restart"/>
            <w:vAlign w:val="center"/>
          </w:tcPr>
          <w:p w14:paraId="4006A67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★A02052305空调机组</w:t>
            </w:r>
          </w:p>
        </w:tc>
        <w:tc>
          <w:tcPr>
            <w:tcW w:w="1620" w:type="dxa"/>
            <w:vAlign w:val="center"/>
          </w:tcPr>
          <w:p w14:paraId="12FAE4F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多联式空调（热泵）机组(制冷量&gt;14000W)</w:t>
            </w:r>
          </w:p>
        </w:tc>
        <w:tc>
          <w:tcPr>
            <w:tcW w:w="4540" w:type="dxa"/>
            <w:vAlign w:val="center"/>
          </w:tcPr>
          <w:p w14:paraId="7EDB038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14:paraId="560E0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752A846E">
            <w:pPr>
              <w:widowControl/>
              <w:jc w:val="left"/>
              <w:rPr>
                <w:rFonts w:ascii="仿宋" w:hAnsi="仿宋" w:eastAsia="仿宋" w:cs="仿宋"/>
                <w:color w:val="auto"/>
                <w:kern w:val="0"/>
                <w:sz w:val="20"/>
                <w:szCs w:val="20"/>
                <w:highlight w:val="none"/>
              </w:rPr>
            </w:pPr>
          </w:p>
        </w:tc>
        <w:tc>
          <w:tcPr>
            <w:tcW w:w="1080" w:type="dxa"/>
            <w:vMerge w:val="continue"/>
            <w:vAlign w:val="center"/>
          </w:tcPr>
          <w:p w14:paraId="22B4D9C1">
            <w:pPr>
              <w:widowControl/>
              <w:jc w:val="left"/>
              <w:rPr>
                <w:rFonts w:ascii="仿宋" w:hAnsi="仿宋" w:eastAsia="仿宋" w:cs="仿宋"/>
                <w:color w:val="auto"/>
                <w:kern w:val="0"/>
                <w:sz w:val="20"/>
                <w:szCs w:val="20"/>
                <w:highlight w:val="none"/>
              </w:rPr>
            </w:pPr>
          </w:p>
        </w:tc>
        <w:tc>
          <w:tcPr>
            <w:tcW w:w="1320" w:type="dxa"/>
            <w:vMerge w:val="continue"/>
            <w:vAlign w:val="center"/>
          </w:tcPr>
          <w:p w14:paraId="41B8E2C4">
            <w:pPr>
              <w:widowControl/>
              <w:jc w:val="left"/>
              <w:rPr>
                <w:rFonts w:ascii="仿宋" w:hAnsi="仿宋" w:eastAsia="仿宋" w:cs="仿宋"/>
                <w:color w:val="auto"/>
                <w:kern w:val="0"/>
                <w:sz w:val="20"/>
                <w:szCs w:val="20"/>
                <w:highlight w:val="none"/>
              </w:rPr>
            </w:pPr>
          </w:p>
        </w:tc>
        <w:tc>
          <w:tcPr>
            <w:tcW w:w="1620" w:type="dxa"/>
            <w:vAlign w:val="center"/>
          </w:tcPr>
          <w:p w14:paraId="6A62795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单元式空气调节机(制冷量&gt;14000W</w:t>
            </w:r>
          </w:p>
        </w:tc>
        <w:tc>
          <w:tcPr>
            <w:tcW w:w="4540" w:type="dxa"/>
            <w:vAlign w:val="center"/>
          </w:tcPr>
          <w:p w14:paraId="74BAEE0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《单元式空气调节机能效限定值及能效等级》（GB19576）《风管送风式空调机组能效限定值及能效等级》（GB37479）</w:t>
            </w:r>
          </w:p>
        </w:tc>
      </w:tr>
      <w:tr w14:paraId="2442B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4426B796">
            <w:pPr>
              <w:widowControl/>
              <w:jc w:val="left"/>
              <w:rPr>
                <w:rFonts w:ascii="仿宋" w:hAnsi="仿宋" w:eastAsia="仿宋" w:cs="仿宋"/>
                <w:color w:val="auto"/>
                <w:kern w:val="0"/>
                <w:sz w:val="20"/>
                <w:szCs w:val="20"/>
                <w:highlight w:val="none"/>
              </w:rPr>
            </w:pPr>
          </w:p>
        </w:tc>
        <w:tc>
          <w:tcPr>
            <w:tcW w:w="1080" w:type="dxa"/>
            <w:vMerge w:val="continue"/>
            <w:vAlign w:val="center"/>
          </w:tcPr>
          <w:p w14:paraId="7D98D506">
            <w:pPr>
              <w:widowControl/>
              <w:jc w:val="left"/>
              <w:rPr>
                <w:rFonts w:ascii="仿宋" w:hAnsi="仿宋" w:eastAsia="仿宋" w:cs="仿宋"/>
                <w:color w:val="auto"/>
                <w:kern w:val="0"/>
                <w:sz w:val="20"/>
                <w:szCs w:val="20"/>
                <w:highlight w:val="none"/>
              </w:rPr>
            </w:pPr>
          </w:p>
        </w:tc>
        <w:tc>
          <w:tcPr>
            <w:tcW w:w="1320" w:type="dxa"/>
            <w:vAlign w:val="center"/>
          </w:tcPr>
          <w:p w14:paraId="4092439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★A02052309专用制冷、空调设备</w:t>
            </w:r>
          </w:p>
        </w:tc>
        <w:tc>
          <w:tcPr>
            <w:tcW w:w="1620" w:type="dxa"/>
            <w:vAlign w:val="center"/>
          </w:tcPr>
          <w:p w14:paraId="67A9122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机房空调</w:t>
            </w:r>
          </w:p>
        </w:tc>
        <w:tc>
          <w:tcPr>
            <w:tcW w:w="4540" w:type="dxa"/>
            <w:vAlign w:val="center"/>
          </w:tcPr>
          <w:p w14:paraId="148A970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《单元式空气调节机能效限定值及能效等级》（GB19576）</w:t>
            </w:r>
          </w:p>
        </w:tc>
      </w:tr>
      <w:tr w14:paraId="7EF81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31862878">
            <w:pPr>
              <w:widowControl/>
              <w:jc w:val="left"/>
              <w:rPr>
                <w:rFonts w:ascii="仿宋" w:hAnsi="仿宋" w:eastAsia="仿宋" w:cs="仿宋"/>
                <w:color w:val="auto"/>
                <w:kern w:val="0"/>
                <w:sz w:val="20"/>
                <w:szCs w:val="20"/>
                <w:highlight w:val="none"/>
              </w:rPr>
            </w:pPr>
          </w:p>
        </w:tc>
        <w:tc>
          <w:tcPr>
            <w:tcW w:w="1080" w:type="dxa"/>
            <w:vMerge w:val="continue"/>
            <w:vAlign w:val="center"/>
          </w:tcPr>
          <w:p w14:paraId="25E2453F">
            <w:pPr>
              <w:widowControl/>
              <w:jc w:val="left"/>
              <w:rPr>
                <w:rFonts w:ascii="仿宋" w:hAnsi="仿宋" w:eastAsia="仿宋" w:cs="仿宋"/>
                <w:color w:val="auto"/>
                <w:kern w:val="0"/>
                <w:sz w:val="20"/>
                <w:szCs w:val="20"/>
                <w:highlight w:val="none"/>
              </w:rPr>
            </w:pPr>
          </w:p>
        </w:tc>
        <w:tc>
          <w:tcPr>
            <w:tcW w:w="1320" w:type="dxa"/>
            <w:vAlign w:val="center"/>
          </w:tcPr>
          <w:p w14:paraId="6D78BDC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A02052399其他制冷空调设备</w:t>
            </w:r>
          </w:p>
        </w:tc>
        <w:tc>
          <w:tcPr>
            <w:tcW w:w="1620" w:type="dxa"/>
            <w:vAlign w:val="center"/>
          </w:tcPr>
          <w:p w14:paraId="5441245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冷却塔</w:t>
            </w:r>
          </w:p>
        </w:tc>
        <w:tc>
          <w:tcPr>
            <w:tcW w:w="4540" w:type="dxa"/>
            <w:vAlign w:val="center"/>
          </w:tcPr>
          <w:p w14:paraId="6FC5B33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《机械通风冷却塔第1部分：中小型开式冷却塔》（GB/T7190.1）；《机械通风冷却塔第2部分：大型开式冷却塔》（GB/T7190.2）</w:t>
            </w:r>
          </w:p>
        </w:tc>
      </w:tr>
      <w:tr w14:paraId="729A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3514A4F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080" w:type="dxa"/>
            <w:vAlign w:val="center"/>
          </w:tcPr>
          <w:p w14:paraId="30D6E3F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A020601电机</w:t>
            </w:r>
          </w:p>
        </w:tc>
        <w:tc>
          <w:tcPr>
            <w:tcW w:w="1320" w:type="dxa"/>
            <w:vAlign w:val="center"/>
          </w:tcPr>
          <w:p w14:paraId="0D3D4DB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574101E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0C93A77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《中小型三相异步电动机能效限定值及能效等级》（GB18613）</w:t>
            </w:r>
          </w:p>
        </w:tc>
      </w:tr>
      <w:tr w14:paraId="527CE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6661C34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080" w:type="dxa"/>
            <w:vAlign w:val="center"/>
          </w:tcPr>
          <w:p w14:paraId="67B7C51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A020602变压器</w:t>
            </w:r>
          </w:p>
        </w:tc>
        <w:tc>
          <w:tcPr>
            <w:tcW w:w="1320" w:type="dxa"/>
            <w:vAlign w:val="center"/>
          </w:tcPr>
          <w:p w14:paraId="1D51DC3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配电变压器</w:t>
            </w:r>
          </w:p>
        </w:tc>
        <w:tc>
          <w:tcPr>
            <w:tcW w:w="1620" w:type="dxa"/>
            <w:vAlign w:val="center"/>
          </w:tcPr>
          <w:p w14:paraId="0DDE15B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441E593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《三相配电变压器能效限定值及能效等级》（GB20052）</w:t>
            </w:r>
          </w:p>
        </w:tc>
      </w:tr>
      <w:tr w14:paraId="3684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70C2447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080" w:type="dxa"/>
            <w:vAlign w:val="center"/>
          </w:tcPr>
          <w:p w14:paraId="7258019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★A020609镇流器</w:t>
            </w:r>
          </w:p>
        </w:tc>
        <w:tc>
          <w:tcPr>
            <w:tcW w:w="1320" w:type="dxa"/>
            <w:vAlign w:val="center"/>
          </w:tcPr>
          <w:p w14:paraId="6D62C5A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管型荧光灯镇流器</w:t>
            </w:r>
          </w:p>
        </w:tc>
        <w:tc>
          <w:tcPr>
            <w:tcW w:w="1620" w:type="dxa"/>
            <w:vAlign w:val="center"/>
          </w:tcPr>
          <w:p w14:paraId="64E1562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2A88631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《管形荧光灯镇流器能效限定值及能效等级》（GB17896）</w:t>
            </w:r>
          </w:p>
        </w:tc>
      </w:tr>
      <w:tr w14:paraId="74CE4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423C6AB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080" w:type="dxa"/>
            <w:vMerge w:val="restart"/>
            <w:vAlign w:val="center"/>
          </w:tcPr>
          <w:p w14:paraId="3B99EAD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A020618生活用电器</w:t>
            </w:r>
          </w:p>
        </w:tc>
        <w:tc>
          <w:tcPr>
            <w:tcW w:w="1320" w:type="dxa"/>
            <w:vAlign w:val="center"/>
          </w:tcPr>
          <w:p w14:paraId="62E1FA6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A0206180101电冰箱</w:t>
            </w:r>
          </w:p>
        </w:tc>
        <w:tc>
          <w:tcPr>
            <w:tcW w:w="1620" w:type="dxa"/>
            <w:vAlign w:val="center"/>
          </w:tcPr>
          <w:p w14:paraId="42534A5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2B4217DF">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《家用电冰箱耗电量限定值及能效等级》（GB 12021.2）</w:t>
            </w:r>
          </w:p>
        </w:tc>
      </w:tr>
      <w:tr w14:paraId="734FC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60" w:type="dxa"/>
            <w:vMerge w:val="continue"/>
            <w:vAlign w:val="center"/>
          </w:tcPr>
          <w:p w14:paraId="1D6A413F">
            <w:pPr>
              <w:widowControl/>
              <w:jc w:val="left"/>
              <w:rPr>
                <w:rFonts w:ascii="仿宋" w:hAnsi="仿宋" w:eastAsia="仿宋" w:cs="仿宋"/>
                <w:color w:val="auto"/>
                <w:kern w:val="0"/>
                <w:sz w:val="20"/>
                <w:szCs w:val="20"/>
                <w:highlight w:val="none"/>
              </w:rPr>
            </w:pPr>
          </w:p>
        </w:tc>
        <w:tc>
          <w:tcPr>
            <w:tcW w:w="1080" w:type="dxa"/>
            <w:vMerge w:val="continue"/>
            <w:vAlign w:val="center"/>
          </w:tcPr>
          <w:p w14:paraId="33C25122">
            <w:pPr>
              <w:widowControl/>
              <w:jc w:val="left"/>
              <w:rPr>
                <w:rFonts w:ascii="仿宋" w:hAnsi="仿宋" w:eastAsia="仿宋" w:cs="仿宋"/>
                <w:color w:val="auto"/>
                <w:kern w:val="0"/>
                <w:sz w:val="20"/>
                <w:szCs w:val="20"/>
                <w:highlight w:val="none"/>
              </w:rPr>
            </w:pPr>
          </w:p>
        </w:tc>
        <w:tc>
          <w:tcPr>
            <w:tcW w:w="1320" w:type="dxa"/>
            <w:vMerge w:val="restart"/>
            <w:vAlign w:val="center"/>
          </w:tcPr>
          <w:p w14:paraId="1825105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★A0206180203空调机</w:t>
            </w:r>
          </w:p>
        </w:tc>
        <w:tc>
          <w:tcPr>
            <w:tcW w:w="1620" w:type="dxa"/>
            <w:vAlign w:val="center"/>
          </w:tcPr>
          <w:p w14:paraId="2904AFE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房间空气调节器</w:t>
            </w:r>
          </w:p>
        </w:tc>
        <w:tc>
          <w:tcPr>
            <w:tcW w:w="4540" w:type="dxa"/>
            <w:vAlign w:val="center"/>
          </w:tcPr>
          <w:p w14:paraId="1FFFB5F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B8F4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15AC073D">
            <w:pPr>
              <w:widowControl/>
              <w:jc w:val="left"/>
              <w:rPr>
                <w:rFonts w:ascii="仿宋" w:hAnsi="仿宋" w:eastAsia="仿宋" w:cs="仿宋"/>
                <w:color w:val="auto"/>
                <w:kern w:val="0"/>
                <w:sz w:val="20"/>
                <w:szCs w:val="20"/>
                <w:highlight w:val="none"/>
              </w:rPr>
            </w:pPr>
          </w:p>
        </w:tc>
        <w:tc>
          <w:tcPr>
            <w:tcW w:w="1080" w:type="dxa"/>
            <w:vMerge w:val="continue"/>
            <w:vAlign w:val="center"/>
          </w:tcPr>
          <w:p w14:paraId="6B4AE1C3">
            <w:pPr>
              <w:widowControl/>
              <w:jc w:val="left"/>
              <w:rPr>
                <w:rFonts w:ascii="仿宋" w:hAnsi="仿宋" w:eastAsia="仿宋" w:cs="仿宋"/>
                <w:color w:val="auto"/>
                <w:kern w:val="0"/>
                <w:sz w:val="20"/>
                <w:szCs w:val="20"/>
                <w:highlight w:val="none"/>
              </w:rPr>
            </w:pPr>
          </w:p>
        </w:tc>
        <w:tc>
          <w:tcPr>
            <w:tcW w:w="1320" w:type="dxa"/>
            <w:vMerge w:val="continue"/>
            <w:vAlign w:val="center"/>
          </w:tcPr>
          <w:p w14:paraId="57D83D13">
            <w:pPr>
              <w:widowControl/>
              <w:jc w:val="left"/>
              <w:rPr>
                <w:rFonts w:ascii="仿宋" w:hAnsi="仿宋" w:eastAsia="仿宋" w:cs="仿宋"/>
                <w:color w:val="auto"/>
                <w:kern w:val="0"/>
                <w:sz w:val="20"/>
                <w:szCs w:val="20"/>
                <w:highlight w:val="none"/>
              </w:rPr>
            </w:pPr>
          </w:p>
        </w:tc>
        <w:tc>
          <w:tcPr>
            <w:tcW w:w="1620" w:type="dxa"/>
            <w:vAlign w:val="center"/>
          </w:tcPr>
          <w:p w14:paraId="056695F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多联式空调（热泵）机组（制冷量≤ 14000W）</w:t>
            </w:r>
          </w:p>
        </w:tc>
        <w:tc>
          <w:tcPr>
            <w:tcW w:w="4540" w:type="dxa"/>
            <w:vAlign w:val="center"/>
          </w:tcPr>
          <w:p w14:paraId="0FCE5D5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《多联式空调（热泵）机组能效限定值及能源效率等级》（GB21454）</w:t>
            </w:r>
          </w:p>
        </w:tc>
      </w:tr>
      <w:tr w14:paraId="7EAB8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4F9038C0">
            <w:pPr>
              <w:widowControl/>
              <w:jc w:val="left"/>
              <w:rPr>
                <w:rFonts w:ascii="仿宋" w:hAnsi="仿宋" w:eastAsia="仿宋" w:cs="仿宋"/>
                <w:color w:val="auto"/>
                <w:kern w:val="0"/>
                <w:sz w:val="20"/>
                <w:szCs w:val="20"/>
                <w:highlight w:val="none"/>
              </w:rPr>
            </w:pPr>
          </w:p>
        </w:tc>
        <w:tc>
          <w:tcPr>
            <w:tcW w:w="1080" w:type="dxa"/>
            <w:vMerge w:val="continue"/>
            <w:vAlign w:val="center"/>
          </w:tcPr>
          <w:p w14:paraId="5B768190">
            <w:pPr>
              <w:widowControl/>
              <w:jc w:val="left"/>
              <w:rPr>
                <w:rFonts w:ascii="仿宋" w:hAnsi="仿宋" w:eastAsia="仿宋" w:cs="仿宋"/>
                <w:color w:val="auto"/>
                <w:kern w:val="0"/>
                <w:sz w:val="20"/>
                <w:szCs w:val="20"/>
                <w:highlight w:val="none"/>
              </w:rPr>
            </w:pPr>
          </w:p>
        </w:tc>
        <w:tc>
          <w:tcPr>
            <w:tcW w:w="1320" w:type="dxa"/>
            <w:vMerge w:val="continue"/>
            <w:vAlign w:val="center"/>
          </w:tcPr>
          <w:p w14:paraId="63815527">
            <w:pPr>
              <w:widowControl/>
              <w:jc w:val="left"/>
              <w:rPr>
                <w:rFonts w:ascii="仿宋" w:hAnsi="仿宋" w:eastAsia="仿宋" w:cs="仿宋"/>
                <w:color w:val="auto"/>
                <w:kern w:val="0"/>
                <w:sz w:val="20"/>
                <w:szCs w:val="20"/>
                <w:highlight w:val="none"/>
              </w:rPr>
            </w:pPr>
          </w:p>
        </w:tc>
        <w:tc>
          <w:tcPr>
            <w:tcW w:w="1620" w:type="dxa"/>
            <w:vAlign w:val="center"/>
          </w:tcPr>
          <w:p w14:paraId="084ED8F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单元式空气调节机(制冷量≤14000W)</w:t>
            </w:r>
          </w:p>
        </w:tc>
        <w:tc>
          <w:tcPr>
            <w:tcW w:w="4540" w:type="dxa"/>
            <w:vAlign w:val="center"/>
          </w:tcPr>
          <w:p w14:paraId="21970E5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《单元式空气调节机能效限定值及能源效率等级》（GB19576）《风管送风式空调机组能效限定值及能效等级》（GB37479）</w:t>
            </w:r>
          </w:p>
        </w:tc>
      </w:tr>
      <w:tr w14:paraId="1C1B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25453F0B">
            <w:pPr>
              <w:widowControl/>
              <w:jc w:val="left"/>
              <w:rPr>
                <w:rFonts w:ascii="仿宋" w:hAnsi="仿宋" w:eastAsia="仿宋" w:cs="仿宋"/>
                <w:color w:val="auto"/>
                <w:kern w:val="0"/>
                <w:sz w:val="20"/>
                <w:szCs w:val="20"/>
                <w:highlight w:val="none"/>
              </w:rPr>
            </w:pPr>
          </w:p>
        </w:tc>
        <w:tc>
          <w:tcPr>
            <w:tcW w:w="1080" w:type="dxa"/>
            <w:vMerge w:val="continue"/>
            <w:vAlign w:val="center"/>
          </w:tcPr>
          <w:p w14:paraId="3FD608D5">
            <w:pPr>
              <w:widowControl/>
              <w:jc w:val="left"/>
              <w:rPr>
                <w:rFonts w:ascii="仿宋" w:hAnsi="仿宋" w:eastAsia="仿宋" w:cs="仿宋"/>
                <w:color w:val="auto"/>
                <w:kern w:val="0"/>
                <w:sz w:val="20"/>
                <w:szCs w:val="20"/>
                <w:highlight w:val="none"/>
              </w:rPr>
            </w:pPr>
          </w:p>
        </w:tc>
        <w:tc>
          <w:tcPr>
            <w:tcW w:w="1320" w:type="dxa"/>
            <w:vAlign w:val="center"/>
          </w:tcPr>
          <w:p w14:paraId="4114153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A0206180301洗衣机</w:t>
            </w:r>
          </w:p>
        </w:tc>
        <w:tc>
          <w:tcPr>
            <w:tcW w:w="1620" w:type="dxa"/>
            <w:vAlign w:val="center"/>
          </w:tcPr>
          <w:p w14:paraId="4ECE10A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706EF675">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《电动洗衣机能效水效限定值及等级》（GB12021.4）</w:t>
            </w:r>
          </w:p>
        </w:tc>
      </w:tr>
      <w:tr w14:paraId="6194B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31E8647C">
            <w:pPr>
              <w:widowControl/>
              <w:jc w:val="left"/>
              <w:rPr>
                <w:rFonts w:ascii="仿宋" w:hAnsi="仿宋" w:eastAsia="仿宋" w:cs="仿宋"/>
                <w:color w:val="auto"/>
                <w:kern w:val="0"/>
                <w:sz w:val="20"/>
                <w:szCs w:val="20"/>
                <w:highlight w:val="none"/>
              </w:rPr>
            </w:pPr>
          </w:p>
        </w:tc>
        <w:tc>
          <w:tcPr>
            <w:tcW w:w="1080" w:type="dxa"/>
            <w:vMerge w:val="continue"/>
            <w:vAlign w:val="center"/>
          </w:tcPr>
          <w:p w14:paraId="6EF4FFBD">
            <w:pPr>
              <w:widowControl/>
              <w:jc w:val="left"/>
              <w:rPr>
                <w:rFonts w:ascii="仿宋" w:hAnsi="仿宋" w:eastAsia="仿宋" w:cs="仿宋"/>
                <w:color w:val="auto"/>
                <w:kern w:val="0"/>
                <w:sz w:val="20"/>
                <w:szCs w:val="20"/>
                <w:highlight w:val="none"/>
              </w:rPr>
            </w:pPr>
          </w:p>
        </w:tc>
        <w:tc>
          <w:tcPr>
            <w:tcW w:w="1320" w:type="dxa"/>
            <w:vMerge w:val="restart"/>
            <w:vAlign w:val="center"/>
          </w:tcPr>
          <w:p w14:paraId="0D999DB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A02061808热水器</w:t>
            </w:r>
          </w:p>
        </w:tc>
        <w:tc>
          <w:tcPr>
            <w:tcW w:w="1620" w:type="dxa"/>
            <w:vAlign w:val="center"/>
          </w:tcPr>
          <w:p w14:paraId="543CF45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★电热水器</w:t>
            </w:r>
          </w:p>
        </w:tc>
        <w:tc>
          <w:tcPr>
            <w:tcW w:w="4540" w:type="dxa"/>
            <w:vAlign w:val="center"/>
          </w:tcPr>
          <w:p w14:paraId="7B7DE0B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《储水式电热水器能效限定值及能效等级》（GB21519）</w:t>
            </w:r>
          </w:p>
        </w:tc>
      </w:tr>
      <w:tr w14:paraId="5797B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4B576310">
            <w:pPr>
              <w:widowControl/>
              <w:jc w:val="left"/>
              <w:rPr>
                <w:rFonts w:ascii="仿宋" w:hAnsi="仿宋" w:eastAsia="仿宋" w:cs="仿宋"/>
                <w:color w:val="auto"/>
                <w:kern w:val="0"/>
                <w:sz w:val="20"/>
                <w:szCs w:val="20"/>
                <w:highlight w:val="none"/>
              </w:rPr>
            </w:pPr>
          </w:p>
        </w:tc>
        <w:tc>
          <w:tcPr>
            <w:tcW w:w="1080" w:type="dxa"/>
            <w:vMerge w:val="continue"/>
            <w:vAlign w:val="center"/>
          </w:tcPr>
          <w:p w14:paraId="371724A2">
            <w:pPr>
              <w:widowControl/>
              <w:jc w:val="left"/>
              <w:rPr>
                <w:rFonts w:ascii="仿宋" w:hAnsi="仿宋" w:eastAsia="仿宋" w:cs="仿宋"/>
                <w:color w:val="auto"/>
                <w:kern w:val="0"/>
                <w:sz w:val="20"/>
                <w:szCs w:val="20"/>
                <w:highlight w:val="none"/>
              </w:rPr>
            </w:pPr>
          </w:p>
        </w:tc>
        <w:tc>
          <w:tcPr>
            <w:tcW w:w="1320" w:type="dxa"/>
            <w:vMerge w:val="continue"/>
            <w:vAlign w:val="center"/>
          </w:tcPr>
          <w:p w14:paraId="7778580B">
            <w:pPr>
              <w:widowControl/>
              <w:jc w:val="left"/>
              <w:rPr>
                <w:rFonts w:ascii="仿宋" w:hAnsi="仿宋" w:eastAsia="仿宋" w:cs="仿宋"/>
                <w:color w:val="auto"/>
                <w:kern w:val="0"/>
                <w:sz w:val="20"/>
                <w:szCs w:val="20"/>
                <w:highlight w:val="none"/>
              </w:rPr>
            </w:pPr>
          </w:p>
        </w:tc>
        <w:tc>
          <w:tcPr>
            <w:tcW w:w="1620" w:type="dxa"/>
            <w:vAlign w:val="center"/>
          </w:tcPr>
          <w:p w14:paraId="46DDD69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燃气热水器</w:t>
            </w:r>
          </w:p>
        </w:tc>
        <w:tc>
          <w:tcPr>
            <w:tcW w:w="4540" w:type="dxa"/>
            <w:vAlign w:val="center"/>
          </w:tcPr>
          <w:p w14:paraId="4C6DFE5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《家用燃气快速热水器和燃气采暖热水炉能效限定值及能效等级》（GB20665）</w:t>
            </w:r>
          </w:p>
        </w:tc>
      </w:tr>
      <w:tr w14:paraId="1E030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2B4D45A0">
            <w:pPr>
              <w:widowControl/>
              <w:jc w:val="left"/>
              <w:rPr>
                <w:rFonts w:ascii="仿宋" w:hAnsi="仿宋" w:eastAsia="仿宋" w:cs="仿宋"/>
                <w:color w:val="auto"/>
                <w:kern w:val="0"/>
                <w:sz w:val="20"/>
                <w:szCs w:val="20"/>
                <w:highlight w:val="none"/>
              </w:rPr>
            </w:pPr>
          </w:p>
        </w:tc>
        <w:tc>
          <w:tcPr>
            <w:tcW w:w="1080" w:type="dxa"/>
            <w:vMerge w:val="continue"/>
            <w:vAlign w:val="center"/>
          </w:tcPr>
          <w:p w14:paraId="04A4E821">
            <w:pPr>
              <w:widowControl/>
              <w:jc w:val="left"/>
              <w:rPr>
                <w:rFonts w:ascii="仿宋" w:hAnsi="仿宋" w:eastAsia="仿宋" w:cs="仿宋"/>
                <w:color w:val="auto"/>
                <w:kern w:val="0"/>
                <w:sz w:val="20"/>
                <w:szCs w:val="20"/>
                <w:highlight w:val="none"/>
              </w:rPr>
            </w:pPr>
          </w:p>
        </w:tc>
        <w:tc>
          <w:tcPr>
            <w:tcW w:w="1320" w:type="dxa"/>
            <w:vMerge w:val="continue"/>
            <w:vAlign w:val="center"/>
          </w:tcPr>
          <w:p w14:paraId="71DDD55C">
            <w:pPr>
              <w:widowControl/>
              <w:jc w:val="left"/>
              <w:rPr>
                <w:rFonts w:ascii="仿宋" w:hAnsi="仿宋" w:eastAsia="仿宋" w:cs="仿宋"/>
                <w:color w:val="auto"/>
                <w:kern w:val="0"/>
                <w:sz w:val="20"/>
                <w:szCs w:val="20"/>
                <w:highlight w:val="none"/>
              </w:rPr>
            </w:pPr>
          </w:p>
        </w:tc>
        <w:tc>
          <w:tcPr>
            <w:tcW w:w="1620" w:type="dxa"/>
            <w:vAlign w:val="center"/>
          </w:tcPr>
          <w:p w14:paraId="02A8654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热泵热水器</w:t>
            </w:r>
          </w:p>
        </w:tc>
        <w:tc>
          <w:tcPr>
            <w:tcW w:w="4540" w:type="dxa"/>
            <w:vAlign w:val="center"/>
          </w:tcPr>
          <w:p w14:paraId="0D30A718">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《热泵热水机（器）能效限定值及能效等级》（GB29541）</w:t>
            </w:r>
          </w:p>
        </w:tc>
      </w:tr>
      <w:tr w14:paraId="68495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063AD474">
            <w:pPr>
              <w:widowControl/>
              <w:jc w:val="left"/>
              <w:rPr>
                <w:rFonts w:ascii="仿宋" w:hAnsi="仿宋" w:eastAsia="仿宋" w:cs="仿宋"/>
                <w:color w:val="auto"/>
                <w:kern w:val="0"/>
                <w:sz w:val="20"/>
                <w:szCs w:val="20"/>
                <w:highlight w:val="none"/>
              </w:rPr>
            </w:pPr>
          </w:p>
        </w:tc>
        <w:tc>
          <w:tcPr>
            <w:tcW w:w="1080" w:type="dxa"/>
            <w:vMerge w:val="continue"/>
            <w:vAlign w:val="center"/>
          </w:tcPr>
          <w:p w14:paraId="2D1821C7">
            <w:pPr>
              <w:widowControl/>
              <w:jc w:val="left"/>
              <w:rPr>
                <w:rFonts w:ascii="仿宋" w:hAnsi="仿宋" w:eastAsia="仿宋" w:cs="仿宋"/>
                <w:color w:val="auto"/>
                <w:kern w:val="0"/>
                <w:sz w:val="20"/>
                <w:szCs w:val="20"/>
                <w:highlight w:val="none"/>
              </w:rPr>
            </w:pPr>
          </w:p>
        </w:tc>
        <w:tc>
          <w:tcPr>
            <w:tcW w:w="1320" w:type="dxa"/>
            <w:vMerge w:val="continue"/>
            <w:vAlign w:val="center"/>
          </w:tcPr>
          <w:p w14:paraId="03E95C6B">
            <w:pPr>
              <w:widowControl/>
              <w:jc w:val="left"/>
              <w:rPr>
                <w:rFonts w:ascii="仿宋" w:hAnsi="仿宋" w:eastAsia="仿宋" w:cs="仿宋"/>
                <w:color w:val="auto"/>
                <w:kern w:val="0"/>
                <w:sz w:val="20"/>
                <w:szCs w:val="20"/>
                <w:highlight w:val="none"/>
              </w:rPr>
            </w:pPr>
          </w:p>
        </w:tc>
        <w:tc>
          <w:tcPr>
            <w:tcW w:w="1620" w:type="dxa"/>
            <w:vAlign w:val="center"/>
          </w:tcPr>
          <w:p w14:paraId="0B0EFE0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太阳能热水系统</w:t>
            </w:r>
          </w:p>
        </w:tc>
        <w:tc>
          <w:tcPr>
            <w:tcW w:w="4540" w:type="dxa"/>
            <w:vAlign w:val="center"/>
          </w:tcPr>
          <w:p w14:paraId="7E0A8250">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《家用太阳能热水系统能效限定值及能效等级》（GB26969）</w:t>
            </w:r>
          </w:p>
        </w:tc>
      </w:tr>
      <w:tr w14:paraId="68567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79E48E9C">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080" w:type="dxa"/>
            <w:vMerge w:val="restart"/>
            <w:vAlign w:val="center"/>
          </w:tcPr>
          <w:p w14:paraId="67E7056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A020619照明设备</w:t>
            </w:r>
          </w:p>
        </w:tc>
        <w:tc>
          <w:tcPr>
            <w:tcW w:w="1320" w:type="dxa"/>
            <w:vAlign w:val="center"/>
          </w:tcPr>
          <w:p w14:paraId="294321E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w:t>
            </w:r>
          </w:p>
        </w:tc>
        <w:tc>
          <w:tcPr>
            <w:tcW w:w="1620" w:type="dxa"/>
            <w:vAlign w:val="center"/>
          </w:tcPr>
          <w:p w14:paraId="2B51D41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9BC2C0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《普通照明用双端荧光灯能效限定值及能效等级》（GB19043）</w:t>
            </w:r>
          </w:p>
        </w:tc>
      </w:tr>
      <w:tr w14:paraId="4368B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00DB78A4">
            <w:pPr>
              <w:widowControl/>
              <w:jc w:val="left"/>
              <w:rPr>
                <w:rFonts w:ascii="仿宋" w:hAnsi="仿宋" w:eastAsia="仿宋" w:cs="仿宋"/>
                <w:color w:val="auto"/>
                <w:kern w:val="0"/>
                <w:sz w:val="20"/>
                <w:szCs w:val="20"/>
                <w:highlight w:val="none"/>
              </w:rPr>
            </w:pPr>
          </w:p>
        </w:tc>
        <w:tc>
          <w:tcPr>
            <w:tcW w:w="1080" w:type="dxa"/>
            <w:vMerge w:val="continue"/>
            <w:vAlign w:val="center"/>
          </w:tcPr>
          <w:p w14:paraId="07792972">
            <w:pPr>
              <w:widowControl/>
              <w:jc w:val="left"/>
              <w:rPr>
                <w:rFonts w:ascii="仿宋" w:hAnsi="仿宋" w:eastAsia="仿宋" w:cs="仿宋"/>
                <w:color w:val="auto"/>
                <w:kern w:val="0"/>
                <w:sz w:val="20"/>
                <w:szCs w:val="20"/>
                <w:highlight w:val="none"/>
              </w:rPr>
            </w:pPr>
          </w:p>
        </w:tc>
        <w:tc>
          <w:tcPr>
            <w:tcW w:w="1320" w:type="dxa"/>
            <w:vAlign w:val="center"/>
          </w:tcPr>
          <w:p w14:paraId="52BCDD3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LED道路/隧道照明产品</w:t>
            </w:r>
          </w:p>
        </w:tc>
        <w:tc>
          <w:tcPr>
            <w:tcW w:w="1620" w:type="dxa"/>
            <w:vAlign w:val="center"/>
          </w:tcPr>
          <w:p w14:paraId="625DE7F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CB4152C">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《道路和隧道照明用LED灯具能效限定值及能效等级》（GB37478）</w:t>
            </w:r>
          </w:p>
        </w:tc>
      </w:tr>
      <w:tr w14:paraId="07BE9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555491BE">
            <w:pPr>
              <w:widowControl/>
              <w:jc w:val="left"/>
              <w:rPr>
                <w:rFonts w:ascii="仿宋" w:hAnsi="仿宋" w:eastAsia="仿宋" w:cs="仿宋"/>
                <w:color w:val="auto"/>
                <w:kern w:val="0"/>
                <w:sz w:val="20"/>
                <w:szCs w:val="20"/>
                <w:highlight w:val="none"/>
              </w:rPr>
            </w:pPr>
          </w:p>
        </w:tc>
        <w:tc>
          <w:tcPr>
            <w:tcW w:w="1080" w:type="dxa"/>
            <w:vMerge w:val="continue"/>
            <w:vAlign w:val="center"/>
          </w:tcPr>
          <w:p w14:paraId="7F68DAB4">
            <w:pPr>
              <w:widowControl/>
              <w:jc w:val="left"/>
              <w:rPr>
                <w:rFonts w:ascii="仿宋" w:hAnsi="仿宋" w:eastAsia="仿宋" w:cs="仿宋"/>
                <w:color w:val="auto"/>
                <w:kern w:val="0"/>
                <w:sz w:val="20"/>
                <w:szCs w:val="20"/>
                <w:highlight w:val="none"/>
              </w:rPr>
            </w:pPr>
          </w:p>
        </w:tc>
        <w:tc>
          <w:tcPr>
            <w:tcW w:w="1320" w:type="dxa"/>
            <w:vAlign w:val="center"/>
          </w:tcPr>
          <w:p w14:paraId="33E30E5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LED筒灯</w:t>
            </w:r>
          </w:p>
        </w:tc>
        <w:tc>
          <w:tcPr>
            <w:tcW w:w="1620" w:type="dxa"/>
            <w:vAlign w:val="center"/>
          </w:tcPr>
          <w:p w14:paraId="6500D58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04CA0517">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14:paraId="23050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continue"/>
            <w:vAlign w:val="center"/>
          </w:tcPr>
          <w:p w14:paraId="5ACFC875">
            <w:pPr>
              <w:widowControl/>
              <w:jc w:val="left"/>
              <w:rPr>
                <w:rFonts w:ascii="仿宋" w:hAnsi="仿宋" w:eastAsia="仿宋" w:cs="仿宋"/>
                <w:color w:val="auto"/>
                <w:kern w:val="0"/>
                <w:sz w:val="20"/>
                <w:szCs w:val="20"/>
                <w:highlight w:val="none"/>
              </w:rPr>
            </w:pPr>
          </w:p>
        </w:tc>
        <w:tc>
          <w:tcPr>
            <w:tcW w:w="1080" w:type="dxa"/>
            <w:vMerge w:val="continue"/>
            <w:vAlign w:val="center"/>
          </w:tcPr>
          <w:p w14:paraId="2F396360">
            <w:pPr>
              <w:widowControl/>
              <w:jc w:val="left"/>
              <w:rPr>
                <w:rFonts w:ascii="仿宋" w:hAnsi="仿宋" w:eastAsia="仿宋" w:cs="仿宋"/>
                <w:color w:val="auto"/>
                <w:kern w:val="0"/>
                <w:sz w:val="20"/>
                <w:szCs w:val="20"/>
                <w:highlight w:val="none"/>
              </w:rPr>
            </w:pPr>
          </w:p>
        </w:tc>
        <w:tc>
          <w:tcPr>
            <w:tcW w:w="1320" w:type="dxa"/>
            <w:vAlign w:val="center"/>
          </w:tcPr>
          <w:p w14:paraId="4D91EEC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普通照明用非定向自镇流LED灯</w:t>
            </w:r>
          </w:p>
        </w:tc>
        <w:tc>
          <w:tcPr>
            <w:tcW w:w="1620" w:type="dxa"/>
            <w:vAlign w:val="center"/>
          </w:tcPr>
          <w:p w14:paraId="2A370A0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4B8FC9F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《室内照明用LED产品能效限定值及能效等级》（GB30255）</w:t>
            </w:r>
          </w:p>
        </w:tc>
      </w:tr>
      <w:tr w14:paraId="435DF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Align w:val="center"/>
          </w:tcPr>
          <w:p w14:paraId="30B5CB11">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080" w:type="dxa"/>
            <w:vAlign w:val="center"/>
          </w:tcPr>
          <w:p w14:paraId="69E6F8B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★A020910电视设备</w:t>
            </w:r>
          </w:p>
        </w:tc>
        <w:tc>
          <w:tcPr>
            <w:tcW w:w="1320" w:type="dxa"/>
            <w:vAlign w:val="center"/>
          </w:tcPr>
          <w:p w14:paraId="0C26261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A02091001普通电视设备（电视机）</w:t>
            </w:r>
          </w:p>
        </w:tc>
        <w:tc>
          <w:tcPr>
            <w:tcW w:w="1620" w:type="dxa"/>
            <w:vAlign w:val="center"/>
          </w:tcPr>
          <w:p w14:paraId="5BBACE9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48EDE2C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《平板电视能效限定值及能效等级》（GB24850）</w:t>
            </w:r>
          </w:p>
        </w:tc>
      </w:tr>
      <w:tr w14:paraId="3004B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60" w:type="dxa"/>
            <w:vAlign w:val="center"/>
          </w:tcPr>
          <w:p w14:paraId="537233B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080" w:type="dxa"/>
            <w:vAlign w:val="center"/>
          </w:tcPr>
          <w:p w14:paraId="346A127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★A020911视频设备</w:t>
            </w:r>
          </w:p>
        </w:tc>
        <w:tc>
          <w:tcPr>
            <w:tcW w:w="1320" w:type="dxa"/>
            <w:vAlign w:val="center"/>
          </w:tcPr>
          <w:p w14:paraId="63EE04EF">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A02091107视频监控设备</w:t>
            </w:r>
          </w:p>
        </w:tc>
        <w:tc>
          <w:tcPr>
            <w:tcW w:w="1620" w:type="dxa"/>
            <w:vAlign w:val="center"/>
          </w:tcPr>
          <w:p w14:paraId="61CFD596">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监视器</w:t>
            </w:r>
          </w:p>
        </w:tc>
        <w:tc>
          <w:tcPr>
            <w:tcW w:w="4540" w:type="dxa"/>
            <w:vAlign w:val="center"/>
          </w:tcPr>
          <w:p w14:paraId="0908B70E">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0F0F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6D5C827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080" w:type="dxa"/>
            <w:vAlign w:val="center"/>
          </w:tcPr>
          <w:p w14:paraId="08CB6BC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A031210饮食炊事机械</w:t>
            </w:r>
          </w:p>
        </w:tc>
        <w:tc>
          <w:tcPr>
            <w:tcW w:w="1320" w:type="dxa"/>
            <w:vAlign w:val="center"/>
          </w:tcPr>
          <w:p w14:paraId="54C34AD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w:t>
            </w:r>
          </w:p>
        </w:tc>
        <w:tc>
          <w:tcPr>
            <w:tcW w:w="1620" w:type="dxa"/>
            <w:vAlign w:val="center"/>
          </w:tcPr>
          <w:p w14:paraId="5C13C94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B7F8BC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《商用燃气灶具能效限定值及能效等级》（GB30531）</w:t>
            </w:r>
          </w:p>
        </w:tc>
      </w:tr>
      <w:tr w14:paraId="7B198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660" w:type="dxa"/>
            <w:vMerge w:val="restart"/>
            <w:vAlign w:val="center"/>
          </w:tcPr>
          <w:p w14:paraId="63DB324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080" w:type="dxa"/>
            <w:vMerge w:val="restart"/>
            <w:vAlign w:val="center"/>
          </w:tcPr>
          <w:p w14:paraId="0481800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★A060805便器</w:t>
            </w:r>
          </w:p>
        </w:tc>
        <w:tc>
          <w:tcPr>
            <w:tcW w:w="1320" w:type="dxa"/>
            <w:vAlign w:val="center"/>
          </w:tcPr>
          <w:p w14:paraId="55009C3A">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w:t>
            </w:r>
          </w:p>
        </w:tc>
        <w:tc>
          <w:tcPr>
            <w:tcW w:w="1620" w:type="dxa"/>
            <w:vAlign w:val="center"/>
          </w:tcPr>
          <w:p w14:paraId="5CEEF94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0105541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《坐便器水效限定值及水效等级》（GB25502）</w:t>
            </w:r>
          </w:p>
        </w:tc>
      </w:tr>
      <w:tr w14:paraId="4ED35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5280D5E7">
            <w:pPr>
              <w:widowControl/>
              <w:jc w:val="left"/>
              <w:rPr>
                <w:rFonts w:ascii="仿宋" w:hAnsi="仿宋" w:eastAsia="仿宋" w:cs="仿宋"/>
                <w:color w:val="auto"/>
                <w:kern w:val="0"/>
                <w:sz w:val="20"/>
                <w:szCs w:val="20"/>
                <w:highlight w:val="none"/>
              </w:rPr>
            </w:pPr>
          </w:p>
        </w:tc>
        <w:tc>
          <w:tcPr>
            <w:tcW w:w="1080" w:type="dxa"/>
            <w:vMerge w:val="continue"/>
            <w:vAlign w:val="center"/>
          </w:tcPr>
          <w:p w14:paraId="4F2C2BF0">
            <w:pPr>
              <w:widowControl/>
              <w:jc w:val="left"/>
              <w:rPr>
                <w:rFonts w:ascii="仿宋" w:hAnsi="仿宋" w:eastAsia="仿宋" w:cs="仿宋"/>
                <w:color w:val="auto"/>
                <w:kern w:val="0"/>
                <w:sz w:val="20"/>
                <w:szCs w:val="20"/>
                <w:highlight w:val="none"/>
              </w:rPr>
            </w:pPr>
          </w:p>
        </w:tc>
        <w:tc>
          <w:tcPr>
            <w:tcW w:w="1320" w:type="dxa"/>
            <w:vAlign w:val="center"/>
          </w:tcPr>
          <w:p w14:paraId="5AE3283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w:t>
            </w:r>
          </w:p>
        </w:tc>
        <w:tc>
          <w:tcPr>
            <w:tcW w:w="1620" w:type="dxa"/>
            <w:vAlign w:val="center"/>
          </w:tcPr>
          <w:p w14:paraId="57A86D7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7911106">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《蹲便器用水效率限定值及用水效率等级》（GB30717）</w:t>
            </w:r>
          </w:p>
        </w:tc>
      </w:tr>
      <w:tr w14:paraId="04BE1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continue"/>
            <w:vAlign w:val="center"/>
          </w:tcPr>
          <w:p w14:paraId="1BBAAB0B">
            <w:pPr>
              <w:widowControl/>
              <w:jc w:val="left"/>
              <w:rPr>
                <w:rFonts w:ascii="仿宋" w:hAnsi="仿宋" w:eastAsia="仿宋" w:cs="仿宋"/>
                <w:color w:val="auto"/>
                <w:kern w:val="0"/>
                <w:sz w:val="20"/>
                <w:szCs w:val="20"/>
                <w:highlight w:val="none"/>
              </w:rPr>
            </w:pPr>
          </w:p>
        </w:tc>
        <w:tc>
          <w:tcPr>
            <w:tcW w:w="1080" w:type="dxa"/>
            <w:vMerge w:val="continue"/>
            <w:vAlign w:val="center"/>
          </w:tcPr>
          <w:p w14:paraId="659E89FD">
            <w:pPr>
              <w:widowControl/>
              <w:jc w:val="left"/>
              <w:rPr>
                <w:rFonts w:ascii="仿宋" w:hAnsi="仿宋" w:eastAsia="仿宋" w:cs="仿宋"/>
                <w:color w:val="auto"/>
                <w:kern w:val="0"/>
                <w:sz w:val="20"/>
                <w:szCs w:val="20"/>
                <w:highlight w:val="none"/>
              </w:rPr>
            </w:pPr>
          </w:p>
        </w:tc>
        <w:tc>
          <w:tcPr>
            <w:tcW w:w="1320" w:type="dxa"/>
            <w:vAlign w:val="center"/>
          </w:tcPr>
          <w:p w14:paraId="16BAAA0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w:t>
            </w:r>
          </w:p>
        </w:tc>
        <w:tc>
          <w:tcPr>
            <w:tcW w:w="1620" w:type="dxa"/>
            <w:vAlign w:val="center"/>
          </w:tcPr>
          <w:p w14:paraId="27C99E9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1AECD7B9">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《小便器用水效率限定值及用水效率等级》（GB28377）</w:t>
            </w:r>
          </w:p>
        </w:tc>
      </w:tr>
      <w:tr w14:paraId="773A9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7CEA3C5B">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080" w:type="dxa"/>
            <w:vAlign w:val="center"/>
          </w:tcPr>
          <w:p w14:paraId="3107F109">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★A060806水嘴</w:t>
            </w:r>
          </w:p>
        </w:tc>
        <w:tc>
          <w:tcPr>
            <w:tcW w:w="1320" w:type="dxa"/>
            <w:vAlign w:val="center"/>
          </w:tcPr>
          <w:p w14:paraId="3CB8034D">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5A149DF7">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1EBBAFF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《水嘴用水效率限定值及用水效率等级》（GB 25501）</w:t>
            </w:r>
          </w:p>
        </w:tc>
      </w:tr>
      <w:tr w14:paraId="76AD2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60285F40">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080" w:type="dxa"/>
            <w:vAlign w:val="center"/>
          </w:tcPr>
          <w:p w14:paraId="6106E524">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A060807便器冲洗阀</w:t>
            </w:r>
          </w:p>
        </w:tc>
        <w:tc>
          <w:tcPr>
            <w:tcW w:w="1320" w:type="dxa"/>
            <w:vAlign w:val="center"/>
          </w:tcPr>
          <w:p w14:paraId="18D0C168">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7E408805">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61FA141D">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《便器冲洗阀用水效率限定值及用水效率等级》（GB28379）</w:t>
            </w:r>
          </w:p>
        </w:tc>
      </w:tr>
      <w:tr w14:paraId="00019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49A1484E">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080" w:type="dxa"/>
            <w:vAlign w:val="center"/>
          </w:tcPr>
          <w:p w14:paraId="2FBD931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A060810淋浴器</w:t>
            </w:r>
          </w:p>
        </w:tc>
        <w:tc>
          <w:tcPr>
            <w:tcW w:w="1320" w:type="dxa"/>
            <w:vAlign w:val="center"/>
          </w:tcPr>
          <w:p w14:paraId="10AD3BA2">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20" w:type="dxa"/>
            <w:vAlign w:val="center"/>
          </w:tcPr>
          <w:p w14:paraId="1B92DF23">
            <w:pPr>
              <w:widowControl/>
              <w:jc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4540" w:type="dxa"/>
            <w:vAlign w:val="center"/>
          </w:tcPr>
          <w:p w14:paraId="782CE0A3">
            <w:pPr>
              <w:widowControl/>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《淋浴器用水效率限定值及用水效率等级》（GB28378）</w:t>
            </w:r>
          </w:p>
        </w:tc>
      </w:tr>
    </w:tbl>
    <w:p w14:paraId="5AEB555C">
      <w:pPr>
        <w:pStyle w:val="2"/>
        <w:spacing w:line="360" w:lineRule="auto"/>
        <w:rPr>
          <w:rFonts w:ascii="仿宋" w:hAnsi="仿宋" w:eastAsia="仿宋" w:cs="仿宋"/>
          <w:color w:val="auto"/>
          <w:spacing w:val="-3"/>
          <w:szCs w:val="21"/>
          <w:highlight w:val="none"/>
        </w:rPr>
      </w:pPr>
    </w:p>
    <w:p w14:paraId="0CBD8713">
      <w:pPr>
        <w:pStyle w:val="2"/>
        <w:spacing w:line="360" w:lineRule="auto"/>
        <w:rPr>
          <w:rFonts w:ascii="仿宋" w:hAnsi="仿宋" w:eastAsia="仿宋" w:cs="仿宋"/>
          <w:color w:val="auto"/>
          <w:szCs w:val="21"/>
          <w:highlight w:val="none"/>
        </w:rPr>
      </w:pPr>
      <w:r>
        <w:rPr>
          <w:rFonts w:hint="eastAsia" w:ascii="仿宋" w:hAnsi="仿宋" w:eastAsia="仿宋" w:cs="仿宋"/>
          <w:color w:val="auto"/>
          <w:spacing w:val="-3"/>
          <w:szCs w:val="21"/>
          <w:highlight w:val="none"/>
        </w:rPr>
        <w:t>注：1.节能产品认证应依据相关国家标准的最新版本，依据国家标准中二级能效（水效）</w:t>
      </w:r>
      <w:r>
        <w:rPr>
          <w:rFonts w:hint="eastAsia" w:ascii="仿宋" w:hAnsi="仿宋" w:eastAsia="仿宋" w:cs="仿宋"/>
          <w:color w:val="auto"/>
          <w:szCs w:val="21"/>
          <w:highlight w:val="none"/>
        </w:rPr>
        <w:t>指标。</w:t>
      </w:r>
    </w:p>
    <w:p w14:paraId="5EB49B99">
      <w:pPr>
        <w:pStyle w:val="2"/>
        <w:spacing w:line="360" w:lineRule="auto"/>
        <w:rPr>
          <w:rFonts w:ascii="仿宋" w:hAnsi="仿宋" w:eastAsia="仿宋" w:cs="仿宋"/>
          <w:color w:val="auto"/>
          <w:sz w:val="32"/>
          <w:szCs w:val="32"/>
          <w:highlight w:val="none"/>
        </w:rPr>
      </w:pPr>
      <w:r>
        <w:rPr>
          <w:rFonts w:hint="eastAsia" w:ascii="仿宋" w:hAnsi="仿宋" w:eastAsia="仿宋" w:cs="仿宋"/>
          <w:color w:val="auto"/>
          <w:szCs w:val="21"/>
          <w:highlight w:val="none"/>
        </w:rPr>
        <w:t>2</w:t>
      </w:r>
      <w:r>
        <w:rPr>
          <w:rFonts w:hint="eastAsia" w:ascii="仿宋" w:hAnsi="仿宋" w:eastAsia="仿宋" w:cs="仿宋"/>
          <w:b/>
          <w:bCs/>
          <w:color w:val="auto"/>
          <w:szCs w:val="21"/>
          <w:highlight w:val="none"/>
        </w:rPr>
        <w:t>.以“★”标注的为政府强制采购产品。</w:t>
      </w:r>
      <w:r>
        <w:rPr>
          <w:rFonts w:hint="eastAsia" w:ascii="仿宋" w:hAnsi="仿宋" w:eastAsia="仿宋" w:cs="仿宋"/>
          <w:color w:val="auto"/>
          <w:sz w:val="32"/>
          <w:szCs w:val="32"/>
          <w:highlight w:val="none"/>
        </w:rPr>
        <w:br w:type="page"/>
      </w:r>
      <w:r>
        <w:rPr>
          <w:rFonts w:hint="eastAsia" w:ascii="仿宋" w:hAnsi="仿宋" w:eastAsia="仿宋" w:cs="仿宋"/>
          <w:color w:val="auto"/>
          <w:sz w:val="32"/>
          <w:szCs w:val="32"/>
          <w:highlight w:val="none"/>
        </w:rPr>
        <w:t>附件2：</w:t>
      </w:r>
    </w:p>
    <w:p w14:paraId="2562961B">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中小微企业划型标准</w:t>
      </w:r>
    </w:p>
    <w:p w14:paraId="582FBB6A">
      <w:pPr>
        <w:ind w:left="1871"/>
        <w:rPr>
          <w:rFonts w:ascii="仿宋" w:hAnsi="仿宋" w:eastAsia="仿宋" w:cs="仿宋"/>
          <w:color w:val="auto"/>
          <w:szCs w:val="21"/>
          <w:highlight w:val="none"/>
        </w:rPr>
      </w:pPr>
    </w:p>
    <w:tbl>
      <w:tblPr>
        <w:tblStyle w:val="25"/>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3B388E13">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06BAB01">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6117ED7">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F0DB25E">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5F411E45">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8822240">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7E2612C3">
            <w:pPr>
              <w:widowControl/>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F5D69D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2EFFEA6">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DB8C87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64D88F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C1170F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B8BDBF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0DF4CCB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072D2C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242104A">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05D02A6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681184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DE7D46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DA5A31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427E76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74999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D6CA7A1">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AE417E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403E9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55533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4E65EFB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219D16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1EBEFB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366A615">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15BFA93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278325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AF7A6E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312C97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142498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7DF4E6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0B444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E1406F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97E72B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B5B44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2E99958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7394CAD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5EA3A2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BE6670">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2CE339A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87A860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D6C5D3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DB02FA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AF0491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6725D14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663FF19">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4CC097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382B4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CFADA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4C64B8D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78D4ADF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6BB6D6E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D2683B4">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6D2DC5A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60ECB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69228A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A86F0C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562BA8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8B9A2F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0113483">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6522C8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9AC680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5095D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F53372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B1EA0A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4ABE64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5B199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BA542B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4BC04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7A352D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01FF70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B6AE9F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44C4E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C53EB6E">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D4DEE4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B27EA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835FD2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3064AD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4728D8F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5919F30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262315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89F9C4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99DA0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A1B17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ADB600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3476503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4BCBD6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F6B9A5E">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0573C7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2127C1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A73B09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6DF3405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0DF7AE5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2B7527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6C8C2A7">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515670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B793D2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48C28E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ED8A35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32095B1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C7ABA6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CFE8F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D32AE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F6CEB0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C77664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BCA9D3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C7784A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40E1E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A45153">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0AC71A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9F421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21AE95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CA0683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E6219D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58209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8D5F93">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CB3BD8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0E2F95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4396D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0391F5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5F00AB1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5AF053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6F4EFFE">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099F9F2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C9C38D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4640A5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3BA83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50BE45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511A65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F4238">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106C83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4D38E8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18D63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F18965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24D150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33A317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67118BF">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6CD8EC9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AF8824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65C754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0D825A3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C62BDF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341B57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9C95305">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776431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5688C1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6781D4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5ECC0C0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55AA20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8E4625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BCBCCF">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4795AEF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773035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A17DA6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8581B3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CE077F0">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6D9F10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5EB55D">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A34AE7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A13352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CFDA8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72D6B60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30BB6E2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361FBB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416417">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F862C1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9BE9AD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03F740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700E7BF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1AF63675">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F5165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1B0BD3">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6FF74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5E51C4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491DB6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12C2FE2C">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740B002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30AAB35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EEC8A37">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149021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8234251">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0A675A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F3CC51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47FEEA99">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CD3FA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5D2686">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73EA31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AC3716">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418FF0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759D4E42">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6738ABC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1CB0749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41C6FA">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094DEF2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4EF6C34">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B6BDEA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328E8EF">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395129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89B64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9F4EA7B">
            <w:pPr>
              <w:widowControl/>
              <w:jc w:val="left"/>
              <w:rPr>
                <w:rFonts w:ascii="仿宋" w:hAnsi="仿宋" w:eastAsia="仿宋" w:cs="仿宋"/>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21D1EC3">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65FC237">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7914FE">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AD90DA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4122F9D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A19020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4D5B092">
            <w:pPr>
              <w:widowControl/>
              <w:jc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28BB34A8">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42902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C80B2EB">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1227D4A">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3E3069D">
            <w:pPr>
              <w:widowControl/>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08F1E74">
      <w:pPr>
        <w:spacing w:line="360" w:lineRule="auto"/>
        <w:ind w:firstLine="525" w:firstLineChars="250"/>
        <w:rPr>
          <w:rFonts w:ascii="仿宋" w:hAnsi="仿宋" w:eastAsia="仿宋" w:cs="仿宋"/>
          <w:color w:val="auto"/>
          <w:szCs w:val="21"/>
          <w:highlight w:val="none"/>
        </w:rPr>
      </w:pPr>
    </w:p>
    <w:p w14:paraId="2AF0241D">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6C9C49C">
      <w:pPr>
        <w:pStyle w:val="4"/>
        <w:jc w:val="center"/>
        <w:rPr>
          <w:rFonts w:ascii="仿宋" w:hAnsi="仿宋" w:eastAsia="仿宋" w:cs="仿宋"/>
          <w:color w:val="auto"/>
          <w:highlight w:val="none"/>
        </w:rPr>
      </w:pPr>
      <w:r>
        <w:rPr>
          <w:rFonts w:hint="eastAsia" w:ascii="仿宋" w:hAnsi="仿宋" w:eastAsia="仿宋" w:cs="仿宋"/>
          <w:color w:val="auto"/>
          <w:sz w:val="20"/>
          <w:szCs w:val="20"/>
          <w:highlight w:val="none"/>
        </w:rPr>
        <w:br w:type="page"/>
      </w:r>
      <w:bookmarkStart w:id="40" w:name="_Toc74323459"/>
      <w:r>
        <w:rPr>
          <w:rFonts w:hint="eastAsia" w:ascii="仿宋" w:hAnsi="仿宋" w:eastAsia="仿宋" w:cs="仿宋"/>
          <w:color w:val="auto"/>
          <w:highlight w:val="none"/>
        </w:rPr>
        <w:t>第四章  评审程序、评审方法和评审标准</w:t>
      </w:r>
      <w:bookmarkEnd w:id="40"/>
    </w:p>
    <w:p w14:paraId="3C343093">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一、评审程序和评审方法</w:t>
      </w:r>
    </w:p>
    <w:p w14:paraId="4E4259E8">
      <w:pPr>
        <w:spacing w:line="360" w:lineRule="auto"/>
        <w:ind w:firstLine="482" w:firstLineChars="200"/>
        <w:rPr>
          <w:rFonts w:ascii="仿宋" w:hAnsi="仿宋" w:eastAsia="仿宋" w:cs="仿宋"/>
          <w:b/>
          <w:bCs/>
          <w:color w:val="auto"/>
          <w:sz w:val="24"/>
          <w:highlight w:val="none"/>
        </w:rPr>
      </w:pPr>
    </w:p>
    <w:p w14:paraId="29FECB4C">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107CE51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1.1响应文件开启后，磋商小组依法对供应商的资格证明文件进行审查。</w:t>
      </w:r>
    </w:p>
    <w:p w14:paraId="5EBC7FB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仿宋" w:hAnsi="仿宋" w:eastAsia="仿宋" w:cs="仿宋"/>
          <w:color w:val="auto"/>
          <w:sz w:val="24"/>
          <w:highlight w:val="none"/>
        </w:rPr>
        <w:t>www.ccgp.gov.cn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1A33822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（2）信用查询截止时点：资格审查结束前</w:t>
      </w:r>
    </w:p>
    <w:p w14:paraId="0B12C27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（3）查询记录和证据留存方式：将查询网站中的查询记录截图并作为评审资料保存。</w:t>
      </w:r>
    </w:p>
    <w:p w14:paraId="4ADBCB1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161AC7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1.2资格审查标准为本磋商文件中载明对供应商资格要求的条件。资格审查采用合格制，凡符合磋商文件规定的供应商资格要求的响应文件均通过资格审查。</w:t>
      </w:r>
    </w:p>
    <w:p w14:paraId="4105BC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1.3供应商有下列情形之一的，资格审查不通过，其响应文件按无效响应处理：</w:t>
      </w:r>
    </w:p>
    <w:p w14:paraId="141D1F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（1）不具备磋商文件中规定的资格要求的；</w:t>
      </w:r>
    </w:p>
    <w:p w14:paraId="7EBBA5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（2）响应文件的资格证明文件缺少任一项“供应商须知前附表”资格证明文件规定的“必须提供”的文件资料的；</w:t>
      </w:r>
    </w:p>
    <w:p w14:paraId="0DC5D1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（3）响应文件中的资格证明文件出现任一项不符合“供应商须知前附表”资格证明文件规定的“必须提供”的文件资料要求或者无效的；</w:t>
      </w:r>
    </w:p>
    <w:p w14:paraId="10EDB8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4AB7D57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1.4通过资格审查的合格供应商不足3家的，不得进入符合性审查环节，采购人或者采购代理机构应当重新开展采购活动。</w:t>
      </w:r>
    </w:p>
    <w:p w14:paraId="164E31A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0546C652">
      <w:pPr>
        <w:spacing w:line="360" w:lineRule="auto"/>
        <w:ind w:firstLine="480" w:firstLineChars="200"/>
        <w:rPr>
          <w:rFonts w:ascii="仿宋" w:hAnsi="仿宋" w:eastAsia="仿宋" w:cs="仿宋"/>
          <w:color w:val="auto"/>
          <w:sz w:val="24"/>
          <w:highlight w:val="none"/>
        </w:rPr>
      </w:pPr>
      <w:bookmarkStart w:id="41" w:name="_Hlk42528882"/>
      <w:r>
        <w:rPr>
          <w:rFonts w:hint="eastAsia" w:ascii="仿宋" w:hAnsi="仿宋" w:eastAsia="仿宋" w:cs="仿宋"/>
          <w:color w:val="auto"/>
          <w:sz w:val="24"/>
          <w:highlight w:val="none"/>
        </w:rPr>
        <w:t>2.1由磋商小组对资格审查的合格供应商的响应文件的磋商报价、商务、技术等实质性要求进行符合性审查，以确定其是否满足磋商文件的实质性要求。</w:t>
      </w:r>
    </w:p>
    <w:bookmarkEnd w:id="41"/>
    <w:p w14:paraId="24E76E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2103A0">
      <w:pPr>
        <w:spacing w:line="360" w:lineRule="auto"/>
        <w:ind w:firstLine="480" w:firstLineChars="200"/>
        <w:rPr>
          <w:rFonts w:ascii="仿宋" w:hAnsi="仿宋" w:eastAsia="仿宋" w:cs="仿宋"/>
          <w:color w:val="auto"/>
          <w:spacing w:val="-6"/>
          <w:sz w:val="24"/>
          <w:highlight w:val="none"/>
        </w:rPr>
      </w:pPr>
      <w:r>
        <w:rPr>
          <w:rFonts w:hint="eastAsia" w:ascii="仿宋" w:hAnsi="仿宋" w:eastAsia="仿宋" w:cs="仿宋"/>
          <w:color w:val="auto"/>
          <w:sz w:val="24"/>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hAnsi="仿宋" w:eastAsia="仿宋" w:cs="仿宋"/>
          <w:color w:val="auto"/>
          <w:spacing w:val="-6"/>
          <w:sz w:val="24"/>
          <w:highlight w:val="none"/>
        </w:rPr>
        <w:t>。供应商为自然人的，必须由本人签字并附身份证明。</w:t>
      </w:r>
    </w:p>
    <w:p w14:paraId="68DE9A4A">
      <w:pPr>
        <w:spacing w:line="360" w:lineRule="auto"/>
        <w:ind w:firstLine="456" w:firstLineChars="200"/>
        <w:rPr>
          <w:rFonts w:ascii="仿宋" w:hAnsi="仿宋" w:eastAsia="仿宋" w:cs="仿宋"/>
          <w:color w:val="auto"/>
          <w:sz w:val="24"/>
          <w:highlight w:val="none"/>
        </w:rPr>
      </w:pPr>
      <w:r>
        <w:rPr>
          <w:rFonts w:hint="eastAsia" w:ascii="仿宋" w:hAnsi="仿宋" w:eastAsia="仿宋" w:cs="仿宋"/>
          <w:color w:val="auto"/>
          <w:spacing w:val="-6"/>
          <w:sz w:val="24"/>
          <w:highlight w:val="none"/>
        </w:rPr>
        <w:t>2.4</w:t>
      </w:r>
      <w:r>
        <w:rPr>
          <w:rFonts w:hint="eastAsia" w:ascii="仿宋" w:hAnsi="仿宋" w:eastAsia="仿宋" w:cs="仿宋"/>
          <w:color w:val="auto"/>
          <w:sz w:val="24"/>
          <w:highlight w:val="none"/>
        </w:rPr>
        <w:t xml:space="preserve">首次响应文件报价出现前后不一致的，按照下列规定修正： </w:t>
      </w:r>
    </w:p>
    <w:p w14:paraId="2B9B9E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（1）响应文件中报价表内容与响应文件中相应内容不一致的，以报价表为准；</w:t>
      </w:r>
    </w:p>
    <w:p w14:paraId="537368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598AFB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（3）单价金额小数点或者百分比有明显错位的，以报价表的总价为准，并修改单价；</w:t>
      </w:r>
    </w:p>
    <w:p w14:paraId="304F45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2B87085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同时出现两种以上不一致的，按照以上（1）-（4）规定的顺序逐条进行修正。修正后的报价经供应商确认后产生约束力，供应商不确认的，其响应文件按无效响应处理。</w:t>
      </w:r>
    </w:p>
    <w:p w14:paraId="319E46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2.5商务技术报价评审</w:t>
      </w:r>
    </w:p>
    <w:p w14:paraId="3FD6F8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在评审时，如发现下列情形之一的，将被视为响应文件无效响应处理：</w:t>
      </w:r>
    </w:p>
    <w:p w14:paraId="094A40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（1）商务技术评审</w:t>
      </w:r>
    </w:p>
    <w:p w14:paraId="30F504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1）响应文件未按磋商文件要求签署、盖章；</w:t>
      </w:r>
    </w:p>
    <w:p w14:paraId="6C6B12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2）委托代理人未能出具有效身份证或者出具的身份证与授权委托书中的信息不符的； </w:t>
      </w:r>
    </w:p>
    <w:p w14:paraId="0F339D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3）提交的磋商保证金无效的或者未按照磋商文件的规定提交磋商保证金；</w:t>
      </w:r>
    </w:p>
    <w:p w14:paraId="0366C6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4）响应文件中的报价商务技术文件出现任一项不符合“供应商须知前附表”中“必须提供”或者“委托时必须提供”文件资料要求的规定或者提供的报价商务技术文件无效。</w:t>
      </w:r>
    </w:p>
    <w:p w14:paraId="5462BD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5）商务条款中标“▲”的条款发生负偏离或者允许负偏离的条款数超过“供应商须知前附表”规定项数的；</w:t>
      </w:r>
    </w:p>
    <w:p w14:paraId="7E2EBC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6）未对磋商有效期作出响应或者响应文件承诺的磋商有效期不满足磋商文件要求；</w:t>
      </w:r>
    </w:p>
    <w:p w14:paraId="3C8654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7）响应文件的实质性内容未使用中文表述、使用计量单位不符合磋商文件要求；</w:t>
      </w:r>
    </w:p>
    <w:p w14:paraId="72F75E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8）响应文件中的文件资料因填写不齐全或者内容虚假或者出现其他情形而导致被磋商小组认定无效；</w:t>
      </w:r>
    </w:p>
    <w:p w14:paraId="3B5115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9）响应文件含有采购人不能接受的附加条件；</w:t>
      </w:r>
    </w:p>
    <w:p w14:paraId="07E452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10）属于“供应商须知正文”第7.5条情形；</w:t>
      </w:r>
    </w:p>
    <w:p w14:paraId="3E612E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11）技术要求中标“▲”的条款发生负偏离或允许负偏离的条款数超过“供应商须知前附表”规定项数的；</w:t>
      </w:r>
    </w:p>
    <w:p w14:paraId="64654B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12）虚假竞标，或者出现其他情形而导致被磋商小组认定无效；</w:t>
      </w:r>
    </w:p>
    <w:p w14:paraId="5C1D60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w:t>
      </w:r>
      <w:bookmarkStart w:id="42" w:name="_Hlk71704147"/>
      <w:r>
        <w:rPr>
          <w:rFonts w:hint="eastAsia" w:ascii="仿宋" w:hAnsi="仿宋" w:eastAsia="仿宋" w:cs="仿宋"/>
          <w:color w:val="auto"/>
          <w:sz w:val="24"/>
          <w:highlight w:val="none"/>
        </w:rPr>
        <w:t>磋商文件未载明允许提供备选（替代）竞标方案或明确不允许提供备选（替代）竞标方案时，供应商提供了备选（替代）竞标方案的；</w:t>
      </w:r>
      <w:bookmarkEnd w:id="42"/>
    </w:p>
    <w:p w14:paraId="208C64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14）响应文件标注的项目名称或者项目编号与磋商文件标注的项目名称或者项目编号不一致的；</w:t>
      </w:r>
    </w:p>
    <w:p w14:paraId="23CE9B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15）竞争性磋商文件明确不允许分包，响应文件拟分包的；</w:t>
      </w:r>
    </w:p>
    <w:p w14:paraId="75E7D8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16）未响应磋商文件实质性要求；</w:t>
      </w:r>
    </w:p>
    <w:p w14:paraId="50FC26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17）法律、法规和磋商文件规定的其他无效情形。</w:t>
      </w:r>
    </w:p>
    <w:p w14:paraId="0B0D8D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（2）报价评审</w:t>
      </w:r>
    </w:p>
    <w:p w14:paraId="37A102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响应文件未提供“供应商须知前附表” 报价商务技术文件中规定的“磋商报价表”；</w:t>
      </w:r>
    </w:p>
    <w:p w14:paraId="4FA4EF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2）未采用人民币报价或者未按照磋商文件标明的币种报价；</w:t>
      </w:r>
    </w:p>
    <w:p w14:paraId="760D46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未就所竞标项目进行报价或者存在漏项报价；供应商未就所竞标的单项内容作唯一报价；供应商未就所竞标项目的全部内容作完整唯一总价报价；供应商响应文件中存在有选择、有条件报价的（磋商文件允许有备选方案或者其他约定的除外）；</w:t>
      </w:r>
    </w:p>
    <w:p w14:paraId="4D0984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4）最后报价超过磋商项目规定的采购预算金额或者最高限价的（如本项目公布了最高限价）；</w:t>
      </w:r>
      <w:bookmarkStart w:id="43" w:name="_Hlk42596405"/>
      <w:r>
        <w:rPr>
          <w:rFonts w:hint="eastAsia" w:ascii="仿宋" w:hAnsi="仿宋" w:eastAsia="仿宋" w:cs="仿宋"/>
          <w:color w:val="auto"/>
          <w:sz w:val="24"/>
          <w:highlight w:val="none"/>
        </w:rPr>
        <w:t xml:space="preserve"> </w:t>
      </w:r>
      <w:bookmarkEnd w:id="43"/>
    </w:p>
    <w:p w14:paraId="202199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5）修正后的报价，供应商不确认的；或者经供应商确认修正后的最后报价超过磋商项目规定的采购预算金额或者最高限价（如本项目公布了最高限价）；</w:t>
      </w:r>
    </w:p>
    <w:p w14:paraId="7370E9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6）响应文件响应的标的数量及单位与竞争性磋商采购文件要求实质性不一致的。</w:t>
      </w:r>
    </w:p>
    <w:p w14:paraId="64D4DD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0764A9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9966EB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3.磋商程序</w:t>
      </w:r>
    </w:p>
    <w:p w14:paraId="3BC476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3.1磋商小组按照“供应商须知前附表”</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确定的</w:t>
      </w:r>
      <w:r>
        <w:rPr>
          <w:rFonts w:hint="eastAsia" w:ascii="仿宋" w:hAnsi="仿宋" w:eastAsia="仿宋" w:cs="仿宋"/>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E2F1A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38E3F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3.3对磋商文件作出的实质性变动是磋商文件的有效组成部分，由磋商小组及时以电子磋商记录形式同时通知所有参加磋商的供应商。</w:t>
      </w:r>
    </w:p>
    <w:p w14:paraId="02C67F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CA48C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3.5磋商中，</w:t>
      </w:r>
      <w:r>
        <w:rPr>
          <w:rFonts w:hint="eastAsia" w:ascii="仿宋" w:hAnsi="仿宋" w:eastAsia="仿宋" w:cs="仿宋"/>
          <w:color w:val="auto"/>
          <w:spacing w:val="-6"/>
          <w:sz w:val="24"/>
          <w:highlight w:val="none"/>
        </w:rPr>
        <w:t>磋商的任何一方不得透露与磋商有关的其他供应商的技术资料、价格和其他信息。</w:t>
      </w:r>
    </w:p>
    <w:p w14:paraId="6CAA911D">
      <w:pPr>
        <w:tabs>
          <w:tab w:val="left" w:pos="2835"/>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3.6对磋商过程提交的响应文件进行有效性、完整性和响应程度审查，通过审查的合格供应商不足3家的，采购人或者采购代理机构应当重新开展采购活动。</w:t>
      </w:r>
    </w:p>
    <w:p w14:paraId="3253DBC6">
      <w:pPr>
        <w:widowControl/>
        <w:tabs>
          <w:tab w:val="left" w:pos="540"/>
        </w:tabs>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F55809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4. 最后报价</w:t>
      </w:r>
    </w:p>
    <w:p w14:paraId="4F9864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4.1磋商文件能够详细列明采购标的的技术、服务要求的，磋商结束后，由磋商小组要求所有继续参加磋商的供应商在规定时间内以电子文件形式提交最后报价，</w:t>
      </w:r>
      <w:r>
        <w:rPr>
          <w:rFonts w:hint="eastAsia" w:ascii="仿宋" w:hAnsi="仿宋" w:eastAsia="仿宋" w:cs="仿宋"/>
          <w:b/>
          <w:bCs/>
          <w:color w:val="auto"/>
          <w:szCs w:val="21"/>
          <w:highlight w:val="none"/>
        </w:rPr>
        <w:t>供应商须自行准备好最后报价，最后报价以附件电子文件形式提交最后报价，</w:t>
      </w:r>
      <w:r>
        <w:rPr>
          <w:rFonts w:hint="eastAsia" w:ascii="仿宋" w:hAnsi="仿宋" w:eastAsia="仿宋" w:cs="仿宋"/>
          <w:color w:val="auto"/>
          <w:sz w:val="24"/>
          <w:highlight w:val="none"/>
        </w:rPr>
        <w:t>除本章第2.7、3.8、4.3条外，提交最后报价的供应商不得少于3家，否则必须重新采购。</w:t>
      </w:r>
    </w:p>
    <w:p w14:paraId="2B52A29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29D4E5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 最后报价是供应商响应文件的有效组成部分。符合《政府采购竞争性磋商采购方式管理暂行办法》（财库〔2014〕214号）第三条第四项“市场竞争不充分的科研项目，以及需要扶持的科技成果转化项目”情形的，提交最后报价的供应商可以为2家。</w:t>
      </w:r>
    </w:p>
    <w:p w14:paraId="0C3F2E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634DBC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4.5供应商未在规定时间内提交最后报价的，视同退出磋商。</w:t>
      </w:r>
    </w:p>
    <w:p w14:paraId="1D28D5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4.6磋商小组收齐所有供应商最后报价后或达到规定时间后统一开启，磋商小组对最后报价进行有效性、完整性和响应程度的审查。</w:t>
      </w:r>
    </w:p>
    <w:p w14:paraId="7B1A57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4.7响应文件最后报价出现前后不一致的，按照本章第2.4条的规定修正。 </w:t>
      </w:r>
    </w:p>
    <w:p w14:paraId="1CDDF2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4.8经供应商确认修正后的最后报价作为评审及签订合同的依据。</w:t>
      </w:r>
    </w:p>
    <w:p w14:paraId="551679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4.9供应商出现最后报价按无效响应处理或者响应文件按无效响应处理时，磋商小组应当告知有关供应商。</w:t>
      </w:r>
    </w:p>
    <w:p w14:paraId="08AFC1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4.10最后报价结束后，磋商小组不得再与供应商进行任何形式的商谈。</w:t>
      </w:r>
    </w:p>
    <w:p w14:paraId="30EC6F5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5.比较与评价</w:t>
      </w:r>
    </w:p>
    <w:p w14:paraId="2788F3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5.1评审方法：综合评分法。</w:t>
      </w:r>
    </w:p>
    <w:p w14:paraId="6F2F87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5.2经磋商确定最终采购需求和提交最后报价的供应商后，由磋商小组采用综合评分法对提交最后报价的供应商的响应文件和最后报价进行综合评分。</w:t>
      </w:r>
    </w:p>
    <w:p w14:paraId="4AE62A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5.3评审时，磋商小组各成员应当独立对每个有效响应的文件进行评价、打分，然后汇总每个供应商每项评分因素的得分。</w:t>
      </w:r>
    </w:p>
    <w:p w14:paraId="3FC3F6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（1）磋商小组按照磋商文件中规定的评审标准计算各供应商的报价得分。项目评审过程中，不得去掉最后报价中的最高报价和最低报价。</w:t>
      </w:r>
    </w:p>
    <w:p w14:paraId="36E414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（2）各供应商的得分为磋商小组所有成员的有效评分的算术平均数。</w:t>
      </w:r>
    </w:p>
    <w:p w14:paraId="541DF7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5.4评标价为供应商的最后报价进行政策性扣除后的价格，评标价只是作为评审时使用。最终成交供应商的成交金额等于最后报价（如有修正，以确认修正后的最后报价为准）。</w:t>
      </w:r>
    </w:p>
    <w:p w14:paraId="2E86BFA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5.5由磋商小组根据综合评分情况，按照评审得分由高到低顺序推荐3名以上成交候选供应商，并编写评</w:t>
      </w:r>
      <w:r>
        <w:rPr>
          <w:rFonts w:hint="eastAsia" w:ascii="仿宋" w:hAnsi="仿宋" w:eastAsia="仿宋" w:cs="仿宋"/>
          <w:color w:val="auto"/>
          <w:kern w:val="0"/>
          <w:sz w:val="24"/>
          <w:highlight w:val="none"/>
        </w:rPr>
        <w:t>审报告。符合本章第</w:t>
      </w:r>
      <w:r>
        <w:rPr>
          <w:rFonts w:hint="eastAsia" w:ascii="仿宋" w:hAnsi="仿宋" w:eastAsia="仿宋" w:cs="仿宋"/>
          <w:color w:val="auto"/>
          <w:sz w:val="24"/>
          <w:highlight w:val="none"/>
        </w:rPr>
        <w:t>2.7、4.3</w:t>
      </w:r>
      <w:r>
        <w:rPr>
          <w:rFonts w:hint="eastAsia" w:ascii="仿宋" w:hAnsi="仿宋" w:eastAsia="仿宋" w:cs="仿宋"/>
          <w:color w:val="auto"/>
          <w:kern w:val="0"/>
          <w:sz w:val="24"/>
          <w:highlight w:val="none"/>
        </w:rPr>
        <w:t>条情形的，可以推荐2家成交候选供应商。评审得分相同的，按照最后报价由低到高的顺序推荐。评审得分且最后报价相同的，按照技术指标优劣顺序推荐。</w:t>
      </w:r>
    </w:p>
    <w:p w14:paraId="30FBD2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82527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二、评审标准</w:t>
      </w:r>
    </w:p>
    <w:p w14:paraId="313795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6.评审依据：磋商小组将以磋商响应文件为评审依据，对供应商的报价、技术、商务等方面内容按百分制打分。（计分方法按四舍五入取至百分位）</w:t>
      </w:r>
      <w:bookmarkStart w:id="44" w:name="_Hlk77609326"/>
    </w:p>
    <w:p w14:paraId="22A87793">
      <w:pPr>
        <w:pStyle w:val="2"/>
        <w:rPr>
          <w:color w:val="auto"/>
          <w:highlight w:val="none"/>
        </w:rPr>
      </w:pPr>
    </w:p>
    <w:bookmarkEnd w:id="44"/>
    <w:tbl>
      <w:tblPr>
        <w:tblStyle w:val="25"/>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41"/>
        <w:gridCol w:w="7056"/>
        <w:gridCol w:w="1005"/>
      </w:tblGrid>
      <w:tr w14:paraId="16D2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7" w:type="dxa"/>
            <w:vAlign w:val="center"/>
          </w:tcPr>
          <w:p w14:paraId="11942827">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141" w:type="dxa"/>
            <w:vAlign w:val="center"/>
          </w:tcPr>
          <w:p w14:paraId="1B802367">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w:t>
            </w:r>
          </w:p>
        </w:tc>
        <w:tc>
          <w:tcPr>
            <w:tcW w:w="7056" w:type="dxa"/>
            <w:vAlign w:val="center"/>
          </w:tcPr>
          <w:p w14:paraId="0E1B3FD3">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评分内容与标准</w:t>
            </w:r>
          </w:p>
        </w:tc>
        <w:tc>
          <w:tcPr>
            <w:tcW w:w="1005" w:type="dxa"/>
            <w:vAlign w:val="center"/>
          </w:tcPr>
          <w:p w14:paraId="1D7191F5">
            <w:pPr>
              <w:widowControl/>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满分</w:t>
            </w:r>
          </w:p>
        </w:tc>
      </w:tr>
      <w:tr w14:paraId="54D7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7" w:type="dxa"/>
            <w:vAlign w:val="center"/>
          </w:tcPr>
          <w:p w14:paraId="0A901349">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141" w:type="dxa"/>
            <w:vAlign w:val="center"/>
          </w:tcPr>
          <w:p w14:paraId="45B745B1">
            <w:pPr>
              <w:widowControl/>
              <w:jc w:val="center"/>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价格分</w:t>
            </w:r>
          </w:p>
        </w:tc>
        <w:tc>
          <w:tcPr>
            <w:tcW w:w="7056" w:type="dxa"/>
          </w:tcPr>
          <w:p w14:paraId="1C9CE3B7">
            <w:pPr>
              <w:pStyle w:val="16"/>
              <w:spacing w:line="24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本项目为专门面向中小企业采购项目，不执行价格扣除优惠政策。</w:t>
            </w:r>
          </w:p>
          <w:p w14:paraId="285DCA38">
            <w:pPr>
              <w:pStyle w:val="16"/>
              <w:spacing w:line="240" w:lineRule="auto"/>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（1）通过资格评审</w:t>
            </w:r>
            <w:r>
              <w:rPr>
                <w:rFonts w:hint="eastAsia" w:ascii="仿宋" w:hAnsi="仿宋" w:eastAsia="仿宋" w:cs="仿宋"/>
                <w:bCs/>
                <w:color w:val="auto"/>
                <w:sz w:val="24"/>
                <w:szCs w:val="24"/>
                <w:highlight w:val="none"/>
                <w:lang w:eastAsia="zh-CN"/>
              </w:rPr>
              <w:t>竞标人</w:t>
            </w:r>
            <w:r>
              <w:rPr>
                <w:rFonts w:hint="eastAsia" w:ascii="仿宋" w:hAnsi="仿宋" w:eastAsia="仿宋" w:cs="仿宋"/>
                <w:bCs/>
                <w:color w:val="auto"/>
                <w:sz w:val="24"/>
                <w:szCs w:val="24"/>
                <w:highlight w:val="none"/>
              </w:rPr>
              <w:t>进入比较与评价环节的最低评审报价为基准价，基准价得分为</w:t>
            </w:r>
            <w:r>
              <w:rPr>
                <w:rFonts w:hint="eastAsia" w:ascii="仿宋" w:hAnsi="仿宋" w:eastAsia="仿宋" w:cs="仿宋"/>
                <w:bCs/>
                <w:color w:val="auto"/>
                <w:sz w:val="24"/>
                <w:szCs w:val="24"/>
                <w:highlight w:val="none"/>
                <w:u w:val="single"/>
              </w:rPr>
              <w:t xml:space="preserve"> 10分</w:t>
            </w:r>
            <w:r>
              <w:rPr>
                <w:rFonts w:hint="eastAsia" w:ascii="仿宋" w:hAnsi="仿宋" w:eastAsia="仿宋" w:cs="仿宋"/>
                <w:bCs/>
                <w:color w:val="auto"/>
                <w:sz w:val="24"/>
                <w:szCs w:val="24"/>
                <w:highlight w:val="none"/>
              </w:rPr>
              <w:t>。</w:t>
            </w:r>
          </w:p>
          <w:p w14:paraId="0E9352A0">
            <w:pPr>
              <w:pStyle w:val="16"/>
              <w:spacing w:line="240" w:lineRule="auto"/>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（2）价格分计算公式：某供应商报价分公式：某供应商价格分＝基准价/某供应商评标报价金额×10分。</w:t>
            </w:r>
          </w:p>
        </w:tc>
        <w:tc>
          <w:tcPr>
            <w:tcW w:w="1005" w:type="dxa"/>
            <w:vAlign w:val="center"/>
          </w:tcPr>
          <w:p w14:paraId="47028651">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r>
      <w:tr w14:paraId="30D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7" w:type="dxa"/>
            <w:vAlign w:val="center"/>
          </w:tcPr>
          <w:p w14:paraId="2E530B73">
            <w:pPr>
              <w:widowControl/>
              <w:jc w:val="center"/>
              <w:rPr>
                <w:rFonts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141" w:type="dxa"/>
            <w:vAlign w:val="center"/>
          </w:tcPr>
          <w:p w14:paraId="75BAD8B9">
            <w:pPr>
              <w:widowControl/>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技术分</w:t>
            </w:r>
          </w:p>
        </w:tc>
        <w:tc>
          <w:tcPr>
            <w:tcW w:w="8061" w:type="dxa"/>
            <w:gridSpan w:val="2"/>
          </w:tcPr>
          <w:p w14:paraId="43D65545">
            <w:pPr>
              <w:widowControl/>
              <w:jc w:val="center"/>
              <w:rPr>
                <w:rFonts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评分内容与标准</w:t>
            </w:r>
          </w:p>
        </w:tc>
      </w:tr>
      <w:tr w14:paraId="76D0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7" w:type="dxa"/>
            <w:vAlign w:val="center"/>
          </w:tcPr>
          <w:p w14:paraId="5E297D3F">
            <w:pPr>
              <w:adjustRightInd w:val="0"/>
              <w:ind w:left="-105" w:leftChars="-50" w:right="-105" w:rightChars="-5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2.1</w:t>
            </w:r>
          </w:p>
        </w:tc>
        <w:tc>
          <w:tcPr>
            <w:tcW w:w="1141" w:type="dxa"/>
            <w:vAlign w:val="center"/>
          </w:tcPr>
          <w:p w14:paraId="3A3EC84A">
            <w:pPr>
              <w:adjustRightInd w:val="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服务参数响应分</w:t>
            </w:r>
          </w:p>
        </w:tc>
        <w:tc>
          <w:tcPr>
            <w:tcW w:w="7056" w:type="dxa"/>
            <w:vAlign w:val="center"/>
          </w:tcPr>
          <w:p w14:paraId="1BCF3EC9">
            <w:pPr>
              <w:widowControl/>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根据服务参数响应情况进行评分：其中标“▲”为核心参数指标，任意1条不满足视为响应无效；无标记“▲”的参数为一般参数，每负偏离1条扣2分，扣完为止。</w:t>
            </w:r>
          </w:p>
          <w:p w14:paraId="6668ACA3">
            <w:pP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说明：参数有具体要求提供佐证材料的以供应商提供的佐证材料作为实际评分依据；现场演示的参数项不在此项评分。</w:t>
            </w:r>
          </w:p>
        </w:tc>
        <w:tc>
          <w:tcPr>
            <w:tcW w:w="1005" w:type="dxa"/>
            <w:vAlign w:val="center"/>
          </w:tcPr>
          <w:p w14:paraId="740760F6">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20分</w:t>
            </w:r>
          </w:p>
        </w:tc>
      </w:tr>
      <w:tr w14:paraId="74D0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7" w:type="dxa"/>
            <w:vAlign w:val="center"/>
          </w:tcPr>
          <w:p w14:paraId="17B96B76">
            <w:pPr>
              <w:adjustRightInd w:val="0"/>
              <w:ind w:left="-105" w:leftChars="-50" w:right="-105" w:rightChars="-5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w:t>
            </w:r>
          </w:p>
        </w:tc>
        <w:tc>
          <w:tcPr>
            <w:tcW w:w="1141" w:type="dxa"/>
            <w:vAlign w:val="center"/>
          </w:tcPr>
          <w:p w14:paraId="14C56AD4">
            <w:pPr>
              <w:adjustRightInd w:val="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技术方案分</w:t>
            </w:r>
          </w:p>
        </w:tc>
        <w:tc>
          <w:tcPr>
            <w:tcW w:w="7056" w:type="dxa"/>
            <w:vAlign w:val="center"/>
          </w:tcPr>
          <w:p w14:paraId="1BAF53C9">
            <w:pPr>
              <w:ind w:firstLine="484" w:firstLineChars="202"/>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未提供技术方案或不满足一档要求的得0分</w:t>
            </w:r>
          </w:p>
          <w:p w14:paraId="09D1D040">
            <w:pPr>
              <w:ind w:firstLine="480" w:firstLineChars="200"/>
              <w:jc w:val="left"/>
              <w:rPr>
                <w:rFonts w:hint="default" w:ascii="仿宋" w:hAnsi="仿宋" w:eastAsia="仿宋" w:cs="仿宋"/>
                <w:bCs/>
                <w:color w:val="auto"/>
                <w:kern w:val="0"/>
                <w:sz w:val="24"/>
                <w:szCs w:val="24"/>
                <w:highlight w:val="none"/>
                <w:lang w:val="en-US"/>
              </w:rPr>
            </w:pPr>
            <w:r>
              <w:rPr>
                <w:rFonts w:hint="eastAsia" w:ascii="仿宋" w:hAnsi="仿宋" w:eastAsia="仿宋" w:cs="仿宋"/>
                <w:bCs/>
                <w:color w:val="auto"/>
                <w:sz w:val="24"/>
                <w:szCs w:val="24"/>
                <w:highlight w:val="none"/>
              </w:rPr>
              <w:t>一档（5分）：</w:t>
            </w:r>
            <w:r>
              <w:rPr>
                <w:rFonts w:hint="eastAsia" w:ascii="仿宋" w:hAnsi="仿宋" w:eastAsia="仿宋" w:cs="仿宋"/>
                <w:color w:val="auto"/>
                <w:sz w:val="24"/>
                <w:szCs w:val="24"/>
                <w:highlight w:val="none"/>
              </w:rPr>
              <w:t>能够理解本项目的建设背景、目标、范围；基本把握本项目的技术重点、难点；提出了可行的质量控制、进度控制的目标、方法、措施，</w:t>
            </w:r>
            <w:r>
              <w:rPr>
                <w:rFonts w:hint="eastAsia" w:ascii="仿宋" w:hAnsi="仿宋" w:eastAsia="仿宋" w:cs="仿宋"/>
                <w:color w:val="auto"/>
                <w:sz w:val="24"/>
                <w:szCs w:val="24"/>
                <w:highlight w:val="none"/>
                <w:lang w:val="en-US" w:eastAsia="zh-CN"/>
              </w:rPr>
              <w:t>整体方案可行</w:t>
            </w:r>
            <w:r>
              <w:rPr>
                <w:rFonts w:hint="default" w:ascii="仿宋" w:hAnsi="仿宋" w:eastAsia="仿宋" w:cs="仿宋"/>
                <w:bCs/>
                <w:color w:val="auto"/>
                <w:kern w:val="0"/>
                <w:sz w:val="24"/>
                <w:szCs w:val="24"/>
                <w:highlight w:val="none"/>
                <w:lang w:val="en-US"/>
              </w:rPr>
              <w:t>。</w:t>
            </w:r>
          </w:p>
          <w:p w14:paraId="13044ED5">
            <w:pPr>
              <w:ind w:firstLine="480" w:firstLineChars="200"/>
              <w:jc w:val="left"/>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二档（10分）:准确理解本项目的建设背景、目标、范围；能够把握本项目的技术重点、难点；提出了全面可行的质量控制、进度控制的目标、方法、措施；提出有利于该项目进展的意见和建议，较好满足项目建设需要的</w:t>
            </w:r>
            <w:r>
              <w:rPr>
                <w:rFonts w:hint="eastAsia" w:ascii="仿宋" w:hAnsi="仿宋" w:eastAsia="仿宋" w:cs="仿宋"/>
                <w:bCs/>
                <w:color w:val="auto"/>
                <w:kern w:val="0"/>
                <w:sz w:val="24"/>
                <w:szCs w:val="24"/>
                <w:highlight w:val="none"/>
              </w:rPr>
              <w:t>。</w:t>
            </w:r>
          </w:p>
          <w:p w14:paraId="31B3D3FD">
            <w:pPr>
              <w:ind w:firstLine="484" w:firstLineChars="202"/>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三档（15分）：</w:t>
            </w:r>
            <w:r>
              <w:rPr>
                <w:rFonts w:hint="eastAsia" w:ascii="仿宋" w:hAnsi="仿宋" w:eastAsia="仿宋" w:cs="仿宋"/>
                <w:color w:val="auto"/>
                <w:sz w:val="24"/>
                <w:szCs w:val="24"/>
                <w:highlight w:val="none"/>
              </w:rPr>
              <w:t>准确理解本项目的建设背景、目标、范围；准确把握本项目的技术重点、难点；提出了详细、全面可行的质量控制、进度控制的目标、方法、措施；制订明确的作业流程，详细制订技术方案，所用技术能够完全满足项目需求；科学合理，内容严谨，完全满足国家规范和采购单位的实际使用需求；各部件之间配置协调，能够提出有利于项目进展的意见和建议，具有前瞻性。</w:t>
            </w:r>
          </w:p>
        </w:tc>
        <w:tc>
          <w:tcPr>
            <w:tcW w:w="1005" w:type="dxa"/>
            <w:vAlign w:val="center"/>
          </w:tcPr>
          <w:p w14:paraId="07F4CA1B">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15分</w:t>
            </w:r>
          </w:p>
        </w:tc>
      </w:tr>
      <w:tr w14:paraId="007E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7" w:type="dxa"/>
            <w:vAlign w:val="center"/>
          </w:tcPr>
          <w:p w14:paraId="07CDE078">
            <w:pPr>
              <w:adjustRightInd w:val="0"/>
              <w:ind w:left="-105" w:leftChars="-50" w:right="-105" w:rightChars="-5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2.3</w:t>
            </w:r>
          </w:p>
        </w:tc>
        <w:tc>
          <w:tcPr>
            <w:tcW w:w="1141" w:type="dxa"/>
            <w:vAlign w:val="center"/>
          </w:tcPr>
          <w:p w14:paraId="76F011AF">
            <w:pPr>
              <w:adjustRightInd w:val="0"/>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功能演示分</w:t>
            </w:r>
          </w:p>
          <w:p w14:paraId="53A6D3E9">
            <w:pPr>
              <w:adjustRightInd w:val="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 xml:space="preserve"> </w:t>
            </w:r>
          </w:p>
        </w:tc>
        <w:tc>
          <w:tcPr>
            <w:tcW w:w="7056" w:type="dxa"/>
            <w:vAlign w:val="center"/>
          </w:tcPr>
          <w:p w14:paraId="56EAEDC7">
            <w:pPr>
              <w:ind w:firstLine="484" w:firstLineChars="20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功能演示。满分21分。有一条不满足扣3分，最多扣21分。不提供演示，本项得0分。</w:t>
            </w:r>
          </w:p>
          <w:p w14:paraId="31CC175C">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竞标人</w:t>
            </w:r>
            <w:r>
              <w:rPr>
                <w:rFonts w:hint="eastAsia" w:ascii="仿宋" w:hAnsi="仿宋" w:eastAsia="仿宋" w:cs="仿宋"/>
                <w:color w:val="auto"/>
                <w:sz w:val="24"/>
                <w:szCs w:val="24"/>
                <w:highlight w:val="none"/>
              </w:rPr>
              <w:t>提供的视频演示内容须能够充分体现《采购需求表》中带“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内容的，每成功演示一项的得3分，满分21分【不支持PPT文档播放形式演示，视频演示总时长要求不超过20分钟（如演示超时的评委有权要求停止演示），未参加在线视频演示或视频演示无法正常播放或提供的视频演示为PPT文档播放形式或提供的视频演示不满足评分所述功能要求的不得分。】</w:t>
            </w:r>
            <w:bookmarkStart w:id="148" w:name="_GoBack"/>
            <w:bookmarkEnd w:id="148"/>
          </w:p>
        </w:tc>
        <w:tc>
          <w:tcPr>
            <w:tcW w:w="1005" w:type="dxa"/>
            <w:vAlign w:val="center"/>
          </w:tcPr>
          <w:p w14:paraId="41D189F7">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21分</w:t>
            </w:r>
          </w:p>
        </w:tc>
      </w:tr>
      <w:tr w14:paraId="766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27" w:type="dxa"/>
            <w:vAlign w:val="center"/>
          </w:tcPr>
          <w:p w14:paraId="389B5EAF">
            <w:pPr>
              <w:adjustRightInd w:val="0"/>
              <w:ind w:left="-105" w:leftChars="-50" w:right="-105" w:rightChars="-5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2.4</w:t>
            </w:r>
          </w:p>
        </w:tc>
        <w:tc>
          <w:tcPr>
            <w:tcW w:w="1141" w:type="dxa"/>
            <w:vAlign w:val="center"/>
          </w:tcPr>
          <w:p w14:paraId="7E0EAAA6">
            <w:pPr>
              <w:adjustRightInd w:val="0"/>
              <w:jc w:val="center"/>
              <w:textAlignment w:val="baseline"/>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实施组织方案分</w:t>
            </w:r>
          </w:p>
        </w:tc>
        <w:tc>
          <w:tcPr>
            <w:tcW w:w="7056" w:type="dxa"/>
            <w:vAlign w:val="center"/>
          </w:tcPr>
          <w:p w14:paraId="3567E048">
            <w:pPr>
              <w:ind w:firstLine="480" w:firstLineChars="200"/>
              <w:jc w:val="left"/>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由磋商小组根据各供应商项目实施组织方案评定各供应商的实施组织方案，提供项目实施方案或不满足一档要求的得0分</w:t>
            </w:r>
          </w:p>
          <w:p w14:paraId="031B9AF7">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一档（3分）：项目实施方案简单，提出了可行的配送、安装、调试方案；</w:t>
            </w:r>
          </w:p>
          <w:p w14:paraId="66C87B84">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二档（6分）：项目实施方案较齐全、较完整，包括有备货方案、配送方案、安装方案、调试方案、质量保障措施、验收计划方案等，能详细说明对各个阶段工作安排，整体方案</w:t>
            </w:r>
            <w:r>
              <w:rPr>
                <w:rFonts w:hint="eastAsia" w:ascii="仿宋" w:hAnsi="仿宋" w:eastAsia="仿宋" w:cs="仿宋"/>
                <w:color w:val="auto"/>
                <w:sz w:val="24"/>
                <w:szCs w:val="24"/>
                <w:highlight w:val="none"/>
                <w:lang w:val="en-US" w:eastAsia="zh-CN"/>
              </w:rPr>
              <w:t>详细</w:t>
            </w:r>
            <w:r>
              <w:rPr>
                <w:rFonts w:hint="eastAsia" w:ascii="仿宋" w:hAnsi="仿宋" w:eastAsia="仿宋" w:cs="仿宋"/>
                <w:color w:val="auto"/>
                <w:sz w:val="24"/>
                <w:szCs w:val="24"/>
                <w:highlight w:val="none"/>
              </w:rPr>
              <w:t>；</w:t>
            </w:r>
          </w:p>
          <w:p w14:paraId="4E324F6F">
            <w:pPr>
              <w:ind w:firstLine="480" w:firstLineChars="200"/>
              <w:jc w:val="left"/>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三档（9分）：项目实施方案详细、全面、可行，包括有详细可行的备货方案、配送方案、安装方案、调试方案、质量保障措施、进度保证措施、安全保障措施、验收计划方案等，能详细说明各个阶段工作安排，对各项关键工作安排合理，有项目实施的技术力量和人力资源安排，人员分工职责明确，整体方案</w:t>
            </w:r>
            <w:r>
              <w:rPr>
                <w:rFonts w:hint="eastAsia" w:ascii="仿宋" w:hAnsi="仿宋" w:eastAsia="仿宋" w:cs="仿宋"/>
                <w:color w:val="auto"/>
                <w:sz w:val="24"/>
                <w:szCs w:val="24"/>
                <w:highlight w:val="none"/>
                <w:lang w:val="en-US" w:eastAsia="zh-CN"/>
              </w:rPr>
              <w:t>详细、完整，且具有可行性、可操作性、针对性的。</w:t>
            </w:r>
          </w:p>
        </w:tc>
        <w:tc>
          <w:tcPr>
            <w:tcW w:w="1005" w:type="dxa"/>
            <w:vAlign w:val="center"/>
          </w:tcPr>
          <w:p w14:paraId="551B2A00">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9分</w:t>
            </w:r>
          </w:p>
        </w:tc>
      </w:tr>
      <w:tr w14:paraId="166F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7" w:type="dxa"/>
            <w:vAlign w:val="center"/>
          </w:tcPr>
          <w:p w14:paraId="315F885F">
            <w:pPr>
              <w:adjustRightInd w:val="0"/>
              <w:ind w:left="-105" w:leftChars="-50" w:right="-105" w:rightChars="-50"/>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2.5</w:t>
            </w:r>
          </w:p>
        </w:tc>
        <w:tc>
          <w:tcPr>
            <w:tcW w:w="1141" w:type="dxa"/>
            <w:vAlign w:val="center"/>
          </w:tcPr>
          <w:p w14:paraId="25A77F82">
            <w:pPr>
              <w:adjustRightInd w:val="0"/>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售后服务方案分</w:t>
            </w:r>
          </w:p>
        </w:tc>
        <w:tc>
          <w:tcPr>
            <w:tcW w:w="7056" w:type="dxa"/>
          </w:tcPr>
          <w:p w14:paraId="0CA1F6F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售后服务分（满分15分，不满足一档或不提供得0分。）</w:t>
            </w:r>
          </w:p>
          <w:p w14:paraId="625D5F50">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一档（5分）：售后服务方案简单，提出了可行的售后维护保障流程和故障处理流程，制定基本培训计划，满足设备及软件系统操作及日常维护；</w:t>
            </w:r>
          </w:p>
          <w:p w14:paraId="629AF2E3">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档（10分）：售后服务方案较详细、完整，方案包括有售后维护保障流程、故障处理流程、应急响应流程、服务响应体系、保修期外维修方案等内容；针对中职学校新开设的智能网联汽车专业教师培训需求，结合行业发展趋势和教师能力提升路径，可制定分阶段的培训方案，线上理论培训、 校内实训室实操、企业短期见习，整体方案</w:t>
            </w:r>
            <w:r>
              <w:rPr>
                <w:rFonts w:hint="eastAsia" w:ascii="仿宋" w:hAnsi="仿宋" w:eastAsia="仿宋" w:cs="仿宋"/>
                <w:color w:val="auto"/>
                <w:sz w:val="24"/>
                <w:szCs w:val="24"/>
                <w:highlight w:val="none"/>
                <w:lang w:val="en-US" w:eastAsia="zh-CN"/>
              </w:rPr>
              <w:t>详细</w:t>
            </w:r>
            <w:r>
              <w:rPr>
                <w:rFonts w:hint="eastAsia" w:ascii="仿宋" w:hAnsi="仿宋" w:eastAsia="仿宋" w:cs="仿宋"/>
                <w:color w:val="auto"/>
                <w:sz w:val="24"/>
                <w:szCs w:val="24"/>
                <w:highlight w:val="none"/>
              </w:rPr>
              <w:t>；</w:t>
            </w:r>
          </w:p>
          <w:p w14:paraId="37D1CBBD">
            <w:pPr>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三档（15分）：售后服务方案详细、全面、可行，方案包括有售后维护保障流程、故障处理流程、应急响应流程、服务响应体系、巡检服务方案、保修期外维修方案等内容，提供针对本项目详细的售后服务承诺，提供详细可行的维护保养计划及技术培训计划（包括培训目标、内容、时间、师资、场地、课时等方面的具体安排，针对中职学校新开设的智能网联汽车专业教师培训需求，结合行业发展趋势和教师能力提升路径，可制定分阶段的三年培训计划，第一年（基础能力培训），线上理论精讲≥30学时，校内实训室实操≥40学时，企业短期见习≥20学时；第二年（深化技能与教学能力培训），参与1次省级或国家级研修班（暑期，14天，约100学时），如省“新能源与智能联网汽车技术”省培项目，内容覆盖智能驾驶技术、车联网调试等实操模块。资格认证：考取行业权威证书，如“智能网联汽车测试装调职业技能等级证书（高级考评员）”，或参与华为等企业的技术认证（如企业合作培训中涉及的物联网或通信技术认证）及同类认证。第三年（综合提升与行业培训），企业实践（暑假，10天，约60学时），深入智能网联汽车龙头企业（如小鹏、百度、比亚迪、吉利等）进行技术调研与实训；辅以线上新技术更新课程（30学时/年）。获取“高级培训师证书”相关证书），故障响应及达到故障现场时间优于招标文件要求，</w:t>
            </w:r>
            <w:r>
              <w:rPr>
                <w:rFonts w:hint="eastAsia" w:ascii="仿宋" w:hAnsi="仿宋" w:eastAsia="仿宋" w:cs="仿宋"/>
                <w:color w:val="auto"/>
                <w:sz w:val="24"/>
                <w:szCs w:val="24"/>
                <w:highlight w:val="none"/>
                <w:lang w:eastAsia="zh-CN"/>
              </w:rPr>
              <w:t>竞标人</w:t>
            </w:r>
            <w:r>
              <w:rPr>
                <w:rFonts w:hint="eastAsia" w:ascii="仿宋" w:hAnsi="仿宋" w:eastAsia="仿宋" w:cs="仿宋"/>
                <w:color w:val="auto"/>
                <w:sz w:val="24"/>
                <w:szCs w:val="24"/>
                <w:highlight w:val="none"/>
              </w:rPr>
              <w:t>有售后服务技术支持，整体方案</w:t>
            </w:r>
            <w:r>
              <w:rPr>
                <w:rFonts w:hint="eastAsia" w:ascii="仿宋" w:hAnsi="仿宋" w:eastAsia="仿宋" w:cs="仿宋"/>
                <w:color w:val="auto"/>
                <w:sz w:val="24"/>
                <w:szCs w:val="24"/>
                <w:highlight w:val="none"/>
                <w:lang w:val="en-US" w:eastAsia="zh-CN"/>
              </w:rPr>
              <w:t>优于项目要求</w:t>
            </w:r>
            <w:r>
              <w:rPr>
                <w:rFonts w:hint="eastAsia" w:ascii="仿宋" w:hAnsi="仿宋" w:eastAsia="仿宋" w:cs="仿宋"/>
                <w:color w:val="auto"/>
                <w:sz w:val="24"/>
                <w:szCs w:val="24"/>
                <w:highlight w:val="none"/>
              </w:rPr>
              <w:t>。</w:t>
            </w:r>
          </w:p>
        </w:tc>
        <w:tc>
          <w:tcPr>
            <w:tcW w:w="1005" w:type="dxa"/>
            <w:vAlign w:val="center"/>
          </w:tcPr>
          <w:p w14:paraId="1049F8A4">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15分</w:t>
            </w:r>
          </w:p>
        </w:tc>
      </w:tr>
      <w:tr w14:paraId="2109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vAlign w:val="center"/>
          </w:tcPr>
          <w:p w14:paraId="3C550F01">
            <w:pPr>
              <w:widowControl/>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41" w:type="dxa"/>
            <w:vAlign w:val="center"/>
          </w:tcPr>
          <w:p w14:paraId="376F7367">
            <w:pPr>
              <w:widowControl/>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综合实力分</w:t>
            </w:r>
          </w:p>
        </w:tc>
        <w:tc>
          <w:tcPr>
            <w:tcW w:w="8061" w:type="dxa"/>
            <w:gridSpan w:val="2"/>
            <w:vAlign w:val="center"/>
          </w:tcPr>
          <w:p w14:paraId="19F6FFD2">
            <w:pPr>
              <w:widowControl/>
              <w:jc w:val="center"/>
              <w:rPr>
                <w:rFonts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评分内容与标准</w:t>
            </w:r>
          </w:p>
        </w:tc>
      </w:tr>
      <w:tr w14:paraId="2674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vAlign w:val="center"/>
          </w:tcPr>
          <w:p w14:paraId="3BB328C6">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1141" w:type="dxa"/>
            <w:vAlign w:val="center"/>
          </w:tcPr>
          <w:p w14:paraId="790A37C8">
            <w:pPr>
              <w:pStyle w:val="16"/>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资信分</w:t>
            </w:r>
          </w:p>
        </w:tc>
        <w:tc>
          <w:tcPr>
            <w:tcW w:w="7056" w:type="dxa"/>
          </w:tcPr>
          <w:p w14:paraId="670213CC">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系统稳定可靠，核心服务及产品中的自动驾驶域控制器通过环境与可靠性测试和电磁兼容性测试，并提供第三方检测机构出具的检测报告的得6分，不提供或只提供一项不得分（此项满分6分，评标时以有效第三方检测机构出具的检测报告扫描件，并加盖</w:t>
            </w:r>
            <w:r>
              <w:rPr>
                <w:rFonts w:hint="eastAsia" w:ascii="仿宋" w:hAnsi="仿宋" w:eastAsia="仿宋" w:cs="仿宋"/>
                <w:color w:val="auto"/>
                <w:sz w:val="24"/>
                <w:szCs w:val="24"/>
                <w:highlight w:val="none"/>
                <w:lang w:eastAsia="zh-CN"/>
              </w:rPr>
              <w:t>竞标人</w:t>
            </w:r>
            <w:r>
              <w:rPr>
                <w:rFonts w:hint="eastAsia" w:ascii="仿宋" w:hAnsi="仿宋" w:eastAsia="仿宋" w:cs="仿宋"/>
                <w:color w:val="auto"/>
                <w:sz w:val="24"/>
                <w:szCs w:val="24"/>
                <w:highlight w:val="none"/>
              </w:rPr>
              <w:t>公章为准，否则不予加分）</w:t>
            </w:r>
          </w:p>
          <w:p w14:paraId="5F7A5EB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竞标人自2022年1月1日以来具有同类项目的业绩（</w:t>
            </w:r>
            <w:r>
              <w:rPr>
                <w:rFonts w:hint="eastAsia" w:ascii="仿宋" w:hAnsi="仿宋" w:eastAsia="仿宋" w:cs="仿宋"/>
                <w:color w:val="auto"/>
                <w:sz w:val="24"/>
                <w:szCs w:val="24"/>
                <w:highlight w:val="none"/>
              </w:rPr>
              <w:t>指智能网联同类项目），每项得2分，满分4分。</w:t>
            </w:r>
            <w:r>
              <w:rPr>
                <w:rFonts w:hint="eastAsia" w:ascii="仿宋" w:hAnsi="仿宋" w:eastAsia="仿宋" w:cs="仿宋"/>
                <w:color w:val="auto"/>
                <w:sz w:val="24"/>
                <w:szCs w:val="24"/>
                <w:highlight w:val="none"/>
                <w:lang w:eastAsia="zh-CN"/>
              </w:rPr>
              <w:t>竞标文件</w:t>
            </w:r>
            <w:r>
              <w:rPr>
                <w:rFonts w:hint="eastAsia" w:ascii="仿宋" w:hAnsi="仿宋" w:eastAsia="仿宋" w:cs="仿宋"/>
                <w:color w:val="auto"/>
                <w:sz w:val="24"/>
                <w:szCs w:val="24"/>
                <w:highlight w:val="none"/>
              </w:rPr>
              <w:t>中提供中标通知或者合同复印件，不提供不得分。</w:t>
            </w:r>
          </w:p>
        </w:tc>
        <w:tc>
          <w:tcPr>
            <w:tcW w:w="1005" w:type="dxa"/>
            <w:vAlign w:val="center"/>
          </w:tcPr>
          <w:p w14:paraId="26AEC43A">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r>
      <w:tr w14:paraId="75B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24" w:type="dxa"/>
            <w:gridSpan w:val="3"/>
          </w:tcPr>
          <w:p w14:paraId="025A565B">
            <w:pPr>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总得分＝1＋2＋3</w:t>
            </w:r>
          </w:p>
        </w:tc>
        <w:tc>
          <w:tcPr>
            <w:tcW w:w="1005" w:type="dxa"/>
            <w:vAlign w:val="center"/>
          </w:tcPr>
          <w:p w14:paraId="397B83E7">
            <w:pPr>
              <w:widowControl/>
              <w:jc w:val="center"/>
              <w:rPr>
                <w:rFonts w:ascii="仿宋" w:hAnsi="仿宋" w:eastAsia="仿宋" w:cs="仿宋"/>
                <w:color w:val="auto"/>
                <w:kern w:val="0"/>
                <w:sz w:val="24"/>
                <w:szCs w:val="24"/>
                <w:highlight w:val="none"/>
              </w:rPr>
            </w:pPr>
          </w:p>
        </w:tc>
      </w:tr>
    </w:tbl>
    <w:p w14:paraId="4FE153FA">
      <w:pPr>
        <w:spacing w:line="360" w:lineRule="auto"/>
        <w:ind w:firstLine="480" w:firstLineChars="200"/>
        <w:rPr>
          <w:rFonts w:ascii="仿宋" w:hAnsi="仿宋" w:eastAsia="仿宋" w:cs="仿宋"/>
          <w:bCs/>
          <w:color w:val="auto"/>
          <w:sz w:val="24"/>
          <w:highlight w:val="none"/>
        </w:rPr>
      </w:pPr>
    </w:p>
    <w:p w14:paraId="0200C1CB">
      <w:pPr>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bCs/>
          <w:color w:val="auto"/>
          <w:sz w:val="24"/>
          <w:highlight w:val="none"/>
        </w:rPr>
        <w:t>7.由磋商小组根据综合评分情况，按照评审得分由高到低顺序推荐3名以上成交候选供应商，并编写评审报告。符合本章第</w:t>
      </w:r>
      <w:r>
        <w:rPr>
          <w:rFonts w:hint="eastAsia" w:ascii="仿宋" w:hAnsi="仿宋" w:eastAsia="仿宋" w:cs="仿宋"/>
          <w:color w:val="auto"/>
          <w:sz w:val="24"/>
          <w:highlight w:val="none"/>
        </w:rPr>
        <w:t>2.7、4.3</w:t>
      </w:r>
      <w:r>
        <w:rPr>
          <w:rFonts w:hint="eastAsia" w:ascii="仿宋" w:hAnsi="仿宋" w:eastAsia="仿宋" w:cs="仿宋"/>
          <w:bCs/>
          <w:color w:val="auto"/>
          <w:sz w:val="24"/>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仿宋" w:hAnsi="仿宋" w:eastAsia="仿宋" w:cs="仿宋"/>
          <w:color w:val="auto"/>
          <w:sz w:val="24"/>
          <w:highlight w:val="none"/>
        </w:rPr>
        <w:t>按综合评分中</w:t>
      </w:r>
      <w:r>
        <w:rPr>
          <w:rFonts w:hint="eastAsia" w:ascii="仿宋" w:hAnsi="仿宋" w:eastAsia="仿宋" w:cs="仿宋"/>
          <w:color w:val="auto"/>
          <w:kern w:val="0"/>
          <w:sz w:val="24"/>
          <w:highlight w:val="none"/>
        </w:rPr>
        <w:t>技术、商务</w:t>
      </w:r>
      <w:r>
        <w:rPr>
          <w:rFonts w:hint="eastAsia" w:ascii="仿宋" w:hAnsi="仿宋" w:eastAsia="仿宋" w:cs="仿宋"/>
          <w:color w:val="auto"/>
          <w:sz w:val="24"/>
          <w:highlight w:val="none"/>
        </w:rPr>
        <w:t>得分高低依次确定</w:t>
      </w:r>
      <w:r>
        <w:rPr>
          <w:rFonts w:hint="eastAsia" w:ascii="仿宋" w:hAnsi="仿宋" w:eastAsia="仿宋" w:cs="仿宋"/>
          <w:bCs/>
          <w:color w:val="auto"/>
          <w:sz w:val="24"/>
          <w:highlight w:val="none"/>
        </w:rPr>
        <w:t>）。</w:t>
      </w:r>
    </w:p>
    <w:p w14:paraId="479B0C65">
      <w:pPr>
        <w:spacing w:line="400" w:lineRule="exact"/>
        <w:ind w:firstLine="420" w:firstLineChars="200"/>
        <w:rPr>
          <w:rFonts w:ascii="仿宋" w:hAnsi="仿宋" w:eastAsia="仿宋" w:cs="仿宋"/>
          <w:color w:val="auto"/>
          <w:highlight w:val="none"/>
        </w:rPr>
      </w:pPr>
    </w:p>
    <w:p w14:paraId="0EAB9FB8">
      <w:pPr>
        <w:rPr>
          <w:rFonts w:ascii="仿宋" w:hAnsi="仿宋" w:eastAsia="仿宋" w:cs="仿宋"/>
          <w:color w:val="auto"/>
          <w:highlight w:val="none"/>
        </w:rPr>
      </w:pPr>
    </w:p>
    <w:p w14:paraId="68A17CF0">
      <w:pPr>
        <w:rPr>
          <w:rFonts w:ascii="仿宋" w:hAnsi="仿宋" w:eastAsia="仿宋" w:cs="仿宋"/>
          <w:color w:val="auto"/>
          <w:highlight w:val="none"/>
        </w:rPr>
      </w:pPr>
    </w:p>
    <w:p w14:paraId="705DFDD8">
      <w:pPr>
        <w:rPr>
          <w:rFonts w:ascii="仿宋" w:hAnsi="仿宋" w:eastAsia="仿宋" w:cs="仿宋"/>
          <w:color w:val="auto"/>
          <w:highlight w:val="none"/>
        </w:rPr>
      </w:pPr>
    </w:p>
    <w:p w14:paraId="1F6E707F">
      <w:pPr>
        <w:rPr>
          <w:rFonts w:ascii="仿宋" w:hAnsi="仿宋" w:eastAsia="仿宋" w:cs="仿宋"/>
          <w:color w:val="auto"/>
          <w:highlight w:val="none"/>
        </w:rPr>
      </w:pPr>
    </w:p>
    <w:p w14:paraId="446B68D3">
      <w:pPr>
        <w:rPr>
          <w:rFonts w:ascii="仿宋" w:hAnsi="仿宋" w:eastAsia="仿宋" w:cs="仿宋"/>
          <w:color w:val="auto"/>
          <w:highlight w:val="none"/>
        </w:rPr>
      </w:pPr>
    </w:p>
    <w:p w14:paraId="166A963C">
      <w:pPr>
        <w:rPr>
          <w:rFonts w:ascii="仿宋" w:hAnsi="仿宋" w:eastAsia="仿宋" w:cs="仿宋"/>
          <w:color w:val="auto"/>
          <w:highlight w:val="none"/>
        </w:rPr>
      </w:pPr>
    </w:p>
    <w:p w14:paraId="3ABA5352">
      <w:pPr>
        <w:rPr>
          <w:rFonts w:ascii="仿宋" w:hAnsi="仿宋" w:eastAsia="仿宋" w:cs="仿宋"/>
          <w:color w:val="auto"/>
          <w:highlight w:val="none"/>
        </w:rPr>
      </w:pPr>
    </w:p>
    <w:p w14:paraId="0234147A">
      <w:pPr>
        <w:rPr>
          <w:rFonts w:ascii="仿宋" w:hAnsi="仿宋" w:eastAsia="仿宋" w:cs="仿宋"/>
          <w:color w:val="auto"/>
          <w:highlight w:val="none"/>
        </w:rPr>
      </w:pPr>
    </w:p>
    <w:p w14:paraId="7308009B">
      <w:pPr>
        <w:rPr>
          <w:rFonts w:ascii="仿宋" w:hAnsi="仿宋" w:eastAsia="仿宋" w:cs="仿宋"/>
          <w:color w:val="auto"/>
          <w:highlight w:val="none"/>
        </w:rPr>
      </w:pPr>
    </w:p>
    <w:p w14:paraId="3F380BBE">
      <w:pPr>
        <w:rPr>
          <w:rFonts w:ascii="仿宋" w:hAnsi="仿宋" w:eastAsia="仿宋" w:cs="仿宋"/>
          <w:color w:val="auto"/>
          <w:highlight w:val="none"/>
        </w:rPr>
      </w:pPr>
    </w:p>
    <w:p w14:paraId="5E280467">
      <w:pPr>
        <w:rPr>
          <w:rFonts w:ascii="仿宋" w:hAnsi="仿宋" w:eastAsia="仿宋" w:cs="仿宋"/>
          <w:color w:val="auto"/>
          <w:highlight w:val="none"/>
        </w:rPr>
      </w:pPr>
    </w:p>
    <w:p w14:paraId="3910F559">
      <w:pPr>
        <w:pStyle w:val="2"/>
        <w:rPr>
          <w:rFonts w:ascii="仿宋" w:hAnsi="仿宋" w:eastAsia="仿宋" w:cs="仿宋"/>
          <w:color w:val="auto"/>
          <w:highlight w:val="none"/>
        </w:rPr>
      </w:pPr>
    </w:p>
    <w:p w14:paraId="4D41E0AB">
      <w:pPr>
        <w:pStyle w:val="3"/>
        <w:rPr>
          <w:rFonts w:ascii="仿宋" w:hAnsi="仿宋" w:eastAsia="仿宋" w:cs="仿宋"/>
          <w:color w:val="auto"/>
          <w:highlight w:val="none"/>
        </w:rPr>
      </w:pPr>
    </w:p>
    <w:p w14:paraId="5872D380">
      <w:pPr>
        <w:rPr>
          <w:rFonts w:ascii="仿宋" w:hAnsi="仿宋" w:eastAsia="仿宋" w:cs="仿宋"/>
          <w:color w:val="auto"/>
          <w:highlight w:val="none"/>
        </w:rPr>
      </w:pPr>
    </w:p>
    <w:p w14:paraId="5649A6BE">
      <w:pPr>
        <w:pStyle w:val="2"/>
        <w:rPr>
          <w:color w:val="auto"/>
          <w:highlight w:val="none"/>
        </w:rPr>
      </w:pPr>
    </w:p>
    <w:p w14:paraId="365D967F">
      <w:pPr>
        <w:rPr>
          <w:rFonts w:ascii="仿宋" w:hAnsi="仿宋" w:eastAsia="仿宋" w:cs="仿宋"/>
          <w:color w:val="auto"/>
          <w:highlight w:val="none"/>
        </w:rPr>
      </w:pPr>
    </w:p>
    <w:p w14:paraId="753A5866">
      <w:pPr>
        <w:rPr>
          <w:rFonts w:ascii="仿宋" w:hAnsi="仿宋" w:eastAsia="仿宋" w:cs="仿宋"/>
          <w:color w:val="auto"/>
          <w:highlight w:val="none"/>
        </w:rPr>
      </w:pPr>
    </w:p>
    <w:p w14:paraId="4A55514E">
      <w:pPr>
        <w:rPr>
          <w:rFonts w:ascii="仿宋" w:hAnsi="仿宋" w:eastAsia="仿宋" w:cs="仿宋"/>
          <w:color w:val="auto"/>
          <w:highlight w:val="none"/>
        </w:rPr>
      </w:pPr>
    </w:p>
    <w:p w14:paraId="7202639D">
      <w:pPr>
        <w:pStyle w:val="4"/>
        <w:jc w:val="center"/>
        <w:rPr>
          <w:rFonts w:ascii="仿宋" w:hAnsi="仿宋" w:eastAsia="仿宋" w:cs="仿宋"/>
          <w:color w:val="auto"/>
          <w:highlight w:val="none"/>
        </w:rPr>
      </w:pPr>
      <w:bookmarkStart w:id="45" w:name="_Toc74323460"/>
      <w:r>
        <w:rPr>
          <w:rFonts w:hint="eastAsia" w:ascii="仿宋" w:hAnsi="仿宋" w:eastAsia="仿宋" w:cs="仿宋"/>
          <w:color w:val="auto"/>
          <w:highlight w:val="none"/>
        </w:rPr>
        <w:t>第五章 响应文件格式</w:t>
      </w:r>
      <w:bookmarkEnd w:id="45"/>
    </w:p>
    <w:p w14:paraId="0265138C">
      <w:pPr>
        <w:spacing w:line="240" w:lineRule="atLeast"/>
        <w:rPr>
          <w:rFonts w:ascii="仿宋" w:hAnsi="仿宋" w:eastAsia="仿宋" w:cs="仿宋"/>
          <w:b/>
          <w:color w:val="auto"/>
          <w:sz w:val="32"/>
          <w:szCs w:val="32"/>
          <w:highlight w:val="none"/>
        </w:rPr>
      </w:pPr>
    </w:p>
    <w:p w14:paraId="5D629F7E">
      <w:pPr>
        <w:spacing w:line="240" w:lineRule="atLeast"/>
        <w:rPr>
          <w:rFonts w:ascii="仿宋" w:hAnsi="仿宋" w:eastAsia="仿宋" w:cs="仿宋"/>
          <w:b/>
          <w:color w:val="auto"/>
          <w:sz w:val="32"/>
          <w:szCs w:val="32"/>
          <w:highlight w:val="none"/>
        </w:rPr>
      </w:pPr>
    </w:p>
    <w:p w14:paraId="6CCF0AF7">
      <w:pPr>
        <w:spacing w:line="240" w:lineRule="atLeast"/>
        <w:rPr>
          <w:rFonts w:ascii="仿宋" w:hAnsi="仿宋" w:eastAsia="仿宋" w:cs="仿宋"/>
          <w:b/>
          <w:color w:val="auto"/>
          <w:sz w:val="32"/>
          <w:szCs w:val="32"/>
          <w:highlight w:val="none"/>
        </w:rPr>
      </w:pPr>
    </w:p>
    <w:p w14:paraId="6D688321">
      <w:pPr>
        <w:spacing w:line="240" w:lineRule="atLeast"/>
        <w:rPr>
          <w:rFonts w:ascii="仿宋" w:hAnsi="仿宋" w:eastAsia="仿宋" w:cs="仿宋"/>
          <w:b/>
          <w:color w:val="auto"/>
          <w:sz w:val="32"/>
          <w:szCs w:val="32"/>
          <w:highlight w:val="none"/>
        </w:rPr>
      </w:pPr>
    </w:p>
    <w:p w14:paraId="4A01B272">
      <w:pPr>
        <w:spacing w:line="240" w:lineRule="atLeast"/>
        <w:rPr>
          <w:rFonts w:ascii="仿宋" w:hAnsi="仿宋" w:eastAsia="仿宋" w:cs="仿宋"/>
          <w:b/>
          <w:color w:val="auto"/>
          <w:sz w:val="32"/>
          <w:szCs w:val="32"/>
          <w:highlight w:val="none"/>
        </w:rPr>
      </w:pPr>
    </w:p>
    <w:p w14:paraId="08591484">
      <w:pPr>
        <w:spacing w:line="240" w:lineRule="atLeast"/>
        <w:rPr>
          <w:rFonts w:ascii="仿宋" w:hAnsi="仿宋" w:eastAsia="仿宋" w:cs="仿宋"/>
          <w:b/>
          <w:color w:val="auto"/>
          <w:sz w:val="32"/>
          <w:szCs w:val="32"/>
          <w:highlight w:val="none"/>
        </w:rPr>
      </w:pPr>
    </w:p>
    <w:p w14:paraId="260BF130">
      <w:pPr>
        <w:spacing w:line="240" w:lineRule="atLeast"/>
        <w:rPr>
          <w:rFonts w:ascii="仿宋" w:hAnsi="仿宋" w:eastAsia="仿宋" w:cs="仿宋"/>
          <w:b/>
          <w:color w:val="auto"/>
          <w:sz w:val="32"/>
          <w:szCs w:val="32"/>
          <w:highlight w:val="none"/>
        </w:rPr>
      </w:pPr>
    </w:p>
    <w:p w14:paraId="6E914B8F">
      <w:pPr>
        <w:rPr>
          <w:rFonts w:ascii="仿宋" w:hAnsi="仿宋" w:eastAsia="仿宋" w:cs="仿宋"/>
          <w:b/>
          <w:color w:val="auto"/>
          <w:sz w:val="32"/>
          <w:szCs w:val="32"/>
          <w:highlight w:val="none"/>
        </w:rPr>
      </w:pPr>
      <w:bookmarkStart w:id="46" w:name="_Toc35611438"/>
      <w:bookmarkStart w:id="47" w:name="_Toc35611516"/>
      <w:bookmarkStart w:id="48" w:name="_Toc44229899"/>
      <w:bookmarkStart w:id="49" w:name="_Toc71365925"/>
      <w:bookmarkStart w:id="50" w:name="_Toc31723070"/>
      <w:bookmarkStart w:id="51" w:name="_Toc31728084"/>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一、资格证明文件格式</w:t>
      </w:r>
      <w:bookmarkEnd w:id="46"/>
      <w:bookmarkEnd w:id="47"/>
      <w:bookmarkEnd w:id="48"/>
      <w:bookmarkEnd w:id="49"/>
      <w:bookmarkEnd w:id="50"/>
      <w:bookmarkEnd w:id="51"/>
    </w:p>
    <w:p w14:paraId="5F1E5485">
      <w:pPr>
        <w:snapToGrid w:val="0"/>
        <w:spacing w:before="156" w:beforeLines="50" w:after="50" w:line="360" w:lineRule="auto"/>
        <w:jc w:val="left"/>
        <w:rPr>
          <w:rFonts w:ascii="仿宋" w:hAnsi="仿宋" w:eastAsia="仿宋" w:cs="仿宋"/>
          <w:b/>
          <w:color w:val="auto"/>
          <w:sz w:val="24"/>
          <w:highlight w:val="none"/>
        </w:rPr>
      </w:pPr>
      <w:r>
        <w:rPr>
          <w:rFonts w:hint="eastAsia" w:ascii="仿宋" w:hAnsi="仿宋" w:eastAsia="仿宋" w:cs="仿宋"/>
          <w:b/>
          <w:color w:val="auto"/>
          <w:sz w:val="32"/>
          <w:szCs w:val="32"/>
          <w:highlight w:val="none"/>
        </w:rPr>
        <w:t>1.资格证明文件封面格式：</w:t>
      </w:r>
      <w:r>
        <w:rPr>
          <w:rFonts w:hint="eastAsia" w:ascii="仿宋" w:hAnsi="仿宋" w:eastAsia="仿宋" w:cs="仿宋"/>
          <w:b/>
          <w:color w:val="auto"/>
          <w:sz w:val="24"/>
          <w:highlight w:val="none"/>
        </w:rPr>
        <w:t xml:space="preserve"> </w:t>
      </w:r>
    </w:p>
    <w:p w14:paraId="3ECBE71E">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4432A006">
      <w:pPr>
        <w:snapToGrid w:val="0"/>
        <w:spacing w:before="156" w:beforeLines="50" w:after="50"/>
        <w:rPr>
          <w:rFonts w:ascii="仿宋" w:hAnsi="仿宋" w:eastAsia="仿宋" w:cs="仿宋"/>
          <w:color w:val="auto"/>
          <w:sz w:val="24"/>
          <w:szCs w:val="20"/>
          <w:highlight w:val="none"/>
        </w:rPr>
      </w:pPr>
    </w:p>
    <w:p w14:paraId="70063F3E">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518EBA20">
      <w:pPr>
        <w:snapToGrid w:val="0"/>
        <w:spacing w:before="156" w:beforeLines="50" w:after="50"/>
        <w:jc w:val="center"/>
        <w:rPr>
          <w:rFonts w:ascii="仿宋" w:hAnsi="仿宋" w:eastAsia="仿宋" w:cs="仿宋"/>
          <w:bCs/>
          <w:color w:val="auto"/>
          <w:sz w:val="44"/>
          <w:szCs w:val="44"/>
          <w:highlight w:val="none"/>
        </w:rPr>
      </w:pPr>
    </w:p>
    <w:p w14:paraId="3B4AEA7A">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00D19088">
      <w:pPr>
        <w:snapToGrid w:val="0"/>
        <w:spacing w:before="156" w:beforeLines="50" w:after="50"/>
        <w:rPr>
          <w:rFonts w:ascii="仿宋" w:hAnsi="仿宋" w:eastAsia="仿宋" w:cs="仿宋"/>
          <w:bCs/>
          <w:color w:val="auto"/>
          <w:sz w:val="24"/>
          <w:szCs w:val="20"/>
          <w:highlight w:val="none"/>
        </w:rPr>
      </w:pPr>
    </w:p>
    <w:p w14:paraId="506C2190">
      <w:pPr>
        <w:snapToGrid w:val="0"/>
        <w:spacing w:before="156" w:beforeLines="50" w:after="50"/>
        <w:rPr>
          <w:rFonts w:ascii="仿宋" w:hAnsi="仿宋" w:eastAsia="仿宋" w:cs="仿宋"/>
          <w:bCs/>
          <w:color w:val="auto"/>
          <w:sz w:val="24"/>
          <w:szCs w:val="20"/>
          <w:highlight w:val="none"/>
        </w:rPr>
      </w:pPr>
    </w:p>
    <w:p w14:paraId="5C0F66B1">
      <w:pPr>
        <w:snapToGrid w:val="0"/>
        <w:spacing w:before="156" w:beforeLines="50" w:after="50"/>
        <w:rPr>
          <w:rFonts w:ascii="仿宋" w:hAnsi="仿宋" w:eastAsia="仿宋" w:cs="仿宋"/>
          <w:bCs/>
          <w:color w:val="auto"/>
          <w:sz w:val="24"/>
          <w:szCs w:val="20"/>
          <w:highlight w:val="none"/>
        </w:rPr>
      </w:pPr>
    </w:p>
    <w:p w14:paraId="5ADA7331">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406E3971">
      <w:pPr>
        <w:snapToGrid w:val="0"/>
        <w:spacing w:before="156" w:beforeLines="50" w:after="50"/>
        <w:ind w:firstLine="720" w:firstLineChars="225"/>
        <w:rPr>
          <w:rFonts w:ascii="仿宋" w:hAnsi="仿宋" w:eastAsia="仿宋" w:cs="仿宋"/>
          <w:bCs/>
          <w:color w:val="auto"/>
          <w:sz w:val="32"/>
          <w:szCs w:val="32"/>
          <w:highlight w:val="none"/>
        </w:rPr>
      </w:pPr>
    </w:p>
    <w:p w14:paraId="61B8C710">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61BF0B84">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5D9F4D0">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w:t>
      </w:r>
    </w:p>
    <w:p w14:paraId="08961916">
      <w:pPr>
        <w:snapToGrid w:val="0"/>
        <w:spacing w:before="156" w:beforeLines="50" w:after="50"/>
        <w:ind w:firstLine="720" w:firstLineChars="225"/>
        <w:rPr>
          <w:rFonts w:ascii="仿宋" w:hAnsi="仿宋" w:eastAsia="仿宋" w:cs="仿宋"/>
          <w:bCs/>
          <w:color w:val="auto"/>
          <w:sz w:val="32"/>
          <w:szCs w:val="32"/>
          <w:highlight w:val="none"/>
        </w:rPr>
      </w:pPr>
    </w:p>
    <w:p w14:paraId="7381BD96">
      <w:pPr>
        <w:pStyle w:val="8"/>
        <w:snapToGrid w:val="0"/>
        <w:spacing w:before="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719BA1DA">
      <w:pPr>
        <w:pStyle w:val="8"/>
        <w:snapToGrid w:val="0"/>
        <w:spacing w:before="50" w:after="50"/>
        <w:ind w:firstLine="720" w:firstLineChars="225"/>
        <w:rPr>
          <w:rFonts w:ascii="仿宋" w:hAnsi="仿宋" w:eastAsia="仿宋" w:cs="仿宋"/>
          <w:bCs/>
          <w:color w:val="auto"/>
          <w:sz w:val="32"/>
          <w:szCs w:val="32"/>
          <w:highlight w:val="none"/>
        </w:rPr>
      </w:pPr>
    </w:p>
    <w:p w14:paraId="726F43BB">
      <w:pPr>
        <w:pStyle w:val="8"/>
        <w:snapToGrid w:val="0"/>
        <w:spacing w:before="50" w:after="50"/>
        <w:ind w:firstLine="720" w:firstLineChars="225"/>
        <w:rPr>
          <w:rFonts w:ascii="仿宋" w:hAnsi="仿宋" w:eastAsia="仿宋" w:cs="仿宋"/>
          <w:bCs/>
          <w:color w:val="auto"/>
          <w:sz w:val="32"/>
          <w:szCs w:val="32"/>
          <w:highlight w:val="none"/>
        </w:rPr>
      </w:pPr>
    </w:p>
    <w:p w14:paraId="71FF9A27">
      <w:pPr>
        <w:pStyle w:val="8"/>
        <w:snapToGrid w:val="0"/>
        <w:spacing w:before="50" w:after="50"/>
        <w:ind w:firstLine="1280" w:firstLineChars="400"/>
        <w:rPr>
          <w:rFonts w:ascii="仿宋" w:hAnsi="仿宋" w:eastAsia="仿宋" w:cs="仿宋"/>
          <w:bCs/>
          <w:color w:val="auto"/>
          <w:sz w:val="32"/>
          <w:szCs w:val="32"/>
          <w:highlight w:val="none"/>
        </w:rPr>
      </w:pPr>
    </w:p>
    <w:p w14:paraId="0558606F">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00BABCC6">
      <w:pPr>
        <w:snapToGrid w:val="0"/>
        <w:spacing w:before="156" w:beforeLines="50" w:after="50" w:line="360" w:lineRule="auto"/>
        <w:ind w:left="142"/>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2.资格证明文件目录</w:t>
      </w:r>
    </w:p>
    <w:p w14:paraId="41A3A330">
      <w:pPr>
        <w:snapToGrid w:val="0"/>
        <w:spacing w:before="156" w:beforeLines="50" w:after="50" w:line="360" w:lineRule="auto"/>
        <w:ind w:firstLine="645"/>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4D1720D5">
      <w:pPr>
        <w:snapToGrid w:val="0"/>
        <w:spacing w:before="156" w:beforeLines="50" w:after="5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509BE568">
      <w:pPr>
        <w:spacing w:line="300" w:lineRule="auto"/>
        <w:rPr>
          <w:rFonts w:ascii="仿宋" w:hAnsi="仿宋" w:eastAsia="仿宋" w:cs="仿宋"/>
          <w:color w:val="auto"/>
          <w:szCs w:val="21"/>
          <w:highlight w:val="none"/>
        </w:rPr>
      </w:pPr>
    </w:p>
    <w:p w14:paraId="17FA8EA2">
      <w:pPr>
        <w:spacing w:line="300" w:lineRule="auto"/>
        <w:rPr>
          <w:rFonts w:ascii="仿宋" w:hAnsi="仿宋" w:eastAsia="仿宋" w:cs="仿宋"/>
          <w:color w:val="auto"/>
          <w:szCs w:val="21"/>
          <w:highlight w:val="none"/>
        </w:rPr>
      </w:pPr>
    </w:p>
    <w:p w14:paraId="53118F20">
      <w:pPr>
        <w:spacing w:line="300" w:lineRule="auto"/>
        <w:rPr>
          <w:rFonts w:ascii="仿宋" w:hAnsi="仿宋" w:eastAsia="仿宋" w:cs="仿宋"/>
          <w:color w:val="auto"/>
          <w:szCs w:val="21"/>
          <w:highlight w:val="none"/>
        </w:rPr>
      </w:pPr>
    </w:p>
    <w:p w14:paraId="72720638">
      <w:pPr>
        <w:spacing w:line="300" w:lineRule="auto"/>
        <w:rPr>
          <w:rFonts w:ascii="仿宋" w:hAnsi="仿宋" w:eastAsia="仿宋" w:cs="仿宋"/>
          <w:color w:val="auto"/>
          <w:szCs w:val="21"/>
          <w:highlight w:val="none"/>
        </w:rPr>
      </w:pPr>
    </w:p>
    <w:p w14:paraId="0DD85671">
      <w:pPr>
        <w:spacing w:line="300" w:lineRule="auto"/>
        <w:rPr>
          <w:rFonts w:ascii="仿宋" w:hAnsi="仿宋" w:eastAsia="仿宋" w:cs="仿宋"/>
          <w:color w:val="auto"/>
          <w:szCs w:val="21"/>
          <w:highlight w:val="none"/>
        </w:rPr>
      </w:pPr>
    </w:p>
    <w:p w14:paraId="513883E9">
      <w:pPr>
        <w:spacing w:line="300" w:lineRule="auto"/>
        <w:rPr>
          <w:rFonts w:ascii="仿宋" w:hAnsi="仿宋" w:eastAsia="仿宋" w:cs="仿宋"/>
          <w:color w:val="auto"/>
          <w:szCs w:val="21"/>
          <w:highlight w:val="none"/>
        </w:rPr>
      </w:pPr>
    </w:p>
    <w:p w14:paraId="6F83EC47">
      <w:pPr>
        <w:spacing w:line="300" w:lineRule="auto"/>
        <w:rPr>
          <w:rFonts w:ascii="仿宋" w:hAnsi="仿宋" w:eastAsia="仿宋" w:cs="仿宋"/>
          <w:color w:val="auto"/>
          <w:szCs w:val="21"/>
          <w:highlight w:val="none"/>
        </w:rPr>
      </w:pPr>
    </w:p>
    <w:p w14:paraId="149772BF">
      <w:pPr>
        <w:spacing w:line="300" w:lineRule="auto"/>
        <w:rPr>
          <w:rFonts w:ascii="仿宋" w:hAnsi="仿宋" w:eastAsia="仿宋" w:cs="仿宋"/>
          <w:color w:val="auto"/>
          <w:szCs w:val="21"/>
          <w:highlight w:val="none"/>
        </w:rPr>
      </w:pPr>
    </w:p>
    <w:p w14:paraId="64CFDE92">
      <w:pPr>
        <w:spacing w:line="300" w:lineRule="auto"/>
        <w:rPr>
          <w:rFonts w:ascii="仿宋" w:hAnsi="仿宋" w:eastAsia="仿宋" w:cs="仿宋"/>
          <w:color w:val="auto"/>
          <w:szCs w:val="21"/>
          <w:highlight w:val="none"/>
        </w:rPr>
      </w:pPr>
    </w:p>
    <w:p w14:paraId="141417DB">
      <w:pPr>
        <w:spacing w:line="300" w:lineRule="auto"/>
        <w:rPr>
          <w:rFonts w:ascii="仿宋" w:hAnsi="仿宋" w:eastAsia="仿宋" w:cs="仿宋"/>
          <w:color w:val="auto"/>
          <w:szCs w:val="21"/>
          <w:highlight w:val="none"/>
        </w:rPr>
      </w:pPr>
    </w:p>
    <w:p w14:paraId="578F17C7">
      <w:pPr>
        <w:spacing w:line="300" w:lineRule="auto"/>
        <w:rPr>
          <w:rFonts w:ascii="仿宋" w:hAnsi="仿宋" w:eastAsia="仿宋" w:cs="仿宋"/>
          <w:color w:val="auto"/>
          <w:szCs w:val="21"/>
          <w:highlight w:val="none"/>
        </w:rPr>
      </w:pPr>
    </w:p>
    <w:p w14:paraId="0125A5A1">
      <w:pPr>
        <w:spacing w:line="300" w:lineRule="auto"/>
        <w:rPr>
          <w:rFonts w:ascii="仿宋" w:hAnsi="仿宋" w:eastAsia="仿宋" w:cs="仿宋"/>
          <w:color w:val="auto"/>
          <w:szCs w:val="21"/>
          <w:highlight w:val="none"/>
        </w:rPr>
      </w:pPr>
    </w:p>
    <w:p w14:paraId="72D11082">
      <w:pPr>
        <w:spacing w:line="300" w:lineRule="auto"/>
        <w:rPr>
          <w:rFonts w:ascii="仿宋" w:hAnsi="仿宋" w:eastAsia="仿宋" w:cs="仿宋"/>
          <w:color w:val="auto"/>
          <w:szCs w:val="21"/>
          <w:highlight w:val="none"/>
        </w:rPr>
      </w:pPr>
    </w:p>
    <w:p w14:paraId="4E36A40E">
      <w:pPr>
        <w:spacing w:line="300" w:lineRule="auto"/>
        <w:rPr>
          <w:rFonts w:ascii="仿宋" w:hAnsi="仿宋" w:eastAsia="仿宋" w:cs="仿宋"/>
          <w:color w:val="auto"/>
          <w:szCs w:val="21"/>
          <w:highlight w:val="none"/>
        </w:rPr>
      </w:pPr>
    </w:p>
    <w:p w14:paraId="0B1C45AB">
      <w:pPr>
        <w:spacing w:line="300" w:lineRule="auto"/>
        <w:rPr>
          <w:rFonts w:ascii="仿宋" w:hAnsi="仿宋" w:eastAsia="仿宋" w:cs="仿宋"/>
          <w:color w:val="auto"/>
          <w:szCs w:val="21"/>
          <w:highlight w:val="none"/>
        </w:rPr>
      </w:pPr>
    </w:p>
    <w:p w14:paraId="2D970458">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 xml:space="preserve"> </w:t>
      </w:r>
    </w:p>
    <w:p w14:paraId="75B795BA">
      <w:pPr>
        <w:wordWrap w:val="0"/>
        <w:spacing w:before="156" w:beforeLines="50" w:after="50" w:line="320" w:lineRule="exact"/>
        <w:ind w:right="482" w:firstLine="210" w:firstLineChars="100"/>
        <w:contextualSpacing/>
        <w:jc w:val="center"/>
        <w:rPr>
          <w:rFonts w:ascii="仿宋" w:hAnsi="仿宋" w:eastAsia="仿宋" w:cs="仿宋"/>
          <w:color w:val="auto"/>
          <w:szCs w:val="21"/>
          <w:highlight w:val="none"/>
        </w:rPr>
      </w:pPr>
    </w:p>
    <w:p w14:paraId="68797A40">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供应商直接控股、管理关系信息表</w:t>
      </w:r>
    </w:p>
    <w:p w14:paraId="649A1753">
      <w:pPr>
        <w:snapToGrid w:val="0"/>
        <w:spacing w:before="156" w:beforeLines="50" w:after="50" w:line="360" w:lineRule="auto"/>
        <w:jc w:val="center"/>
        <w:rPr>
          <w:rFonts w:ascii="仿宋" w:hAnsi="仿宋" w:eastAsia="仿宋" w:cs="仿宋"/>
          <w:b/>
          <w:color w:val="auto"/>
          <w:sz w:val="24"/>
          <w:highlight w:val="none"/>
        </w:rPr>
      </w:pPr>
    </w:p>
    <w:p w14:paraId="7F8053C4">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6ECC6908">
      <w:pPr>
        <w:spacing w:line="360" w:lineRule="auto"/>
        <w:contextualSpacing/>
        <w:jc w:val="center"/>
        <w:rPr>
          <w:rFonts w:ascii="仿宋" w:hAnsi="仿宋" w:eastAsia="仿宋" w:cs="仿宋"/>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2BDF1C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DD9608">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D4072C">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FF537">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DA2B8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43DEFF">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6279F77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C2561">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08BC1B">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DA8C8">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234F7E">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1773A1">
            <w:pPr>
              <w:widowControl/>
              <w:spacing w:line="360" w:lineRule="auto"/>
              <w:contextualSpacing/>
              <w:jc w:val="center"/>
              <w:rPr>
                <w:rFonts w:ascii="仿宋" w:hAnsi="仿宋" w:eastAsia="仿宋" w:cs="仿宋"/>
                <w:color w:val="auto"/>
                <w:kern w:val="0"/>
                <w:sz w:val="24"/>
                <w:highlight w:val="none"/>
              </w:rPr>
            </w:pPr>
          </w:p>
        </w:tc>
      </w:tr>
      <w:tr w14:paraId="2383B3C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710407">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EDDA62">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DD61DF">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E3428">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1C7D61">
            <w:pPr>
              <w:widowControl/>
              <w:spacing w:line="360" w:lineRule="auto"/>
              <w:contextualSpacing/>
              <w:jc w:val="center"/>
              <w:rPr>
                <w:rFonts w:ascii="仿宋" w:hAnsi="仿宋" w:eastAsia="仿宋" w:cs="仿宋"/>
                <w:color w:val="auto"/>
                <w:kern w:val="0"/>
                <w:sz w:val="24"/>
                <w:highlight w:val="none"/>
              </w:rPr>
            </w:pPr>
          </w:p>
        </w:tc>
      </w:tr>
      <w:tr w14:paraId="254585D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C2624C">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83A4FC">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04B651">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49AC4F">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A622FD">
            <w:pPr>
              <w:widowControl/>
              <w:spacing w:line="360" w:lineRule="auto"/>
              <w:contextualSpacing/>
              <w:jc w:val="center"/>
              <w:rPr>
                <w:rFonts w:ascii="仿宋" w:hAnsi="仿宋" w:eastAsia="仿宋" w:cs="仿宋"/>
                <w:color w:val="auto"/>
                <w:kern w:val="0"/>
                <w:sz w:val="24"/>
                <w:highlight w:val="none"/>
              </w:rPr>
            </w:pPr>
          </w:p>
        </w:tc>
      </w:tr>
      <w:tr w14:paraId="2220857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0BE1DE">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05C03B">
            <w:pPr>
              <w:widowControl/>
              <w:spacing w:line="360" w:lineRule="auto"/>
              <w:contextualSpacing/>
              <w:jc w:val="center"/>
              <w:rPr>
                <w:rFonts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6BFDD">
            <w:pPr>
              <w:widowControl/>
              <w:spacing w:line="360" w:lineRule="auto"/>
              <w:contextualSpacing/>
              <w:jc w:val="center"/>
              <w:rPr>
                <w:rFonts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1A2EC2">
            <w:pPr>
              <w:widowControl/>
              <w:spacing w:line="360" w:lineRule="auto"/>
              <w:contextualSpacing/>
              <w:jc w:val="center"/>
              <w:rPr>
                <w:rFonts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2444D">
            <w:pPr>
              <w:widowControl/>
              <w:spacing w:line="360" w:lineRule="auto"/>
              <w:contextualSpacing/>
              <w:jc w:val="center"/>
              <w:rPr>
                <w:rFonts w:ascii="仿宋" w:hAnsi="仿宋" w:eastAsia="仿宋" w:cs="仿宋"/>
                <w:color w:val="auto"/>
                <w:kern w:val="0"/>
                <w:sz w:val="24"/>
                <w:highlight w:val="none"/>
              </w:rPr>
            </w:pPr>
          </w:p>
        </w:tc>
      </w:tr>
    </w:tbl>
    <w:p w14:paraId="4206E1C9">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0FFEB0C9">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E16D09">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4AAB39BB">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14:paraId="1EF06EFB">
      <w:pPr>
        <w:snapToGrid w:val="0"/>
        <w:spacing w:line="360" w:lineRule="auto"/>
        <w:jc w:val="left"/>
        <w:rPr>
          <w:rFonts w:ascii="仿宋" w:hAnsi="仿宋" w:eastAsia="仿宋" w:cs="仿宋"/>
          <w:color w:val="auto"/>
          <w:sz w:val="24"/>
          <w:highlight w:val="none"/>
        </w:rPr>
      </w:pPr>
    </w:p>
    <w:p w14:paraId="763D4B66">
      <w:pPr>
        <w:snapToGrid w:val="0"/>
        <w:spacing w:line="360" w:lineRule="auto"/>
        <w:jc w:val="left"/>
        <w:rPr>
          <w:rFonts w:ascii="仿宋" w:hAnsi="仿宋" w:eastAsia="仿宋" w:cs="仿宋"/>
          <w:color w:val="auto"/>
          <w:sz w:val="24"/>
          <w:highlight w:val="none"/>
        </w:rPr>
      </w:pPr>
    </w:p>
    <w:p w14:paraId="01EE629E">
      <w:pPr>
        <w:snapToGrid w:val="0"/>
        <w:spacing w:line="360" w:lineRule="auto"/>
        <w:jc w:val="left"/>
        <w:rPr>
          <w:rFonts w:ascii="仿宋" w:hAnsi="仿宋" w:eastAsia="仿宋" w:cs="仿宋"/>
          <w:color w:val="auto"/>
          <w:sz w:val="24"/>
          <w:highlight w:val="none"/>
        </w:rPr>
      </w:pPr>
    </w:p>
    <w:p w14:paraId="6620613C">
      <w:pPr>
        <w:snapToGrid w:val="0"/>
        <w:spacing w:before="156" w:beforeLines="50" w:line="360" w:lineRule="auto"/>
        <w:ind w:right="48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75B68119">
      <w:pPr>
        <w:snapToGrid w:val="0"/>
        <w:spacing w:before="156" w:beforeLines="50" w:after="50" w:line="360" w:lineRule="auto"/>
        <w:ind w:right="48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z w:val="24"/>
          <w:highlight w:val="none"/>
          <w:u w:val="single"/>
        </w:rPr>
        <w:t xml:space="preserve">                           </w:t>
      </w:r>
    </w:p>
    <w:p w14:paraId="071F12C5">
      <w:pPr>
        <w:snapToGrid w:val="0"/>
        <w:spacing w:before="156" w:beforeLines="50" w:after="50" w:line="360" w:lineRule="auto"/>
        <w:ind w:right="480"/>
        <w:rPr>
          <w:rFonts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06A43762">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D503AB9">
      <w:pPr>
        <w:spacing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508D3FBE">
      <w:pPr>
        <w:snapToGrid w:val="0"/>
        <w:spacing w:line="360" w:lineRule="auto"/>
        <w:jc w:val="center"/>
        <w:rPr>
          <w:rFonts w:ascii="仿宋" w:hAnsi="仿宋" w:eastAsia="仿宋" w:cs="仿宋"/>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ACF51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EA8008">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4C46B9">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4C9B7">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F3D45">
            <w:pPr>
              <w:widowControl/>
              <w:spacing w:line="360" w:lineRule="auto"/>
              <w:contextualSpacing/>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CEF793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0DE524">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544F8">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585644">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601E93">
            <w:pPr>
              <w:widowControl/>
              <w:spacing w:line="360" w:lineRule="auto"/>
              <w:contextualSpacing/>
              <w:jc w:val="center"/>
              <w:rPr>
                <w:rFonts w:ascii="仿宋" w:hAnsi="仿宋" w:eastAsia="仿宋" w:cs="仿宋"/>
                <w:color w:val="auto"/>
                <w:kern w:val="0"/>
                <w:sz w:val="24"/>
                <w:highlight w:val="none"/>
              </w:rPr>
            </w:pPr>
          </w:p>
        </w:tc>
      </w:tr>
      <w:tr w14:paraId="701AC19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0F1D93">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8E2208">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FBE255">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EB26E">
            <w:pPr>
              <w:widowControl/>
              <w:spacing w:line="360" w:lineRule="auto"/>
              <w:contextualSpacing/>
              <w:jc w:val="center"/>
              <w:rPr>
                <w:rFonts w:ascii="仿宋" w:hAnsi="仿宋" w:eastAsia="仿宋" w:cs="仿宋"/>
                <w:color w:val="auto"/>
                <w:kern w:val="0"/>
                <w:sz w:val="24"/>
                <w:highlight w:val="none"/>
              </w:rPr>
            </w:pPr>
          </w:p>
        </w:tc>
      </w:tr>
      <w:tr w14:paraId="023CB79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F781E8">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6458D7">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A98AD7">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1BF546">
            <w:pPr>
              <w:widowControl/>
              <w:spacing w:line="360" w:lineRule="auto"/>
              <w:contextualSpacing/>
              <w:jc w:val="center"/>
              <w:rPr>
                <w:rFonts w:ascii="仿宋" w:hAnsi="仿宋" w:eastAsia="仿宋" w:cs="仿宋"/>
                <w:color w:val="auto"/>
                <w:kern w:val="0"/>
                <w:sz w:val="24"/>
                <w:highlight w:val="none"/>
              </w:rPr>
            </w:pPr>
          </w:p>
        </w:tc>
      </w:tr>
      <w:tr w14:paraId="17ED93D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3CB953">
            <w:pPr>
              <w:widowControl/>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73163C">
            <w:pPr>
              <w:widowControl/>
              <w:spacing w:line="360" w:lineRule="auto"/>
              <w:contextualSpacing/>
              <w:jc w:val="center"/>
              <w:rPr>
                <w:rFonts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372100">
            <w:pPr>
              <w:widowControl/>
              <w:spacing w:line="360" w:lineRule="auto"/>
              <w:contextualSpacing/>
              <w:jc w:val="center"/>
              <w:rPr>
                <w:rFonts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6D9D1B">
            <w:pPr>
              <w:widowControl/>
              <w:spacing w:line="360" w:lineRule="auto"/>
              <w:contextualSpacing/>
              <w:jc w:val="center"/>
              <w:rPr>
                <w:rFonts w:ascii="仿宋" w:hAnsi="仿宋" w:eastAsia="仿宋" w:cs="仿宋"/>
                <w:color w:val="auto"/>
                <w:kern w:val="0"/>
                <w:sz w:val="24"/>
                <w:highlight w:val="none"/>
              </w:rPr>
            </w:pPr>
          </w:p>
        </w:tc>
      </w:tr>
    </w:tbl>
    <w:p w14:paraId="39118AF6">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2C36BD87">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1132BD13">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6FAD15DB">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14:paraId="452FD689">
      <w:pPr>
        <w:spacing w:line="360" w:lineRule="auto"/>
        <w:contextualSpacing/>
        <w:jc w:val="left"/>
        <w:rPr>
          <w:rFonts w:ascii="仿宋" w:hAnsi="仿宋" w:eastAsia="仿宋" w:cs="仿宋"/>
          <w:color w:val="auto"/>
          <w:sz w:val="24"/>
          <w:highlight w:val="none"/>
        </w:rPr>
      </w:pPr>
    </w:p>
    <w:p w14:paraId="46FABD2F">
      <w:pPr>
        <w:spacing w:line="360" w:lineRule="auto"/>
        <w:contextualSpacing/>
        <w:jc w:val="left"/>
        <w:rPr>
          <w:rFonts w:ascii="仿宋" w:hAnsi="仿宋" w:eastAsia="仿宋" w:cs="仿宋"/>
          <w:color w:val="auto"/>
          <w:sz w:val="24"/>
          <w:highlight w:val="none"/>
        </w:rPr>
      </w:pPr>
    </w:p>
    <w:p w14:paraId="559C0817">
      <w:pPr>
        <w:spacing w:line="360" w:lineRule="auto"/>
        <w:contextualSpacing/>
        <w:jc w:val="left"/>
        <w:rPr>
          <w:rFonts w:ascii="仿宋" w:hAnsi="仿宋" w:eastAsia="仿宋" w:cs="仿宋"/>
          <w:color w:val="auto"/>
          <w:sz w:val="24"/>
          <w:highlight w:val="none"/>
        </w:rPr>
      </w:pPr>
    </w:p>
    <w:p w14:paraId="3FE3A634">
      <w:pPr>
        <w:spacing w:line="360" w:lineRule="auto"/>
        <w:contextualSpacing/>
        <w:jc w:val="left"/>
        <w:rPr>
          <w:rFonts w:ascii="仿宋" w:hAnsi="仿宋" w:eastAsia="仿宋" w:cs="仿宋"/>
          <w:color w:val="auto"/>
          <w:sz w:val="24"/>
          <w:highlight w:val="none"/>
        </w:rPr>
      </w:pPr>
    </w:p>
    <w:p w14:paraId="6765473E">
      <w:pPr>
        <w:spacing w:line="360" w:lineRule="auto"/>
        <w:contextualSpacing/>
        <w:jc w:val="left"/>
        <w:rPr>
          <w:rFonts w:ascii="仿宋" w:hAnsi="仿宋" w:eastAsia="仿宋" w:cs="仿宋"/>
          <w:color w:val="auto"/>
          <w:sz w:val="24"/>
          <w:highlight w:val="none"/>
        </w:rPr>
      </w:pPr>
    </w:p>
    <w:p w14:paraId="6F19FAB3">
      <w:pPr>
        <w:spacing w:line="360" w:lineRule="auto"/>
        <w:ind w:right="48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z w:val="24"/>
          <w:highlight w:val="none"/>
          <w:u w:val="single"/>
        </w:rPr>
        <w:t xml:space="preserve">               </w:t>
      </w:r>
    </w:p>
    <w:p w14:paraId="3C4BF861">
      <w:pPr>
        <w:spacing w:line="360" w:lineRule="auto"/>
        <w:ind w:right="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z w:val="24"/>
          <w:highlight w:val="none"/>
          <w:u w:val="single"/>
        </w:rPr>
        <w:t xml:space="preserve">                </w:t>
      </w:r>
    </w:p>
    <w:p w14:paraId="63670E9C">
      <w:pPr>
        <w:spacing w:line="360" w:lineRule="auto"/>
        <w:ind w:right="480"/>
        <w:contextualSpacing/>
        <w:rPr>
          <w:rFonts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3E1931CA">
      <w:pPr>
        <w:spacing w:line="320" w:lineRule="exact"/>
        <w:jc w:val="center"/>
        <w:rPr>
          <w:rFonts w:ascii="仿宋" w:hAnsi="仿宋" w:eastAsia="仿宋" w:cs="仿宋"/>
          <w:b/>
          <w:color w:val="auto"/>
          <w:sz w:val="32"/>
          <w:szCs w:val="32"/>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2"/>
          <w:szCs w:val="32"/>
          <w:highlight w:val="none"/>
        </w:rPr>
        <w:t>竞标声明</w:t>
      </w:r>
    </w:p>
    <w:p w14:paraId="35DB5DE9">
      <w:pPr>
        <w:spacing w:line="320" w:lineRule="exact"/>
        <w:jc w:val="center"/>
        <w:rPr>
          <w:rFonts w:ascii="仿宋" w:hAnsi="仿宋" w:eastAsia="仿宋" w:cs="仿宋"/>
          <w:color w:val="auto"/>
          <w:sz w:val="24"/>
          <w:szCs w:val="20"/>
          <w:highlight w:val="none"/>
        </w:rPr>
      </w:pPr>
    </w:p>
    <w:p w14:paraId="485A29D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3E4C8E0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64C71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项目的竞标，为便于贵方公正、择优地确定成交供应商及其磋商产品和服务，我方就本次竞标有关事项郑重声明如下：</w:t>
      </w:r>
    </w:p>
    <w:p w14:paraId="174FD63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7854D33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57BC1B2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0D28ED0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21064CC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780ECFB0">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（3）同意提供按照贵方可能要求的与磋商有关的一切数据或者资料；</w:t>
      </w:r>
    </w:p>
    <w:p w14:paraId="2DD6F7C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（4）响应磋商文件规定的磋商有效期。</w:t>
      </w:r>
    </w:p>
    <w:p w14:paraId="18163EF9">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5DCC4E7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4B4BC3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7CFAA62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5B2D38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98397E8">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571235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93E2813">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52E4BAD">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561537B">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6682672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6AC041">
      <w:pPr>
        <w:pStyle w:val="16"/>
        <w:spacing w:line="360" w:lineRule="auto"/>
        <w:ind w:firstLine="480" w:firstLineChars="200"/>
        <w:contextualSpacing/>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131D36E7">
      <w:pPr>
        <w:pStyle w:val="16"/>
        <w:spacing w:line="360" w:lineRule="auto"/>
        <w:ind w:firstLine="480" w:firstLineChars="20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43D0D11">
      <w:pPr>
        <w:pStyle w:val="15"/>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3996A49E">
      <w:pPr>
        <w:pStyle w:val="15"/>
        <w:tabs>
          <w:tab w:val="left" w:pos="939"/>
        </w:tabs>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06150295">
      <w:pPr>
        <w:pStyle w:val="15"/>
        <w:tabs>
          <w:tab w:val="left" w:pos="939"/>
        </w:tabs>
        <w:spacing w:line="360" w:lineRule="auto"/>
        <w:ind w:left="141" w:leftChars="67"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7EDF98A1">
      <w:pPr>
        <w:pStyle w:val="15"/>
        <w:tabs>
          <w:tab w:val="left" w:pos="939"/>
        </w:tabs>
        <w:spacing w:line="360" w:lineRule="auto"/>
        <w:ind w:left="0" w:leftChars="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注：如为联合体竞标，盖章处须加盖联合体各方公章并由联合体各方法定代表人签署，否则其响应文件按无效响应处理。</w:t>
      </w:r>
    </w:p>
    <w:p w14:paraId="02783E4B">
      <w:pPr>
        <w:pStyle w:val="15"/>
        <w:tabs>
          <w:tab w:val="left" w:pos="939"/>
        </w:tabs>
        <w:spacing w:line="360" w:lineRule="auto"/>
        <w:ind w:left="0" w:leftChars="0" w:firstLine="480" w:firstLineChars="200"/>
        <w:rPr>
          <w:rFonts w:ascii="仿宋" w:hAnsi="仿宋" w:eastAsia="仿宋" w:cs="仿宋"/>
          <w:color w:val="auto"/>
          <w:sz w:val="24"/>
          <w:highlight w:val="none"/>
        </w:rPr>
      </w:pPr>
    </w:p>
    <w:p w14:paraId="6221CAC8">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52C313C">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z w:val="24"/>
          <w:highlight w:val="none"/>
          <w:u w:val="single"/>
        </w:rPr>
        <w:t xml:space="preserve">                        </w:t>
      </w:r>
    </w:p>
    <w:p w14:paraId="220490AA">
      <w:pPr>
        <w:spacing w:line="360" w:lineRule="auto"/>
        <w:ind w:firstLine="720" w:firstLineChars="3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B75FD1D">
      <w:pPr>
        <w:spacing w:line="360" w:lineRule="auto"/>
        <w:ind w:right="480" w:firstLine="240" w:firstLineChars="100"/>
        <w:contextualSpacing/>
        <w:jc w:val="center"/>
        <w:rPr>
          <w:rFonts w:ascii="仿宋" w:hAnsi="仿宋" w:eastAsia="仿宋" w:cs="仿宋"/>
          <w:b/>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报价商务技术文件格式</w:t>
      </w:r>
    </w:p>
    <w:p w14:paraId="102CEFA1">
      <w:pPr>
        <w:snapToGrid w:val="0"/>
        <w:spacing w:before="156" w:beforeLines="50" w:after="50"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1.报价商务技术文件封面格式</w:t>
      </w:r>
    </w:p>
    <w:p w14:paraId="1C556F36">
      <w:pPr>
        <w:snapToGrid w:val="0"/>
        <w:spacing w:before="156" w:beforeLines="50" w:after="50"/>
        <w:rPr>
          <w:rFonts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14:paraId="33DE09AB">
      <w:pPr>
        <w:snapToGrid w:val="0"/>
        <w:spacing w:before="156" w:beforeLines="50" w:after="50"/>
        <w:rPr>
          <w:rFonts w:ascii="仿宋" w:hAnsi="仿宋" w:eastAsia="仿宋" w:cs="仿宋"/>
          <w:color w:val="auto"/>
          <w:sz w:val="24"/>
          <w:szCs w:val="20"/>
          <w:highlight w:val="none"/>
        </w:rPr>
      </w:pPr>
    </w:p>
    <w:p w14:paraId="184B2B6D">
      <w:pPr>
        <w:snapToGrid w:val="0"/>
        <w:spacing w:before="156" w:beforeLines="50" w:after="50"/>
        <w:jc w:val="center"/>
        <w:rPr>
          <w:rFonts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60209101">
      <w:pPr>
        <w:snapToGrid w:val="0"/>
        <w:spacing w:before="156" w:beforeLines="50" w:after="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  价  商  务  技  术  文  件</w:t>
      </w:r>
    </w:p>
    <w:p w14:paraId="301E0F41">
      <w:pPr>
        <w:snapToGrid w:val="0"/>
        <w:spacing w:before="156" w:beforeLines="50" w:after="50"/>
        <w:rPr>
          <w:rFonts w:ascii="仿宋" w:hAnsi="仿宋" w:eastAsia="仿宋" w:cs="仿宋"/>
          <w:bCs/>
          <w:color w:val="auto"/>
          <w:sz w:val="24"/>
          <w:szCs w:val="20"/>
          <w:highlight w:val="none"/>
        </w:rPr>
      </w:pPr>
    </w:p>
    <w:p w14:paraId="017BF1E4">
      <w:pPr>
        <w:snapToGrid w:val="0"/>
        <w:spacing w:before="156" w:beforeLines="50" w:after="50"/>
        <w:rPr>
          <w:rFonts w:ascii="仿宋" w:hAnsi="仿宋" w:eastAsia="仿宋" w:cs="仿宋"/>
          <w:bCs/>
          <w:color w:val="auto"/>
          <w:sz w:val="24"/>
          <w:szCs w:val="20"/>
          <w:highlight w:val="none"/>
        </w:rPr>
      </w:pPr>
    </w:p>
    <w:p w14:paraId="7B775EFA">
      <w:pPr>
        <w:snapToGrid w:val="0"/>
        <w:spacing w:before="156" w:beforeLines="50" w:after="50"/>
        <w:rPr>
          <w:rFonts w:ascii="仿宋" w:hAnsi="仿宋" w:eastAsia="仿宋" w:cs="仿宋"/>
          <w:bCs/>
          <w:color w:val="auto"/>
          <w:sz w:val="24"/>
          <w:szCs w:val="20"/>
          <w:highlight w:val="none"/>
        </w:rPr>
      </w:pPr>
    </w:p>
    <w:p w14:paraId="05B4F0A5">
      <w:pPr>
        <w:snapToGrid w:val="0"/>
        <w:spacing w:before="156" w:beforeLines="50" w:after="50"/>
        <w:rPr>
          <w:rFonts w:ascii="仿宋" w:hAnsi="仿宋" w:eastAsia="仿宋" w:cs="仿宋"/>
          <w:bCs/>
          <w:color w:val="auto"/>
          <w:sz w:val="24"/>
          <w:szCs w:val="20"/>
          <w:highlight w:val="none"/>
        </w:rPr>
      </w:pPr>
    </w:p>
    <w:p w14:paraId="78958363">
      <w:pPr>
        <w:snapToGrid w:val="0"/>
        <w:spacing w:before="156" w:beforeLines="50" w:after="50"/>
        <w:rPr>
          <w:rFonts w:ascii="仿宋" w:hAnsi="仿宋" w:eastAsia="仿宋" w:cs="仿宋"/>
          <w:bCs/>
          <w:color w:val="auto"/>
          <w:sz w:val="24"/>
          <w:szCs w:val="20"/>
          <w:highlight w:val="none"/>
        </w:rPr>
      </w:pPr>
    </w:p>
    <w:p w14:paraId="1D072115">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3C84D96A">
      <w:pPr>
        <w:snapToGrid w:val="0"/>
        <w:spacing w:before="156" w:beforeLines="50" w:after="50"/>
        <w:ind w:firstLine="720" w:firstLineChars="225"/>
        <w:rPr>
          <w:rFonts w:ascii="仿宋" w:hAnsi="仿宋" w:eastAsia="仿宋" w:cs="仿宋"/>
          <w:bCs/>
          <w:color w:val="auto"/>
          <w:sz w:val="32"/>
          <w:szCs w:val="32"/>
          <w:highlight w:val="none"/>
        </w:rPr>
      </w:pPr>
    </w:p>
    <w:p w14:paraId="6E238596">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23A41EBE">
      <w:pPr>
        <w:snapToGrid w:val="0"/>
        <w:spacing w:before="156" w:beforeLines="50" w:after="50"/>
        <w:ind w:firstLine="720" w:firstLineChars="225"/>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6CB7B8B">
      <w:pPr>
        <w:snapToGrid w:val="0"/>
        <w:spacing w:before="156" w:beforeLines="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w:t>
      </w:r>
    </w:p>
    <w:p w14:paraId="6BAD5DA8">
      <w:pPr>
        <w:snapToGrid w:val="0"/>
        <w:spacing w:before="156" w:beforeLines="50" w:after="50"/>
        <w:ind w:firstLine="720" w:firstLineChars="225"/>
        <w:rPr>
          <w:rFonts w:ascii="仿宋" w:hAnsi="仿宋" w:eastAsia="仿宋" w:cs="仿宋"/>
          <w:bCs/>
          <w:color w:val="auto"/>
          <w:sz w:val="32"/>
          <w:szCs w:val="32"/>
          <w:highlight w:val="none"/>
        </w:rPr>
      </w:pPr>
    </w:p>
    <w:p w14:paraId="7A7EFC44">
      <w:pPr>
        <w:pStyle w:val="8"/>
        <w:snapToGrid w:val="0"/>
        <w:spacing w:before="50" w:after="50"/>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0AFFAEC3">
      <w:pPr>
        <w:pStyle w:val="8"/>
        <w:snapToGrid w:val="0"/>
        <w:spacing w:before="50" w:after="50"/>
        <w:ind w:firstLine="720" w:firstLineChars="225"/>
        <w:rPr>
          <w:rFonts w:ascii="仿宋" w:hAnsi="仿宋" w:eastAsia="仿宋" w:cs="仿宋"/>
          <w:bCs/>
          <w:color w:val="auto"/>
          <w:sz w:val="32"/>
          <w:szCs w:val="32"/>
          <w:highlight w:val="none"/>
        </w:rPr>
      </w:pPr>
    </w:p>
    <w:p w14:paraId="06C7FBE0">
      <w:pPr>
        <w:pStyle w:val="8"/>
        <w:snapToGrid w:val="0"/>
        <w:spacing w:before="50" w:after="50"/>
        <w:ind w:firstLine="720" w:firstLineChars="225"/>
        <w:rPr>
          <w:rFonts w:ascii="仿宋" w:hAnsi="仿宋" w:eastAsia="仿宋" w:cs="仿宋"/>
          <w:bCs/>
          <w:color w:val="auto"/>
          <w:sz w:val="32"/>
          <w:szCs w:val="32"/>
          <w:highlight w:val="none"/>
        </w:rPr>
      </w:pPr>
    </w:p>
    <w:p w14:paraId="143578E2">
      <w:pPr>
        <w:pStyle w:val="8"/>
        <w:snapToGrid w:val="0"/>
        <w:spacing w:before="50" w:after="50"/>
        <w:ind w:firstLine="1280" w:firstLineChars="400"/>
        <w:rPr>
          <w:rFonts w:ascii="仿宋" w:hAnsi="仿宋" w:eastAsia="仿宋" w:cs="仿宋"/>
          <w:bCs/>
          <w:color w:val="auto"/>
          <w:sz w:val="32"/>
          <w:szCs w:val="32"/>
          <w:highlight w:val="none"/>
        </w:rPr>
      </w:pPr>
    </w:p>
    <w:p w14:paraId="1BA04240">
      <w:pPr>
        <w:snapToGrid w:val="0"/>
        <w:spacing w:before="156" w:beforeLines="50" w:after="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F1FE964">
      <w:pPr>
        <w:snapToGrid w:val="0"/>
        <w:spacing w:before="156" w:beforeLines="50" w:after="50" w:line="360" w:lineRule="auto"/>
        <w:ind w:left="142"/>
        <w:jc w:val="left"/>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2.报价商务技术文件目录</w:t>
      </w:r>
    </w:p>
    <w:p w14:paraId="483B6DED">
      <w:pPr>
        <w:snapToGrid w:val="0"/>
        <w:spacing w:before="156" w:beforeLines="50" w:after="50"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12830123">
      <w:pPr>
        <w:spacing w:line="400" w:lineRule="exact"/>
        <w:rPr>
          <w:rFonts w:ascii="仿宋" w:hAnsi="仿宋" w:eastAsia="仿宋" w:cs="仿宋"/>
          <w:color w:val="auto"/>
          <w:sz w:val="32"/>
          <w:szCs w:val="32"/>
          <w:highlight w:val="none"/>
        </w:rPr>
      </w:pPr>
    </w:p>
    <w:p w14:paraId="7EE288C5">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无串通竞标行为的承诺函</w:t>
      </w:r>
    </w:p>
    <w:p w14:paraId="154F4390">
      <w:pPr>
        <w:spacing w:line="360" w:lineRule="auto"/>
        <w:ind w:firstLine="640" w:firstLineChars="200"/>
        <w:contextualSpacing/>
        <w:rPr>
          <w:rFonts w:ascii="仿宋" w:hAnsi="仿宋" w:eastAsia="仿宋" w:cs="仿宋"/>
          <w:color w:val="auto"/>
          <w:sz w:val="32"/>
          <w:szCs w:val="32"/>
          <w:highlight w:val="none"/>
        </w:rPr>
      </w:pPr>
    </w:p>
    <w:p w14:paraId="4D828EBD">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5EBB8EA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1.不同供应商的响应文件由同一单位或者个人编制； </w:t>
      </w:r>
    </w:p>
    <w:p w14:paraId="6E5F850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3E0B258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7474CE87">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同供应商的响应文件异常一致或者磋商报价呈规律性差异；</w:t>
      </w:r>
    </w:p>
    <w:p w14:paraId="5CC890F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61A11975">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62C0B92B">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77889EC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62C0F376">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571C7AE1">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56D0AF1F">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598CB5B2">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5.供应商之间事先约定一致抬高或者压低磋商报价，或者在竞争性磋商项目中事先约定轮流以高价位或者低价位成交，或者事先约定由某一特定供应商成交，然后再参加竞标；</w:t>
      </w:r>
    </w:p>
    <w:p w14:paraId="1039CF2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26FF4CC4">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55E0202A">
      <w:pPr>
        <w:spacing w:line="360" w:lineRule="auto"/>
        <w:ind w:firstLine="480" w:firstLineChars="200"/>
        <w:contextualSpacing/>
        <w:rPr>
          <w:rFonts w:ascii="仿宋" w:hAnsi="仿宋" w:eastAsia="仿宋" w:cs="仿宋"/>
          <w:color w:val="auto"/>
          <w:sz w:val="24"/>
          <w:highlight w:val="none"/>
        </w:rPr>
      </w:pPr>
    </w:p>
    <w:p w14:paraId="51DADEBA">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027A436D">
      <w:pPr>
        <w:spacing w:line="360" w:lineRule="auto"/>
        <w:contextualSpacing/>
        <w:rPr>
          <w:rFonts w:ascii="仿宋" w:hAnsi="仿宋" w:eastAsia="仿宋" w:cs="仿宋"/>
          <w:color w:val="auto"/>
          <w:sz w:val="24"/>
          <w:highlight w:val="none"/>
        </w:rPr>
      </w:pPr>
    </w:p>
    <w:p w14:paraId="57E0D34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p>
    <w:p w14:paraId="27760E2D">
      <w:pPr>
        <w:spacing w:line="360" w:lineRule="auto"/>
        <w:ind w:firstLine="480" w:firstLineChars="200"/>
        <w:contextualSpacing/>
        <w:rPr>
          <w:rFonts w:ascii="仿宋" w:hAnsi="仿宋" w:eastAsia="仿宋" w:cs="仿宋"/>
          <w:color w:val="auto"/>
          <w:sz w:val="32"/>
          <w:szCs w:val="32"/>
          <w:highlight w:val="none"/>
        </w:rPr>
      </w:pPr>
      <w:r>
        <w:rPr>
          <w:rFonts w:hint="eastAsia" w:ascii="仿宋" w:hAnsi="仿宋" w:eastAsia="仿宋" w:cs="仿宋"/>
          <w:color w:val="auto"/>
          <w:sz w:val="24"/>
          <w:highlight w:val="none"/>
        </w:rPr>
        <w:t>年   月   日</w:t>
      </w:r>
    </w:p>
    <w:p w14:paraId="53CB1ED7">
      <w:pPr>
        <w:spacing w:line="520" w:lineRule="exact"/>
        <w:jc w:val="center"/>
        <w:rPr>
          <w:rFonts w:ascii="仿宋" w:hAnsi="仿宋" w:eastAsia="仿宋" w:cs="仿宋"/>
          <w:bCs/>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磋 商 报  价  表</w:t>
      </w:r>
    </w:p>
    <w:p w14:paraId="2755AB57">
      <w:pPr>
        <w:spacing w:line="440" w:lineRule="exact"/>
        <w:jc w:val="center"/>
        <w:rPr>
          <w:rFonts w:ascii="仿宋" w:hAnsi="仿宋" w:eastAsia="仿宋" w:cs="仿宋"/>
          <w:bCs/>
          <w:color w:val="auto"/>
          <w:sz w:val="32"/>
          <w:szCs w:val="32"/>
          <w:highlight w:val="none"/>
        </w:rPr>
      </w:pPr>
    </w:p>
    <w:p w14:paraId="650700FC">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EBD96E9">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分标（如有）：</w:t>
      </w:r>
      <w:r>
        <w:rPr>
          <w:rFonts w:hint="eastAsia" w:ascii="仿宋" w:hAnsi="仿宋" w:eastAsia="仿宋" w:cs="仿宋"/>
          <w:color w:val="auto"/>
          <w:sz w:val="24"/>
          <w:highlight w:val="none"/>
          <w:u w:val="single"/>
        </w:rPr>
        <w:t xml:space="preserve">                                         </w:t>
      </w:r>
    </w:p>
    <w:p w14:paraId="4FD4596B">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EAF44AA">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单位：元</w:t>
      </w: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4EAB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8BB95C7">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48FEE32B">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5EA30D07">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371159E9">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7A3BCDF1">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BE9B19D">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A1CCA08">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510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02F2A7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45ED689F">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FA96046">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30EA343C">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0A585A13">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14AEC81">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ADB33AD">
            <w:pPr>
              <w:spacing w:line="360" w:lineRule="auto"/>
              <w:contextualSpacing/>
              <w:rPr>
                <w:rFonts w:ascii="仿宋" w:hAnsi="仿宋" w:eastAsia="仿宋" w:cs="仿宋"/>
                <w:color w:val="auto"/>
                <w:sz w:val="24"/>
                <w:highlight w:val="none"/>
              </w:rPr>
            </w:pPr>
          </w:p>
        </w:tc>
      </w:tr>
      <w:tr w14:paraId="4D4B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3DDCCF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07DAB48B">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58D5EBF4">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41843EBC">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03739916">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34D65EAC">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2822785">
            <w:pPr>
              <w:spacing w:line="360" w:lineRule="auto"/>
              <w:contextualSpacing/>
              <w:rPr>
                <w:rFonts w:ascii="仿宋" w:hAnsi="仿宋" w:eastAsia="仿宋" w:cs="仿宋"/>
                <w:color w:val="auto"/>
                <w:sz w:val="24"/>
                <w:highlight w:val="none"/>
              </w:rPr>
            </w:pPr>
          </w:p>
        </w:tc>
      </w:tr>
      <w:tr w14:paraId="4DB9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8CCBCE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1ACEF6E6">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9073BDA">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464D00AE">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43B85993">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44C670DA">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E862A2F">
            <w:pPr>
              <w:spacing w:line="360" w:lineRule="auto"/>
              <w:contextualSpacing/>
              <w:rPr>
                <w:rFonts w:ascii="仿宋" w:hAnsi="仿宋" w:eastAsia="仿宋" w:cs="仿宋"/>
                <w:color w:val="auto"/>
                <w:sz w:val="24"/>
                <w:highlight w:val="none"/>
              </w:rPr>
            </w:pPr>
          </w:p>
        </w:tc>
      </w:tr>
      <w:tr w14:paraId="37B2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3DFA0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375A969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617" w:type="dxa"/>
            <w:tcBorders>
              <w:top w:val="single" w:color="auto" w:sz="4" w:space="0"/>
              <w:left w:val="single" w:color="auto" w:sz="4" w:space="0"/>
              <w:bottom w:val="single" w:color="auto" w:sz="4" w:space="0"/>
              <w:right w:val="single" w:color="auto" w:sz="4" w:space="0"/>
            </w:tcBorders>
            <w:vAlign w:val="center"/>
          </w:tcPr>
          <w:p w14:paraId="2CB0241D">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138C1FBB">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28A68CBD">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4B011240">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7B10229">
            <w:pPr>
              <w:spacing w:line="360" w:lineRule="auto"/>
              <w:contextualSpacing/>
              <w:rPr>
                <w:rFonts w:ascii="仿宋" w:hAnsi="仿宋" w:eastAsia="仿宋" w:cs="仿宋"/>
                <w:color w:val="auto"/>
                <w:sz w:val="24"/>
                <w:highlight w:val="none"/>
              </w:rPr>
            </w:pPr>
          </w:p>
        </w:tc>
      </w:tr>
      <w:tr w14:paraId="1A6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FBE8C0D">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43D5D017">
      <w:pPr>
        <w:spacing w:line="400" w:lineRule="exact"/>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14:paraId="5738078C">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1.供应商的报价表必须加盖供应商公章并由法定代表人或者委托代理人签字，</w:t>
      </w:r>
      <w:r>
        <w:rPr>
          <w:rFonts w:hint="eastAsia" w:ascii="仿宋" w:hAnsi="仿宋" w:eastAsia="仿宋" w:cs="仿宋"/>
          <w:b/>
          <w:color w:val="auto"/>
          <w:sz w:val="24"/>
          <w:highlight w:val="none"/>
        </w:rPr>
        <w:t>否则其响应文件按无效响应处理</w:t>
      </w:r>
      <w:r>
        <w:rPr>
          <w:rFonts w:hint="eastAsia" w:ascii="仿宋" w:hAnsi="仿宋" w:eastAsia="仿宋" w:cs="仿宋"/>
          <w:color w:val="auto"/>
          <w:sz w:val="24"/>
          <w:highlight w:val="none"/>
        </w:rPr>
        <w:t>。</w:t>
      </w:r>
    </w:p>
    <w:p w14:paraId="7DC44972">
      <w:pPr>
        <w:spacing w:line="400" w:lineRule="exact"/>
        <w:ind w:firstLine="480" w:firstLineChars="200"/>
        <w:contextualSpacing/>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报价一经涂改，应在涂改处加盖供应商公章或者由法定代表人或者委托代理人签字或者盖章</w:t>
      </w:r>
      <w:r>
        <w:rPr>
          <w:rFonts w:hint="eastAsia" w:ascii="仿宋" w:hAnsi="仿宋" w:eastAsia="仿宋" w:cs="仿宋"/>
          <w:b/>
          <w:color w:val="auto"/>
          <w:sz w:val="24"/>
          <w:highlight w:val="none"/>
        </w:rPr>
        <w:t>，否则其响应文件按无效响应处理。</w:t>
      </w:r>
    </w:p>
    <w:p w14:paraId="41B32C32">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否则其响应文件按无效响应处理。（采购人可根据项目情况自行修改是否需要联合体各方签字盖章）。</w:t>
      </w:r>
    </w:p>
    <w:p w14:paraId="64FD0CD5">
      <w:pPr>
        <w:spacing w:line="400" w:lineRule="exact"/>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4.如为联合体竞标，盖章处须加盖联合体各方公章，</w:t>
      </w:r>
      <w:bookmarkStart w:id="52" w:name="_Hlk65851776"/>
      <w:r>
        <w:rPr>
          <w:rFonts w:hint="eastAsia" w:ascii="仿宋" w:hAnsi="仿宋" w:eastAsia="仿宋" w:cs="仿宋"/>
          <w:b/>
          <w:color w:val="auto"/>
          <w:sz w:val="24"/>
          <w:highlight w:val="none"/>
        </w:rPr>
        <w:t>否则其响应文件按无效响应处理。</w:t>
      </w:r>
      <w:bookmarkEnd w:id="52"/>
      <w:r>
        <w:rPr>
          <w:rFonts w:hint="eastAsia" w:ascii="仿宋" w:hAnsi="仿宋" w:eastAsia="仿宋" w:cs="仿宋"/>
          <w:b/>
          <w:color w:val="auto"/>
          <w:sz w:val="24"/>
          <w:highlight w:val="none"/>
        </w:rPr>
        <w:t>（采购人可根据项目情况自行修改是否需要联合体各方签字盖章）。</w:t>
      </w:r>
    </w:p>
    <w:p w14:paraId="1A793BCB">
      <w:pPr>
        <w:spacing w:line="400" w:lineRule="exact"/>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23E68E8D">
      <w:pPr>
        <w:spacing w:line="400" w:lineRule="exact"/>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4BE476C0">
      <w:pPr>
        <w:spacing w:line="400" w:lineRule="exact"/>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76FCBC0D">
      <w:pPr>
        <w:spacing w:line="400" w:lineRule="exact"/>
        <w:ind w:right="-817" w:rightChars="-389"/>
        <w:contextualSpacing/>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pacing w:val="20"/>
          <w:sz w:val="24"/>
          <w:highlight w:val="none"/>
          <w:u w:val="single"/>
        </w:rPr>
        <w:t xml:space="preserve">         </w:t>
      </w:r>
    </w:p>
    <w:p w14:paraId="20247C2D">
      <w:pPr>
        <w:pStyle w:val="2"/>
        <w:rPr>
          <w:rFonts w:ascii="仿宋" w:hAnsi="仿宋" w:eastAsia="仿宋" w:cs="仿宋"/>
          <w:color w:val="auto"/>
          <w:spacing w:val="20"/>
          <w:sz w:val="24"/>
          <w:highlight w:val="none"/>
          <w:u w:val="single"/>
        </w:rPr>
      </w:pPr>
    </w:p>
    <w:p w14:paraId="417F0DB1">
      <w:pPr>
        <w:jc w:val="center"/>
        <w:rPr>
          <w:rFonts w:ascii="仿宋" w:hAnsi="仿宋" w:eastAsia="仿宋" w:cs="仿宋"/>
          <w:bCs/>
          <w:color w:val="auto"/>
          <w:sz w:val="36"/>
          <w:szCs w:val="36"/>
          <w:highlight w:val="none"/>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eastAsia="zh-CN"/>
        </w:rPr>
        <w:t>广西水产畜牧学校智能网联汽车实训平台采购</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GXZC2025-C3-001536-KWZB</w:t>
      </w:r>
      <w:r>
        <w:rPr>
          <w:rFonts w:hint="eastAsia" w:ascii="仿宋" w:hAnsi="仿宋" w:eastAsia="仿宋" w:cs="仿宋"/>
          <w:b/>
          <w:color w:val="auto"/>
          <w:sz w:val="32"/>
          <w:szCs w:val="32"/>
          <w:highlight w:val="none"/>
        </w:rPr>
        <w:t>）</w:t>
      </w:r>
      <w:r>
        <w:rPr>
          <w:rFonts w:hint="eastAsia" w:ascii="仿宋" w:hAnsi="仿宋" w:eastAsia="仿宋" w:cs="仿宋"/>
          <w:b/>
          <w:color w:val="auto"/>
          <w:sz w:val="36"/>
          <w:szCs w:val="36"/>
          <w:highlight w:val="none"/>
        </w:rPr>
        <w:t>最后报价</w:t>
      </w:r>
    </w:p>
    <w:p w14:paraId="3EB53267">
      <w:pPr>
        <w:rPr>
          <w:rFonts w:ascii="仿宋" w:hAnsi="仿宋" w:eastAsia="仿宋" w:cs="仿宋"/>
          <w:color w:val="auto"/>
          <w:highlight w:val="none"/>
        </w:rPr>
      </w:pP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4065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F89D200">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1074659">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7E537694">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03BD5420">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1713E003">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9EE134D">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553D76F">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820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FF3135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54B8099">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8B60DE7">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20BB5A01">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11715E2C">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2629ABC6">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76A05A9C">
            <w:pPr>
              <w:spacing w:line="360" w:lineRule="auto"/>
              <w:contextualSpacing/>
              <w:rPr>
                <w:rFonts w:ascii="仿宋" w:hAnsi="仿宋" w:eastAsia="仿宋" w:cs="仿宋"/>
                <w:color w:val="auto"/>
                <w:sz w:val="24"/>
                <w:highlight w:val="none"/>
              </w:rPr>
            </w:pPr>
          </w:p>
        </w:tc>
      </w:tr>
      <w:tr w14:paraId="78A6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728346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5BA180C0">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6B5B5E88">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376C2348">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3F34060F">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29D44401">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3388B9B">
            <w:pPr>
              <w:spacing w:line="360" w:lineRule="auto"/>
              <w:contextualSpacing/>
              <w:rPr>
                <w:rFonts w:ascii="仿宋" w:hAnsi="仿宋" w:eastAsia="仿宋" w:cs="仿宋"/>
                <w:color w:val="auto"/>
                <w:sz w:val="24"/>
                <w:highlight w:val="none"/>
              </w:rPr>
            </w:pPr>
          </w:p>
        </w:tc>
      </w:tr>
      <w:tr w14:paraId="4A4F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FC2035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712" w:type="dxa"/>
            <w:tcBorders>
              <w:top w:val="single" w:color="auto" w:sz="4" w:space="0"/>
              <w:left w:val="single" w:color="auto" w:sz="4" w:space="0"/>
              <w:bottom w:val="single" w:color="auto" w:sz="4" w:space="0"/>
              <w:right w:val="single" w:color="auto" w:sz="4" w:space="0"/>
            </w:tcBorders>
            <w:vAlign w:val="center"/>
          </w:tcPr>
          <w:p w14:paraId="337DC784">
            <w:pPr>
              <w:spacing w:line="360" w:lineRule="auto"/>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1CFD3DEB">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06A9612D">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15B988AB">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3AAD090">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10C505D">
            <w:pPr>
              <w:spacing w:line="360" w:lineRule="auto"/>
              <w:contextualSpacing/>
              <w:rPr>
                <w:rFonts w:ascii="仿宋" w:hAnsi="仿宋" w:eastAsia="仿宋" w:cs="仿宋"/>
                <w:color w:val="auto"/>
                <w:sz w:val="24"/>
                <w:highlight w:val="none"/>
              </w:rPr>
            </w:pPr>
          </w:p>
        </w:tc>
      </w:tr>
      <w:tr w14:paraId="0E3B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24424F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32C2215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617" w:type="dxa"/>
            <w:tcBorders>
              <w:top w:val="single" w:color="auto" w:sz="4" w:space="0"/>
              <w:left w:val="single" w:color="auto" w:sz="4" w:space="0"/>
              <w:bottom w:val="single" w:color="auto" w:sz="4" w:space="0"/>
              <w:right w:val="single" w:color="auto" w:sz="4" w:space="0"/>
            </w:tcBorders>
            <w:vAlign w:val="center"/>
          </w:tcPr>
          <w:p w14:paraId="01741CFC">
            <w:pPr>
              <w:spacing w:line="360" w:lineRule="auto"/>
              <w:contextualSpacing/>
              <w:jc w:val="center"/>
              <w:rPr>
                <w:rFonts w:ascii="仿宋" w:hAnsi="仿宋" w:eastAsia="仿宋" w:cs="仿宋"/>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4BF92A85">
            <w:pPr>
              <w:spacing w:line="360" w:lineRule="auto"/>
              <w:contextualSpacing/>
              <w:rPr>
                <w:rFonts w:ascii="仿宋" w:hAnsi="仿宋" w:eastAsia="仿宋" w:cs="仿宋"/>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4752734">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54E8F775">
            <w:pPr>
              <w:spacing w:line="360" w:lineRule="auto"/>
              <w:contextualSpacing/>
              <w:rPr>
                <w:rFonts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A0AC373">
            <w:pPr>
              <w:spacing w:line="360" w:lineRule="auto"/>
              <w:contextualSpacing/>
              <w:rPr>
                <w:rFonts w:ascii="仿宋" w:hAnsi="仿宋" w:eastAsia="仿宋" w:cs="仿宋"/>
                <w:color w:val="auto"/>
                <w:sz w:val="24"/>
                <w:highlight w:val="none"/>
              </w:rPr>
            </w:pPr>
          </w:p>
        </w:tc>
      </w:tr>
      <w:tr w14:paraId="6695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38B1E9BB">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14:paraId="16BAC474">
      <w:pPr>
        <w:spacing w:before="312" w:beforeLines="100" w:after="156" w:afterLines="50" w:line="520" w:lineRule="exact"/>
        <w:ind w:left="540"/>
        <w:jc w:val="center"/>
        <w:rPr>
          <w:rFonts w:ascii="仿宋" w:hAnsi="仿宋" w:eastAsia="仿宋" w:cs="仿宋"/>
          <w:b/>
          <w:color w:val="auto"/>
          <w:sz w:val="32"/>
          <w:szCs w:val="32"/>
          <w:highlight w:val="none"/>
        </w:rPr>
      </w:pPr>
    </w:p>
    <w:p w14:paraId="160F31A1">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07BF6441">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5D2CCEE6">
      <w:pPr>
        <w:spacing w:line="360" w:lineRule="auto"/>
        <w:ind w:right="-817" w:rightChars="-389"/>
        <w:contextualSpacing/>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pacing w:val="20"/>
          <w:sz w:val="24"/>
          <w:highlight w:val="none"/>
          <w:u w:val="single"/>
        </w:rPr>
        <w:t xml:space="preserve">         </w:t>
      </w:r>
    </w:p>
    <w:p w14:paraId="15B3174D">
      <w:pPr>
        <w:spacing w:before="312" w:beforeLines="100" w:after="156" w:afterLines="50" w:line="520" w:lineRule="exact"/>
        <w:ind w:left="540"/>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Cs/>
          <w:color w:val="auto"/>
          <w:sz w:val="44"/>
          <w:szCs w:val="44"/>
          <w:highlight w:val="none"/>
        </w:rPr>
        <w:t>法定代表人身份证明</w:t>
      </w:r>
    </w:p>
    <w:p w14:paraId="49CAB8F1">
      <w:pPr>
        <w:spacing w:line="360" w:lineRule="auto"/>
        <w:ind w:left="540"/>
        <w:contextualSpacing/>
        <w:rPr>
          <w:rFonts w:ascii="仿宋" w:hAnsi="仿宋" w:eastAsia="仿宋" w:cs="仿宋"/>
          <w:color w:val="auto"/>
          <w:sz w:val="32"/>
          <w:szCs w:val="32"/>
          <w:highlight w:val="none"/>
        </w:rPr>
      </w:pPr>
    </w:p>
    <w:p w14:paraId="1A35054D">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p>
    <w:p w14:paraId="4196E0D0">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746CFADE">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14:paraId="57EA96D5">
      <w:pPr>
        <w:spacing w:line="360" w:lineRule="auto"/>
        <w:ind w:left="54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2D377AA">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D30A74A">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0C15C625">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206FB9B">
      <w:pPr>
        <w:spacing w:line="360" w:lineRule="auto"/>
        <w:ind w:left="540"/>
        <w:contextualSpacing/>
        <w:rPr>
          <w:rFonts w:ascii="仿宋" w:hAnsi="仿宋" w:eastAsia="仿宋" w:cs="仿宋"/>
          <w:color w:val="auto"/>
          <w:sz w:val="24"/>
          <w:highlight w:val="none"/>
        </w:rPr>
      </w:pPr>
    </w:p>
    <w:p w14:paraId="5B7EA38A">
      <w:pPr>
        <w:spacing w:line="360" w:lineRule="auto"/>
        <w:ind w:left="540"/>
        <w:contextualSpacing/>
        <w:rPr>
          <w:rFonts w:ascii="仿宋" w:hAnsi="仿宋" w:eastAsia="仿宋" w:cs="仿宋"/>
          <w:color w:val="auto"/>
          <w:sz w:val="24"/>
          <w:highlight w:val="none"/>
        </w:rPr>
      </w:pPr>
    </w:p>
    <w:p w14:paraId="52622284">
      <w:pPr>
        <w:spacing w:line="360" w:lineRule="auto"/>
        <w:ind w:left="540"/>
        <w:contextualSpacing/>
        <w:rPr>
          <w:rFonts w:ascii="仿宋" w:hAnsi="仿宋" w:eastAsia="仿宋" w:cs="仿宋"/>
          <w:color w:val="auto"/>
          <w:sz w:val="24"/>
          <w:highlight w:val="none"/>
        </w:rPr>
      </w:pPr>
    </w:p>
    <w:p w14:paraId="37A56EDD">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3E6AF0A9">
      <w:pPr>
        <w:spacing w:line="360" w:lineRule="auto"/>
        <w:ind w:left="540"/>
        <w:contextualSpacing/>
        <w:rPr>
          <w:rFonts w:ascii="仿宋" w:hAnsi="仿宋" w:eastAsia="仿宋" w:cs="仿宋"/>
          <w:color w:val="auto"/>
          <w:sz w:val="24"/>
          <w:highlight w:val="none"/>
        </w:rPr>
      </w:pPr>
    </w:p>
    <w:p w14:paraId="3464F9B9">
      <w:pPr>
        <w:spacing w:line="360" w:lineRule="auto"/>
        <w:ind w:left="54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z w:val="24"/>
          <w:highlight w:val="none"/>
          <w:u w:val="single"/>
        </w:rPr>
        <w:t xml:space="preserve">               </w:t>
      </w:r>
    </w:p>
    <w:p w14:paraId="468E0EE5">
      <w:pPr>
        <w:spacing w:line="360" w:lineRule="auto"/>
        <w:ind w:left="54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pacing w:val="20"/>
          <w:sz w:val="24"/>
          <w:highlight w:val="none"/>
          <w:u w:val="single"/>
        </w:rPr>
        <w:t xml:space="preserve">         </w:t>
      </w:r>
    </w:p>
    <w:p w14:paraId="2E752DDA">
      <w:pPr>
        <w:spacing w:line="360" w:lineRule="auto"/>
        <w:contextualSpacing/>
        <w:jc w:val="center"/>
        <w:rPr>
          <w:rFonts w:ascii="仿宋" w:hAnsi="仿宋" w:eastAsia="仿宋" w:cs="仿宋"/>
          <w:b/>
          <w:color w:val="auto"/>
          <w:sz w:val="24"/>
          <w:highlight w:val="none"/>
        </w:rPr>
      </w:pPr>
    </w:p>
    <w:p w14:paraId="5F7EF636">
      <w:pPr>
        <w:spacing w:line="360" w:lineRule="auto"/>
        <w:contextualSpacing/>
        <w:jc w:val="left"/>
        <w:rPr>
          <w:rFonts w:ascii="仿宋" w:hAnsi="仿宋" w:eastAsia="仿宋" w:cs="仿宋"/>
          <w:color w:val="auto"/>
          <w:sz w:val="24"/>
          <w:highlight w:val="none"/>
        </w:rPr>
      </w:pPr>
    </w:p>
    <w:p w14:paraId="2E6B6A61">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注：自然人竞标的无需提供，联合体竞标的只需牵头人出具。</w:t>
      </w:r>
    </w:p>
    <w:p w14:paraId="70D8CEA6">
      <w:pPr>
        <w:adjustRightInd w:val="0"/>
        <w:snapToGrid w:val="0"/>
        <w:spacing w:line="300" w:lineRule="auto"/>
        <w:jc w:val="left"/>
        <w:rPr>
          <w:rFonts w:ascii="仿宋" w:hAnsi="仿宋" w:eastAsia="仿宋" w:cs="仿宋"/>
          <w:b/>
          <w:color w:val="auto"/>
          <w:szCs w:val="21"/>
          <w:highlight w:val="none"/>
        </w:rPr>
      </w:pPr>
    </w:p>
    <w:p w14:paraId="4ABD6F69">
      <w:pPr>
        <w:spacing w:line="50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 xml:space="preserve"> </w:t>
      </w:r>
    </w:p>
    <w:p w14:paraId="0384F426">
      <w:pPr>
        <w:spacing w:line="520" w:lineRule="exact"/>
        <w:jc w:val="center"/>
        <w:rPr>
          <w:rFonts w:ascii="仿宋" w:hAnsi="仿宋" w:eastAsia="仿宋" w:cs="仿宋"/>
          <w:color w:val="auto"/>
          <w:sz w:val="44"/>
          <w:szCs w:val="44"/>
          <w:highlight w:val="none"/>
        </w:rPr>
      </w:pPr>
      <w:bookmarkStart w:id="53" w:name="_Hlk65853643"/>
      <w:r>
        <w:rPr>
          <w:rFonts w:hint="eastAsia" w:ascii="仿宋" w:hAnsi="仿宋" w:eastAsia="仿宋" w:cs="仿宋"/>
          <w:color w:val="auto"/>
          <w:sz w:val="44"/>
          <w:szCs w:val="44"/>
          <w:highlight w:val="none"/>
        </w:rPr>
        <w:t>授权委托书</w:t>
      </w:r>
    </w:p>
    <w:p w14:paraId="58FB2FBA">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033097DE">
      <w:pPr>
        <w:spacing w:line="520" w:lineRule="exact"/>
        <w:jc w:val="center"/>
        <w:rPr>
          <w:rFonts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3F5D2586">
      <w:pPr>
        <w:spacing w:line="520" w:lineRule="exact"/>
        <w:rPr>
          <w:rFonts w:ascii="仿宋" w:hAnsi="仿宋" w:eastAsia="仿宋" w:cs="仿宋"/>
          <w:color w:val="auto"/>
          <w:sz w:val="32"/>
          <w:szCs w:val="32"/>
          <w:highlight w:val="none"/>
        </w:rPr>
      </w:pPr>
    </w:p>
    <w:p w14:paraId="7FFBE24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0839B6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（供应商名称）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项目的竞标活动，并代表我方全权办理针对上述项目的所有采购程序和环节的具体事务和签署相关文件。</w:t>
      </w:r>
    </w:p>
    <w:p w14:paraId="56A4E5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14:paraId="279509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4884D5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02929F0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14:paraId="436063E8">
      <w:pPr>
        <w:spacing w:line="360" w:lineRule="auto"/>
        <w:rPr>
          <w:rFonts w:ascii="仿宋" w:hAnsi="仿宋" w:eastAsia="仿宋" w:cs="仿宋"/>
          <w:color w:val="auto"/>
          <w:sz w:val="24"/>
          <w:highlight w:val="none"/>
        </w:rPr>
      </w:pPr>
    </w:p>
    <w:p w14:paraId="35FA54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法定代表人（签字或者盖章）：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7C00DB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33CEF0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89032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供应商（盖公章或CA章）：                      </w:t>
      </w:r>
    </w:p>
    <w:p w14:paraId="36EF2D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57780E7">
      <w:pPr>
        <w:spacing w:line="360" w:lineRule="auto"/>
        <w:rPr>
          <w:rFonts w:ascii="仿宋" w:hAnsi="仿宋" w:eastAsia="仿宋" w:cs="仿宋"/>
          <w:color w:val="auto"/>
          <w:sz w:val="24"/>
          <w:highlight w:val="none"/>
        </w:rPr>
      </w:pPr>
    </w:p>
    <w:p w14:paraId="55AEF6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法定代表人必须在授权委托书上亲笔签字或者盖章，委托代理人必须在授权委托书上亲笔签字，</w:t>
      </w:r>
      <w:r>
        <w:rPr>
          <w:rFonts w:hint="eastAsia" w:ascii="仿宋" w:hAnsi="仿宋" w:eastAsia="仿宋" w:cs="仿宋"/>
          <w:b/>
          <w:color w:val="auto"/>
          <w:sz w:val="24"/>
          <w:highlight w:val="none"/>
        </w:rPr>
        <w:t>否则其响应文件按无效响应处理。</w:t>
      </w:r>
    </w:p>
    <w:p w14:paraId="5D5FCA0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bookmarkStart w:id="54" w:name="_Hlk65853109"/>
      <w:bookmarkStart w:id="55" w:name="_Hlk65853542"/>
      <w:r>
        <w:rPr>
          <w:rFonts w:hint="eastAsia" w:ascii="仿宋" w:hAnsi="仿宋" w:eastAsia="仿宋" w:cs="仿宋"/>
          <w:color w:val="auto"/>
          <w:sz w:val="24"/>
          <w:highlight w:val="none"/>
        </w:rPr>
        <w:t>法人、其他组织竞标时“我方”是指“我单位”，自然人竞标时“我方”是指“本人”。</w:t>
      </w:r>
      <w:bookmarkEnd w:id="54"/>
    </w:p>
    <w:bookmarkEnd w:id="55"/>
    <w:p w14:paraId="36094288">
      <w:pPr>
        <w:spacing w:line="360" w:lineRule="auto"/>
        <w:ind w:firstLine="420" w:firstLineChars="200"/>
        <w:jc w:val="left"/>
        <w:rPr>
          <w:rFonts w:ascii="仿宋" w:hAnsi="仿宋" w:eastAsia="仿宋" w:cs="仿宋"/>
          <w:color w:val="auto"/>
          <w:szCs w:val="21"/>
          <w:highlight w:val="none"/>
        </w:rPr>
      </w:pPr>
    </w:p>
    <w:p w14:paraId="6616DE41">
      <w:pPr>
        <w:spacing w:line="500" w:lineRule="exact"/>
        <w:jc w:val="center"/>
        <w:rPr>
          <w:rFonts w:ascii="仿宋" w:hAnsi="仿宋" w:eastAsia="仿宋" w:cs="仿宋"/>
          <w:bCs/>
          <w:color w:val="auto"/>
          <w:sz w:val="44"/>
          <w:szCs w:val="44"/>
          <w:highlight w:val="none"/>
        </w:rPr>
      </w:pPr>
      <w:r>
        <w:rPr>
          <w:rFonts w:hint="eastAsia" w:ascii="仿宋" w:hAnsi="仿宋" w:eastAsia="仿宋" w:cs="仿宋"/>
          <w:color w:val="auto"/>
          <w:szCs w:val="21"/>
          <w:highlight w:val="none"/>
        </w:rPr>
        <w:br w:type="page"/>
      </w:r>
      <w:bookmarkEnd w:id="53"/>
      <w:r>
        <w:rPr>
          <w:rFonts w:hint="eastAsia" w:ascii="仿宋" w:hAnsi="仿宋" w:eastAsia="仿宋" w:cs="仿宋"/>
          <w:bCs/>
          <w:color w:val="auto"/>
          <w:sz w:val="44"/>
          <w:szCs w:val="44"/>
          <w:highlight w:val="none"/>
        </w:rPr>
        <w:t>商务要求偏离表（格式）</w:t>
      </w:r>
    </w:p>
    <w:p w14:paraId="319312A7">
      <w:pPr>
        <w:spacing w:line="500" w:lineRule="exact"/>
        <w:jc w:val="center"/>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（注：按采购需求具体条款修改）</w:t>
      </w:r>
    </w:p>
    <w:p w14:paraId="6B9E42FE">
      <w:pPr>
        <w:spacing w:line="360" w:lineRule="auto"/>
        <w:contextualSpacing/>
        <w:jc w:val="left"/>
        <w:rPr>
          <w:rFonts w:ascii="仿宋" w:hAnsi="仿宋" w:eastAsia="仿宋" w:cs="仿宋"/>
          <w:color w:val="auto"/>
          <w:sz w:val="24"/>
          <w:highlight w:val="none"/>
        </w:rPr>
      </w:pPr>
    </w:p>
    <w:p w14:paraId="33DCC6E4">
      <w:pPr>
        <w:pStyle w:val="16"/>
        <w:spacing w:line="360" w:lineRule="auto"/>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r>
        <w:rPr>
          <w:rFonts w:hint="eastAsia" w:ascii="仿宋" w:hAnsi="仿宋" w:eastAsia="仿宋" w:cs="仿宋"/>
          <w:color w:val="auto"/>
          <w:sz w:val="24"/>
          <w:szCs w:val="24"/>
          <w:highlight w:val="none"/>
          <w:u w:val="single"/>
        </w:rPr>
        <w:t xml:space="preserve">              </w:t>
      </w:r>
    </w:p>
    <w:p w14:paraId="6A2EC4DB">
      <w:pPr>
        <w:spacing w:line="360" w:lineRule="auto"/>
        <w:contextualSpacing/>
        <w:jc w:val="left"/>
        <w:rPr>
          <w:rFonts w:ascii="仿宋" w:hAnsi="仿宋" w:eastAsia="仿宋" w:cs="仿宋"/>
          <w:color w:val="auto"/>
          <w:sz w:val="24"/>
          <w:highlight w:val="none"/>
          <w:u w:val="single"/>
        </w:rPr>
      </w:pPr>
    </w:p>
    <w:tbl>
      <w:tblPr>
        <w:tblStyle w:val="25"/>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D7F7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2CFC7D7">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7BC011C">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057EA25">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10B147F">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66AA5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C428394">
            <w:pPr>
              <w:jc w:val="center"/>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F9D894C">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E165C14">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34399D4">
            <w:pPr>
              <w:spacing w:line="360" w:lineRule="auto"/>
              <w:contextualSpacing/>
              <w:jc w:val="center"/>
              <w:rPr>
                <w:rFonts w:ascii="仿宋" w:hAnsi="仿宋" w:eastAsia="仿宋" w:cs="仿宋"/>
                <w:color w:val="auto"/>
                <w:sz w:val="24"/>
                <w:highlight w:val="none"/>
              </w:rPr>
            </w:pPr>
          </w:p>
        </w:tc>
      </w:tr>
      <w:tr w14:paraId="4FFC3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34113AE">
            <w:pPr>
              <w:jc w:val="center"/>
              <w:rPr>
                <w:rFonts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F542459">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5D9534D">
            <w:pPr>
              <w:spacing w:line="360" w:lineRule="auto"/>
              <w:ind w:left="43"/>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2C3A928">
            <w:pPr>
              <w:spacing w:line="360" w:lineRule="auto"/>
              <w:ind w:left="43"/>
              <w:contextualSpacing/>
              <w:jc w:val="center"/>
              <w:rPr>
                <w:rFonts w:ascii="仿宋" w:hAnsi="仿宋" w:eastAsia="仿宋" w:cs="仿宋"/>
                <w:color w:val="auto"/>
                <w:sz w:val="24"/>
                <w:highlight w:val="none"/>
              </w:rPr>
            </w:pPr>
          </w:p>
        </w:tc>
      </w:tr>
      <w:tr w14:paraId="5126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A91EA5B">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2863F49">
            <w:pPr>
              <w:spacing w:line="360" w:lineRule="auto"/>
              <w:contextualSpacing/>
              <w:jc w:val="center"/>
              <w:rPr>
                <w:rFonts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53ADAE7">
            <w:pPr>
              <w:spacing w:line="360" w:lineRule="auto"/>
              <w:contextualSpacing/>
              <w:jc w:val="center"/>
              <w:rPr>
                <w:rFonts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6F179AE">
            <w:pPr>
              <w:spacing w:line="360" w:lineRule="auto"/>
              <w:contextualSpacing/>
              <w:jc w:val="center"/>
              <w:rPr>
                <w:rFonts w:ascii="仿宋" w:hAnsi="仿宋" w:eastAsia="仿宋" w:cs="仿宋"/>
                <w:color w:val="auto"/>
                <w:sz w:val="24"/>
                <w:highlight w:val="none"/>
              </w:rPr>
            </w:pPr>
          </w:p>
        </w:tc>
      </w:tr>
    </w:tbl>
    <w:p w14:paraId="5C80969E">
      <w:pPr>
        <w:pStyle w:val="11"/>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2CBD5303">
      <w:pPr>
        <w:pStyle w:val="11"/>
        <w:spacing w:after="0" w:line="360" w:lineRule="auto"/>
        <w:contextualSpacing/>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说明：应对照磋商文件“第三章 采购需求”中的商务要求逐条作出明确响应，并作出偏离说明。</w:t>
      </w:r>
    </w:p>
    <w:p w14:paraId="1A5AE329">
      <w:pPr>
        <w:spacing w:line="360" w:lineRule="auto"/>
        <w:contextualSpacing/>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2.供应商应根据自身的承诺，对照磋商文件要求在“偏离说明”中注明“正偏离”、“负偏离”或者“无偏离”。既不属于“正偏离”也不属于“负偏离”即为“无偏离”。</w:t>
      </w:r>
    </w:p>
    <w:p w14:paraId="5291F8B0">
      <w:pPr>
        <w:spacing w:line="360" w:lineRule="auto"/>
        <w:ind w:right="-817" w:rightChars="-389"/>
        <w:contextualSpacing/>
        <w:rPr>
          <w:rFonts w:ascii="仿宋" w:hAnsi="仿宋" w:eastAsia="仿宋" w:cs="仿宋"/>
          <w:color w:val="auto"/>
          <w:sz w:val="24"/>
          <w:highlight w:val="none"/>
        </w:rPr>
      </w:pPr>
    </w:p>
    <w:p w14:paraId="6006A3B0">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0971DEAD">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34D04BBB">
      <w:pPr>
        <w:spacing w:line="360" w:lineRule="auto"/>
        <w:ind w:right="-817" w:rightChars="-389"/>
        <w:contextualSpacing/>
        <w:rPr>
          <w:rFonts w:ascii="仿宋" w:hAnsi="仿宋" w:eastAsia="仿宋" w:cs="仿宋"/>
          <w:b/>
          <w:color w:val="auto"/>
          <w:sz w:val="32"/>
          <w:szCs w:val="32"/>
          <w:highlight w:val="none"/>
        </w:rPr>
      </w:pPr>
      <w:r>
        <w:rPr>
          <w:rFonts w:hint="eastAsia" w:ascii="仿宋" w:hAnsi="仿宋" w:eastAsia="仿宋" w:cs="仿宋"/>
          <w:color w:val="auto"/>
          <w:sz w:val="24"/>
          <w:highlight w:val="none"/>
        </w:rPr>
        <w:t>日期：</w:t>
      </w:r>
      <w:r>
        <w:rPr>
          <w:rFonts w:hint="eastAsia" w:ascii="仿宋" w:hAnsi="仿宋" w:eastAsia="仿宋" w:cs="仿宋"/>
          <w:color w:val="auto"/>
          <w:spacing w:val="20"/>
          <w:sz w:val="24"/>
          <w:highlight w:val="none"/>
          <w:u w:val="single"/>
        </w:rPr>
        <w:t xml:space="preserve">         </w:t>
      </w:r>
    </w:p>
    <w:p w14:paraId="775E81E4">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3F4E7AE9">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2FB61FC2">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70B63D58">
      <w:pPr>
        <w:adjustRightInd w:val="0"/>
        <w:snapToGrid w:val="0"/>
        <w:spacing w:line="520" w:lineRule="exact"/>
        <w:ind w:firstLine="7040" w:firstLineChars="1600"/>
        <w:jc w:val="center"/>
        <w:rPr>
          <w:rFonts w:ascii="仿宋" w:hAnsi="仿宋" w:eastAsia="仿宋" w:cs="仿宋"/>
          <w:bCs/>
          <w:color w:val="auto"/>
          <w:sz w:val="44"/>
          <w:szCs w:val="44"/>
          <w:highlight w:val="none"/>
        </w:rPr>
      </w:pPr>
    </w:p>
    <w:p w14:paraId="39CEA5EF">
      <w:pPr>
        <w:adjustRightInd w:val="0"/>
        <w:snapToGrid w:val="0"/>
        <w:spacing w:line="520" w:lineRule="exact"/>
        <w:rPr>
          <w:rFonts w:ascii="仿宋" w:hAnsi="仿宋" w:eastAsia="仿宋" w:cs="仿宋"/>
          <w:color w:val="auto"/>
          <w:szCs w:val="21"/>
          <w:highlight w:val="none"/>
          <w:u w:val="single"/>
        </w:rPr>
      </w:pPr>
    </w:p>
    <w:p w14:paraId="2A9A05A3">
      <w:pPr>
        <w:adjustRightInd w:val="0"/>
        <w:snapToGrid w:val="0"/>
        <w:spacing w:line="300" w:lineRule="auto"/>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技术要求偏离表</w:t>
      </w:r>
    </w:p>
    <w:p w14:paraId="61D31334">
      <w:pPr>
        <w:spacing w:line="520" w:lineRule="exact"/>
        <w:rPr>
          <w:rFonts w:ascii="仿宋" w:hAnsi="仿宋" w:eastAsia="仿宋" w:cs="仿宋"/>
          <w:color w:val="auto"/>
          <w:sz w:val="32"/>
          <w:szCs w:val="32"/>
          <w:highlight w:val="none"/>
        </w:rPr>
      </w:pPr>
    </w:p>
    <w:p w14:paraId="3DCB46CE">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p>
    <w:p w14:paraId="3206BD70">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24728001">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分标号：</w:t>
      </w:r>
      <w:r>
        <w:rPr>
          <w:rFonts w:hint="eastAsia" w:ascii="仿宋" w:hAnsi="仿宋" w:eastAsia="仿宋" w:cs="仿宋"/>
          <w:color w:val="auto"/>
          <w:sz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9"/>
        <w:gridCol w:w="969"/>
        <w:gridCol w:w="3216"/>
        <w:gridCol w:w="2895"/>
        <w:gridCol w:w="1579"/>
      </w:tblGrid>
      <w:tr w14:paraId="447E0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4DEA35B1">
            <w:pPr>
              <w:pStyle w:val="12"/>
              <w:spacing w:line="360" w:lineRule="auto"/>
              <w:ind w:firstLine="0"/>
              <w:contextualSpacing/>
              <w:jc w:val="center"/>
              <w:rPr>
                <w:rFonts w:ascii="仿宋" w:hAnsi="仿宋" w:eastAsia="仿宋" w:cs="仿宋"/>
                <w:color w:val="auto"/>
                <w:sz w:val="24"/>
                <w:szCs w:val="24"/>
                <w:highlight w:val="none"/>
              </w:rPr>
            </w:pPr>
            <w:bookmarkStart w:id="56" w:name="_Toc373333689"/>
            <w:bookmarkStart w:id="57" w:name="_Toc173211900"/>
            <w:bookmarkStart w:id="58" w:name="_Toc301781611"/>
            <w:bookmarkStart w:id="59" w:name="_Toc254970729"/>
            <w:bookmarkStart w:id="60" w:name="_Toc297193185"/>
            <w:bookmarkStart w:id="61" w:name="_Toc254970588"/>
            <w:bookmarkStart w:id="62" w:name="_Toc173066401"/>
            <w:bookmarkStart w:id="63" w:name="_Toc295404981"/>
            <w:bookmarkStart w:id="64" w:name="_Toc383699906"/>
            <w:r>
              <w:rPr>
                <w:rFonts w:hint="eastAsia" w:ascii="仿宋" w:hAnsi="仿宋" w:eastAsia="仿宋" w:cs="仿宋"/>
                <w:color w:val="auto"/>
                <w:sz w:val="24"/>
                <w:szCs w:val="24"/>
                <w:highlight w:val="none"/>
              </w:rPr>
              <w:t>序号</w:t>
            </w:r>
            <w:bookmarkEnd w:id="56"/>
            <w:bookmarkEnd w:id="57"/>
            <w:bookmarkEnd w:id="58"/>
            <w:bookmarkEnd w:id="59"/>
            <w:bookmarkEnd w:id="60"/>
            <w:bookmarkEnd w:id="61"/>
            <w:bookmarkEnd w:id="62"/>
            <w:bookmarkEnd w:id="63"/>
            <w:bookmarkEnd w:id="64"/>
          </w:p>
        </w:tc>
        <w:tc>
          <w:tcPr>
            <w:tcW w:w="969" w:type="dxa"/>
            <w:tcBorders>
              <w:right w:val="single" w:color="auto" w:sz="4" w:space="0"/>
            </w:tcBorders>
            <w:vAlign w:val="center"/>
          </w:tcPr>
          <w:p w14:paraId="4BED649D">
            <w:pPr>
              <w:pStyle w:val="12"/>
              <w:spacing w:line="360" w:lineRule="auto"/>
              <w:ind w:firstLine="0"/>
              <w:contextualSpacing/>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216" w:type="dxa"/>
            <w:tcBorders>
              <w:left w:val="single" w:color="auto" w:sz="4" w:space="0"/>
            </w:tcBorders>
            <w:vAlign w:val="center"/>
          </w:tcPr>
          <w:p w14:paraId="730A6373">
            <w:pPr>
              <w:pStyle w:val="12"/>
              <w:spacing w:line="360" w:lineRule="auto"/>
              <w:ind w:firstLine="0"/>
              <w:contextualSpacing/>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磋商文件技术要求</w:t>
            </w:r>
          </w:p>
        </w:tc>
        <w:tc>
          <w:tcPr>
            <w:tcW w:w="2895" w:type="dxa"/>
            <w:vAlign w:val="center"/>
          </w:tcPr>
          <w:p w14:paraId="5DB11A03">
            <w:pPr>
              <w:pStyle w:val="12"/>
              <w:spacing w:line="360" w:lineRule="auto"/>
              <w:ind w:firstLine="0"/>
              <w:contextualSpacing/>
              <w:jc w:val="center"/>
              <w:rPr>
                <w:rFonts w:ascii="仿宋" w:hAnsi="仿宋" w:eastAsia="仿宋" w:cs="仿宋"/>
                <w:color w:val="auto"/>
                <w:sz w:val="24"/>
                <w:szCs w:val="24"/>
                <w:highlight w:val="none"/>
              </w:rPr>
            </w:pPr>
            <w:bookmarkStart w:id="65" w:name="_Toc383699908"/>
            <w:bookmarkStart w:id="66" w:name="_Toc173066403"/>
            <w:bookmarkStart w:id="67" w:name="_Toc295404983"/>
            <w:bookmarkStart w:id="68" w:name="_Toc173211902"/>
            <w:bookmarkStart w:id="69" w:name="_Toc254970731"/>
            <w:bookmarkStart w:id="70" w:name="_Toc297193187"/>
            <w:bookmarkStart w:id="71" w:name="_Toc301781613"/>
            <w:bookmarkStart w:id="72" w:name="_Toc254970590"/>
            <w:bookmarkStart w:id="73" w:name="_Toc373333691"/>
            <w:r>
              <w:rPr>
                <w:rFonts w:hint="eastAsia" w:ascii="仿宋" w:hAnsi="仿宋" w:eastAsia="仿宋" w:cs="仿宋"/>
                <w:color w:val="auto"/>
                <w:sz w:val="24"/>
                <w:szCs w:val="24"/>
                <w:highlight w:val="none"/>
              </w:rPr>
              <w:t>竞标响应</w:t>
            </w:r>
            <w:bookmarkEnd w:id="65"/>
            <w:bookmarkEnd w:id="66"/>
            <w:bookmarkEnd w:id="67"/>
            <w:bookmarkEnd w:id="68"/>
            <w:bookmarkEnd w:id="69"/>
            <w:bookmarkEnd w:id="70"/>
            <w:bookmarkEnd w:id="71"/>
            <w:bookmarkEnd w:id="72"/>
            <w:bookmarkEnd w:id="73"/>
          </w:p>
        </w:tc>
        <w:tc>
          <w:tcPr>
            <w:tcW w:w="1579" w:type="dxa"/>
            <w:vAlign w:val="center"/>
          </w:tcPr>
          <w:p w14:paraId="64A2F5A0">
            <w:pPr>
              <w:pStyle w:val="12"/>
              <w:spacing w:line="360" w:lineRule="auto"/>
              <w:ind w:firstLine="0"/>
              <w:contextualSpacing/>
              <w:jc w:val="center"/>
              <w:rPr>
                <w:rFonts w:ascii="仿宋" w:hAnsi="仿宋" w:eastAsia="仿宋" w:cs="仿宋"/>
                <w:color w:val="auto"/>
                <w:sz w:val="24"/>
                <w:szCs w:val="24"/>
                <w:highlight w:val="none"/>
              </w:rPr>
            </w:pPr>
            <w:bookmarkStart w:id="74" w:name="_Toc301781614"/>
            <w:bookmarkStart w:id="75" w:name="_Toc297193188"/>
            <w:bookmarkStart w:id="76" w:name="_Toc295404984"/>
            <w:bookmarkStart w:id="77" w:name="_Toc254970591"/>
            <w:bookmarkStart w:id="78" w:name="_Toc373333692"/>
            <w:bookmarkStart w:id="79" w:name="_Toc383699909"/>
            <w:bookmarkStart w:id="80" w:name="_Toc254970732"/>
            <w:bookmarkStart w:id="81" w:name="_Toc173211903"/>
            <w:bookmarkStart w:id="82" w:name="_Toc173066404"/>
            <w:r>
              <w:rPr>
                <w:rFonts w:hint="eastAsia" w:ascii="仿宋" w:hAnsi="仿宋" w:eastAsia="仿宋" w:cs="仿宋"/>
                <w:color w:val="auto"/>
                <w:sz w:val="24"/>
                <w:szCs w:val="24"/>
                <w:highlight w:val="none"/>
              </w:rPr>
              <w:t>偏离</w:t>
            </w:r>
            <w:bookmarkEnd w:id="74"/>
            <w:bookmarkEnd w:id="75"/>
            <w:bookmarkEnd w:id="76"/>
            <w:bookmarkEnd w:id="77"/>
            <w:bookmarkEnd w:id="78"/>
            <w:bookmarkEnd w:id="79"/>
            <w:bookmarkEnd w:id="80"/>
            <w:bookmarkEnd w:id="81"/>
            <w:bookmarkEnd w:id="82"/>
            <w:bookmarkStart w:id="83" w:name="_Toc301781615"/>
            <w:bookmarkStart w:id="84" w:name="_Toc254970733"/>
            <w:bookmarkStart w:id="85" w:name="_Toc383699910"/>
            <w:bookmarkStart w:id="86" w:name="_Toc173066405"/>
            <w:bookmarkStart w:id="87" w:name="_Toc254970592"/>
            <w:bookmarkStart w:id="88" w:name="_Toc373333693"/>
            <w:bookmarkStart w:id="89" w:name="_Toc297193189"/>
            <w:bookmarkStart w:id="90" w:name="_Toc173211904"/>
            <w:bookmarkStart w:id="91" w:name="_Toc295404985"/>
            <w:r>
              <w:rPr>
                <w:rFonts w:hint="eastAsia" w:ascii="仿宋" w:hAnsi="仿宋" w:eastAsia="仿宋" w:cs="仿宋"/>
                <w:color w:val="auto"/>
                <w:sz w:val="24"/>
                <w:szCs w:val="24"/>
                <w:highlight w:val="none"/>
              </w:rPr>
              <w:t>说明</w:t>
            </w:r>
            <w:bookmarkEnd w:id="83"/>
            <w:bookmarkEnd w:id="84"/>
            <w:bookmarkEnd w:id="85"/>
            <w:bookmarkEnd w:id="86"/>
            <w:bookmarkEnd w:id="87"/>
            <w:bookmarkEnd w:id="88"/>
            <w:bookmarkEnd w:id="89"/>
            <w:bookmarkEnd w:id="90"/>
            <w:bookmarkEnd w:id="91"/>
          </w:p>
        </w:tc>
      </w:tr>
      <w:tr w14:paraId="499E6B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5543E9AD">
            <w:pPr>
              <w:pStyle w:val="12"/>
              <w:spacing w:line="360" w:lineRule="auto"/>
              <w:ind w:firstLine="0"/>
              <w:contextualSpacing/>
              <w:jc w:val="center"/>
              <w:rPr>
                <w:rFonts w:ascii="仿宋" w:hAnsi="仿宋" w:eastAsia="仿宋" w:cs="仿宋"/>
                <w:color w:val="auto"/>
                <w:sz w:val="24"/>
                <w:szCs w:val="24"/>
                <w:highlight w:val="none"/>
              </w:rPr>
            </w:pPr>
            <w:bookmarkStart w:id="92" w:name="_Toc173066406"/>
            <w:bookmarkStart w:id="93" w:name="_Toc173211905"/>
            <w:bookmarkStart w:id="94" w:name="_Toc254970593"/>
            <w:bookmarkStart w:id="95" w:name="_Toc254970734"/>
            <w:bookmarkStart w:id="96" w:name="_Toc383699911"/>
            <w:bookmarkStart w:id="97" w:name="_Toc373333694"/>
            <w:bookmarkStart w:id="98" w:name="_Toc295404986"/>
            <w:bookmarkStart w:id="99" w:name="_Toc297193190"/>
            <w:bookmarkStart w:id="100" w:name="_Toc301781616"/>
            <w:r>
              <w:rPr>
                <w:rFonts w:hint="eastAsia" w:ascii="仿宋" w:hAnsi="仿宋" w:eastAsia="仿宋" w:cs="仿宋"/>
                <w:color w:val="auto"/>
                <w:sz w:val="24"/>
                <w:szCs w:val="24"/>
                <w:highlight w:val="none"/>
              </w:rPr>
              <w:t>1</w:t>
            </w:r>
            <w:bookmarkEnd w:id="92"/>
            <w:bookmarkEnd w:id="93"/>
            <w:bookmarkEnd w:id="94"/>
            <w:bookmarkEnd w:id="95"/>
            <w:bookmarkEnd w:id="96"/>
            <w:bookmarkEnd w:id="97"/>
            <w:bookmarkEnd w:id="98"/>
            <w:bookmarkEnd w:id="99"/>
            <w:bookmarkEnd w:id="100"/>
          </w:p>
        </w:tc>
        <w:tc>
          <w:tcPr>
            <w:tcW w:w="969" w:type="dxa"/>
            <w:tcBorders>
              <w:right w:val="single" w:color="auto" w:sz="4" w:space="0"/>
            </w:tcBorders>
            <w:vAlign w:val="center"/>
          </w:tcPr>
          <w:p w14:paraId="6B1035DF">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00D2B2E3">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4497085D">
            <w:pPr>
              <w:pStyle w:val="12"/>
              <w:spacing w:line="360" w:lineRule="auto"/>
              <w:ind w:firstLine="0"/>
              <w:contextualSpacing/>
              <w:jc w:val="center"/>
              <w:rPr>
                <w:rFonts w:ascii="仿宋" w:hAnsi="仿宋" w:eastAsia="仿宋" w:cs="仿宋"/>
                <w:color w:val="auto"/>
                <w:sz w:val="24"/>
                <w:szCs w:val="24"/>
                <w:highlight w:val="none"/>
              </w:rPr>
            </w:pPr>
          </w:p>
        </w:tc>
        <w:tc>
          <w:tcPr>
            <w:tcW w:w="1579" w:type="dxa"/>
            <w:vAlign w:val="center"/>
          </w:tcPr>
          <w:p w14:paraId="677BAA74">
            <w:pPr>
              <w:pStyle w:val="12"/>
              <w:spacing w:line="360" w:lineRule="auto"/>
              <w:ind w:firstLine="0"/>
              <w:contextualSpacing/>
              <w:jc w:val="center"/>
              <w:rPr>
                <w:rFonts w:ascii="仿宋" w:hAnsi="仿宋" w:eastAsia="仿宋" w:cs="仿宋"/>
                <w:color w:val="auto"/>
                <w:sz w:val="24"/>
                <w:szCs w:val="24"/>
                <w:highlight w:val="none"/>
              </w:rPr>
            </w:pPr>
          </w:p>
        </w:tc>
      </w:tr>
      <w:tr w14:paraId="5CC61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791C0363">
            <w:pPr>
              <w:pStyle w:val="12"/>
              <w:spacing w:line="360" w:lineRule="auto"/>
              <w:ind w:firstLine="0"/>
              <w:contextualSpacing/>
              <w:jc w:val="center"/>
              <w:rPr>
                <w:rFonts w:ascii="仿宋" w:hAnsi="仿宋" w:eastAsia="仿宋" w:cs="仿宋"/>
                <w:color w:val="auto"/>
                <w:sz w:val="24"/>
                <w:szCs w:val="24"/>
                <w:highlight w:val="none"/>
              </w:rPr>
            </w:pPr>
            <w:bookmarkStart w:id="101" w:name="_Toc295404987"/>
            <w:bookmarkStart w:id="102" w:name="_Toc173211906"/>
            <w:bookmarkStart w:id="103" w:name="_Toc383699912"/>
            <w:bookmarkStart w:id="104" w:name="_Toc254970594"/>
            <w:bookmarkStart w:id="105" w:name="_Toc297193191"/>
            <w:bookmarkStart w:id="106" w:name="_Toc301781617"/>
            <w:bookmarkStart w:id="107" w:name="_Toc254970735"/>
            <w:bookmarkStart w:id="108" w:name="_Toc173066407"/>
            <w:bookmarkStart w:id="109" w:name="_Toc373333695"/>
            <w:r>
              <w:rPr>
                <w:rFonts w:hint="eastAsia" w:ascii="仿宋" w:hAnsi="仿宋" w:eastAsia="仿宋" w:cs="仿宋"/>
                <w:color w:val="auto"/>
                <w:sz w:val="24"/>
                <w:szCs w:val="24"/>
                <w:highlight w:val="none"/>
              </w:rPr>
              <w:t>2</w:t>
            </w:r>
            <w:bookmarkEnd w:id="101"/>
            <w:bookmarkEnd w:id="102"/>
            <w:bookmarkEnd w:id="103"/>
            <w:bookmarkEnd w:id="104"/>
            <w:bookmarkEnd w:id="105"/>
            <w:bookmarkEnd w:id="106"/>
            <w:bookmarkEnd w:id="107"/>
            <w:bookmarkEnd w:id="108"/>
            <w:bookmarkEnd w:id="109"/>
          </w:p>
        </w:tc>
        <w:tc>
          <w:tcPr>
            <w:tcW w:w="969" w:type="dxa"/>
            <w:tcBorders>
              <w:right w:val="single" w:color="auto" w:sz="4" w:space="0"/>
            </w:tcBorders>
            <w:vAlign w:val="center"/>
          </w:tcPr>
          <w:p w14:paraId="58649CBE">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462220EE">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5F3B7F61">
            <w:pPr>
              <w:pStyle w:val="12"/>
              <w:spacing w:line="360" w:lineRule="auto"/>
              <w:ind w:firstLine="0"/>
              <w:contextualSpacing/>
              <w:jc w:val="center"/>
              <w:rPr>
                <w:rFonts w:ascii="仿宋" w:hAnsi="仿宋" w:eastAsia="仿宋" w:cs="仿宋"/>
                <w:color w:val="auto"/>
                <w:sz w:val="24"/>
                <w:szCs w:val="24"/>
                <w:highlight w:val="none"/>
              </w:rPr>
            </w:pPr>
          </w:p>
        </w:tc>
        <w:tc>
          <w:tcPr>
            <w:tcW w:w="1579" w:type="dxa"/>
            <w:vAlign w:val="center"/>
          </w:tcPr>
          <w:p w14:paraId="35692BE9">
            <w:pPr>
              <w:pStyle w:val="12"/>
              <w:spacing w:line="360" w:lineRule="auto"/>
              <w:ind w:firstLine="0"/>
              <w:contextualSpacing/>
              <w:jc w:val="center"/>
              <w:rPr>
                <w:rFonts w:ascii="仿宋" w:hAnsi="仿宋" w:eastAsia="仿宋" w:cs="仿宋"/>
                <w:color w:val="auto"/>
                <w:sz w:val="24"/>
                <w:szCs w:val="24"/>
                <w:highlight w:val="none"/>
              </w:rPr>
            </w:pPr>
          </w:p>
        </w:tc>
      </w:tr>
      <w:tr w14:paraId="68CB2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6553945E">
            <w:pPr>
              <w:pStyle w:val="12"/>
              <w:spacing w:line="360" w:lineRule="auto"/>
              <w:ind w:firstLine="0"/>
              <w:contextualSpacing/>
              <w:jc w:val="center"/>
              <w:rPr>
                <w:rFonts w:ascii="仿宋" w:hAnsi="仿宋" w:eastAsia="仿宋" w:cs="仿宋"/>
                <w:color w:val="auto"/>
                <w:sz w:val="24"/>
                <w:szCs w:val="24"/>
                <w:highlight w:val="none"/>
              </w:rPr>
            </w:pPr>
            <w:bookmarkStart w:id="110" w:name="_Toc173211907"/>
            <w:bookmarkStart w:id="111" w:name="_Toc295404988"/>
            <w:bookmarkStart w:id="112" w:name="_Toc254970736"/>
            <w:bookmarkStart w:id="113" w:name="_Toc301781618"/>
            <w:bookmarkStart w:id="114" w:name="_Toc373333696"/>
            <w:bookmarkStart w:id="115" w:name="_Toc173066408"/>
            <w:bookmarkStart w:id="116" w:name="_Toc297193192"/>
            <w:bookmarkStart w:id="117" w:name="_Toc383699913"/>
            <w:bookmarkStart w:id="118" w:name="_Toc254970595"/>
            <w:r>
              <w:rPr>
                <w:rFonts w:hint="eastAsia" w:ascii="仿宋" w:hAnsi="仿宋" w:eastAsia="仿宋" w:cs="仿宋"/>
                <w:color w:val="auto"/>
                <w:sz w:val="24"/>
                <w:szCs w:val="24"/>
                <w:highlight w:val="none"/>
              </w:rPr>
              <w:t>3</w:t>
            </w:r>
            <w:bookmarkEnd w:id="110"/>
            <w:bookmarkEnd w:id="111"/>
            <w:bookmarkEnd w:id="112"/>
            <w:bookmarkEnd w:id="113"/>
            <w:bookmarkEnd w:id="114"/>
            <w:bookmarkEnd w:id="115"/>
            <w:bookmarkEnd w:id="116"/>
            <w:bookmarkEnd w:id="117"/>
            <w:bookmarkEnd w:id="118"/>
          </w:p>
        </w:tc>
        <w:tc>
          <w:tcPr>
            <w:tcW w:w="969" w:type="dxa"/>
            <w:tcBorders>
              <w:right w:val="single" w:color="auto" w:sz="4" w:space="0"/>
            </w:tcBorders>
            <w:vAlign w:val="center"/>
          </w:tcPr>
          <w:p w14:paraId="34C90CB2">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49E36C1F">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23F2A596">
            <w:pPr>
              <w:pStyle w:val="12"/>
              <w:spacing w:line="360" w:lineRule="auto"/>
              <w:ind w:firstLine="0"/>
              <w:contextualSpacing/>
              <w:jc w:val="center"/>
              <w:rPr>
                <w:rFonts w:ascii="仿宋" w:hAnsi="仿宋" w:eastAsia="仿宋" w:cs="仿宋"/>
                <w:color w:val="auto"/>
                <w:sz w:val="24"/>
                <w:szCs w:val="24"/>
                <w:highlight w:val="none"/>
              </w:rPr>
            </w:pPr>
          </w:p>
        </w:tc>
        <w:tc>
          <w:tcPr>
            <w:tcW w:w="1579" w:type="dxa"/>
            <w:vAlign w:val="center"/>
          </w:tcPr>
          <w:p w14:paraId="7FEAFA68">
            <w:pPr>
              <w:pStyle w:val="12"/>
              <w:spacing w:line="360" w:lineRule="auto"/>
              <w:ind w:firstLine="0"/>
              <w:contextualSpacing/>
              <w:jc w:val="center"/>
              <w:rPr>
                <w:rFonts w:ascii="仿宋" w:hAnsi="仿宋" w:eastAsia="仿宋" w:cs="仿宋"/>
                <w:color w:val="auto"/>
                <w:sz w:val="24"/>
                <w:szCs w:val="24"/>
                <w:highlight w:val="none"/>
              </w:rPr>
            </w:pPr>
          </w:p>
        </w:tc>
      </w:tr>
      <w:tr w14:paraId="07BD16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0DCE9617">
            <w:pPr>
              <w:pStyle w:val="12"/>
              <w:spacing w:line="360" w:lineRule="auto"/>
              <w:ind w:firstLine="0"/>
              <w:contextualSpacing/>
              <w:jc w:val="center"/>
              <w:rPr>
                <w:rFonts w:ascii="仿宋" w:hAnsi="仿宋" w:eastAsia="仿宋" w:cs="仿宋"/>
                <w:color w:val="auto"/>
                <w:sz w:val="24"/>
                <w:szCs w:val="24"/>
                <w:highlight w:val="none"/>
              </w:rPr>
            </w:pPr>
            <w:bookmarkStart w:id="119" w:name="_Toc254970737"/>
            <w:bookmarkStart w:id="120" w:name="_Toc254970596"/>
            <w:bookmarkStart w:id="121" w:name="_Toc173211908"/>
            <w:bookmarkStart w:id="122" w:name="_Toc373333697"/>
            <w:bookmarkStart w:id="123" w:name="_Toc297193193"/>
            <w:bookmarkStart w:id="124" w:name="_Toc173066409"/>
            <w:bookmarkStart w:id="125" w:name="_Toc295404989"/>
            <w:bookmarkStart w:id="126" w:name="_Toc383699914"/>
            <w:bookmarkStart w:id="127" w:name="_Toc301781619"/>
            <w:r>
              <w:rPr>
                <w:rFonts w:hint="eastAsia" w:ascii="仿宋" w:hAnsi="仿宋" w:eastAsia="仿宋" w:cs="仿宋"/>
                <w:color w:val="auto"/>
                <w:sz w:val="24"/>
                <w:szCs w:val="24"/>
                <w:highlight w:val="none"/>
              </w:rPr>
              <w:t>4</w:t>
            </w:r>
            <w:bookmarkEnd w:id="119"/>
            <w:bookmarkEnd w:id="120"/>
            <w:bookmarkEnd w:id="121"/>
            <w:bookmarkEnd w:id="122"/>
            <w:bookmarkEnd w:id="123"/>
            <w:bookmarkEnd w:id="124"/>
            <w:bookmarkEnd w:id="125"/>
            <w:bookmarkEnd w:id="126"/>
            <w:bookmarkEnd w:id="127"/>
          </w:p>
        </w:tc>
        <w:tc>
          <w:tcPr>
            <w:tcW w:w="969" w:type="dxa"/>
            <w:tcBorders>
              <w:right w:val="single" w:color="auto" w:sz="4" w:space="0"/>
            </w:tcBorders>
            <w:vAlign w:val="center"/>
          </w:tcPr>
          <w:p w14:paraId="49EC6F3D">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3D83D79E">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3A41EB8C">
            <w:pPr>
              <w:pStyle w:val="12"/>
              <w:spacing w:line="360" w:lineRule="auto"/>
              <w:ind w:firstLine="0"/>
              <w:contextualSpacing/>
              <w:jc w:val="center"/>
              <w:rPr>
                <w:rFonts w:ascii="仿宋" w:hAnsi="仿宋" w:eastAsia="仿宋" w:cs="仿宋"/>
                <w:color w:val="auto"/>
                <w:sz w:val="24"/>
                <w:szCs w:val="24"/>
                <w:highlight w:val="none"/>
              </w:rPr>
            </w:pPr>
          </w:p>
        </w:tc>
        <w:tc>
          <w:tcPr>
            <w:tcW w:w="1579" w:type="dxa"/>
            <w:vAlign w:val="center"/>
          </w:tcPr>
          <w:p w14:paraId="7F738206">
            <w:pPr>
              <w:pStyle w:val="12"/>
              <w:spacing w:line="360" w:lineRule="auto"/>
              <w:ind w:firstLine="0"/>
              <w:contextualSpacing/>
              <w:jc w:val="center"/>
              <w:rPr>
                <w:rFonts w:ascii="仿宋" w:hAnsi="仿宋" w:eastAsia="仿宋" w:cs="仿宋"/>
                <w:color w:val="auto"/>
                <w:sz w:val="24"/>
                <w:szCs w:val="24"/>
                <w:highlight w:val="none"/>
              </w:rPr>
            </w:pPr>
          </w:p>
        </w:tc>
      </w:tr>
      <w:tr w14:paraId="236CD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69" w:type="dxa"/>
            <w:vAlign w:val="center"/>
          </w:tcPr>
          <w:p w14:paraId="649FA1B2">
            <w:pPr>
              <w:pStyle w:val="12"/>
              <w:spacing w:line="360" w:lineRule="auto"/>
              <w:ind w:firstLine="0"/>
              <w:contextualSpacing/>
              <w:jc w:val="center"/>
              <w:rPr>
                <w:rFonts w:ascii="仿宋" w:hAnsi="仿宋" w:eastAsia="仿宋" w:cs="仿宋"/>
                <w:color w:val="auto"/>
                <w:sz w:val="24"/>
                <w:szCs w:val="24"/>
                <w:highlight w:val="none"/>
              </w:rPr>
            </w:pPr>
            <w:bookmarkStart w:id="128" w:name="_Toc254970597"/>
            <w:bookmarkStart w:id="129" w:name="_Toc383699915"/>
            <w:bookmarkStart w:id="130" w:name="_Toc301781620"/>
            <w:bookmarkStart w:id="131" w:name="_Toc254970738"/>
            <w:bookmarkStart w:id="132" w:name="_Toc295404990"/>
            <w:bookmarkStart w:id="133" w:name="_Toc173066410"/>
            <w:bookmarkStart w:id="134" w:name="_Toc173211909"/>
            <w:bookmarkStart w:id="135" w:name="_Toc297193194"/>
            <w:bookmarkStart w:id="136" w:name="_Toc373333698"/>
            <w:r>
              <w:rPr>
                <w:rFonts w:hint="eastAsia" w:ascii="仿宋" w:hAnsi="仿宋" w:eastAsia="仿宋" w:cs="仿宋"/>
                <w:color w:val="auto"/>
                <w:sz w:val="24"/>
                <w:szCs w:val="24"/>
                <w:highlight w:val="none"/>
              </w:rPr>
              <w:t>5</w:t>
            </w:r>
            <w:bookmarkEnd w:id="128"/>
            <w:bookmarkEnd w:id="129"/>
            <w:bookmarkEnd w:id="130"/>
            <w:bookmarkEnd w:id="131"/>
            <w:bookmarkEnd w:id="132"/>
            <w:bookmarkEnd w:id="133"/>
            <w:bookmarkEnd w:id="134"/>
            <w:bookmarkEnd w:id="135"/>
            <w:bookmarkEnd w:id="136"/>
          </w:p>
        </w:tc>
        <w:tc>
          <w:tcPr>
            <w:tcW w:w="969" w:type="dxa"/>
            <w:tcBorders>
              <w:right w:val="single" w:color="auto" w:sz="4" w:space="0"/>
            </w:tcBorders>
            <w:vAlign w:val="center"/>
          </w:tcPr>
          <w:p w14:paraId="7B49BB06">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297246A4">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6DD0D0B0">
            <w:pPr>
              <w:pStyle w:val="12"/>
              <w:spacing w:line="360" w:lineRule="auto"/>
              <w:ind w:firstLine="0"/>
              <w:contextualSpacing/>
              <w:jc w:val="center"/>
              <w:rPr>
                <w:rFonts w:ascii="仿宋" w:hAnsi="仿宋" w:eastAsia="仿宋" w:cs="仿宋"/>
                <w:color w:val="auto"/>
                <w:sz w:val="24"/>
                <w:szCs w:val="24"/>
                <w:highlight w:val="none"/>
              </w:rPr>
            </w:pPr>
          </w:p>
        </w:tc>
        <w:tc>
          <w:tcPr>
            <w:tcW w:w="1579" w:type="dxa"/>
            <w:vAlign w:val="center"/>
          </w:tcPr>
          <w:p w14:paraId="33A49DD7">
            <w:pPr>
              <w:pStyle w:val="12"/>
              <w:spacing w:line="360" w:lineRule="auto"/>
              <w:ind w:firstLine="0"/>
              <w:contextualSpacing/>
              <w:jc w:val="center"/>
              <w:rPr>
                <w:rFonts w:ascii="仿宋" w:hAnsi="仿宋" w:eastAsia="仿宋" w:cs="仿宋"/>
                <w:color w:val="auto"/>
                <w:sz w:val="24"/>
                <w:szCs w:val="24"/>
                <w:highlight w:val="none"/>
              </w:rPr>
            </w:pPr>
          </w:p>
        </w:tc>
      </w:tr>
      <w:tr w14:paraId="4442C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69" w:type="dxa"/>
            <w:vAlign w:val="center"/>
          </w:tcPr>
          <w:p w14:paraId="707C5E1D">
            <w:pPr>
              <w:pStyle w:val="12"/>
              <w:spacing w:line="360" w:lineRule="auto"/>
              <w:ind w:firstLine="0"/>
              <w:contextualSpacing/>
              <w:jc w:val="center"/>
              <w:rPr>
                <w:rFonts w:ascii="仿宋" w:hAnsi="仿宋" w:eastAsia="仿宋" w:cs="仿宋"/>
                <w:color w:val="auto"/>
                <w:sz w:val="24"/>
                <w:szCs w:val="24"/>
                <w:highlight w:val="none"/>
              </w:rPr>
            </w:pPr>
            <w:bookmarkStart w:id="137" w:name="_Toc295404991"/>
            <w:bookmarkStart w:id="138" w:name="_Toc297193195"/>
            <w:bookmarkStart w:id="139" w:name="_Toc383699916"/>
            <w:bookmarkStart w:id="140" w:name="_Toc254970602"/>
            <w:bookmarkStart w:id="141" w:name="_Toc373333699"/>
            <w:bookmarkStart w:id="142" w:name="_Toc173211914"/>
            <w:bookmarkStart w:id="143" w:name="_Toc301781621"/>
            <w:bookmarkStart w:id="144" w:name="_Toc173066415"/>
            <w:bookmarkStart w:id="145" w:name="_Toc254970743"/>
            <w:r>
              <w:rPr>
                <w:rFonts w:hint="eastAsia" w:ascii="仿宋" w:hAnsi="仿宋" w:eastAsia="仿宋" w:cs="仿宋"/>
                <w:color w:val="auto"/>
                <w:sz w:val="24"/>
                <w:szCs w:val="24"/>
                <w:highlight w:val="none"/>
              </w:rPr>
              <w:t>…</w:t>
            </w:r>
            <w:bookmarkEnd w:id="137"/>
            <w:bookmarkEnd w:id="138"/>
            <w:bookmarkEnd w:id="139"/>
            <w:bookmarkEnd w:id="140"/>
            <w:bookmarkEnd w:id="141"/>
            <w:bookmarkEnd w:id="142"/>
            <w:bookmarkEnd w:id="143"/>
            <w:bookmarkEnd w:id="144"/>
            <w:bookmarkEnd w:id="145"/>
          </w:p>
        </w:tc>
        <w:tc>
          <w:tcPr>
            <w:tcW w:w="969" w:type="dxa"/>
            <w:tcBorders>
              <w:right w:val="single" w:color="auto" w:sz="4" w:space="0"/>
            </w:tcBorders>
            <w:vAlign w:val="center"/>
          </w:tcPr>
          <w:p w14:paraId="29F2862F">
            <w:pPr>
              <w:pStyle w:val="12"/>
              <w:spacing w:line="360" w:lineRule="auto"/>
              <w:ind w:firstLine="0"/>
              <w:contextualSpacing/>
              <w:jc w:val="center"/>
              <w:rPr>
                <w:rFonts w:ascii="仿宋" w:hAnsi="仿宋" w:eastAsia="仿宋" w:cs="仿宋"/>
                <w:color w:val="auto"/>
                <w:sz w:val="24"/>
                <w:szCs w:val="24"/>
                <w:highlight w:val="none"/>
              </w:rPr>
            </w:pPr>
          </w:p>
        </w:tc>
        <w:tc>
          <w:tcPr>
            <w:tcW w:w="3216" w:type="dxa"/>
            <w:tcBorders>
              <w:left w:val="single" w:color="auto" w:sz="4" w:space="0"/>
            </w:tcBorders>
            <w:vAlign w:val="center"/>
          </w:tcPr>
          <w:p w14:paraId="3A4FC467">
            <w:pPr>
              <w:pStyle w:val="12"/>
              <w:spacing w:line="360" w:lineRule="auto"/>
              <w:ind w:firstLine="0"/>
              <w:contextualSpacing/>
              <w:jc w:val="center"/>
              <w:rPr>
                <w:rFonts w:ascii="仿宋" w:hAnsi="仿宋" w:eastAsia="仿宋" w:cs="仿宋"/>
                <w:color w:val="auto"/>
                <w:sz w:val="24"/>
                <w:szCs w:val="24"/>
                <w:highlight w:val="none"/>
              </w:rPr>
            </w:pPr>
          </w:p>
        </w:tc>
        <w:tc>
          <w:tcPr>
            <w:tcW w:w="2895" w:type="dxa"/>
            <w:vAlign w:val="center"/>
          </w:tcPr>
          <w:p w14:paraId="731D6B08">
            <w:pPr>
              <w:pStyle w:val="12"/>
              <w:spacing w:line="360" w:lineRule="auto"/>
              <w:ind w:firstLine="0"/>
              <w:contextualSpacing/>
              <w:jc w:val="center"/>
              <w:rPr>
                <w:rFonts w:ascii="仿宋" w:hAnsi="仿宋" w:eastAsia="仿宋" w:cs="仿宋"/>
                <w:color w:val="auto"/>
                <w:sz w:val="24"/>
                <w:szCs w:val="24"/>
                <w:highlight w:val="none"/>
              </w:rPr>
            </w:pPr>
          </w:p>
        </w:tc>
        <w:tc>
          <w:tcPr>
            <w:tcW w:w="1579" w:type="dxa"/>
            <w:tcBorders>
              <w:right w:val="single" w:color="auto" w:sz="4" w:space="0"/>
            </w:tcBorders>
            <w:vAlign w:val="center"/>
          </w:tcPr>
          <w:p w14:paraId="650B54C8">
            <w:pPr>
              <w:pStyle w:val="12"/>
              <w:spacing w:line="360" w:lineRule="auto"/>
              <w:ind w:firstLine="0"/>
              <w:contextualSpacing/>
              <w:jc w:val="center"/>
              <w:rPr>
                <w:rFonts w:ascii="仿宋" w:hAnsi="仿宋" w:eastAsia="仿宋" w:cs="仿宋"/>
                <w:color w:val="auto"/>
                <w:sz w:val="24"/>
                <w:szCs w:val="24"/>
                <w:highlight w:val="none"/>
              </w:rPr>
            </w:pPr>
          </w:p>
        </w:tc>
      </w:tr>
    </w:tbl>
    <w:p w14:paraId="1D17A844">
      <w:pPr>
        <w:adjustRightInd w:val="0"/>
        <w:spacing w:line="360" w:lineRule="auto"/>
        <w:contextualSpacing/>
        <w:rPr>
          <w:rFonts w:ascii="仿宋" w:hAnsi="仿宋" w:eastAsia="仿宋" w:cs="仿宋"/>
          <w:color w:val="auto"/>
          <w:sz w:val="24"/>
          <w:highlight w:val="none"/>
        </w:rPr>
      </w:pPr>
    </w:p>
    <w:p w14:paraId="0A5513F7">
      <w:pPr>
        <w:pStyle w:val="12"/>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8DDEF28">
      <w:pPr>
        <w:pStyle w:val="12"/>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 采购需求”中的技术要求逐条作出明确响应，并作出偏离说明。</w:t>
      </w:r>
    </w:p>
    <w:p w14:paraId="437D6015">
      <w:pPr>
        <w:pStyle w:val="12"/>
        <w:spacing w:line="360" w:lineRule="auto"/>
        <w:ind w:firstLine="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1A8DFF67">
      <w:pPr>
        <w:spacing w:line="360" w:lineRule="auto"/>
        <w:ind w:right="-817" w:rightChars="-389"/>
        <w:contextualSpacing/>
        <w:rPr>
          <w:rFonts w:ascii="仿宋" w:hAnsi="仿宋" w:eastAsia="仿宋" w:cs="仿宋"/>
          <w:color w:val="auto"/>
          <w:sz w:val="24"/>
          <w:highlight w:val="none"/>
        </w:rPr>
      </w:pPr>
    </w:p>
    <w:p w14:paraId="610A6823">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1E5FE51B">
      <w:pPr>
        <w:spacing w:line="360" w:lineRule="auto"/>
        <w:ind w:right="-817" w:rightChars="-389"/>
        <w:contextualSpacing/>
        <w:rPr>
          <w:rFonts w:ascii="仿宋" w:hAnsi="仿宋" w:eastAsia="仿宋" w:cs="仿宋"/>
          <w:color w:val="auto"/>
          <w:sz w:val="24"/>
          <w:highlight w:val="none"/>
        </w:rPr>
      </w:pPr>
      <w:r>
        <w:rPr>
          <w:rFonts w:hint="eastAsia" w:ascii="仿宋" w:hAnsi="仿宋" w:eastAsia="仿宋" w:cs="仿宋"/>
          <w:color w:val="auto"/>
          <w:sz w:val="24"/>
          <w:highlight w:val="none"/>
        </w:rPr>
        <w:t>供应商（盖公章或CA章）：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w:t>
      </w:r>
    </w:p>
    <w:p w14:paraId="79B974F4">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54DA05BC">
      <w:pPr>
        <w:snapToGrid w:val="0"/>
        <w:spacing w:before="156" w:beforeLines="50" w:after="50"/>
        <w:ind w:left="142"/>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项目实施人员一览表格式</w:t>
      </w:r>
    </w:p>
    <w:p w14:paraId="680E56C0">
      <w:pPr>
        <w:spacing w:line="360" w:lineRule="auto"/>
        <w:contextualSpacing/>
        <w:jc w:val="center"/>
        <w:rPr>
          <w:rFonts w:ascii="仿宋" w:hAnsi="仿宋" w:eastAsia="仿宋" w:cs="仿宋"/>
          <w:b/>
          <w:color w:val="auto"/>
          <w:sz w:val="32"/>
          <w:szCs w:val="32"/>
          <w:highlight w:val="none"/>
        </w:rPr>
      </w:pPr>
    </w:p>
    <w:p w14:paraId="37B1AF53">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14:paraId="0A23DD11">
      <w:pPr>
        <w:pStyle w:val="2"/>
        <w:rPr>
          <w:rFonts w:ascii="仿宋" w:hAnsi="仿宋" w:eastAsia="仿宋" w:cs="仿宋"/>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CD7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B25B22">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vAlign w:val="center"/>
          </w:tcPr>
          <w:p w14:paraId="594AA0E2">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vAlign w:val="center"/>
          </w:tcPr>
          <w:p w14:paraId="3F30ABA3">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420" w:type="dxa"/>
            <w:vAlign w:val="center"/>
          </w:tcPr>
          <w:p w14:paraId="03C9AEDA">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698" w:type="dxa"/>
            <w:vAlign w:val="center"/>
          </w:tcPr>
          <w:p w14:paraId="4093322E">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14:paraId="24FD4F0B">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vAlign w:val="center"/>
          </w:tcPr>
          <w:p w14:paraId="1BC3BD3A">
            <w:pPr>
              <w:spacing w:line="360" w:lineRule="auto"/>
              <w:contextualSpacing/>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14:paraId="7938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2E2514">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2CBA6B7A">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1CBFCFA7">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4686682B">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261284D0">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5CF86E33">
            <w:pPr>
              <w:spacing w:line="360" w:lineRule="auto"/>
              <w:contextualSpacing/>
              <w:jc w:val="center"/>
              <w:rPr>
                <w:rFonts w:ascii="仿宋" w:hAnsi="仿宋" w:eastAsia="仿宋" w:cs="仿宋"/>
                <w:color w:val="auto"/>
                <w:sz w:val="24"/>
                <w:szCs w:val="20"/>
                <w:highlight w:val="none"/>
              </w:rPr>
            </w:pPr>
          </w:p>
        </w:tc>
      </w:tr>
      <w:tr w14:paraId="7C6E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564659">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1AD2E0C3">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0CCD2FAF">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0FB29937">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230827CC">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205767BD">
            <w:pPr>
              <w:spacing w:line="360" w:lineRule="auto"/>
              <w:contextualSpacing/>
              <w:jc w:val="center"/>
              <w:rPr>
                <w:rFonts w:ascii="仿宋" w:hAnsi="仿宋" w:eastAsia="仿宋" w:cs="仿宋"/>
                <w:color w:val="auto"/>
                <w:sz w:val="24"/>
                <w:szCs w:val="20"/>
                <w:highlight w:val="none"/>
              </w:rPr>
            </w:pPr>
          </w:p>
        </w:tc>
      </w:tr>
      <w:tr w14:paraId="7DA4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7CCE91">
            <w:pPr>
              <w:spacing w:line="360" w:lineRule="auto"/>
              <w:contextualSpacing/>
              <w:jc w:val="center"/>
              <w:rPr>
                <w:rFonts w:ascii="仿宋" w:hAnsi="仿宋" w:eastAsia="仿宋" w:cs="仿宋"/>
                <w:color w:val="auto"/>
                <w:sz w:val="24"/>
                <w:szCs w:val="20"/>
                <w:highlight w:val="none"/>
              </w:rPr>
            </w:pPr>
          </w:p>
        </w:tc>
        <w:tc>
          <w:tcPr>
            <w:tcW w:w="709" w:type="dxa"/>
            <w:vAlign w:val="center"/>
          </w:tcPr>
          <w:p w14:paraId="4EB9C004">
            <w:pPr>
              <w:spacing w:line="360" w:lineRule="auto"/>
              <w:contextualSpacing/>
              <w:jc w:val="center"/>
              <w:rPr>
                <w:rFonts w:ascii="仿宋" w:hAnsi="仿宋" w:eastAsia="仿宋" w:cs="仿宋"/>
                <w:color w:val="auto"/>
                <w:sz w:val="24"/>
                <w:szCs w:val="20"/>
                <w:highlight w:val="none"/>
              </w:rPr>
            </w:pPr>
          </w:p>
        </w:tc>
        <w:tc>
          <w:tcPr>
            <w:tcW w:w="1701" w:type="dxa"/>
            <w:vAlign w:val="center"/>
          </w:tcPr>
          <w:p w14:paraId="310F59CD">
            <w:pPr>
              <w:spacing w:line="360" w:lineRule="auto"/>
              <w:contextualSpacing/>
              <w:jc w:val="center"/>
              <w:rPr>
                <w:rFonts w:ascii="仿宋" w:hAnsi="仿宋" w:eastAsia="仿宋" w:cs="仿宋"/>
                <w:color w:val="auto"/>
                <w:sz w:val="24"/>
                <w:szCs w:val="20"/>
                <w:highlight w:val="none"/>
              </w:rPr>
            </w:pPr>
          </w:p>
        </w:tc>
        <w:tc>
          <w:tcPr>
            <w:tcW w:w="1420" w:type="dxa"/>
            <w:vAlign w:val="center"/>
          </w:tcPr>
          <w:p w14:paraId="1A0A225F">
            <w:pPr>
              <w:spacing w:line="360" w:lineRule="auto"/>
              <w:contextualSpacing/>
              <w:jc w:val="center"/>
              <w:rPr>
                <w:rFonts w:ascii="仿宋" w:hAnsi="仿宋" w:eastAsia="仿宋" w:cs="仿宋"/>
                <w:color w:val="auto"/>
                <w:sz w:val="24"/>
                <w:szCs w:val="20"/>
                <w:highlight w:val="none"/>
              </w:rPr>
            </w:pPr>
          </w:p>
        </w:tc>
        <w:tc>
          <w:tcPr>
            <w:tcW w:w="1698" w:type="dxa"/>
            <w:vAlign w:val="center"/>
          </w:tcPr>
          <w:p w14:paraId="716CCBF2">
            <w:pPr>
              <w:spacing w:line="360" w:lineRule="auto"/>
              <w:contextualSpacing/>
              <w:jc w:val="center"/>
              <w:rPr>
                <w:rFonts w:ascii="仿宋" w:hAnsi="仿宋" w:eastAsia="仿宋" w:cs="仿宋"/>
                <w:color w:val="auto"/>
                <w:sz w:val="24"/>
                <w:szCs w:val="20"/>
                <w:highlight w:val="none"/>
              </w:rPr>
            </w:pPr>
          </w:p>
        </w:tc>
        <w:tc>
          <w:tcPr>
            <w:tcW w:w="1843" w:type="dxa"/>
            <w:vAlign w:val="center"/>
          </w:tcPr>
          <w:p w14:paraId="0AD835FA">
            <w:pPr>
              <w:spacing w:line="360" w:lineRule="auto"/>
              <w:contextualSpacing/>
              <w:jc w:val="center"/>
              <w:rPr>
                <w:rFonts w:ascii="仿宋" w:hAnsi="仿宋" w:eastAsia="仿宋" w:cs="仿宋"/>
                <w:color w:val="auto"/>
                <w:sz w:val="24"/>
                <w:szCs w:val="20"/>
                <w:highlight w:val="none"/>
              </w:rPr>
            </w:pPr>
          </w:p>
        </w:tc>
      </w:tr>
    </w:tbl>
    <w:p w14:paraId="49A8383E">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14:paraId="70D13F72">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1.在填写时，如本表格不适合供应商的实际情况，可根据本表格式自行制表填写。</w:t>
      </w:r>
    </w:p>
    <w:p w14:paraId="430800B5">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2.供应商应当附本表所列证书的复印件并加盖供应商公章。</w:t>
      </w:r>
    </w:p>
    <w:p w14:paraId="767581F1">
      <w:pPr>
        <w:spacing w:line="360" w:lineRule="auto"/>
        <w:contextualSpacing/>
        <w:rPr>
          <w:rFonts w:ascii="仿宋" w:hAnsi="仿宋" w:eastAsia="仿宋" w:cs="仿宋"/>
          <w:color w:val="auto"/>
          <w:sz w:val="24"/>
          <w:highlight w:val="none"/>
        </w:rPr>
      </w:pPr>
    </w:p>
    <w:p w14:paraId="5CEB4387">
      <w:pPr>
        <w:spacing w:line="360" w:lineRule="auto"/>
        <w:contextualSpacing/>
        <w:rPr>
          <w:rFonts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14:paraId="7A005541">
      <w:pPr>
        <w:spacing w:line="360" w:lineRule="auto"/>
        <w:contextualSpacing/>
        <w:jc w:val="lef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5242A7A2">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5EBB9B5C">
      <w:pPr>
        <w:snapToGrid w:val="0"/>
        <w:spacing w:before="50" w:after="156" w:afterLines="50"/>
        <w:jc w:val="left"/>
        <w:rPr>
          <w:rFonts w:ascii="仿宋" w:hAnsi="仿宋" w:eastAsia="仿宋" w:cs="仿宋"/>
          <w:color w:val="auto"/>
          <w:sz w:val="24"/>
          <w:szCs w:val="20"/>
          <w:highlight w:val="none"/>
        </w:rPr>
      </w:pPr>
    </w:p>
    <w:p w14:paraId="69132343">
      <w:pPr>
        <w:snapToGrid w:val="0"/>
        <w:spacing w:before="50" w:after="50" w:line="360" w:lineRule="auto"/>
        <w:ind w:right="-817" w:rightChars="-389" w:firstLine="5461" w:firstLineChars="1700"/>
        <w:rPr>
          <w:rFonts w:ascii="仿宋" w:hAnsi="仿宋" w:eastAsia="仿宋" w:cs="仿宋"/>
          <w:b/>
          <w:color w:val="auto"/>
          <w:sz w:val="32"/>
          <w:szCs w:val="32"/>
          <w:highlight w:val="none"/>
        </w:rPr>
      </w:pPr>
    </w:p>
    <w:p w14:paraId="3A11E0E1">
      <w:pPr>
        <w:spacing w:line="300" w:lineRule="auto"/>
        <w:rPr>
          <w:rFonts w:ascii="仿宋" w:hAnsi="仿宋" w:eastAsia="仿宋" w:cs="仿宋"/>
          <w:color w:val="auto"/>
          <w:szCs w:val="21"/>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其他文书、文件格式</w:t>
      </w:r>
    </w:p>
    <w:p w14:paraId="04C89497">
      <w:pPr>
        <w:jc w:val="center"/>
        <w:rPr>
          <w:rFonts w:ascii="仿宋" w:hAnsi="仿宋" w:eastAsia="仿宋" w:cs="仿宋"/>
          <w:color w:val="auto"/>
          <w:sz w:val="44"/>
          <w:szCs w:val="44"/>
          <w:highlight w:val="none"/>
        </w:rPr>
      </w:pPr>
      <w:bookmarkStart w:id="146" w:name="_Toc71365926"/>
      <w:r>
        <w:rPr>
          <w:rFonts w:hint="eastAsia" w:ascii="仿宋" w:hAnsi="仿宋" w:eastAsia="仿宋" w:cs="仿宋"/>
          <w:color w:val="auto"/>
          <w:sz w:val="44"/>
          <w:szCs w:val="44"/>
          <w:highlight w:val="none"/>
        </w:rPr>
        <w:t>中小企业声明函（服务）</w:t>
      </w:r>
      <w:bookmarkEnd w:id="146"/>
    </w:p>
    <w:p w14:paraId="68FEA091">
      <w:pPr>
        <w:spacing w:before="2" w:line="500" w:lineRule="exact"/>
        <w:ind w:firstLine="708" w:firstLineChars="294"/>
        <w:rPr>
          <w:rFonts w:ascii="仿宋" w:hAnsi="仿宋" w:eastAsia="仿宋" w:cs="仿宋"/>
          <w:b/>
          <w:bCs/>
          <w:color w:val="auto"/>
          <w:sz w:val="24"/>
          <w:highlight w:val="none"/>
        </w:rPr>
      </w:pPr>
    </w:p>
    <w:p w14:paraId="61933CE4">
      <w:pPr>
        <w:pStyle w:val="2"/>
        <w:spacing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C2992B9">
      <w:pPr>
        <w:tabs>
          <w:tab w:val="left" w:pos="1384"/>
          <w:tab w:val="left" w:pos="4562"/>
          <w:tab w:val="left" w:pos="6803"/>
        </w:tabs>
        <w:spacing w:before="13" w:line="500" w:lineRule="exact"/>
        <w:ind w:right="142" w:firstLine="772" w:firstLineChars="32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7AB5C39">
      <w:pPr>
        <w:tabs>
          <w:tab w:val="left" w:pos="1065"/>
          <w:tab w:val="left" w:pos="4262"/>
          <w:tab w:val="left" w:pos="6477"/>
        </w:tabs>
        <w:spacing w:before="20" w:line="500" w:lineRule="exact"/>
        <w:ind w:right="84" w:firstLine="772" w:firstLineChars="322"/>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5D6A18F">
      <w:pPr>
        <w:pStyle w:val="2"/>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09354BC">
      <w:pPr>
        <w:pStyle w:val="2"/>
        <w:spacing w:before="34"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28F9DFC">
      <w:pPr>
        <w:pStyle w:val="2"/>
        <w:spacing w:before="25" w:line="500" w:lineRule="exact"/>
        <w:ind w:right="142" w:firstLine="705" w:firstLineChars="294"/>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0436728">
      <w:pPr>
        <w:pStyle w:val="2"/>
        <w:spacing w:before="56" w:line="500" w:lineRule="exact"/>
        <w:ind w:right="1808" w:firstLine="705" w:firstLineChars="294"/>
        <w:rPr>
          <w:rFonts w:ascii="仿宋" w:hAnsi="仿宋" w:eastAsia="仿宋" w:cs="仿宋"/>
          <w:color w:val="auto"/>
          <w:sz w:val="24"/>
          <w:highlight w:val="none"/>
        </w:rPr>
      </w:pPr>
    </w:p>
    <w:p w14:paraId="6E02E10E">
      <w:pPr>
        <w:pStyle w:val="2"/>
        <w:spacing w:before="56" w:line="500" w:lineRule="exact"/>
        <w:ind w:right="650"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企业名称（章）： </w:t>
      </w:r>
    </w:p>
    <w:p w14:paraId="662D303B">
      <w:pPr>
        <w:pStyle w:val="2"/>
        <w:spacing w:before="56" w:line="500" w:lineRule="exact"/>
        <w:ind w:right="1808" w:firstLine="5625" w:firstLineChars="2344"/>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BD634BE">
      <w:pPr>
        <w:spacing w:line="5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8F27D68">
      <w:pPr>
        <w:spacing w:line="520" w:lineRule="exact"/>
        <w:jc w:val="center"/>
        <w:rPr>
          <w:rFonts w:ascii="仿宋" w:hAnsi="仿宋" w:eastAsia="仿宋" w:cs="仿宋"/>
          <w:color w:val="auto"/>
          <w:sz w:val="24"/>
          <w:highlight w:val="none"/>
        </w:rPr>
      </w:pPr>
    </w:p>
    <w:p w14:paraId="63F2A5C3">
      <w:pPr>
        <w:spacing w:line="520" w:lineRule="exact"/>
        <w:jc w:val="center"/>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残疾人福利性单位声明函</w:t>
      </w:r>
    </w:p>
    <w:p w14:paraId="210B5294">
      <w:pPr>
        <w:spacing w:line="360" w:lineRule="auto"/>
        <w:contextualSpacing/>
        <w:rPr>
          <w:rFonts w:ascii="仿宋" w:hAnsi="仿宋" w:eastAsia="仿宋" w:cs="仿宋"/>
          <w:color w:val="auto"/>
          <w:sz w:val="32"/>
          <w:szCs w:val="32"/>
          <w:highlight w:val="none"/>
        </w:rPr>
      </w:pPr>
    </w:p>
    <w:p w14:paraId="4CF6473E">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6EF986C">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FF9CF6E">
      <w:pPr>
        <w:spacing w:line="360" w:lineRule="auto"/>
        <w:contextualSpacing/>
        <w:rPr>
          <w:rFonts w:ascii="仿宋" w:hAnsi="仿宋" w:eastAsia="仿宋" w:cs="仿宋"/>
          <w:color w:val="auto"/>
          <w:sz w:val="24"/>
          <w:highlight w:val="none"/>
        </w:rPr>
      </w:pPr>
    </w:p>
    <w:p w14:paraId="5F3760A7">
      <w:pPr>
        <w:spacing w:line="360" w:lineRule="auto"/>
        <w:contextualSpacing/>
        <w:rPr>
          <w:rFonts w:ascii="仿宋" w:hAnsi="仿宋" w:eastAsia="仿宋" w:cs="仿宋"/>
          <w:color w:val="auto"/>
          <w:sz w:val="24"/>
          <w:highlight w:val="none"/>
        </w:rPr>
      </w:pPr>
    </w:p>
    <w:p w14:paraId="2A8D8E47">
      <w:pPr>
        <w:spacing w:line="360" w:lineRule="auto"/>
        <w:contextualSpacing/>
        <w:rPr>
          <w:rFonts w:ascii="仿宋" w:hAnsi="仿宋" w:eastAsia="仿宋" w:cs="仿宋"/>
          <w:color w:val="auto"/>
          <w:sz w:val="24"/>
          <w:highlight w:val="none"/>
        </w:rPr>
      </w:pPr>
    </w:p>
    <w:p w14:paraId="3CCB3392">
      <w:pPr>
        <w:spacing w:line="360" w:lineRule="auto"/>
        <w:ind w:firstLine="2400" w:firstLineChars="10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0AAF4D14">
      <w:pPr>
        <w:spacing w:line="360" w:lineRule="auto"/>
        <w:ind w:firstLine="3600" w:firstLineChars="15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5CC8E83">
      <w:pPr>
        <w:spacing w:line="360" w:lineRule="auto"/>
        <w:contextualSpacing/>
        <w:rPr>
          <w:rFonts w:ascii="仿宋" w:hAnsi="仿宋" w:eastAsia="仿宋" w:cs="仿宋"/>
          <w:color w:val="auto"/>
          <w:sz w:val="24"/>
          <w:highlight w:val="none"/>
        </w:rPr>
      </w:pPr>
    </w:p>
    <w:p w14:paraId="3D6D2A6E">
      <w:pPr>
        <w:spacing w:line="360" w:lineRule="auto"/>
        <w:contextualSpacing/>
        <w:rPr>
          <w:rFonts w:ascii="仿宋" w:hAnsi="仿宋" w:eastAsia="仿宋" w:cs="仿宋"/>
          <w:color w:val="auto"/>
          <w:sz w:val="24"/>
          <w:highlight w:val="none"/>
        </w:rPr>
      </w:pPr>
    </w:p>
    <w:p w14:paraId="3ACAE119">
      <w:pPr>
        <w:spacing w:line="360" w:lineRule="auto"/>
        <w:contextualSpacing/>
        <w:rPr>
          <w:rFonts w:ascii="仿宋" w:hAnsi="仿宋" w:eastAsia="仿宋" w:cs="仿宋"/>
          <w:color w:val="auto"/>
          <w:sz w:val="24"/>
          <w:highlight w:val="none"/>
        </w:rPr>
      </w:pPr>
    </w:p>
    <w:p w14:paraId="5ADB6CA7">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557194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70C31DA0">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44"/>
          <w:szCs w:val="44"/>
          <w:highlight w:val="none"/>
        </w:rPr>
        <w:t>质疑函（格式）</w:t>
      </w:r>
    </w:p>
    <w:p w14:paraId="78FEDBD7">
      <w:pPr>
        <w:pStyle w:val="16"/>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34C2539D">
      <w:pPr>
        <w:pStyle w:val="16"/>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1E00D68">
      <w:pPr>
        <w:pStyle w:val="16"/>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EB183D9">
      <w:pPr>
        <w:pStyle w:val="16"/>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1E9D2D8C">
      <w:pPr>
        <w:pStyle w:val="16"/>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p>
    <w:p w14:paraId="7A0F925C">
      <w:pPr>
        <w:pStyle w:val="16"/>
        <w:spacing w:line="360" w:lineRule="auto"/>
        <w:ind w:firstLine="480" w:firstLineChars="200"/>
        <w:contextualSpacing/>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6057F580">
      <w:pPr>
        <w:pStyle w:val="16"/>
        <w:spacing w:line="360" w:lineRule="auto"/>
        <w:ind w:firstLine="480" w:firstLineChars="200"/>
        <w:contextualSpacing/>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6C29E765">
      <w:pPr>
        <w:pStyle w:val="16"/>
        <w:spacing w:line="360" w:lineRule="auto"/>
        <w:ind w:firstLine="482" w:firstLineChars="200"/>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5812457B">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6E16C5A5">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0471C5FA">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22B59CFB">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68E4F46C">
      <w:pPr>
        <w:pStyle w:val="16"/>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r>
        <w:rPr>
          <w:rFonts w:hint="eastAsia" w:ascii="仿宋" w:hAnsi="仿宋" w:eastAsia="仿宋" w:cs="仿宋"/>
          <w:bCs/>
          <w:color w:val="auto"/>
          <w:sz w:val="24"/>
          <w:szCs w:val="24"/>
          <w:highlight w:val="none"/>
          <w:u w:val="single"/>
        </w:rPr>
        <w:t xml:space="preserve">                                   </w:t>
      </w:r>
    </w:p>
    <w:p w14:paraId="3ACD1258">
      <w:pPr>
        <w:pStyle w:val="16"/>
        <w:spacing w:line="360" w:lineRule="auto"/>
        <w:ind w:left="25" w:leftChars="12" w:firstLine="352" w:firstLineChars="14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14:paraId="6D6A9E3F">
      <w:pPr>
        <w:pStyle w:val="16"/>
        <w:spacing w:line="360" w:lineRule="auto"/>
        <w:ind w:left="25" w:leftChars="12" w:firstLine="352" w:firstLineChars="147"/>
        <w:contextualSpacing/>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□成交结果   </w:t>
      </w:r>
    </w:p>
    <w:p w14:paraId="403C102B">
      <w:pPr>
        <w:pStyle w:val="16"/>
        <w:spacing w:line="360" w:lineRule="auto"/>
        <w:ind w:left="25" w:leftChars="12" w:firstLine="472" w:firstLineChars="196"/>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429CD6CB">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xml:space="preserve">                                                                    </w:t>
      </w:r>
    </w:p>
    <w:p w14:paraId="14D94530">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bCs/>
          <w:color w:val="auto"/>
          <w:sz w:val="24"/>
          <w:szCs w:val="24"/>
          <w:highlight w:val="none"/>
          <w:u w:val="single"/>
        </w:rPr>
        <w:t xml:space="preserve">                                                                      </w:t>
      </w:r>
    </w:p>
    <w:p w14:paraId="67C8E6FD">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14:paraId="2D39FE66">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481A3BF9">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EA611FE">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0D5F3E7C">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7FB92683">
      <w:pPr>
        <w:pStyle w:val="16"/>
        <w:spacing w:line="360" w:lineRule="auto"/>
        <w:ind w:left="25" w:leftChars="12" w:firstLine="352" w:firstLineChars="147"/>
        <w:contextualSpacing/>
        <w:rPr>
          <w:rFonts w:ascii="仿宋" w:hAnsi="仿宋" w:eastAsia="仿宋" w:cs="仿宋"/>
          <w:color w:val="auto"/>
          <w:sz w:val="24"/>
          <w:szCs w:val="24"/>
          <w:highlight w:val="none"/>
        </w:rPr>
      </w:pPr>
    </w:p>
    <w:p w14:paraId="4B2E60CB">
      <w:pPr>
        <w:pStyle w:val="16"/>
        <w:spacing w:line="360" w:lineRule="auto"/>
        <w:ind w:left="25" w:leftChars="12" w:firstLine="472" w:firstLineChars="197"/>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4053DEEF">
      <w:pPr>
        <w:pStyle w:val="16"/>
        <w:spacing w:line="360" w:lineRule="auto"/>
        <w:ind w:firstLine="480" w:firstLineChars="200"/>
        <w:contextualSpacing/>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5857025B">
      <w:pPr>
        <w:pStyle w:val="16"/>
        <w:spacing w:line="360" w:lineRule="auto"/>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4B2A8644">
      <w:pPr>
        <w:pStyle w:val="16"/>
        <w:spacing w:line="360" w:lineRule="auto"/>
        <w:ind w:left="25" w:leftChars="12" w:firstLine="354" w:firstLineChars="147"/>
        <w:contextualSpacing/>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1CBC19C6">
      <w:pPr>
        <w:pStyle w:val="16"/>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147BA1">
      <w:pPr>
        <w:pStyle w:val="16"/>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42CFAFE1">
      <w:pPr>
        <w:pStyle w:val="16"/>
        <w:spacing w:line="360" w:lineRule="auto"/>
        <w:ind w:left="25" w:leftChars="12" w:firstLine="354" w:firstLineChars="147"/>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7506863D">
      <w:pPr>
        <w:pStyle w:val="16"/>
        <w:spacing w:line="360" w:lineRule="auto"/>
        <w:ind w:left="25" w:leftChars="12" w:firstLine="354" w:firstLineChars="147"/>
        <w:contextualSpacing/>
        <w:rPr>
          <w:rFonts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3A2244D9">
      <w:pPr>
        <w:pStyle w:val="16"/>
        <w:snapToGrid w:val="0"/>
        <w:rPr>
          <w:rFonts w:ascii="仿宋" w:hAnsi="仿宋" w:eastAsia="仿宋" w:cs="仿宋"/>
          <w:b/>
          <w:color w:val="auto"/>
          <w:sz w:val="24"/>
          <w:szCs w:val="24"/>
          <w:highlight w:val="none"/>
        </w:rPr>
      </w:pPr>
    </w:p>
    <w:p w14:paraId="42716FE0">
      <w:pPr>
        <w:rPr>
          <w:rFonts w:ascii="仿宋" w:hAnsi="仿宋" w:eastAsia="仿宋" w:cs="仿宋"/>
          <w:color w:val="auto"/>
          <w:sz w:val="32"/>
          <w:szCs w:val="40"/>
          <w:highlight w:val="none"/>
        </w:rPr>
      </w:pPr>
    </w:p>
    <w:p w14:paraId="1238E265">
      <w:pPr>
        <w:rPr>
          <w:rFonts w:ascii="仿宋" w:hAnsi="仿宋" w:eastAsia="仿宋" w:cs="仿宋"/>
          <w:color w:val="auto"/>
          <w:sz w:val="32"/>
          <w:szCs w:val="40"/>
          <w:highlight w:val="none"/>
        </w:rPr>
      </w:pPr>
    </w:p>
    <w:p w14:paraId="25ECFA4E">
      <w:pPr>
        <w:rPr>
          <w:rFonts w:ascii="仿宋" w:hAnsi="仿宋" w:eastAsia="仿宋" w:cs="仿宋"/>
          <w:color w:val="auto"/>
          <w:sz w:val="32"/>
          <w:szCs w:val="40"/>
          <w:highlight w:val="none"/>
        </w:rPr>
      </w:pPr>
    </w:p>
    <w:p w14:paraId="1AEEB846">
      <w:pPr>
        <w:rPr>
          <w:rFonts w:ascii="仿宋" w:hAnsi="仿宋" w:eastAsia="仿宋" w:cs="仿宋"/>
          <w:color w:val="auto"/>
          <w:sz w:val="32"/>
          <w:szCs w:val="40"/>
          <w:highlight w:val="none"/>
        </w:rPr>
      </w:pPr>
    </w:p>
    <w:p w14:paraId="7FCE1209">
      <w:pPr>
        <w:rPr>
          <w:rFonts w:ascii="仿宋" w:hAnsi="仿宋" w:eastAsia="仿宋" w:cs="仿宋"/>
          <w:color w:val="auto"/>
          <w:sz w:val="32"/>
          <w:szCs w:val="40"/>
          <w:highlight w:val="none"/>
        </w:rPr>
      </w:pPr>
    </w:p>
    <w:p w14:paraId="7112F7BC">
      <w:pPr>
        <w:rPr>
          <w:rFonts w:ascii="仿宋" w:hAnsi="仿宋" w:eastAsia="仿宋" w:cs="仿宋"/>
          <w:color w:val="auto"/>
          <w:sz w:val="32"/>
          <w:szCs w:val="40"/>
          <w:highlight w:val="none"/>
        </w:rPr>
      </w:pPr>
    </w:p>
    <w:p w14:paraId="380D7755">
      <w:pPr>
        <w:rPr>
          <w:rFonts w:ascii="仿宋" w:hAnsi="仿宋" w:eastAsia="仿宋" w:cs="仿宋"/>
          <w:color w:val="auto"/>
          <w:sz w:val="32"/>
          <w:szCs w:val="40"/>
          <w:highlight w:val="none"/>
        </w:rPr>
      </w:pPr>
    </w:p>
    <w:p w14:paraId="5C9254CC">
      <w:pPr>
        <w:rPr>
          <w:rFonts w:ascii="仿宋" w:hAnsi="仿宋" w:eastAsia="仿宋" w:cs="仿宋"/>
          <w:color w:val="auto"/>
          <w:sz w:val="32"/>
          <w:szCs w:val="40"/>
          <w:highlight w:val="none"/>
        </w:rPr>
      </w:pPr>
    </w:p>
    <w:p w14:paraId="301A72FB">
      <w:pPr>
        <w:rPr>
          <w:rFonts w:ascii="仿宋" w:hAnsi="仿宋" w:eastAsia="仿宋" w:cs="仿宋"/>
          <w:color w:val="auto"/>
          <w:sz w:val="32"/>
          <w:szCs w:val="40"/>
          <w:highlight w:val="none"/>
        </w:rPr>
      </w:pPr>
    </w:p>
    <w:p w14:paraId="7E277883">
      <w:pPr>
        <w:rPr>
          <w:rFonts w:ascii="仿宋" w:hAnsi="仿宋" w:eastAsia="仿宋" w:cs="仿宋"/>
          <w:color w:val="auto"/>
          <w:sz w:val="32"/>
          <w:szCs w:val="40"/>
          <w:highlight w:val="none"/>
        </w:rPr>
      </w:pPr>
    </w:p>
    <w:p w14:paraId="7E59FBAE">
      <w:pPr>
        <w:rPr>
          <w:rFonts w:ascii="仿宋" w:hAnsi="仿宋" w:eastAsia="仿宋" w:cs="仿宋"/>
          <w:color w:val="auto"/>
          <w:sz w:val="32"/>
          <w:szCs w:val="40"/>
          <w:highlight w:val="none"/>
        </w:rPr>
      </w:pPr>
    </w:p>
    <w:p w14:paraId="462169F9">
      <w:pPr>
        <w:rPr>
          <w:rFonts w:ascii="仿宋" w:hAnsi="仿宋" w:eastAsia="仿宋" w:cs="仿宋"/>
          <w:color w:val="auto"/>
          <w:sz w:val="32"/>
          <w:szCs w:val="40"/>
          <w:highlight w:val="none"/>
        </w:rPr>
      </w:pPr>
    </w:p>
    <w:p w14:paraId="58CA1AF3">
      <w:pPr>
        <w:rPr>
          <w:rFonts w:ascii="仿宋" w:hAnsi="仿宋" w:eastAsia="仿宋" w:cs="仿宋"/>
          <w:color w:val="auto"/>
          <w:sz w:val="32"/>
          <w:szCs w:val="40"/>
          <w:highlight w:val="none"/>
        </w:rPr>
      </w:pPr>
    </w:p>
    <w:p w14:paraId="7993E3BA">
      <w:pPr>
        <w:rPr>
          <w:rFonts w:ascii="仿宋" w:hAnsi="仿宋" w:eastAsia="仿宋" w:cs="仿宋"/>
          <w:color w:val="auto"/>
          <w:sz w:val="32"/>
          <w:szCs w:val="40"/>
          <w:highlight w:val="none"/>
        </w:rPr>
      </w:pPr>
    </w:p>
    <w:p w14:paraId="5570AD5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投诉书（格式）</w:t>
      </w:r>
    </w:p>
    <w:p w14:paraId="675441A0">
      <w:pPr>
        <w:pStyle w:val="1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16BDDF8E">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631F7F7">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6855612">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r>
        <w:rPr>
          <w:rFonts w:hint="eastAsia" w:ascii="仿宋" w:hAnsi="仿宋" w:eastAsia="仿宋" w:cs="仿宋"/>
          <w:bCs/>
          <w:color w:val="auto"/>
          <w:sz w:val="24"/>
          <w:szCs w:val="24"/>
          <w:highlight w:val="none"/>
          <w:u w:val="single"/>
        </w:rPr>
        <w:t xml:space="preserve">                                                         </w:t>
      </w:r>
    </w:p>
    <w:p w14:paraId="15B0EF4E">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7F6749EA">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4F10AB8D">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7A69E05C">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AEFE060">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6D222188">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p>
    <w:p w14:paraId="7504D600">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2688042">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p>
    <w:p w14:paraId="159CAE7B">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442D140D">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625EA912">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r>
        <w:rPr>
          <w:rFonts w:hint="eastAsia" w:ascii="仿宋" w:hAnsi="仿宋" w:eastAsia="仿宋" w:cs="仿宋"/>
          <w:bCs/>
          <w:color w:val="auto"/>
          <w:sz w:val="24"/>
          <w:szCs w:val="24"/>
          <w:highlight w:val="none"/>
          <w:u w:val="single"/>
        </w:rPr>
        <w:t xml:space="preserve">                                                                       </w:t>
      </w:r>
    </w:p>
    <w:p w14:paraId="52A2F264">
      <w:pPr>
        <w:pStyle w:val="1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邮编：</w:t>
      </w:r>
      <w:r>
        <w:rPr>
          <w:rFonts w:hint="eastAsia" w:ascii="仿宋" w:hAnsi="仿宋" w:eastAsia="仿宋" w:cs="仿宋"/>
          <w:bCs/>
          <w:color w:val="auto"/>
          <w:sz w:val="24"/>
          <w:szCs w:val="24"/>
          <w:highlight w:val="none"/>
          <w:u w:val="single"/>
        </w:rPr>
        <w:t xml:space="preserve">                         </w:t>
      </w:r>
    </w:p>
    <w:p w14:paraId="024987A1">
      <w:pPr>
        <w:pStyle w:val="1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93F3258">
      <w:pPr>
        <w:pStyle w:val="1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087BB659">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r>
        <w:rPr>
          <w:rFonts w:hint="eastAsia" w:ascii="仿宋" w:hAnsi="仿宋" w:eastAsia="仿宋" w:cs="仿宋"/>
          <w:bCs/>
          <w:color w:val="auto"/>
          <w:sz w:val="24"/>
          <w:szCs w:val="24"/>
          <w:highlight w:val="none"/>
          <w:u w:val="single"/>
        </w:rPr>
        <w:t xml:space="preserve">                                                                   </w:t>
      </w:r>
    </w:p>
    <w:p w14:paraId="7DF000D7">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r>
        <w:rPr>
          <w:rFonts w:hint="eastAsia" w:ascii="仿宋" w:hAnsi="仿宋" w:eastAsia="仿宋" w:cs="仿宋"/>
          <w:bCs/>
          <w:color w:val="auto"/>
          <w:sz w:val="24"/>
          <w:szCs w:val="24"/>
          <w:highlight w:val="none"/>
          <w:u w:val="single"/>
        </w:rPr>
        <w:t xml:space="preserve">                                          </w:t>
      </w:r>
    </w:p>
    <w:p w14:paraId="7755BCE9">
      <w:pPr>
        <w:pStyle w:val="1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u w:val="single"/>
        </w:rPr>
        <w:t xml:space="preserve">                                                                        </w:t>
      </w:r>
    </w:p>
    <w:p w14:paraId="309EB0AE">
      <w:pPr>
        <w:pStyle w:val="1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bCs/>
          <w:color w:val="auto"/>
          <w:sz w:val="24"/>
          <w:szCs w:val="24"/>
          <w:highlight w:val="none"/>
          <w:u w:val="single"/>
        </w:rPr>
        <w:t xml:space="preserve">                                                                      </w:t>
      </w:r>
    </w:p>
    <w:p w14:paraId="707CEEF2">
      <w:pPr>
        <w:pStyle w:val="1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竞争性磋商文件公告：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519E7565">
      <w:pPr>
        <w:pStyle w:val="16"/>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r>
        <w:rPr>
          <w:rFonts w:hint="eastAsia" w:ascii="仿宋" w:hAnsi="仿宋" w:eastAsia="仿宋" w:cs="仿宋"/>
          <w:bCs/>
          <w:color w:val="auto"/>
          <w:sz w:val="24"/>
          <w:szCs w:val="24"/>
          <w:highlight w:val="none"/>
          <w:u w:val="single"/>
        </w:rPr>
        <w:t xml:space="preserve">                                                       </w:t>
      </w:r>
    </w:p>
    <w:p w14:paraId="70D34DE6">
      <w:pPr>
        <w:pStyle w:val="1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4A63EB61">
      <w:pPr>
        <w:pStyle w:val="1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提出质疑，质疑事项为：</w:t>
      </w:r>
    </w:p>
    <w:p w14:paraId="62E97FF6">
      <w:pPr>
        <w:pStyle w:val="16"/>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03EE1100">
      <w:pPr>
        <w:pStyle w:val="16"/>
        <w:spacing w:line="360" w:lineRule="auto"/>
        <w:ind w:firstLine="241"/>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10445542">
      <w:pPr>
        <w:pStyle w:val="1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Cs/>
          <w:color w:val="auto"/>
          <w:sz w:val="24"/>
          <w:szCs w:val="24"/>
          <w:highlight w:val="none"/>
        </w:rPr>
        <w:t xml:space="preserve">就质疑事项作出了答复/没有在法定期限内作出答复。                                                                                             </w:t>
      </w:r>
    </w:p>
    <w:p w14:paraId="43E738A8">
      <w:pPr>
        <w:pStyle w:val="1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6EE59050">
      <w:pPr>
        <w:pStyle w:val="1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r>
        <w:rPr>
          <w:rFonts w:hint="eastAsia" w:ascii="仿宋" w:hAnsi="仿宋" w:eastAsia="仿宋" w:cs="仿宋"/>
          <w:bCs/>
          <w:color w:val="auto"/>
          <w:sz w:val="24"/>
          <w:szCs w:val="24"/>
          <w:highlight w:val="none"/>
          <w:u w:val="single"/>
        </w:rPr>
        <w:t xml:space="preserve">                                                                           </w:t>
      </w:r>
    </w:p>
    <w:p w14:paraId="42C69670">
      <w:pPr>
        <w:pStyle w:val="16"/>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1283EBBD">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 xml:space="preserve">                                                                                        </w:t>
      </w:r>
    </w:p>
    <w:p w14:paraId="364FDAA2">
      <w:pPr>
        <w:pStyle w:val="16"/>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17E8CBB5">
      <w:pPr>
        <w:pStyle w:val="16"/>
        <w:spacing w:line="360" w:lineRule="auto"/>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p>
    <w:p w14:paraId="619664C7">
      <w:pPr>
        <w:pStyle w:val="16"/>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r>
        <w:rPr>
          <w:rFonts w:hint="eastAsia" w:ascii="仿宋" w:hAnsi="仿宋" w:eastAsia="仿宋" w:cs="仿宋"/>
          <w:bCs/>
          <w:color w:val="auto"/>
          <w:sz w:val="24"/>
          <w:szCs w:val="24"/>
          <w:highlight w:val="none"/>
        </w:rPr>
        <w:t xml:space="preserve">   </w:t>
      </w:r>
    </w:p>
    <w:p w14:paraId="310A8DB9">
      <w:pPr>
        <w:pStyle w:val="16"/>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0DD8846B">
      <w:pPr>
        <w:pStyle w:val="1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6BBC40C1">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bCs/>
          <w:color w:val="auto"/>
          <w:sz w:val="24"/>
          <w:szCs w:val="24"/>
          <w:highlight w:val="none"/>
          <w:u w:val="single"/>
        </w:rPr>
        <w:t xml:space="preserve">                                                                                 </w:t>
      </w:r>
    </w:p>
    <w:p w14:paraId="2DC17322">
      <w:pPr>
        <w:pStyle w:val="16"/>
        <w:spacing w:line="360" w:lineRule="auto"/>
        <w:ind w:left="25" w:leftChars="12" w:firstLine="352" w:firstLineChars="147"/>
        <w:rPr>
          <w:rFonts w:ascii="仿宋" w:hAnsi="仿宋" w:eastAsia="仿宋" w:cs="仿宋"/>
          <w:color w:val="auto"/>
          <w:sz w:val="24"/>
          <w:szCs w:val="24"/>
          <w:highlight w:val="none"/>
        </w:rPr>
      </w:pPr>
    </w:p>
    <w:p w14:paraId="7DEED1A3">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14:paraId="1AD5F817">
      <w:pPr>
        <w:pStyle w:val="16"/>
        <w:spacing w:line="360" w:lineRule="auto"/>
        <w:ind w:left="25" w:leftChars="12" w:firstLine="352" w:firstLineChars="147"/>
        <w:rPr>
          <w:rFonts w:ascii="仿宋" w:hAnsi="仿宋" w:eastAsia="仿宋" w:cs="仿宋"/>
          <w:color w:val="auto"/>
          <w:sz w:val="24"/>
          <w:szCs w:val="24"/>
          <w:highlight w:val="none"/>
        </w:rPr>
      </w:pPr>
    </w:p>
    <w:p w14:paraId="236BB01A">
      <w:pPr>
        <w:pStyle w:val="1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6CAA747">
      <w:pPr>
        <w:pStyle w:val="16"/>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p>
    <w:p w14:paraId="519662E1">
      <w:pPr>
        <w:pStyle w:val="16"/>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5E3AA79C">
      <w:pPr>
        <w:pStyle w:val="16"/>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7F0BD106">
      <w:pPr>
        <w:pStyle w:val="1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BA32EE">
      <w:pPr>
        <w:pStyle w:val="1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03FB8821">
      <w:pPr>
        <w:pStyle w:val="1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30FEBBB7">
      <w:pPr>
        <w:pStyle w:val="1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48B2643E">
      <w:pPr>
        <w:pStyle w:val="16"/>
        <w:spacing w:line="360" w:lineRule="auto"/>
        <w:ind w:left="25" w:leftChars="12" w:firstLine="354" w:firstLineChars="147"/>
        <w:rPr>
          <w:rFonts w:ascii="仿宋" w:hAnsi="仿宋" w:eastAsia="仿宋" w:cs="仿宋"/>
          <w:b/>
          <w:color w:val="auto"/>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p w14:paraId="234F0E37">
      <w:pPr>
        <w:pStyle w:val="4"/>
        <w:jc w:val="center"/>
        <w:rPr>
          <w:rFonts w:ascii="仿宋" w:hAnsi="仿宋" w:eastAsia="仿宋" w:cs="仿宋"/>
          <w:color w:val="auto"/>
          <w:highlight w:val="none"/>
        </w:rPr>
      </w:pPr>
      <w:bookmarkStart w:id="147" w:name="_Toc74323461"/>
      <w:r>
        <w:rPr>
          <w:rFonts w:hint="eastAsia" w:ascii="仿宋" w:hAnsi="仿宋" w:eastAsia="仿宋" w:cs="仿宋"/>
          <w:color w:val="auto"/>
          <w:highlight w:val="none"/>
        </w:rPr>
        <w:t>第六章 合同文本</w:t>
      </w:r>
      <w:bookmarkEnd w:id="147"/>
    </w:p>
    <w:p w14:paraId="0D7A0651">
      <w:pPr>
        <w:spacing w:line="520" w:lineRule="exact"/>
        <w:rPr>
          <w:rFonts w:ascii="仿宋" w:hAnsi="仿宋" w:eastAsia="仿宋" w:cs="仿宋"/>
          <w:b/>
          <w:color w:val="auto"/>
          <w:sz w:val="32"/>
          <w:szCs w:val="32"/>
          <w:highlight w:val="none"/>
        </w:rPr>
      </w:pPr>
    </w:p>
    <w:p w14:paraId="0898E9E6">
      <w:pPr>
        <w:spacing w:line="360" w:lineRule="auto"/>
        <w:ind w:right="8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采购计划号：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合同编号：</w:t>
      </w:r>
      <w:r>
        <w:rPr>
          <w:rFonts w:hint="eastAsia" w:ascii="仿宋" w:hAnsi="仿宋" w:eastAsia="仿宋" w:cs="仿宋"/>
          <w:color w:val="auto"/>
          <w:sz w:val="24"/>
          <w:highlight w:val="none"/>
          <w:u w:val="single"/>
        </w:rPr>
        <w:t xml:space="preserve">                  </w:t>
      </w:r>
    </w:p>
    <w:p w14:paraId="08FC889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242B2C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p w14:paraId="517493D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签订时间：</w:t>
      </w:r>
      <w:r>
        <w:rPr>
          <w:rFonts w:hint="eastAsia" w:ascii="仿宋" w:hAnsi="仿宋" w:eastAsia="仿宋" w:cs="仿宋"/>
          <w:color w:val="auto"/>
          <w:sz w:val="24"/>
          <w:highlight w:val="none"/>
          <w:u w:val="single"/>
        </w:rPr>
        <w:t xml:space="preserve">                        </w:t>
      </w:r>
    </w:p>
    <w:p w14:paraId="17FF8B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本合同为中小企业预留合同：</w:t>
      </w:r>
      <w:r>
        <w:rPr>
          <w:rFonts w:hint="eastAsia" w:ascii="仿宋" w:hAnsi="仿宋" w:eastAsia="仿宋" w:cs="仿宋"/>
          <w:color w:val="auto"/>
          <w:sz w:val="24"/>
          <w:highlight w:val="none"/>
          <w:u w:val="single"/>
        </w:rPr>
        <w:t>（是/否）</w:t>
      </w:r>
      <w:r>
        <w:rPr>
          <w:rFonts w:hint="eastAsia" w:ascii="仿宋" w:hAnsi="仿宋" w:eastAsia="仿宋" w:cs="仿宋"/>
          <w:color w:val="auto"/>
          <w:sz w:val="24"/>
          <w:highlight w:val="none"/>
        </w:rPr>
        <w:t>。</w:t>
      </w:r>
    </w:p>
    <w:p w14:paraId="72DEE92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根据《中华人民共和国政府采购法》、《中华人民共和国民法典》等法律、法规规定，按照磋商文件规定条款和乙方响应文件及其承诺，甲乙双方签订本合同。</w:t>
      </w:r>
    </w:p>
    <w:p w14:paraId="1FF5A08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14:paraId="71B595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309D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1F1EE1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39B8F5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DDA7CE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7A7B414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315A9A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6517583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  价</w:t>
            </w:r>
          </w:p>
          <w:p w14:paraId="3B07E05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3E3275F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  价</w:t>
            </w:r>
          </w:p>
          <w:p w14:paraId="799507B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（元）</w:t>
            </w:r>
          </w:p>
        </w:tc>
      </w:tr>
      <w:tr w14:paraId="6C1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BB49751">
            <w:pPr>
              <w:spacing w:line="360" w:lineRule="auto"/>
              <w:jc w:val="center"/>
              <w:rPr>
                <w:rFonts w:ascii="仿宋" w:hAnsi="仿宋" w:eastAsia="仿宋" w:cs="仿宋"/>
                <w:color w:val="auto"/>
                <w:sz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178D9BE6">
            <w:pPr>
              <w:spacing w:line="360" w:lineRule="auto"/>
              <w:jc w:val="center"/>
              <w:rPr>
                <w:rFonts w:ascii="仿宋" w:hAnsi="仿宋" w:eastAsia="仿宋" w:cs="仿宋"/>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0DC73F7A">
            <w:pPr>
              <w:spacing w:line="360" w:lineRule="auto"/>
              <w:jc w:val="center"/>
              <w:rPr>
                <w:rFonts w:ascii="仿宋" w:hAnsi="仿宋" w:eastAsia="仿宋" w:cs="仿宋"/>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68BBCE5">
            <w:pPr>
              <w:spacing w:line="360" w:lineRule="auto"/>
              <w:jc w:val="center"/>
              <w:rPr>
                <w:rFonts w:ascii="仿宋" w:hAnsi="仿宋" w:eastAsia="仿宋" w:cs="仿宋"/>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5DCCC02">
            <w:pPr>
              <w:spacing w:line="360" w:lineRule="auto"/>
              <w:jc w:val="center"/>
              <w:rPr>
                <w:rFonts w:ascii="仿宋" w:hAnsi="仿宋" w:eastAsia="仿宋" w:cs="仿宋"/>
                <w:color w:val="auto"/>
                <w:sz w:val="24"/>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1C417D61">
            <w:pPr>
              <w:spacing w:line="360" w:lineRule="auto"/>
              <w:jc w:val="center"/>
              <w:rPr>
                <w:rFonts w:ascii="仿宋" w:hAnsi="仿宋" w:eastAsia="仿宋" w:cs="仿宋"/>
                <w:color w:val="auto"/>
                <w:sz w:val="24"/>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34D62387">
            <w:pPr>
              <w:spacing w:line="360" w:lineRule="auto"/>
              <w:jc w:val="center"/>
              <w:rPr>
                <w:rFonts w:ascii="仿宋" w:hAnsi="仿宋" w:eastAsia="仿宋" w:cs="仿宋"/>
                <w:color w:val="auto"/>
                <w:sz w:val="24"/>
                <w:highlight w:val="none"/>
              </w:rPr>
            </w:pPr>
          </w:p>
        </w:tc>
      </w:tr>
      <w:tr w14:paraId="0CAB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4354B1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详见报价表</w:t>
            </w:r>
          </w:p>
        </w:tc>
      </w:tr>
      <w:tr w14:paraId="6332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FEC81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人民币合计金额（大写）：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bl>
    <w:p w14:paraId="590534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4AC42F8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第二条　质量保证</w:t>
      </w:r>
    </w:p>
    <w:p w14:paraId="41FA5B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C0E2B8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第三条　权利保证</w:t>
      </w:r>
    </w:p>
    <w:p w14:paraId="06EF8D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1、乙方应保证所提供服务在使用时不会侵犯任何第三方的专利权、商标权、工业设计权等知识产权及其他合法权利，且所有权、处分权等没有受到任何限制。</w:t>
      </w:r>
    </w:p>
    <w:p w14:paraId="058D06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3617EF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第四条　交付和验收</w:t>
      </w:r>
    </w:p>
    <w:p w14:paraId="764741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，服务地点：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855C2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2、乙方应按响应文件的承诺向甲方提供相应的服务，并提供所服务内容的相关技术资料。</w:t>
      </w:r>
    </w:p>
    <w:p w14:paraId="35FE5D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3、乙方提供不符合响应文件和本合同规定的服务成果，甲方有权拒绝接受。</w:t>
      </w:r>
    </w:p>
    <w:p w14:paraId="7673A0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E8481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5、甲乙双方应按照《广西壮族自治区政府采购项目履约验收管理办法》、双方合同、响应文件验收。</w:t>
      </w:r>
    </w:p>
    <w:p w14:paraId="6DE278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EA430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7、甲方验收时以书面形式提出异议的，乙方应自收到甲方书面异议后五个工作日内及时予以解决，否则甲方有权不出具服务验收合格单。</w:t>
      </w:r>
    </w:p>
    <w:p w14:paraId="4024CA51">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第五条  售后服务及培训</w:t>
      </w:r>
    </w:p>
    <w:p w14:paraId="54EF2F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1、乙方应按照国家有关法律法规和本合同所附的《售后服务承诺》要求为甲方提供相应的售后服务。</w:t>
      </w:r>
    </w:p>
    <w:p w14:paraId="0FCE8B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2、甲方应提供必要测试条件（如场地、电源、水源等）。</w:t>
      </w:r>
    </w:p>
    <w:p w14:paraId="05FF1D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3、乙方负责甲方有关人员的培训。培训时间、地点：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4B1CD2">
      <w:pPr>
        <w:snapToGrid w:val="0"/>
        <w:spacing w:line="360" w:lineRule="auto"/>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第六条　付款方式</w:t>
      </w:r>
    </w:p>
    <w:p w14:paraId="6057AA2C">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20745E4">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第七条　履约保证金：</w:t>
      </w:r>
      <w:r>
        <w:rPr>
          <w:rFonts w:hint="eastAsia" w:ascii="仿宋" w:hAnsi="仿宋" w:eastAsia="仿宋" w:cs="仿宋"/>
          <w:color w:val="auto"/>
          <w:sz w:val="24"/>
          <w:highlight w:val="none"/>
        </w:rPr>
        <w:t>本项目不收取履约保证金</w:t>
      </w:r>
    </w:p>
    <w:p w14:paraId="74DFB2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履约保证金金额：按中标金额的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%（注：履约保证金不超过5%）。</w:t>
      </w:r>
    </w:p>
    <w:p w14:paraId="24EBC8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履约保证金递交方式：支票、汇票、本票或者金融、担保机构出具的保函等非现金方式（参照磋商保证金）。</w:t>
      </w:r>
    </w:p>
    <w:p w14:paraId="62F7FDD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履约保证金退付方式、时间及条件：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5559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签订合同后，如成交供应商不按双方签订的合同规定履约，则没收其全部履约保证金，履约保证金不足以赔偿损失的，按实际损失赔偿。</w:t>
      </w:r>
    </w:p>
    <w:p w14:paraId="18E5D2A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第八条  税费</w:t>
      </w:r>
    </w:p>
    <w:p w14:paraId="68F1AB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本合同执行中相关的一切税费均由乙方负担，合同另有约定的除外。</w:t>
      </w:r>
    </w:p>
    <w:p w14:paraId="62C3451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第九条　违约责任</w:t>
      </w:r>
    </w:p>
    <w:p w14:paraId="5899264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1、除不可抗力原因外，乙方没有按照合同规定的时间提供服务的，甲方可要求乙方支付违约金。每推迟一天按合同金额的3‰支付违约金，该违约金累计不超过合同金额的10%。                                  </w:t>
      </w:r>
    </w:p>
    <w:p w14:paraId="1ED593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2、乙方提供的服务如侵犯了第三方合法权益而引发的任何纠纷或者诉讼，均由乙方负责交涉并承担全部责任。</w:t>
      </w:r>
    </w:p>
    <w:p w14:paraId="3C8531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3、甲方延期付款的，每天向乙方偿付延期款额3‰滞纳金，但滞纳金累计不得超过延期款额5%。</w:t>
      </w:r>
    </w:p>
    <w:p w14:paraId="4F0BAE1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第十条  不可抗力事件处理</w:t>
      </w:r>
    </w:p>
    <w:p w14:paraId="15E916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37F952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14:paraId="60DFB4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3、不可抗力事件延续一百二十天以上，双方应通过友好协商，确定是否继续履行合同。</w:t>
      </w:r>
    </w:p>
    <w:p w14:paraId="3A744DA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第十一条  合同争议解决</w:t>
      </w:r>
    </w:p>
    <w:p w14:paraId="46A312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1、因服务质量问题发生争议的，应邀请国家认可的质量检测机构进行鉴定。服务符合标准的，鉴定费由甲方承担；服务不符合标准的，鉴定费由乙方承担。</w:t>
      </w:r>
    </w:p>
    <w:p w14:paraId="1EE0E4A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2、因履行本合同引起的或者与本合同有关的争议，甲乙双方应首先通过友好协商解决，如果协商不能解决，可向甲方所在地有管辖权的人民法院提起诉讼。</w:t>
      </w:r>
    </w:p>
    <w:p w14:paraId="0306F8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3、诉讼期间，本合同继续履行。</w:t>
      </w:r>
    </w:p>
    <w:p w14:paraId="3F7BFF0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第十二条  合同生效及其它</w:t>
      </w:r>
    </w:p>
    <w:p w14:paraId="629A1B0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1、合同经双方法定代表人或者授权代表签字并加盖单位公章后生效（委托代理人签字的需后附授权委托书，格式自拟）。</w:t>
      </w:r>
    </w:p>
    <w:p w14:paraId="158F0D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2、合同执行中涉及采购资金和采购内容修改或者补充的，须经财政部门审批，并签书面补充协议报财政部门备案，方可作为主合同不可分割的一部分。</w:t>
      </w:r>
    </w:p>
    <w:p w14:paraId="0AAF7F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511D8F2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第十三条　合同的变更、终止与转让</w:t>
      </w:r>
    </w:p>
    <w:p w14:paraId="50626A5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1、除《中华人民共和国政府采购法》第五十条规定的情形外，本合同一经签订，甲乙双方不得擅自变更、中止或者终止。</w:t>
      </w:r>
    </w:p>
    <w:p w14:paraId="2BC89F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2、乙方不得擅自转让其应履行的合同义务。</w:t>
      </w:r>
    </w:p>
    <w:p w14:paraId="47B9AFA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第十四条　签订本合同依据</w:t>
      </w:r>
    </w:p>
    <w:p w14:paraId="479547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1、成交通知书；</w:t>
      </w:r>
    </w:p>
    <w:p w14:paraId="31554C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2、磋商报价表；</w:t>
      </w:r>
    </w:p>
    <w:p w14:paraId="784F15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3、商务要求偏离表和技术要求偏离表；</w:t>
      </w:r>
    </w:p>
    <w:p w14:paraId="4A497E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4、服务方案；</w:t>
      </w:r>
    </w:p>
    <w:p w14:paraId="6032B9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5、响应文件中的其他相关文件。</w:t>
      </w:r>
    </w:p>
    <w:p w14:paraId="78FA9F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6、上述合同文件互相补充和解释。如果合同文件之间存在矛盾或者不一致之处，以上述文件的排列顺序在先者为准。</w:t>
      </w:r>
    </w:p>
    <w:p w14:paraId="2003EC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第十五条　</w:t>
      </w:r>
      <w:r>
        <w:rPr>
          <w:rFonts w:hint="eastAsia" w:ascii="仿宋" w:hAnsi="仿宋" w:eastAsia="仿宋" w:cs="仿宋"/>
          <w:color w:val="auto"/>
          <w:sz w:val="24"/>
          <w:highlight w:val="none"/>
        </w:rPr>
        <w:t>本合同一式四份，具有同等法律效力，财政部门（政府采购监管部门）、采购代理机构各一份，甲乙双方各一份（可根据需要另增加）。</w:t>
      </w:r>
    </w:p>
    <w:p w14:paraId="41E866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本合同甲乙双方签字盖章后生效，自签订之日起七个工作日内，甲方应当将合同副本报同级财政部门备案。</w:t>
      </w:r>
    </w:p>
    <w:p w14:paraId="154DA1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本合同自签订之日起2个工作日内，甲方应当将采购合同在广西壮族自治区财政厅指定的媒体上公告。</w:t>
      </w:r>
    </w:p>
    <w:tbl>
      <w:tblPr>
        <w:tblStyle w:val="25"/>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FD5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01AAA10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甲方：（章）</w:t>
            </w:r>
          </w:p>
          <w:p w14:paraId="347B4913">
            <w:pPr>
              <w:snapToGrid w:val="0"/>
              <w:spacing w:line="360" w:lineRule="auto"/>
              <w:rPr>
                <w:rFonts w:ascii="仿宋" w:hAnsi="仿宋" w:eastAsia="仿宋" w:cs="仿宋"/>
                <w:color w:val="auto"/>
                <w:sz w:val="24"/>
                <w:highlight w:val="none"/>
              </w:rPr>
            </w:pPr>
          </w:p>
          <w:p w14:paraId="174019A3">
            <w:pPr>
              <w:snapToGrid w:val="0"/>
              <w:spacing w:line="360" w:lineRule="auto"/>
              <w:rPr>
                <w:rFonts w:ascii="仿宋" w:hAnsi="仿宋" w:eastAsia="仿宋" w:cs="仿宋"/>
                <w:color w:val="auto"/>
                <w:sz w:val="24"/>
                <w:highlight w:val="none"/>
              </w:rPr>
            </w:pPr>
          </w:p>
          <w:p w14:paraId="49F5004D">
            <w:pPr>
              <w:snapToGrid w:val="0"/>
              <w:spacing w:line="360" w:lineRule="auto"/>
              <w:ind w:firstLine="1080" w:firstLineChars="450"/>
              <w:jc w:val="right"/>
              <w:rPr>
                <w:rFonts w:ascii="仿宋" w:hAnsi="仿宋" w:eastAsia="仿宋" w:cs="仿宋"/>
                <w:color w:val="auto"/>
                <w:sz w:val="24"/>
                <w:highlight w:val="none"/>
              </w:rPr>
            </w:pPr>
          </w:p>
          <w:p w14:paraId="013FB6E8">
            <w:pPr>
              <w:snapToGrid w:val="0"/>
              <w:spacing w:line="360" w:lineRule="auto"/>
              <w:ind w:firstLine="1080" w:firstLineChars="45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41036FA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p w14:paraId="11501DCB">
            <w:pPr>
              <w:snapToGrid w:val="0"/>
              <w:spacing w:line="360" w:lineRule="auto"/>
              <w:rPr>
                <w:rFonts w:ascii="仿宋" w:hAnsi="仿宋" w:eastAsia="仿宋" w:cs="仿宋"/>
                <w:color w:val="auto"/>
                <w:sz w:val="24"/>
                <w:highlight w:val="none"/>
              </w:rPr>
            </w:pPr>
          </w:p>
          <w:p w14:paraId="2DBBD2C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B06F35">
            <w:pPr>
              <w:snapToGrid w:val="0"/>
              <w:spacing w:line="360" w:lineRule="auto"/>
              <w:jc w:val="right"/>
              <w:rPr>
                <w:rFonts w:ascii="仿宋" w:hAnsi="仿宋" w:eastAsia="仿宋" w:cs="仿宋"/>
                <w:color w:val="auto"/>
                <w:sz w:val="24"/>
                <w:highlight w:val="none"/>
              </w:rPr>
            </w:pPr>
          </w:p>
          <w:p w14:paraId="14BDF211">
            <w:pPr>
              <w:snapToGrid w:val="0"/>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61A1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79CA0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07B096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单位地址： </w:t>
            </w:r>
          </w:p>
        </w:tc>
      </w:tr>
      <w:tr w14:paraId="327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481BC6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0FBB26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r>
      <w:tr w14:paraId="1D67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7B670B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6B7E5E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p>
        </w:tc>
      </w:tr>
      <w:tr w14:paraId="5120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FD43EE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44993FC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254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4286A6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1DB4B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tc>
      </w:tr>
      <w:tr w14:paraId="569C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9F2BAC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4E2F4F3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2FFD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B0E535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5E3F09F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r>
    </w:tbl>
    <w:p w14:paraId="4869E023">
      <w:pPr>
        <w:widowControl/>
        <w:jc w:val="left"/>
        <w:rPr>
          <w:rFonts w:ascii="仿宋" w:hAnsi="仿宋" w:eastAsia="仿宋" w:cs="仿宋"/>
          <w:color w:val="auto"/>
          <w:sz w:val="24"/>
          <w:highlight w:val="none"/>
        </w:rPr>
      </w:pPr>
    </w:p>
    <w:p w14:paraId="093BFEDD">
      <w:pPr>
        <w:rPr>
          <w:rFonts w:ascii="仿宋" w:hAnsi="仿宋" w:eastAsia="仿宋" w:cs="仿宋"/>
          <w:color w:val="auto"/>
          <w:highlight w:val="none"/>
        </w:rPr>
      </w:pPr>
    </w:p>
    <w:sectPr>
      <w:footerReference r:id="rId11"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1D92">
    <w:pPr>
      <w:pStyle w:val="18"/>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798616">
                          <w:pPr>
                            <w:pStyle w:val="1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RuS8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jRuS8cBAACbAwAADgAAAAAAAAABACAAAAAeAQAAZHJzL2Uyb0RvYy54&#10;bWxQSwUGAAAAAAYABgBZAQAAVwUAAAAA&#10;">
              <v:fill on="f" focussize="0,0"/>
              <v:stroke on="f"/>
              <v:imagedata o:title=""/>
              <o:lock v:ext="edit" aspectratio="f"/>
              <v:textbox inset="0mm,0mm,0mm,0mm" style="mso-fit-shape-to-text:t;">
                <w:txbxContent>
                  <w:p w14:paraId="38798616">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34A7A61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3B4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CEF1F">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D0E72C"/>
                      </w:txbxContent>
                    </wps:txbx>
                    <wps:bodyPr wrap="none" lIns="0" tIns="0" rIns="0" bIns="0">
                      <a:spAutoFit/>
                    </wps:bodyPr>
                  </wps:wsp>
                </a:graphicData>
              </a:graphic>
            </wp:anchor>
          </w:drawing>
        </mc:Choice>
        <mc:Fallback>
          <w:pict>
            <v:shape id="文本框 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BU+a0AAAAAMBAAAPAAAAAAAAAAEAIAAAACIAAABkcnMvZG93bnJldi54bWxQ&#10;SwECFAAUAAAACACHTuJAxvtDpcYBAACbAwAADgAAAAAAAAABACAAAAAfAQAAZHJzL2Uyb0RvYy54&#10;bWxQSwUGAAAAAAYABgBZAQAAVwUAAAAA&#10;">
              <v:fill on="f" focussize="0,0"/>
              <v:stroke on="f"/>
              <v:imagedata o:title=""/>
              <o:lock v:ext="edit" aspectratio="f"/>
              <v:textbox inset="0mm,0mm,0mm,0mm" style="mso-fit-shape-to-text:t;">
                <w:txbxContent>
                  <w:p w14:paraId="11D0E72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7CA2">
    <w:pPr>
      <w:pStyle w:val="18"/>
      <w:tabs>
        <w:tab w:val="center" w:pos="4439"/>
        <w:tab w:val="clear" w:pos="4153"/>
      </w:tabs>
      <w:jc w:val="both"/>
    </w:pPr>
  </w:p>
  <w:p w14:paraId="224E23D9">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F02E">
    <w:pPr>
      <w:pStyle w:val="18"/>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64D98D"/>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lo78YBAACb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n5DWdWGHrwy/dvlx+/Lj+/smWS&#10;p/dYUdWjp7o43LuBlmaOIwUT66ENJn2JD6M8iXu+igtDZDJdWq/W65JSknKzQ/jF03UfML4FZ1gy&#10;ah7o9bKo4vQe41g6l6Ru1j0orfMLavtXgDDHCOQVmG4nJuPEyYrDfpjo7V1zJnY9rUHNLW09Z/qd&#10;JZXTxsxGmI39ZKSO6O+OkcbI0yXUEYpYJYfeLPOb9istxZ9+rnr6p7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AiWjvxgEAAJsDAAAOAAAAAAAAAAEAIAAAAB4BAABkcnMvZTJvRG9jLnht&#10;bFBLBQYAAAAABgAGAFkBAABWBQAAAAA=&#10;">
              <v:fill on="f" focussize="0,0"/>
              <v:stroke on="f"/>
              <v:imagedata o:title=""/>
              <o:lock v:ext="edit" aspectratio="f"/>
              <v:textbox inset="0mm,0mm,0mm,0mm" style="mso-fit-shape-to-text:t;">
                <w:txbxContent>
                  <w:p w14:paraId="6664D98D"/>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D100">
    <w:pPr>
      <w:pStyle w:val="18"/>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EB9C78">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XngePsYBAACbAwAADgAAAAAAAAABACAAAAAfAQAAZHJzL2Uyb0RvYy54&#10;bWxQSwUGAAAAAAYABgBZAQAAVwUAAAAA&#10;">
              <v:fill on="f" focussize="0,0"/>
              <v:stroke on="f"/>
              <v:imagedata o:title=""/>
              <o:lock v:ext="edit" aspectratio="f"/>
              <v:textbox inset="0mm,0mm,0mm,0mm" style="mso-fit-shape-to-text:t;">
                <w:txbxContent>
                  <w:p w14:paraId="1AEB9C78">
                    <w:pPr>
                      <w:pStyle w:val="18"/>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p>
                </w:txbxContent>
              </v:textbox>
            </v:shape>
          </w:pict>
        </mc:Fallback>
      </mc:AlternateContent>
    </w:r>
  </w:p>
  <w:p w14:paraId="44CC4E61">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044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09A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B7C5">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56A4368"/>
    <w:multiLevelType w:val="multilevel"/>
    <w:tmpl w:val="756A4368"/>
    <w:lvl w:ilvl="0" w:tentative="0">
      <w:start w:val="1"/>
      <w:numFmt w:val="chineseCountingThousand"/>
      <w:lvlText w:val="%1. "/>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jlmNjg0YWZlMmExM2I3YzVlZjQwM2EwYzY2MDYifQ=="/>
  </w:docVars>
  <w:rsids>
    <w:rsidRoot w:val="00901A19"/>
    <w:rsid w:val="000247E2"/>
    <w:rsid w:val="0004362C"/>
    <w:rsid w:val="00056512"/>
    <w:rsid w:val="00060D71"/>
    <w:rsid w:val="0007238E"/>
    <w:rsid w:val="00076D49"/>
    <w:rsid w:val="00092E77"/>
    <w:rsid w:val="000B357A"/>
    <w:rsid w:val="000B4513"/>
    <w:rsid w:val="000E063C"/>
    <w:rsid w:val="000E0C9F"/>
    <w:rsid w:val="000F51E2"/>
    <w:rsid w:val="00106916"/>
    <w:rsid w:val="00121410"/>
    <w:rsid w:val="00143A58"/>
    <w:rsid w:val="00163DD6"/>
    <w:rsid w:val="001F3BC3"/>
    <w:rsid w:val="001F547D"/>
    <w:rsid w:val="00204128"/>
    <w:rsid w:val="0023715A"/>
    <w:rsid w:val="00272011"/>
    <w:rsid w:val="002756B5"/>
    <w:rsid w:val="00286717"/>
    <w:rsid w:val="002A0A05"/>
    <w:rsid w:val="002A16B4"/>
    <w:rsid w:val="002E4DA0"/>
    <w:rsid w:val="00311495"/>
    <w:rsid w:val="00320B8B"/>
    <w:rsid w:val="0033108A"/>
    <w:rsid w:val="003B582C"/>
    <w:rsid w:val="003D1372"/>
    <w:rsid w:val="003F57CC"/>
    <w:rsid w:val="004122C8"/>
    <w:rsid w:val="00414C1B"/>
    <w:rsid w:val="00436D1B"/>
    <w:rsid w:val="00475145"/>
    <w:rsid w:val="00493297"/>
    <w:rsid w:val="004C20C5"/>
    <w:rsid w:val="004C69F0"/>
    <w:rsid w:val="004E1DD9"/>
    <w:rsid w:val="004E3005"/>
    <w:rsid w:val="0050445B"/>
    <w:rsid w:val="005079D2"/>
    <w:rsid w:val="00517897"/>
    <w:rsid w:val="00524430"/>
    <w:rsid w:val="0053195A"/>
    <w:rsid w:val="005A5237"/>
    <w:rsid w:val="005D4603"/>
    <w:rsid w:val="006306A1"/>
    <w:rsid w:val="00636DA8"/>
    <w:rsid w:val="0064173E"/>
    <w:rsid w:val="00674659"/>
    <w:rsid w:val="006772B6"/>
    <w:rsid w:val="00694EC0"/>
    <w:rsid w:val="006A0FF3"/>
    <w:rsid w:val="006C71E0"/>
    <w:rsid w:val="00702E38"/>
    <w:rsid w:val="00725C80"/>
    <w:rsid w:val="00767349"/>
    <w:rsid w:val="00781435"/>
    <w:rsid w:val="00782C45"/>
    <w:rsid w:val="007B482E"/>
    <w:rsid w:val="007B62CC"/>
    <w:rsid w:val="007C1713"/>
    <w:rsid w:val="007D1559"/>
    <w:rsid w:val="007E4BCE"/>
    <w:rsid w:val="007F4651"/>
    <w:rsid w:val="007F7CF4"/>
    <w:rsid w:val="008101D4"/>
    <w:rsid w:val="008108AB"/>
    <w:rsid w:val="00837CF9"/>
    <w:rsid w:val="0085010E"/>
    <w:rsid w:val="008970CC"/>
    <w:rsid w:val="008D0AFE"/>
    <w:rsid w:val="008F7480"/>
    <w:rsid w:val="00901A19"/>
    <w:rsid w:val="00901CF2"/>
    <w:rsid w:val="00920AF3"/>
    <w:rsid w:val="0092266C"/>
    <w:rsid w:val="009723D0"/>
    <w:rsid w:val="009C1E28"/>
    <w:rsid w:val="009E1DAC"/>
    <w:rsid w:val="009E4420"/>
    <w:rsid w:val="009F0D48"/>
    <w:rsid w:val="00A46F6A"/>
    <w:rsid w:val="00A94B5F"/>
    <w:rsid w:val="00AA42C4"/>
    <w:rsid w:val="00AB1CAB"/>
    <w:rsid w:val="00AC410C"/>
    <w:rsid w:val="00AE079A"/>
    <w:rsid w:val="00AE2B70"/>
    <w:rsid w:val="00B062C4"/>
    <w:rsid w:val="00B45BC6"/>
    <w:rsid w:val="00B6674B"/>
    <w:rsid w:val="00B72556"/>
    <w:rsid w:val="00B76EDD"/>
    <w:rsid w:val="00B81077"/>
    <w:rsid w:val="00B91DE8"/>
    <w:rsid w:val="00BA3955"/>
    <w:rsid w:val="00BA5B2B"/>
    <w:rsid w:val="00BB68CE"/>
    <w:rsid w:val="00BB6E5A"/>
    <w:rsid w:val="00BC15F2"/>
    <w:rsid w:val="00C355DD"/>
    <w:rsid w:val="00C66161"/>
    <w:rsid w:val="00C8016E"/>
    <w:rsid w:val="00C8380D"/>
    <w:rsid w:val="00C92469"/>
    <w:rsid w:val="00CC0172"/>
    <w:rsid w:val="00CD18B9"/>
    <w:rsid w:val="00CE48E9"/>
    <w:rsid w:val="00CF0CB7"/>
    <w:rsid w:val="00CF26C7"/>
    <w:rsid w:val="00CF5840"/>
    <w:rsid w:val="00D006A1"/>
    <w:rsid w:val="00D0506E"/>
    <w:rsid w:val="00D22D2C"/>
    <w:rsid w:val="00D30DBF"/>
    <w:rsid w:val="00D51176"/>
    <w:rsid w:val="00D7363E"/>
    <w:rsid w:val="00DC360D"/>
    <w:rsid w:val="00DE1B5A"/>
    <w:rsid w:val="00E2766B"/>
    <w:rsid w:val="00E5160A"/>
    <w:rsid w:val="00E523C6"/>
    <w:rsid w:val="00E62B84"/>
    <w:rsid w:val="00E977BB"/>
    <w:rsid w:val="00EE1B72"/>
    <w:rsid w:val="00F070ED"/>
    <w:rsid w:val="00F12000"/>
    <w:rsid w:val="00F3576F"/>
    <w:rsid w:val="00F54029"/>
    <w:rsid w:val="00F83E65"/>
    <w:rsid w:val="00F8692B"/>
    <w:rsid w:val="00F964CB"/>
    <w:rsid w:val="00FB179F"/>
    <w:rsid w:val="00FB6D45"/>
    <w:rsid w:val="00FC0A8A"/>
    <w:rsid w:val="00FD569C"/>
    <w:rsid w:val="00FE579F"/>
    <w:rsid w:val="0147153B"/>
    <w:rsid w:val="01787946"/>
    <w:rsid w:val="01916C5A"/>
    <w:rsid w:val="0227547C"/>
    <w:rsid w:val="02426ADC"/>
    <w:rsid w:val="028D2E41"/>
    <w:rsid w:val="029B70E4"/>
    <w:rsid w:val="02E86628"/>
    <w:rsid w:val="031511C4"/>
    <w:rsid w:val="035937A7"/>
    <w:rsid w:val="03E272F9"/>
    <w:rsid w:val="045D2E23"/>
    <w:rsid w:val="04D1466B"/>
    <w:rsid w:val="051C2760"/>
    <w:rsid w:val="05EA2EA5"/>
    <w:rsid w:val="063127B9"/>
    <w:rsid w:val="06B41E57"/>
    <w:rsid w:val="06D80E87"/>
    <w:rsid w:val="06EA3742"/>
    <w:rsid w:val="07F41CF0"/>
    <w:rsid w:val="085E716A"/>
    <w:rsid w:val="08AF4D17"/>
    <w:rsid w:val="08DF02AB"/>
    <w:rsid w:val="08F33D56"/>
    <w:rsid w:val="093C394F"/>
    <w:rsid w:val="098228D8"/>
    <w:rsid w:val="09840E52"/>
    <w:rsid w:val="09975029"/>
    <w:rsid w:val="09BA0456"/>
    <w:rsid w:val="0A7333A0"/>
    <w:rsid w:val="0A7F6F70"/>
    <w:rsid w:val="0A8235E3"/>
    <w:rsid w:val="0B2E5519"/>
    <w:rsid w:val="0B4B60CB"/>
    <w:rsid w:val="0B84338B"/>
    <w:rsid w:val="0B8C3FEE"/>
    <w:rsid w:val="0B974E6D"/>
    <w:rsid w:val="0BD47E6F"/>
    <w:rsid w:val="0C322DE7"/>
    <w:rsid w:val="0C7C2CFF"/>
    <w:rsid w:val="0CB02332"/>
    <w:rsid w:val="0CE75980"/>
    <w:rsid w:val="0CED2B47"/>
    <w:rsid w:val="0CFF6078"/>
    <w:rsid w:val="0D0752B4"/>
    <w:rsid w:val="0D1123F8"/>
    <w:rsid w:val="0D273D9D"/>
    <w:rsid w:val="0D29243C"/>
    <w:rsid w:val="0D462673"/>
    <w:rsid w:val="0D71408C"/>
    <w:rsid w:val="0DC61A39"/>
    <w:rsid w:val="0EB51DB2"/>
    <w:rsid w:val="0ECE1A18"/>
    <w:rsid w:val="0F39075B"/>
    <w:rsid w:val="0F403A6D"/>
    <w:rsid w:val="0F987405"/>
    <w:rsid w:val="0FA37386"/>
    <w:rsid w:val="0FB3423F"/>
    <w:rsid w:val="101051ED"/>
    <w:rsid w:val="106A2B50"/>
    <w:rsid w:val="109B2773"/>
    <w:rsid w:val="10C52688"/>
    <w:rsid w:val="11072A94"/>
    <w:rsid w:val="118440E5"/>
    <w:rsid w:val="11FD6B44"/>
    <w:rsid w:val="121A67F7"/>
    <w:rsid w:val="12413D84"/>
    <w:rsid w:val="124D4127"/>
    <w:rsid w:val="127423E0"/>
    <w:rsid w:val="12BC165D"/>
    <w:rsid w:val="12C17629"/>
    <w:rsid w:val="12D15E76"/>
    <w:rsid w:val="13070B2A"/>
    <w:rsid w:val="1340403C"/>
    <w:rsid w:val="136C6BDF"/>
    <w:rsid w:val="13B45933"/>
    <w:rsid w:val="13E52DF8"/>
    <w:rsid w:val="13FA243C"/>
    <w:rsid w:val="14060DE1"/>
    <w:rsid w:val="14643D5A"/>
    <w:rsid w:val="147026FF"/>
    <w:rsid w:val="149C7E0A"/>
    <w:rsid w:val="14AD3953"/>
    <w:rsid w:val="14BA0A51"/>
    <w:rsid w:val="14E530ED"/>
    <w:rsid w:val="157D50D3"/>
    <w:rsid w:val="15DD2016"/>
    <w:rsid w:val="1618304E"/>
    <w:rsid w:val="16302145"/>
    <w:rsid w:val="164F2CB5"/>
    <w:rsid w:val="168D7598"/>
    <w:rsid w:val="16A6065A"/>
    <w:rsid w:val="1706617A"/>
    <w:rsid w:val="173376A6"/>
    <w:rsid w:val="176D4231"/>
    <w:rsid w:val="17935082"/>
    <w:rsid w:val="17BF2702"/>
    <w:rsid w:val="17CC40F0"/>
    <w:rsid w:val="17D3601B"/>
    <w:rsid w:val="17D825DA"/>
    <w:rsid w:val="17ED69B7"/>
    <w:rsid w:val="18131C75"/>
    <w:rsid w:val="187257ED"/>
    <w:rsid w:val="18833D83"/>
    <w:rsid w:val="19341F4D"/>
    <w:rsid w:val="19550115"/>
    <w:rsid w:val="196A1650"/>
    <w:rsid w:val="19A277FE"/>
    <w:rsid w:val="19E03E83"/>
    <w:rsid w:val="1A200723"/>
    <w:rsid w:val="1A2F6BB8"/>
    <w:rsid w:val="1A534654"/>
    <w:rsid w:val="1AA50C28"/>
    <w:rsid w:val="1AAF3F79"/>
    <w:rsid w:val="1AD03EF7"/>
    <w:rsid w:val="1AED4AA9"/>
    <w:rsid w:val="1B097409"/>
    <w:rsid w:val="1B222279"/>
    <w:rsid w:val="1B965141"/>
    <w:rsid w:val="1BA01B1B"/>
    <w:rsid w:val="1BEF65FF"/>
    <w:rsid w:val="1C6E7E6B"/>
    <w:rsid w:val="1CCC4B92"/>
    <w:rsid w:val="1D5C5F16"/>
    <w:rsid w:val="1DA11B7B"/>
    <w:rsid w:val="1DC00253"/>
    <w:rsid w:val="1DCD0BC2"/>
    <w:rsid w:val="1E1C2D4A"/>
    <w:rsid w:val="1E3819A8"/>
    <w:rsid w:val="1E6758D9"/>
    <w:rsid w:val="1E6C3F37"/>
    <w:rsid w:val="1EFA59E6"/>
    <w:rsid w:val="1F274302"/>
    <w:rsid w:val="1F657148"/>
    <w:rsid w:val="1F706B96"/>
    <w:rsid w:val="1F9B4D2F"/>
    <w:rsid w:val="2031368A"/>
    <w:rsid w:val="205E587F"/>
    <w:rsid w:val="206B14DC"/>
    <w:rsid w:val="20741AC6"/>
    <w:rsid w:val="20E95D13"/>
    <w:rsid w:val="20F519E8"/>
    <w:rsid w:val="211B39F2"/>
    <w:rsid w:val="213A1B76"/>
    <w:rsid w:val="214860A4"/>
    <w:rsid w:val="21AB6694"/>
    <w:rsid w:val="21AF0D0A"/>
    <w:rsid w:val="21EC460D"/>
    <w:rsid w:val="22592A24"/>
    <w:rsid w:val="22D470CE"/>
    <w:rsid w:val="22FD363F"/>
    <w:rsid w:val="231D7EF5"/>
    <w:rsid w:val="23767606"/>
    <w:rsid w:val="238735C1"/>
    <w:rsid w:val="23D75C4C"/>
    <w:rsid w:val="23E822B1"/>
    <w:rsid w:val="242D14B2"/>
    <w:rsid w:val="24376D95"/>
    <w:rsid w:val="246F652F"/>
    <w:rsid w:val="248D5A16"/>
    <w:rsid w:val="24EF7670"/>
    <w:rsid w:val="25284930"/>
    <w:rsid w:val="25987D07"/>
    <w:rsid w:val="25B531A5"/>
    <w:rsid w:val="25F47ABD"/>
    <w:rsid w:val="25FD5DBC"/>
    <w:rsid w:val="26722306"/>
    <w:rsid w:val="269415E0"/>
    <w:rsid w:val="26976C25"/>
    <w:rsid w:val="26E27EA4"/>
    <w:rsid w:val="26F15921"/>
    <w:rsid w:val="27167136"/>
    <w:rsid w:val="271D6716"/>
    <w:rsid w:val="2729330D"/>
    <w:rsid w:val="28C3509B"/>
    <w:rsid w:val="28CF3A40"/>
    <w:rsid w:val="28FE67AC"/>
    <w:rsid w:val="292E4C0A"/>
    <w:rsid w:val="293E0BC6"/>
    <w:rsid w:val="294B0E9C"/>
    <w:rsid w:val="298567F4"/>
    <w:rsid w:val="29FA2D3E"/>
    <w:rsid w:val="29FD7C02"/>
    <w:rsid w:val="2A3229EF"/>
    <w:rsid w:val="2A612DBE"/>
    <w:rsid w:val="2A895E70"/>
    <w:rsid w:val="2A954815"/>
    <w:rsid w:val="2AB7478C"/>
    <w:rsid w:val="2B27386A"/>
    <w:rsid w:val="2BBF3111"/>
    <w:rsid w:val="2C4464F3"/>
    <w:rsid w:val="2C4B2398"/>
    <w:rsid w:val="2C68039E"/>
    <w:rsid w:val="2CDF446E"/>
    <w:rsid w:val="2CE33F5E"/>
    <w:rsid w:val="2D183B14"/>
    <w:rsid w:val="2D6A3D37"/>
    <w:rsid w:val="2D7921CC"/>
    <w:rsid w:val="2D7B2C0F"/>
    <w:rsid w:val="2D87536D"/>
    <w:rsid w:val="2D9B2143"/>
    <w:rsid w:val="2DC0604D"/>
    <w:rsid w:val="2DC244C0"/>
    <w:rsid w:val="2DE53D06"/>
    <w:rsid w:val="2E093550"/>
    <w:rsid w:val="2E813A2E"/>
    <w:rsid w:val="2EB72FAC"/>
    <w:rsid w:val="2EDA313F"/>
    <w:rsid w:val="2EED4C20"/>
    <w:rsid w:val="2F283EAA"/>
    <w:rsid w:val="2F854310"/>
    <w:rsid w:val="2FC260AC"/>
    <w:rsid w:val="302929CD"/>
    <w:rsid w:val="303456F4"/>
    <w:rsid w:val="303B5326"/>
    <w:rsid w:val="305A62E5"/>
    <w:rsid w:val="307D1FD3"/>
    <w:rsid w:val="30A92DC8"/>
    <w:rsid w:val="30D2202A"/>
    <w:rsid w:val="30DA11D4"/>
    <w:rsid w:val="312E1520"/>
    <w:rsid w:val="31496359"/>
    <w:rsid w:val="31905D36"/>
    <w:rsid w:val="321F14BD"/>
    <w:rsid w:val="32D57EA5"/>
    <w:rsid w:val="3357175E"/>
    <w:rsid w:val="33955886"/>
    <w:rsid w:val="342033A2"/>
    <w:rsid w:val="34637732"/>
    <w:rsid w:val="34727D93"/>
    <w:rsid w:val="349D403E"/>
    <w:rsid w:val="34E95E89"/>
    <w:rsid w:val="35004F81"/>
    <w:rsid w:val="35211A33"/>
    <w:rsid w:val="353C0959"/>
    <w:rsid w:val="3578720D"/>
    <w:rsid w:val="359A7CAD"/>
    <w:rsid w:val="35AF70D3"/>
    <w:rsid w:val="35E6686D"/>
    <w:rsid w:val="36015455"/>
    <w:rsid w:val="36211653"/>
    <w:rsid w:val="36BE6EA2"/>
    <w:rsid w:val="36F11025"/>
    <w:rsid w:val="37160A8C"/>
    <w:rsid w:val="37315493"/>
    <w:rsid w:val="3747333B"/>
    <w:rsid w:val="37504328"/>
    <w:rsid w:val="37614B2E"/>
    <w:rsid w:val="378105FB"/>
    <w:rsid w:val="37A93B8F"/>
    <w:rsid w:val="37D344D7"/>
    <w:rsid w:val="37D83F93"/>
    <w:rsid w:val="3848736B"/>
    <w:rsid w:val="38573D0C"/>
    <w:rsid w:val="385B709E"/>
    <w:rsid w:val="38602906"/>
    <w:rsid w:val="388225B9"/>
    <w:rsid w:val="388B14B0"/>
    <w:rsid w:val="39500E6A"/>
    <w:rsid w:val="39EA604C"/>
    <w:rsid w:val="3A2E4DC8"/>
    <w:rsid w:val="3A823F5C"/>
    <w:rsid w:val="3B0C28D2"/>
    <w:rsid w:val="3B194FEF"/>
    <w:rsid w:val="3C041233"/>
    <w:rsid w:val="3C0812EB"/>
    <w:rsid w:val="3C1C6B44"/>
    <w:rsid w:val="3C7A386B"/>
    <w:rsid w:val="3CFA57E4"/>
    <w:rsid w:val="3D4E5423"/>
    <w:rsid w:val="3DC456E6"/>
    <w:rsid w:val="3E03620E"/>
    <w:rsid w:val="3E0B63D7"/>
    <w:rsid w:val="3E1334F8"/>
    <w:rsid w:val="3E353EED"/>
    <w:rsid w:val="3E974BA8"/>
    <w:rsid w:val="3EA67188"/>
    <w:rsid w:val="3EBA2645"/>
    <w:rsid w:val="3F632CDC"/>
    <w:rsid w:val="3F870CF1"/>
    <w:rsid w:val="3F8D026E"/>
    <w:rsid w:val="3FD832ED"/>
    <w:rsid w:val="402317B5"/>
    <w:rsid w:val="40A315E2"/>
    <w:rsid w:val="40E76A68"/>
    <w:rsid w:val="40F938F8"/>
    <w:rsid w:val="41231813"/>
    <w:rsid w:val="41842BE9"/>
    <w:rsid w:val="421B7C7D"/>
    <w:rsid w:val="422E75D1"/>
    <w:rsid w:val="42340744"/>
    <w:rsid w:val="423544BC"/>
    <w:rsid w:val="42586B2B"/>
    <w:rsid w:val="42772D26"/>
    <w:rsid w:val="429E04F9"/>
    <w:rsid w:val="42F51E9D"/>
    <w:rsid w:val="43754D8C"/>
    <w:rsid w:val="437C2B43"/>
    <w:rsid w:val="437E00E5"/>
    <w:rsid w:val="438D1DAF"/>
    <w:rsid w:val="43A50841"/>
    <w:rsid w:val="43B55316"/>
    <w:rsid w:val="43C31F9B"/>
    <w:rsid w:val="43E048FB"/>
    <w:rsid w:val="444A7FC7"/>
    <w:rsid w:val="4476700E"/>
    <w:rsid w:val="449A3D07"/>
    <w:rsid w:val="44F20D8A"/>
    <w:rsid w:val="453E18DA"/>
    <w:rsid w:val="45754258"/>
    <w:rsid w:val="45A32CAB"/>
    <w:rsid w:val="45A51959"/>
    <w:rsid w:val="45C55DEC"/>
    <w:rsid w:val="45E701C3"/>
    <w:rsid w:val="45FE72BB"/>
    <w:rsid w:val="461C117B"/>
    <w:rsid w:val="461F4EE6"/>
    <w:rsid w:val="468A4BF6"/>
    <w:rsid w:val="46B02CAB"/>
    <w:rsid w:val="46B13D21"/>
    <w:rsid w:val="46CB3641"/>
    <w:rsid w:val="46D83772"/>
    <w:rsid w:val="46EB038C"/>
    <w:rsid w:val="46EB783F"/>
    <w:rsid w:val="46F81F5C"/>
    <w:rsid w:val="46FD2544"/>
    <w:rsid w:val="47136D96"/>
    <w:rsid w:val="47266AC9"/>
    <w:rsid w:val="472C0278"/>
    <w:rsid w:val="477F442B"/>
    <w:rsid w:val="47E524E0"/>
    <w:rsid w:val="480E7EA9"/>
    <w:rsid w:val="483D40CA"/>
    <w:rsid w:val="487F3E98"/>
    <w:rsid w:val="48B63E7D"/>
    <w:rsid w:val="48BE3489"/>
    <w:rsid w:val="48BE61DC"/>
    <w:rsid w:val="48FD1AAC"/>
    <w:rsid w:val="493541F7"/>
    <w:rsid w:val="493B663E"/>
    <w:rsid w:val="494E592A"/>
    <w:rsid w:val="49A538DB"/>
    <w:rsid w:val="49AD34D2"/>
    <w:rsid w:val="49AD5280"/>
    <w:rsid w:val="49CD147E"/>
    <w:rsid w:val="49D433EE"/>
    <w:rsid w:val="49DB1DED"/>
    <w:rsid w:val="4A0F5F3A"/>
    <w:rsid w:val="4AC565F9"/>
    <w:rsid w:val="4AFA2747"/>
    <w:rsid w:val="4B3661AE"/>
    <w:rsid w:val="4B623F21"/>
    <w:rsid w:val="4BC15012"/>
    <w:rsid w:val="4BD10D1F"/>
    <w:rsid w:val="4BF52F0E"/>
    <w:rsid w:val="4C26756B"/>
    <w:rsid w:val="4CB94C2F"/>
    <w:rsid w:val="4CC9679C"/>
    <w:rsid w:val="4D115B26"/>
    <w:rsid w:val="4D2D3435"/>
    <w:rsid w:val="4D302450"/>
    <w:rsid w:val="4D866514"/>
    <w:rsid w:val="4DF80FD5"/>
    <w:rsid w:val="4E2B70BB"/>
    <w:rsid w:val="4E7B76FB"/>
    <w:rsid w:val="4EF63225"/>
    <w:rsid w:val="4EF84CEF"/>
    <w:rsid w:val="4F0C7D44"/>
    <w:rsid w:val="4F2C6C47"/>
    <w:rsid w:val="4F4C6922"/>
    <w:rsid w:val="501C315F"/>
    <w:rsid w:val="50454464"/>
    <w:rsid w:val="506F328F"/>
    <w:rsid w:val="5076286F"/>
    <w:rsid w:val="50A53155"/>
    <w:rsid w:val="50C10AAF"/>
    <w:rsid w:val="516421AE"/>
    <w:rsid w:val="524A2485"/>
    <w:rsid w:val="52620A2F"/>
    <w:rsid w:val="52762C3B"/>
    <w:rsid w:val="528A28E2"/>
    <w:rsid w:val="52B7716F"/>
    <w:rsid w:val="52DB52C1"/>
    <w:rsid w:val="52F97788"/>
    <w:rsid w:val="52FF314E"/>
    <w:rsid w:val="53346A12"/>
    <w:rsid w:val="5335321D"/>
    <w:rsid w:val="53456D44"/>
    <w:rsid w:val="54041F40"/>
    <w:rsid w:val="54212AF2"/>
    <w:rsid w:val="548D47DB"/>
    <w:rsid w:val="54D45DB6"/>
    <w:rsid w:val="54E814F4"/>
    <w:rsid w:val="54F63F7F"/>
    <w:rsid w:val="551F508B"/>
    <w:rsid w:val="553E76D4"/>
    <w:rsid w:val="559612BE"/>
    <w:rsid w:val="55AF05D2"/>
    <w:rsid w:val="55CD48F6"/>
    <w:rsid w:val="55CF0FC1"/>
    <w:rsid w:val="56114DE8"/>
    <w:rsid w:val="5613290E"/>
    <w:rsid w:val="56753594"/>
    <w:rsid w:val="56A814F5"/>
    <w:rsid w:val="56D7393C"/>
    <w:rsid w:val="56E16569"/>
    <w:rsid w:val="570315B2"/>
    <w:rsid w:val="571C2293"/>
    <w:rsid w:val="57233025"/>
    <w:rsid w:val="5728063B"/>
    <w:rsid w:val="5765719A"/>
    <w:rsid w:val="578F1F2B"/>
    <w:rsid w:val="579D6934"/>
    <w:rsid w:val="57DA7A76"/>
    <w:rsid w:val="57E1616A"/>
    <w:rsid w:val="57F86260"/>
    <w:rsid w:val="585B4C9B"/>
    <w:rsid w:val="58931AE5"/>
    <w:rsid w:val="589C308F"/>
    <w:rsid w:val="58A41F44"/>
    <w:rsid w:val="590F7EED"/>
    <w:rsid w:val="598B6C60"/>
    <w:rsid w:val="59AD06B0"/>
    <w:rsid w:val="59D10B16"/>
    <w:rsid w:val="5A0031AA"/>
    <w:rsid w:val="5A121A9D"/>
    <w:rsid w:val="5A484937"/>
    <w:rsid w:val="5A8120BB"/>
    <w:rsid w:val="5ABA3CA0"/>
    <w:rsid w:val="5AE34FA5"/>
    <w:rsid w:val="5AE605F2"/>
    <w:rsid w:val="5AF96A82"/>
    <w:rsid w:val="5B024938"/>
    <w:rsid w:val="5B417F1E"/>
    <w:rsid w:val="5B4517BC"/>
    <w:rsid w:val="5B4F3FAE"/>
    <w:rsid w:val="5B6A2FD1"/>
    <w:rsid w:val="5BB42718"/>
    <w:rsid w:val="5C2937E8"/>
    <w:rsid w:val="5C433822"/>
    <w:rsid w:val="5C707826"/>
    <w:rsid w:val="5C882497"/>
    <w:rsid w:val="5CB07109"/>
    <w:rsid w:val="5CDD41DD"/>
    <w:rsid w:val="5CE34AD8"/>
    <w:rsid w:val="5D2037FA"/>
    <w:rsid w:val="5D6B1282"/>
    <w:rsid w:val="5D6C741F"/>
    <w:rsid w:val="5D7903DE"/>
    <w:rsid w:val="5D7D70F8"/>
    <w:rsid w:val="5DE60909"/>
    <w:rsid w:val="5E421FE3"/>
    <w:rsid w:val="5ED03A93"/>
    <w:rsid w:val="5ED510A9"/>
    <w:rsid w:val="5ED6097D"/>
    <w:rsid w:val="5F0D0843"/>
    <w:rsid w:val="5F41673E"/>
    <w:rsid w:val="5F97635E"/>
    <w:rsid w:val="5F9D1C20"/>
    <w:rsid w:val="5FE8395F"/>
    <w:rsid w:val="6056707A"/>
    <w:rsid w:val="607D5554"/>
    <w:rsid w:val="608F5287"/>
    <w:rsid w:val="60A85DBE"/>
    <w:rsid w:val="60DF620F"/>
    <w:rsid w:val="61504A17"/>
    <w:rsid w:val="616D381B"/>
    <w:rsid w:val="619F50E3"/>
    <w:rsid w:val="620D46B6"/>
    <w:rsid w:val="6231670D"/>
    <w:rsid w:val="624F3D2A"/>
    <w:rsid w:val="62522A10"/>
    <w:rsid w:val="62744FBB"/>
    <w:rsid w:val="62AC3580"/>
    <w:rsid w:val="62BE4836"/>
    <w:rsid w:val="62FC19B1"/>
    <w:rsid w:val="63091321"/>
    <w:rsid w:val="63317310"/>
    <w:rsid w:val="637D586B"/>
    <w:rsid w:val="638A1CE2"/>
    <w:rsid w:val="63932865"/>
    <w:rsid w:val="64112ADD"/>
    <w:rsid w:val="643A3A59"/>
    <w:rsid w:val="643C5726"/>
    <w:rsid w:val="64515E31"/>
    <w:rsid w:val="6472739A"/>
    <w:rsid w:val="649B244D"/>
    <w:rsid w:val="64C64FF0"/>
    <w:rsid w:val="652C7549"/>
    <w:rsid w:val="654E3963"/>
    <w:rsid w:val="656E2565"/>
    <w:rsid w:val="656E2699"/>
    <w:rsid w:val="65DF66DC"/>
    <w:rsid w:val="65F8567D"/>
    <w:rsid w:val="668257C5"/>
    <w:rsid w:val="669C24AC"/>
    <w:rsid w:val="670C7632"/>
    <w:rsid w:val="672D3845"/>
    <w:rsid w:val="67535261"/>
    <w:rsid w:val="6753700F"/>
    <w:rsid w:val="67656D42"/>
    <w:rsid w:val="67EE0FC7"/>
    <w:rsid w:val="67F73E3E"/>
    <w:rsid w:val="67FC1454"/>
    <w:rsid w:val="680549B0"/>
    <w:rsid w:val="6853303E"/>
    <w:rsid w:val="68AD6BF3"/>
    <w:rsid w:val="695B03FD"/>
    <w:rsid w:val="6968243B"/>
    <w:rsid w:val="69C0714A"/>
    <w:rsid w:val="69C5248C"/>
    <w:rsid w:val="69DF2DDC"/>
    <w:rsid w:val="69DF4B8A"/>
    <w:rsid w:val="69ED127A"/>
    <w:rsid w:val="6A175A16"/>
    <w:rsid w:val="6A1C5DDE"/>
    <w:rsid w:val="6A287F43"/>
    <w:rsid w:val="6AF11262"/>
    <w:rsid w:val="6B2976F6"/>
    <w:rsid w:val="6B2A42CC"/>
    <w:rsid w:val="6B332CDE"/>
    <w:rsid w:val="6B5E6DB2"/>
    <w:rsid w:val="6B8F25DF"/>
    <w:rsid w:val="6BD777F2"/>
    <w:rsid w:val="6BF43F27"/>
    <w:rsid w:val="6C523D39"/>
    <w:rsid w:val="6C77379F"/>
    <w:rsid w:val="6C7C1354"/>
    <w:rsid w:val="6CA254D2"/>
    <w:rsid w:val="6CD96208"/>
    <w:rsid w:val="6D325918"/>
    <w:rsid w:val="6D452BA2"/>
    <w:rsid w:val="6D463172"/>
    <w:rsid w:val="6D826F75"/>
    <w:rsid w:val="6D853C9A"/>
    <w:rsid w:val="6DAA1953"/>
    <w:rsid w:val="6DC80174"/>
    <w:rsid w:val="6DCF3167"/>
    <w:rsid w:val="6E5B69FB"/>
    <w:rsid w:val="6E614CB0"/>
    <w:rsid w:val="6E657628"/>
    <w:rsid w:val="6E8C2E06"/>
    <w:rsid w:val="6EEB3FD1"/>
    <w:rsid w:val="6F0567F5"/>
    <w:rsid w:val="6F0D2199"/>
    <w:rsid w:val="6F174DC6"/>
    <w:rsid w:val="6F944668"/>
    <w:rsid w:val="6FCC579C"/>
    <w:rsid w:val="702458A7"/>
    <w:rsid w:val="70366EC6"/>
    <w:rsid w:val="70425E72"/>
    <w:rsid w:val="70495453"/>
    <w:rsid w:val="705262EE"/>
    <w:rsid w:val="707B75D6"/>
    <w:rsid w:val="70934920"/>
    <w:rsid w:val="70AB7E4E"/>
    <w:rsid w:val="70B07280"/>
    <w:rsid w:val="70E31FF9"/>
    <w:rsid w:val="7104581E"/>
    <w:rsid w:val="71551BD5"/>
    <w:rsid w:val="718C28F0"/>
    <w:rsid w:val="719B7F30"/>
    <w:rsid w:val="71CD20B4"/>
    <w:rsid w:val="71ED62B2"/>
    <w:rsid w:val="7236673C"/>
    <w:rsid w:val="727C4FE3"/>
    <w:rsid w:val="730F752E"/>
    <w:rsid w:val="731C51FA"/>
    <w:rsid w:val="732C6966"/>
    <w:rsid w:val="73DC4F39"/>
    <w:rsid w:val="73FD462A"/>
    <w:rsid w:val="74085625"/>
    <w:rsid w:val="7408658E"/>
    <w:rsid w:val="743326A2"/>
    <w:rsid w:val="752A493A"/>
    <w:rsid w:val="756E770A"/>
    <w:rsid w:val="75E54082"/>
    <w:rsid w:val="7614728E"/>
    <w:rsid w:val="764A782F"/>
    <w:rsid w:val="76AE45A1"/>
    <w:rsid w:val="76FA12D1"/>
    <w:rsid w:val="772E53A2"/>
    <w:rsid w:val="774261D2"/>
    <w:rsid w:val="777D3C34"/>
    <w:rsid w:val="778C768E"/>
    <w:rsid w:val="78530456"/>
    <w:rsid w:val="786B1CDE"/>
    <w:rsid w:val="78992CEF"/>
    <w:rsid w:val="78B062FB"/>
    <w:rsid w:val="78C95383"/>
    <w:rsid w:val="78E24696"/>
    <w:rsid w:val="78E35D19"/>
    <w:rsid w:val="78E51A91"/>
    <w:rsid w:val="78FD502C"/>
    <w:rsid w:val="790E2D96"/>
    <w:rsid w:val="790F76AC"/>
    <w:rsid w:val="793E3EE5"/>
    <w:rsid w:val="797A042B"/>
    <w:rsid w:val="799D05BD"/>
    <w:rsid w:val="799D236B"/>
    <w:rsid w:val="79BC0A44"/>
    <w:rsid w:val="79C21DD2"/>
    <w:rsid w:val="7A04221B"/>
    <w:rsid w:val="7A28257D"/>
    <w:rsid w:val="7A6510DB"/>
    <w:rsid w:val="7A981582"/>
    <w:rsid w:val="7AA00365"/>
    <w:rsid w:val="7AD87AFF"/>
    <w:rsid w:val="7B2E514A"/>
    <w:rsid w:val="7B672C31"/>
    <w:rsid w:val="7BC2255D"/>
    <w:rsid w:val="7BE75B20"/>
    <w:rsid w:val="7C004FA5"/>
    <w:rsid w:val="7C176405"/>
    <w:rsid w:val="7C183F2B"/>
    <w:rsid w:val="7C6014A6"/>
    <w:rsid w:val="7CC52470"/>
    <w:rsid w:val="7CCE215D"/>
    <w:rsid w:val="7CF46746"/>
    <w:rsid w:val="7D07647A"/>
    <w:rsid w:val="7D6438CC"/>
    <w:rsid w:val="7DFD2E0F"/>
    <w:rsid w:val="7E0806FB"/>
    <w:rsid w:val="7E230A06"/>
    <w:rsid w:val="7E926217"/>
    <w:rsid w:val="7EE12CFA"/>
    <w:rsid w:val="7EFD764D"/>
    <w:rsid w:val="7F031347"/>
    <w:rsid w:val="7F0A5038"/>
    <w:rsid w:val="7F477001"/>
    <w:rsid w:val="7F496050"/>
    <w:rsid w:val="7F511C2E"/>
    <w:rsid w:val="7F914720"/>
    <w:rsid w:val="7FC65F69"/>
    <w:rsid w:val="7FC9711D"/>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6">
    <w:name w:val="heading 4"/>
    <w:basedOn w:val="1"/>
    <w:next w:val="1"/>
    <w:qFormat/>
    <w:uiPriority w:val="99"/>
    <w:pPr>
      <w:keepNext/>
      <w:keepLines/>
      <w:numPr>
        <w:ilvl w:val="3"/>
        <w:numId w:val="2"/>
      </w:numPr>
      <w:tabs>
        <w:tab w:val="left" w:pos="360"/>
        <w:tab w:val="clear" w:pos="864"/>
      </w:tabs>
      <w:spacing w:before="280" w:after="290" w:line="376" w:lineRule="auto"/>
      <w:ind w:left="0" w:firstLine="0"/>
      <w:outlineLvl w:val="3"/>
    </w:pPr>
    <w:rPr>
      <w:rFonts w:eastAsia="黑体"/>
      <w:b/>
      <w:bCs/>
      <w:sz w:val="28"/>
      <w:szCs w:val="28"/>
    </w:rPr>
  </w:style>
  <w:style w:type="paragraph" w:styleId="7">
    <w:name w:val="heading 5"/>
    <w:basedOn w:val="1"/>
    <w:next w:val="8"/>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8">
    <w:name w:val="Normal Indent"/>
    <w:basedOn w:val="1"/>
    <w:qFormat/>
    <w:uiPriority w:val="0"/>
    <w:pPr>
      <w:ind w:firstLine="420"/>
    </w:pPr>
    <w:rPr>
      <w:szCs w:val="20"/>
    </w:rPr>
  </w:style>
  <w:style w:type="paragraph" w:styleId="9">
    <w:name w:val="index 8"/>
    <w:basedOn w:val="1"/>
    <w:next w:val="1"/>
    <w:qFormat/>
    <w:uiPriority w:val="0"/>
    <w:pPr>
      <w:spacing w:line="360" w:lineRule="auto"/>
    </w:pPr>
  </w:style>
  <w:style w:type="paragraph" w:styleId="10">
    <w:name w:val="annotation text"/>
    <w:basedOn w:val="1"/>
    <w:link w:val="31"/>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customStyle="1" w:styleId="13">
    <w:name w:val="Default"/>
    <w:next w:val="14"/>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2"/>
    <w:next w:val="2"/>
    <w:qFormat/>
    <w:uiPriority w:val="0"/>
    <w:rPr>
      <w:rFonts w:ascii="宋体" w:hAnsi="Courier New"/>
      <w:szCs w:val="20"/>
    </w:rPr>
  </w:style>
  <w:style w:type="paragraph" w:styleId="17">
    <w:name w:val="Balloon Text"/>
    <w:basedOn w:val="1"/>
    <w:link w:val="32"/>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rPr>
      <w:rFonts w:ascii="Calibri" w:hAnsi="Calibri"/>
      <w:kern w:val="0"/>
      <w:sz w:val="24"/>
    </w:rPr>
  </w:style>
  <w:style w:type="paragraph" w:styleId="23">
    <w:name w:val="annotation subject"/>
    <w:basedOn w:val="10"/>
    <w:next w:val="10"/>
    <w:link w:val="33"/>
    <w:qFormat/>
    <w:uiPriority w:val="0"/>
    <w:rPr>
      <w:b/>
      <w:bCs/>
    </w:rPr>
  </w:style>
  <w:style w:type="paragraph" w:styleId="24">
    <w:name w:val="Body Text First Indent"/>
    <w:basedOn w:val="2"/>
    <w:qFormat/>
    <w:uiPriority w:val="99"/>
    <w:pPr>
      <w:spacing w:after="120" w:line="570" w:lineRule="atLeast"/>
      <w:ind w:firstLine="883" w:firstLineChars="200"/>
    </w:pPr>
    <w:rPr>
      <w:rFonts w:ascii="宋体" w:hAnsi="宋体" w:cs="宋体"/>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styleId="30">
    <w:name w:val="HTML Sample"/>
    <w:qFormat/>
    <w:uiPriority w:val="0"/>
    <w:rPr>
      <w:rFonts w:ascii="Courier New" w:hAnsi="Courier New"/>
    </w:rPr>
  </w:style>
  <w:style w:type="character" w:customStyle="1" w:styleId="31">
    <w:name w:val="批注文字 Char"/>
    <w:link w:val="10"/>
    <w:qFormat/>
    <w:uiPriority w:val="0"/>
    <w:rPr>
      <w:kern w:val="2"/>
      <w:sz w:val="21"/>
      <w:szCs w:val="24"/>
    </w:rPr>
  </w:style>
  <w:style w:type="character" w:customStyle="1" w:styleId="32">
    <w:name w:val="批注框文本 Char"/>
    <w:link w:val="17"/>
    <w:qFormat/>
    <w:uiPriority w:val="0"/>
    <w:rPr>
      <w:kern w:val="2"/>
      <w:sz w:val="18"/>
      <w:szCs w:val="18"/>
    </w:rPr>
  </w:style>
  <w:style w:type="character" w:customStyle="1" w:styleId="33">
    <w:name w:val="批注主题 Char"/>
    <w:link w:val="23"/>
    <w:qFormat/>
    <w:uiPriority w:val="0"/>
  </w:style>
  <w:style w:type="character" w:customStyle="1" w:styleId="34">
    <w:name w:val="font21"/>
    <w:qFormat/>
    <w:uiPriority w:val="0"/>
    <w:rPr>
      <w:rFonts w:ascii="MS Gothic" w:hAnsi="MS Gothic" w:eastAsia="MS Gothic" w:cs="MS Gothic"/>
      <w:color w:val="000000"/>
      <w:sz w:val="24"/>
      <w:szCs w:val="24"/>
      <w:u w:val="none"/>
    </w:rPr>
  </w:style>
  <w:style w:type="character" w:customStyle="1" w:styleId="35">
    <w:name w:val="font01"/>
    <w:qFormat/>
    <w:uiPriority w:val="0"/>
    <w:rPr>
      <w:rFonts w:hint="eastAsia" w:ascii="宋体" w:hAnsi="宋体" w:eastAsia="宋体" w:cs="宋体"/>
      <w:color w:val="000000"/>
      <w:sz w:val="24"/>
      <w:szCs w:val="24"/>
      <w:u w:val="none"/>
    </w:rPr>
  </w:style>
  <w:style w:type="paragraph" w:customStyle="1" w:styleId="36">
    <w:name w:val="_Style 35"/>
    <w:basedOn w:val="4"/>
    <w:next w:val="1"/>
    <w:qFormat/>
    <w:uiPriority w:val="39"/>
    <w:pPr>
      <w:widowControl/>
      <w:suppressAutoHyphens w:val="0"/>
      <w:spacing w:before="480" w:after="0" w:line="276" w:lineRule="auto"/>
      <w:jc w:val="left"/>
      <w:outlineLvl w:val="9"/>
    </w:pPr>
    <w:rPr>
      <w:rFonts w:ascii="Cambria" w:hAnsi="Cambria"/>
      <w:color w:val="365F91"/>
      <w:kern w:val="0"/>
      <w:sz w:val="28"/>
      <w:szCs w:val="28"/>
    </w:rPr>
  </w:style>
  <w:style w:type="paragraph" w:customStyle="1" w:styleId="3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列出段落5"/>
    <w:basedOn w:val="1"/>
    <w:qFormat/>
    <w:uiPriority w:val="99"/>
    <w:pPr>
      <w:widowControl/>
      <w:ind w:firstLine="420" w:firstLineChars="200"/>
      <w:jc w:val="left"/>
    </w:pPr>
    <w:rPr>
      <w:rFonts w:ascii="宋体" w:hAnsi="宋体" w:cs="宋体"/>
      <w:kern w:val="0"/>
      <w:sz w:val="24"/>
    </w:rPr>
  </w:style>
  <w:style w:type="paragraph" w:customStyle="1" w:styleId="39">
    <w:name w:val="表格文字"/>
    <w:basedOn w:val="1"/>
    <w:next w:val="2"/>
    <w:qFormat/>
    <w:uiPriority w:val="0"/>
    <w:pPr>
      <w:adjustRightInd w:val="0"/>
      <w:spacing w:line="420" w:lineRule="atLeast"/>
      <w:jc w:val="left"/>
      <w:textAlignment w:val="baseline"/>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95</Pages>
  <Words>16609</Words>
  <Characters>17934</Characters>
  <Lines>461</Lines>
  <Paragraphs>129</Paragraphs>
  <TotalTime>44</TotalTime>
  <ScaleCrop>false</ScaleCrop>
  <LinksUpToDate>false</LinksUpToDate>
  <CharactersWithSpaces>18207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2023-04-27T08:18:00Z</dcterms:created>
  <dc:creator>Administrator</dc:creator>
  <cp:lastModifiedBy>WPS_1693795036</cp:lastModifiedBy>
  <cp:lastPrinted>2025-06-09T07:44:00Z</cp:lastPrinted>
  <dcterms:modified xsi:type="dcterms:W3CDTF">2025-06-10T07:03:02Z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7405BDEACEB3444285FFAE436CFD74D3_13</vt:lpwstr>
  </property>
  <property fmtid="{D5CDD505-2E9C-101B-9397-08002B2CF9AE}" pid="4" name="KSOTemplateDocerSaveRecord">
    <vt:lpwstr>eyJoZGlkIjoiNGExZjljNjY3YzNjYWI2Zjk0ODQxNmI2ZmNhYTU2NDUiLCJ1c2VySWQiOiIxNTI4MTk2OTk5In0=</vt:lpwstr>
  </property>
</Properties>
</file>