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40703">
      <w:pPr>
        <w:pStyle w:val="13"/>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09A4337E">
      <w:pPr>
        <w:pStyle w:val="13"/>
        <w:jc w:val="center"/>
        <w:rPr>
          <w:rFonts w:ascii="黑体" w:hAnsi="黑体" w:eastAsia="黑体" w:cs="方正小标宋简体"/>
          <w:b/>
          <w:color w:val="auto"/>
          <w:sz w:val="44"/>
          <w:szCs w:val="4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130"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9rBQzUAAAACAEAAA8AAAAAAAAAAQAgAAAAIgAAAGRycy9kb3ducmV2LnhtbFBL&#10;AQIUABQAAAAIAIdO4kCd3+YL+gEAAPUDAAAOAAAAAAAAAAEAIAAAACMBAABkcnMvZTJvRG9jLnht&#10;bFBLBQYAAAAABgAGAFkBAACPBQAAAAA=&#10;">
                <v:fill on="f" focussize="0,0"/>
                <v:stroke weight="1pt" color="#000000" joinstyle="round"/>
                <v:imagedata o:title=""/>
                <o:lock v:ext="edit" aspectratio="f"/>
              </v:line>
            </w:pict>
          </mc:Fallback>
        </mc:AlternateContent>
      </w:r>
    </w:p>
    <w:p w14:paraId="760B3982">
      <w:pPr>
        <w:snapToGrid w:val="0"/>
        <w:spacing w:beforeLines="50" w:line="360" w:lineRule="auto"/>
        <w:jc w:val="center"/>
        <w:rPr>
          <w:rFonts w:ascii="黑体" w:hAnsi="黑体" w:eastAsia="黑体"/>
          <w:color w:val="auto"/>
          <w:sz w:val="84"/>
          <w:szCs w:val="84"/>
          <w:highlight w:val="none"/>
        </w:rPr>
      </w:pPr>
      <w:bookmarkStart w:id="136" w:name="_GoBack"/>
      <w:bookmarkEnd w:id="136"/>
    </w:p>
    <w:p w14:paraId="03C3B129">
      <w:pPr>
        <w:snapToGrid w:val="0"/>
        <w:spacing w:beforeLines="50" w:line="360" w:lineRule="auto"/>
        <w:jc w:val="center"/>
        <w:rPr>
          <w:rFonts w:ascii="黑体" w:hAnsi="黑体" w:eastAsia="黑体"/>
          <w:color w:val="auto"/>
          <w:sz w:val="84"/>
          <w:szCs w:val="84"/>
          <w:highlight w:val="none"/>
        </w:rPr>
      </w:pPr>
      <w:r>
        <w:rPr>
          <w:rFonts w:hint="eastAsia" w:ascii="黑体" w:hAnsi="黑体" w:eastAsia="黑体"/>
          <w:color w:val="auto"/>
          <w:sz w:val="84"/>
          <w:szCs w:val="84"/>
          <w:highlight w:val="none"/>
        </w:rPr>
        <w:t>竞争性磋商文件</w:t>
      </w:r>
    </w:p>
    <w:p w14:paraId="3A0D1F2A">
      <w:pPr>
        <w:snapToGrid w:val="0"/>
        <w:spacing w:line="360" w:lineRule="auto"/>
        <w:rPr>
          <w:rFonts w:ascii="仿宋_GB2312" w:hAnsi="宋体" w:eastAsia="仿宋_GB2312"/>
          <w:b/>
          <w:color w:val="auto"/>
          <w:sz w:val="48"/>
          <w:szCs w:val="48"/>
          <w:highlight w:val="none"/>
        </w:rPr>
      </w:pPr>
    </w:p>
    <w:p w14:paraId="5D6C0F7C">
      <w:pPr>
        <w:keepNext w:val="0"/>
        <w:keepLines w:val="0"/>
        <w:pageBreakBefore w:val="0"/>
        <w:widowControl w:val="0"/>
        <w:kinsoku/>
        <w:wordWrap/>
        <w:overflowPunct/>
        <w:topLinePunct w:val="0"/>
        <w:autoSpaceDE/>
        <w:autoSpaceDN/>
        <w:bidi w:val="0"/>
        <w:adjustRightInd/>
        <w:snapToGrid/>
        <w:spacing w:line="360" w:lineRule="auto"/>
        <w:ind w:firstLine="904" w:firstLineChars="300"/>
        <w:jc w:val="left"/>
        <w:textAlignment w:val="auto"/>
        <w:rPr>
          <w:rFonts w:ascii="宋体" w:hAnsi="宋体" w:cs="宋体"/>
          <w:b/>
          <w:bCs/>
          <w:color w:val="auto"/>
          <w:sz w:val="30"/>
          <w:szCs w:val="30"/>
          <w:highlight w:val="none"/>
        </w:rPr>
      </w:pPr>
      <w:r>
        <w:rPr>
          <w:rFonts w:hint="eastAsia" w:ascii="宋体" w:hAnsi="宋体" w:cs="宋体"/>
          <w:b/>
          <w:bCs/>
          <w:color w:val="auto"/>
          <w:sz w:val="30"/>
          <w:szCs w:val="30"/>
          <w:highlight w:val="none"/>
        </w:rPr>
        <w:t>项目</w:t>
      </w:r>
      <w:r>
        <w:rPr>
          <w:rFonts w:hint="eastAsia" w:ascii="宋体" w:hAnsi="宋体" w:eastAsia="宋体" w:cs="宋体"/>
          <w:b/>
          <w:bCs/>
          <w:color w:val="auto"/>
          <w:sz w:val="30"/>
          <w:szCs w:val="30"/>
          <w:highlight w:val="none"/>
        </w:rPr>
        <w:t>名称</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eastAsia="zh-CN"/>
        </w:rPr>
        <w:t>中药智能煎煮系统建设服务项目</w:t>
      </w:r>
      <w:r>
        <w:rPr>
          <w:rFonts w:hint="eastAsia" w:ascii="宋体" w:hAnsi="宋体" w:cs="宋体"/>
          <w:b/>
          <w:bCs/>
          <w:color w:val="auto"/>
          <w:sz w:val="30"/>
          <w:szCs w:val="30"/>
          <w:highlight w:val="none"/>
        </w:rPr>
        <w:t xml:space="preserve"> </w:t>
      </w:r>
    </w:p>
    <w:p w14:paraId="0AB934CA">
      <w:pPr>
        <w:keepNext w:val="0"/>
        <w:keepLines w:val="0"/>
        <w:pageBreakBefore w:val="0"/>
        <w:widowControl w:val="0"/>
        <w:kinsoku/>
        <w:wordWrap/>
        <w:overflowPunct/>
        <w:topLinePunct w:val="0"/>
        <w:autoSpaceDE/>
        <w:autoSpaceDN/>
        <w:bidi w:val="0"/>
        <w:adjustRightInd/>
        <w:snapToGrid/>
        <w:spacing w:line="360" w:lineRule="auto"/>
        <w:ind w:firstLine="904" w:firstLineChars="300"/>
        <w:jc w:val="left"/>
        <w:textAlignment w:val="auto"/>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eastAsia="zh-CN"/>
        </w:rPr>
        <w:t>GXZC2025-C3-003449-KWZB</w:t>
      </w:r>
    </w:p>
    <w:p w14:paraId="051E2EE9">
      <w:pPr>
        <w:spacing w:line="360" w:lineRule="auto"/>
        <w:jc w:val="center"/>
        <w:rPr>
          <w:rFonts w:ascii="宋体" w:hAnsi="宋体" w:cs="宋体"/>
          <w:b/>
          <w:bCs/>
          <w:color w:val="auto"/>
          <w:sz w:val="30"/>
          <w:szCs w:val="30"/>
          <w:highlight w:val="none"/>
        </w:rPr>
      </w:pPr>
    </w:p>
    <w:p w14:paraId="75EF5807">
      <w:pPr>
        <w:spacing w:line="360" w:lineRule="auto"/>
        <w:jc w:val="center"/>
        <w:rPr>
          <w:rFonts w:ascii="宋体" w:hAnsi="宋体" w:cs="宋体"/>
          <w:b/>
          <w:bCs/>
          <w:color w:val="auto"/>
          <w:sz w:val="30"/>
          <w:szCs w:val="30"/>
          <w:highlight w:val="none"/>
        </w:rPr>
      </w:pPr>
    </w:p>
    <w:p w14:paraId="616DD7AE">
      <w:pPr>
        <w:spacing w:line="360" w:lineRule="auto"/>
        <w:jc w:val="center"/>
        <w:rPr>
          <w:rFonts w:ascii="宋体" w:hAnsi="宋体" w:cs="宋体"/>
          <w:b/>
          <w:bCs/>
          <w:color w:val="auto"/>
          <w:sz w:val="30"/>
          <w:szCs w:val="30"/>
          <w:highlight w:val="none"/>
        </w:rPr>
      </w:pPr>
    </w:p>
    <w:p w14:paraId="0E743EA5">
      <w:pPr>
        <w:keepNext w:val="0"/>
        <w:keepLines w:val="0"/>
        <w:pageBreakBefore w:val="0"/>
        <w:widowControl w:val="0"/>
        <w:kinsoku/>
        <w:wordWrap/>
        <w:overflowPunct/>
        <w:topLinePunct w:val="0"/>
        <w:autoSpaceDE/>
        <w:autoSpaceDN/>
        <w:bidi w:val="0"/>
        <w:adjustRightInd/>
        <w:snapToGrid/>
        <w:spacing w:line="360" w:lineRule="auto"/>
        <w:ind w:firstLine="904" w:firstLineChars="300"/>
        <w:jc w:val="left"/>
        <w:textAlignment w:val="auto"/>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采购单位：</w:t>
      </w:r>
      <w:r>
        <w:rPr>
          <w:rFonts w:hint="eastAsia" w:ascii="宋体" w:hAnsi="宋体" w:cs="宋体"/>
          <w:b/>
          <w:bCs/>
          <w:color w:val="auto"/>
          <w:sz w:val="30"/>
          <w:szCs w:val="30"/>
          <w:highlight w:val="none"/>
          <w:lang w:eastAsia="zh-CN"/>
        </w:rPr>
        <w:t>广西国际壮医医院</w:t>
      </w:r>
    </w:p>
    <w:p w14:paraId="778F3D92">
      <w:pPr>
        <w:keepNext w:val="0"/>
        <w:keepLines w:val="0"/>
        <w:pageBreakBefore w:val="0"/>
        <w:widowControl w:val="0"/>
        <w:kinsoku/>
        <w:wordWrap/>
        <w:overflowPunct/>
        <w:topLinePunct w:val="0"/>
        <w:autoSpaceDE/>
        <w:autoSpaceDN/>
        <w:bidi w:val="0"/>
        <w:adjustRightInd/>
        <w:snapToGrid/>
        <w:spacing w:line="360" w:lineRule="auto"/>
        <w:ind w:firstLine="904" w:firstLineChars="300"/>
        <w:jc w:val="left"/>
        <w:textAlignment w:val="auto"/>
        <w:rPr>
          <w:rFonts w:ascii="宋体" w:hAnsi="宋体" w:cs="宋体"/>
          <w:b/>
          <w:bCs/>
          <w:color w:val="auto"/>
          <w:sz w:val="30"/>
          <w:szCs w:val="30"/>
          <w:highlight w:val="none"/>
        </w:rPr>
      </w:pPr>
      <w:r>
        <w:rPr>
          <w:rFonts w:hint="eastAsia" w:ascii="宋体" w:hAnsi="宋体" w:cs="宋体"/>
          <w:b/>
          <w:bCs/>
          <w:color w:val="auto"/>
          <w:sz w:val="30"/>
          <w:szCs w:val="30"/>
          <w:highlight w:val="none"/>
        </w:rPr>
        <w:t>采购代理机构：广西科文招标有限公司</w:t>
      </w:r>
    </w:p>
    <w:p w14:paraId="2F37BCF9">
      <w:pPr>
        <w:spacing w:line="360" w:lineRule="auto"/>
        <w:jc w:val="center"/>
        <w:rPr>
          <w:rFonts w:ascii="宋体" w:hAnsi="宋体" w:cs="宋体"/>
          <w:b/>
          <w:bCs/>
          <w:color w:val="auto"/>
          <w:sz w:val="30"/>
          <w:szCs w:val="30"/>
          <w:highlight w:val="none"/>
        </w:rPr>
      </w:pPr>
    </w:p>
    <w:p w14:paraId="2B52F6C0">
      <w:pPr>
        <w:spacing w:line="360" w:lineRule="auto"/>
        <w:jc w:val="center"/>
        <w:rPr>
          <w:rFonts w:hint="eastAsia" w:ascii="宋体" w:hAnsi="宋体" w:eastAsia="宋体" w:cs="宋体"/>
          <w:b/>
          <w:bCs/>
          <w:color w:val="auto"/>
          <w:sz w:val="30"/>
          <w:szCs w:val="30"/>
          <w:highlight w:val="none"/>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720" w:footer="720" w:gutter="0"/>
          <w:pgNumType w:start="0"/>
          <w:cols w:space="720" w:num="1"/>
          <w:titlePg/>
          <w:docGrid w:type="lines" w:linePitch="312" w:charSpace="0"/>
        </w:sectPr>
      </w:pPr>
      <w:r>
        <w:rPr>
          <w:rFonts w:hint="eastAsia" w:ascii="宋体" w:hAnsi="宋体" w:cs="宋体"/>
          <w:b/>
          <w:bCs/>
          <w:color w:val="auto"/>
          <w:sz w:val="30"/>
          <w:szCs w:val="30"/>
          <w:highlight w:val="none"/>
          <w:lang w:eastAsia="zh-CN"/>
        </w:rPr>
        <w:t>2025年11月</w:t>
      </w:r>
    </w:p>
    <w:p w14:paraId="2D844F4E">
      <w:pPr>
        <w:spacing w:line="360" w:lineRule="auto"/>
        <w:jc w:val="center"/>
        <w:rPr>
          <w:rFonts w:ascii="宋体" w:hAnsi="宋体" w:cs="宋体"/>
          <w:b/>
          <w:bCs/>
          <w:color w:val="auto"/>
          <w:kern w:val="0"/>
          <w:sz w:val="32"/>
          <w:szCs w:val="32"/>
          <w:highlight w:val="none"/>
        </w:rPr>
      </w:pPr>
    </w:p>
    <w:p w14:paraId="1A328F39">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7825FB5C">
      <w:pPr>
        <w:spacing w:line="400" w:lineRule="exact"/>
        <w:jc w:val="center"/>
        <w:rPr>
          <w:rFonts w:ascii="宋体" w:hAnsi="宋体"/>
          <w:b/>
          <w:color w:val="auto"/>
          <w:sz w:val="44"/>
          <w:szCs w:val="44"/>
          <w:highlight w:val="none"/>
        </w:rPr>
      </w:pPr>
    </w:p>
    <w:p w14:paraId="1924D93F">
      <w:pPr>
        <w:pStyle w:val="17"/>
        <w:tabs>
          <w:tab w:val="right" w:leader="dot" w:pos="8879"/>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TOC \o "1-3" \h \z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_Toc14721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_Toc14721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81E9AE7">
      <w:pPr>
        <w:pStyle w:val="17"/>
        <w:tabs>
          <w:tab w:val="right" w:leader="dot" w:pos="8879"/>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_Toc2429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_Toc2429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46681B78">
      <w:pPr>
        <w:pStyle w:val="17"/>
        <w:tabs>
          <w:tab w:val="right" w:leader="dot" w:pos="8879"/>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_Toc18607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采购需求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_Toc18607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C7055F9">
      <w:pPr>
        <w:pStyle w:val="17"/>
        <w:tabs>
          <w:tab w:val="right" w:leader="dot" w:pos="8879"/>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_Toc18262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评审程序、评审方法和评审标准</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_Toc18262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76AAA88">
      <w:pPr>
        <w:pStyle w:val="17"/>
        <w:tabs>
          <w:tab w:val="right" w:leader="dot" w:pos="8879"/>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_Toc31132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第五章 响应文件格式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_Toc31132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3232E79">
      <w:pPr>
        <w:rPr>
          <w:rFonts w:hint="default" w:ascii="宋体" w:hAnsi="宋体" w:eastAsia="宋体" w:cs="宋体"/>
          <w:b w:val="0"/>
          <w:bCs w:val="0"/>
          <w:color w:val="auto"/>
          <w:sz w:val="28"/>
          <w:szCs w:val="28"/>
          <w:highlight w:val="none"/>
          <w:lang w:val="en-US" w:eastAsia="zh-CN"/>
        </w:rPr>
      </w:pPr>
      <w:r>
        <w:rPr>
          <w:rStyle w:val="28"/>
          <w:rFonts w:hint="eastAsia" w:ascii="宋体" w:hAnsi="宋体" w:eastAsia="宋体" w:cs="宋体"/>
          <w:b w:val="0"/>
          <w:bCs w:val="0"/>
          <w:color w:val="auto"/>
          <w:sz w:val="28"/>
          <w:szCs w:val="28"/>
          <w:highlight w:val="none"/>
        </w:rPr>
        <w:t>第六章 合同主要条款格式</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val="en-US" w:eastAsia="zh-CN"/>
        </w:rPr>
        <w:t>82</w:t>
      </w:r>
    </w:p>
    <w:p w14:paraId="0063E7DA">
      <w:pPr>
        <w:pStyle w:val="18"/>
        <w:tabs>
          <w:tab w:val="right" w:leader="dot" w:pos="8931"/>
          <w:tab w:val="clear" w:pos="8296"/>
        </w:tabs>
        <w:snapToGrid w:val="0"/>
        <w:spacing w:line="500" w:lineRule="atLeast"/>
        <w:ind w:left="0" w:leftChars="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end"/>
      </w:r>
    </w:p>
    <w:p w14:paraId="3B9D789A">
      <w:pPr>
        <w:spacing w:line="400" w:lineRule="exact"/>
        <w:jc w:val="left"/>
        <w:rPr>
          <w:rFonts w:ascii="宋体" w:hAnsi="宋体"/>
          <w:b/>
          <w:color w:val="auto"/>
          <w:sz w:val="32"/>
          <w:szCs w:val="32"/>
          <w:highlight w:val="none"/>
        </w:rPr>
      </w:pPr>
    </w:p>
    <w:p w14:paraId="0F837F15">
      <w:pPr>
        <w:spacing w:line="400" w:lineRule="exact"/>
        <w:jc w:val="center"/>
        <w:rPr>
          <w:rFonts w:ascii="宋体" w:hAnsi="宋体"/>
          <w:b/>
          <w:color w:val="auto"/>
          <w:sz w:val="32"/>
          <w:szCs w:val="32"/>
          <w:highlight w:val="none"/>
        </w:rPr>
      </w:pPr>
    </w:p>
    <w:p w14:paraId="7734F6D5">
      <w:pPr>
        <w:spacing w:line="400" w:lineRule="exact"/>
        <w:jc w:val="center"/>
        <w:rPr>
          <w:rFonts w:ascii="宋体" w:hAnsi="宋体"/>
          <w:b/>
          <w:color w:val="auto"/>
          <w:sz w:val="32"/>
          <w:szCs w:val="32"/>
          <w:highlight w:val="none"/>
        </w:rPr>
      </w:pPr>
    </w:p>
    <w:p w14:paraId="5EAAB0F6">
      <w:pPr>
        <w:spacing w:line="400" w:lineRule="exact"/>
        <w:jc w:val="center"/>
        <w:rPr>
          <w:rFonts w:ascii="宋体" w:hAnsi="宋体"/>
          <w:b/>
          <w:color w:val="auto"/>
          <w:sz w:val="32"/>
          <w:szCs w:val="32"/>
          <w:highlight w:val="none"/>
        </w:rPr>
      </w:pPr>
    </w:p>
    <w:p w14:paraId="2F509F6E">
      <w:pPr>
        <w:spacing w:line="400" w:lineRule="exact"/>
        <w:jc w:val="center"/>
        <w:rPr>
          <w:rFonts w:ascii="宋体" w:hAnsi="宋体"/>
          <w:b/>
          <w:color w:val="auto"/>
          <w:sz w:val="32"/>
          <w:szCs w:val="32"/>
          <w:highlight w:val="none"/>
        </w:rPr>
      </w:pPr>
    </w:p>
    <w:p w14:paraId="178C8C74">
      <w:pPr>
        <w:spacing w:line="400" w:lineRule="exact"/>
        <w:rPr>
          <w:rFonts w:ascii="宋体" w:hAnsi="宋体"/>
          <w:b/>
          <w:color w:val="auto"/>
          <w:sz w:val="32"/>
          <w:szCs w:val="32"/>
          <w:highlight w:val="none"/>
        </w:rPr>
        <w:sectPr>
          <w:headerReference r:id="rId10" w:type="first"/>
          <w:footerReference r:id="rId12" w:type="first"/>
          <w:headerReference r:id="rId9" w:type="default"/>
          <w:footerReference r:id="rId11" w:type="default"/>
          <w:pgSz w:w="11906" w:h="16838"/>
          <w:pgMar w:top="1440" w:right="1440" w:bottom="1440" w:left="1587" w:header="851" w:footer="992" w:gutter="0"/>
          <w:pgNumType w:start="0"/>
          <w:cols w:space="720" w:num="1"/>
          <w:titlePg/>
          <w:docGrid w:type="lines" w:linePitch="312" w:charSpace="0"/>
        </w:sectPr>
      </w:pPr>
    </w:p>
    <w:p w14:paraId="55E0029A">
      <w:pPr>
        <w:pStyle w:val="2"/>
        <w:spacing w:line="360" w:lineRule="auto"/>
        <w:jc w:val="center"/>
        <w:rPr>
          <w:rFonts w:ascii="宋体" w:hAnsi="宋体"/>
          <w:b w:val="0"/>
          <w:bCs w:val="0"/>
          <w:color w:val="auto"/>
          <w:sz w:val="32"/>
          <w:szCs w:val="32"/>
          <w:highlight w:val="none"/>
        </w:rPr>
      </w:pPr>
      <w:bookmarkStart w:id="0" w:name="_Toc14721"/>
      <w:r>
        <w:rPr>
          <w:rFonts w:hint="eastAsia"/>
          <w:color w:val="auto"/>
          <w:highlight w:val="none"/>
        </w:rPr>
        <w:t>第一章 竞争性磋商公告</w:t>
      </w:r>
      <w:bookmarkEnd w:id="0"/>
    </w:p>
    <w:p w14:paraId="57D4B5F3">
      <w:pPr>
        <w:pStyle w:val="13"/>
        <w:jc w:val="center"/>
        <w:rPr>
          <w:b/>
          <w:color w:val="auto"/>
          <w:sz w:val="28"/>
          <w:szCs w:val="28"/>
          <w:highlight w:val="none"/>
        </w:rPr>
      </w:pPr>
      <w:r>
        <w:rPr>
          <w:rFonts w:hint="eastAsia"/>
          <w:b/>
          <w:color w:val="auto"/>
          <w:sz w:val="28"/>
          <w:szCs w:val="28"/>
          <w:highlight w:val="none"/>
        </w:rPr>
        <w:t>广西科文招标有限公司</w:t>
      </w:r>
    </w:p>
    <w:p w14:paraId="3465D5E0">
      <w:pPr>
        <w:jc w:val="center"/>
        <w:rPr>
          <w:rFonts w:ascii="宋体" w:hAnsi="Courier New"/>
          <w:b/>
          <w:color w:val="auto"/>
          <w:kern w:val="0"/>
          <w:sz w:val="28"/>
          <w:szCs w:val="28"/>
          <w:highlight w:val="none"/>
        </w:rPr>
      </w:pPr>
      <w:r>
        <w:rPr>
          <w:rFonts w:hint="eastAsia" w:ascii="宋体" w:hAnsi="Courier New"/>
          <w:b/>
          <w:color w:val="auto"/>
          <w:kern w:val="0"/>
          <w:sz w:val="28"/>
          <w:szCs w:val="28"/>
          <w:highlight w:val="none"/>
          <w:lang w:eastAsia="zh-CN"/>
        </w:rPr>
        <w:t>中药智能煎煮系统建设服务项目</w:t>
      </w:r>
      <w:r>
        <w:rPr>
          <w:rFonts w:hint="eastAsia" w:ascii="宋体" w:hAnsi="Courier New"/>
          <w:b/>
          <w:color w:val="auto"/>
          <w:kern w:val="0"/>
          <w:sz w:val="28"/>
          <w:szCs w:val="28"/>
          <w:highlight w:val="none"/>
        </w:rPr>
        <w:t>（</w:t>
      </w:r>
      <w:r>
        <w:rPr>
          <w:rFonts w:hint="eastAsia" w:ascii="宋体" w:hAnsi="Courier New"/>
          <w:b/>
          <w:color w:val="auto"/>
          <w:kern w:val="0"/>
          <w:sz w:val="28"/>
          <w:szCs w:val="28"/>
          <w:highlight w:val="none"/>
          <w:lang w:eastAsia="zh-CN"/>
        </w:rPr>
        <w:t>GXZC2025-C3-003449-KWZB</w:t>
      </w:r>
      <w:r>
        <w:rPr>
          <w:rFonts w:hint="eastAsia" w:ascii="宋体" w:hAnsi="Courier New"/>
          <w:b/>
          <w:color w:val="auto"/>
          <w:kern w:val="0"/>
          <w:sz w:val="28"/>
          <w:szCs w:val="28"/>
          <w:highlight w:val="none"/>
        </w:rPr>
        <w:t>）</w:t>
      </w:r>
    </w:p>
    <w:p w14:paraId="4531CB77">
      <w:pPr>
        <w:jc w:val="center"/>
        <w:rPr>
          <w:rFonts w:ascii="宋体" w:hAnsi="Courier New"/>
          <w:b/>
          <w:color w:val="auto"/>
          <w:kern w:val="0"/>
          <w:sz w:val="28"/>
          <w:szCs w:val="28"/>
          <w:highlight w:val="none"/>
        </w:rPr>
      </w:pPr>
      <w:r>
        <w:rPr>
          <w:rFonts w:hint="eastAsia" w:ascii="宋体" w:hAnsi="Courier New"/>
          <w:b/>
          <w:color w:val="auto"/>
          <w:kern w:val="0"/>
          <w:sz w:val="28"/>
          <w:szCs w:val="28"/>
          <w:highlight w:val="none"/>
        </w:rPr>
        <w:t>竞争性磋商公告</w:t>
      </w:r>
    </w:p>
    <w:p w14:paraId="7B32875C">
      <w:pPr>
        <w:spacing w:line="360" w:lineRule="auto"/>
        <w:jc w:val="center"/>
        <w:rPr>
          <w:rFonts w:hint="eastAsia" w:asciiTheme="minorEastAsia" w:hAnsiTheme="minorEastAsia" w:eastAsiaTheme="minorEastAsia" w:cstheme="minorEastAsia"/>
          <w:color w:val="auto"/>
          <w:sz w:val="21"/>
          <w:szCs w:val="21"/>
          <w:highlight w:val="none"/>
        </w:rPr>
      </w:pPr>
    </w:p>
    <w:p w14:paraId="65E9E36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1" w:name="_Hlk37430271"/>
      <w:r>
        <w:rPr>
          <w:rFonts w:hint="eastAsia" w:asciiTheme="minorEastAsia" w:hAnsiTheme="minorEastAsia" w:eastAsiaTheme="minorEastAsia" w:cstheme="minorEastAsia"/>
          <w:color w:val="auto"/>
          <w:sz w:val="21"/>
          <w:szCs w:val="21"/>
          <w:highlight w:val="none"/>
        </w:rPr>
        <w:t>项目概况</w:t>
      </w:r>
    </w:p>
    <w:p w14:paraId="32003EF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lang w:eastAsia="zh-CN"/>
        </w:rPr>
        <w:t>中药智能煎煮系统建设服务项目</w:t>
      </w:r>
      <w:r>
        <w:rPr>
          <w:rFonts w:hint="eastAsia" w:asciiTheme="minorEastAsia" w:hAnsiTheme="minorEastAsia" w:eastAsiaTheme="minorEastAsia" w:cstheme="minorEastAsia"/>
          <w:color w:val="auto"/>
          <w:sz w:val="21"/>
          <w:szCs w:val="21"/>
          <w:highlight w:val="none"/>
        </w:rPr>
        <w:t>的潜在供应商应在广西政府采购云平台（https://www.gcy.zfcg.gxzf.gov.cn/）获取（下载）竞争性磋商文件，并于</w:t>
      </w:r>
      <w:r>
        <w:rPr>
          <w:rFonts w:hint="eastAsia" w:asciiTheme="minorEastAsia" w:hAnsiTheme="minorEastAsia" w:eastAsiaTheme="minorEastAsia" w:cstheme="minorEastAsia"/>
          <w:color w:val="auto"/>
          <w:sz w:val="21"/>
          <w:szCs w:val="21"/>
          <w:highlight w:val="none"/>
          <w:lang w:eastAsia="zh-CN"/>
        </w:rPr>
        <w:t>2025年11月24日15时00分</w:t>
      </w:r>
      <w:r>
        <w:rPr>
          <w:rFonts w:hint="eastAsia" w:asciiTheme="minorEastAsia" w:hAnsiTheme="minorEastAsia" w:eastAsiaTheme="minorEastAsia" w:cstheme="minorEastAsia"/>
          <w:bCs/>
          <w:color w:val="auto"/>
          <w:sz w:val="21"/>
          <w:szCs w:val="21"/>
          <w:highlight w:val="none"/>
        </w:rPr>
        <w:t>（北京时间）前提交响应文件</w:t>
      </w:r>
      <w:r>
        <w:rPr>
          <w:rFonts w:hint="eastAsia" w:asciiTheme="minorEastAsia" w:hAnsiTheme="minorEastAsia" w:eastAsiaTheme="minorEastAsia" w:cstheme="minorEastAsia"/>
          <w:color w:val="auto"/>
          <w:sz w:val="21"/>
          <w:szCs w:val="21"/>
          <w:highlight w:val="none"/>
        </w:rPr>
        <w:t>。</w:t>
      </w:r>
    </w:p>
    <w:p w14:paraId="5A28A143">
      <w:pPr>
        <w:spacing w:line="360" w:lineRule="auto"/>
        <w:ind w:firstLine="310" w:firstLineChars="147"/>
        <w:rPr>
          <w:rFonts w:hint="eastAsia" w:asciiTheme="minorEastAsia" w:hAnsiTheme="minorEastAsia" w:eastAsiaTheme="minorEastAsia" w:cstheme="minorEastAsia"/>
          <w:b/>
          <w:color w:val="auto"/>
          <w:sz w:val="21"/>
          <w:szCs w:val="21"/>
          <w:highlight w:val="none"/>
        </w:rPr>
      </w:pPr>
      <w:bookmarkStart w:id="2" w:name="_Toc28359012"/>
      <w:bookmarkStart w:id="3" w:name="_Toc35393798"/>
      <w:bookmarkStart w:id="4" w:name="_Toc71365905"/>
      <w:bookmarkStart w:id="5" w:name="_Toc28359089"/>
      <w:bookmarkStart w:id="6" w:name="_Toc44229878"/>
      <w:bookmarkStart w:id="7" w:name="_Toc35393629"/>
    </w:p>
    <w:bookmarkEnd w:id="2"/>
    <w:bookmarkEnd w:id="3"/>
    <w:bookmarkEnd w:id="4"/>
    <w:bookmarkEnd w:id="5"/>
    <w:bookmarkEnd w:id="6"/>
    <w:bookmarkEnd w:id="7"/>
    <w:p w14:paraId="1FCB30E8">
      <w:pPr>
        <w:spacing w:line="360" w:lineRule="auto"/>
        <w:ind w:firstLine="310" w:firstLineChars="147"/>
        <w:rPr>
          <w:rFonts w:hint="eastAsia" w:asciiTheme="minorEastAsia" w:hAnsiTheme="minorEastAsia" w:eastAsiaTheme="minorEastAsia" w:cstheme="minorEastAsia"/>
          <w:b/>
          <w:color w:val="auto"/>
          <w:sz w:val="21"/>
          <w:szCs w:val="21"/>
          <w:highlight w:val="none"/>
        </w:rPr>
      </w:pPr>
      <w:bookmarkStart w:id="8" w:name="_Hlk37429674"/>
      <w:bookmarkStart w:id="9" w:name="_Toc28359095"/>
      <w:bookmarkStart w:id="10" w:name="_Toc28359018"/>
      <w:bookmarkStart w:id="11" w:name="_Toc44229885"/>
      <w:bookmarkStart w:id="12" w:name="_Toc35393805"/>
      <w:bookmarkStart w:id="13" w:name="_Toc35393636"/>
      <w:r>
        <w:rPr>
          <w:rFonts w:hint="eastAsia" w:asciiTheme="minorEastAsia" w:hAnsiTheme="minorEastAsia" w:eastAsiaTheme="minorEastAsia" w:cstheme="minorEastAsia"/>
          <w:b/>
          <w:color w:val="auto"/>
          <w:sz w:val="21"/>
          <w:szCs w:val="21"/>
          <w:highlight w:val="none"/>
        </w:rPr>
        <w:t>一、项目基本情况</w:t>
      </w:r>
    </w:p>
    <w:p w14:paraId="3F9B07AE">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lang w:eastAsia="zh-CN"/>
        </w:rPr>
        <w:t>GXZC2025-C3-003449-KWZB</w:t>
      </w:r>
    </w:p>
    <w:p w14:paraId="70C0486F">
      <w:pPr>
        <w:spacing w:line="360" w:lineRule="auto"/>
        <w:ind w:firstLine="420" w:firstLineChars="200"/>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中药智能煎煮系统建设服务项目</w:t>
      </w:r>
    </w:p>
    <w:p w14:paraId="1F089C62">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采购方式：竞争性磋商</w:t>
      </w:r>
    </w:p>
    <w:p w14:paraId="664E304B">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预算金额：</w:t>
      </w:r>
      <w:r>
        <w:rPr>
          <w:rFonts w:hint="eastAsia" w:asciiTheme="minorEastAsia" w:hAnsiTheme="minorEastAsia" w:eastAsiaTheme="minorEastAsia" w:cstheme="minorEastAsia"/>
          <w:color w:val="auto"/>
          <w:sz w:val="21"/>
          <w:szCs w:val="21"/>
          <w:highlight w:val="none"/>
          <w:lang w:eastAsia="zh-CN"/>
        </w:rPr>
        <w:t>290万元</w:t>
      </w:r>
    </w:p>
    <w:p w14:paraId="711BB8F3">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最高限价：</w:t>
      </w:r>
      <w:r>
        <w:rPr>
          <w:rFonts w:hint="eastAsia" w:asciiTheme="minorEastAsia" w:hAnsiTheme="minorEastAsia" w:eastAsiaTheme="minorEastAsia" w:cstheme="minorEastAsia"/>
          <w:color w:val="auto"/>
          <w:sz w:val="21"/>
          <w:szCs w:val="21"/>
          <w:highlight w:val="none"/>
          <w:lang w:eastAsia="zh-CN"/>
        </w:rPr>
        <w:t>290万元</w:t>
      </w:r>
    </w:p>
    <w:p w14:paraId="7655C32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采购需求：</w:t>
      </w:r>
      <w:r>
        <w:rPr>
          <w:rFonts w:hint="eastAsia" w:asciiTheme="minorEastAsia" w:hAnsiTheme="minorEastAsia" w:eastAsiaTheme="minorEastAsia" w:cstheme="minorEastAsia"/>
          <w:color w:val="auto"/>
          <w:sz w:val="21"/>
          <w:szCs w:val="21"/>
          <w:highlight w:val="none"/>
          <w:lang w:eastAsia="zh-CN"/>
        </w:rPr>
        <w:t>中药智能煎煮系统建设服务项目</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项。具体内容详见采购文件。</w:t>
      </w:r>
    </w:p>
    <w:p w14:paraId="147F693D">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履行期限：自签订合同之日起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硬件部分30</w:t>
      </w:r>
      <w:r>
        <w:rPr>
          <w:rFonts w:hint="eastAsia" w:asciiTheme="minorEastAsia" w:hAnsiTheme="minorEastAsia" w:eastAsiaTheme="minorEastAsia" w:cstheme="minorEastAsia"/>
          <w:color w:val="auto"/>
          <w:sz w:val="21"/>
          <w:szCs w:val="21"/>
          <w:highlight w:val="none"/>
        </w:rPr>
        <w:t>日历日内交货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整体项目应在满足进场安装之日起60日内完成并达到交付条件</w:t>
      </w:r>
      <w:r>
        <w:rPr>
          <w:rFonts w:hint="eastAsia" w:asciiTheme="minorEastAsia" w:hAnsiTheme="minorEastAsia" w:eastAsiaTheme="minorEastAsia" w:cstheme="minorEastAsia"/>
          <w:color w:val="auto"/>
          <w:sz w:val="21"/>
          <w:szCs w:val="21"/>
          <w:highlight w:val="none"/>
        </w:rPr>
        <w:t>。</w:t>
      </w:r>
    </w:p>
    <w:p w14:paraId="062C2E2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本项目（是/否）接受联合体：不接受</w:t>
      </w:r>
    </w:p>
    <w:p w14:paraId="76AC8414">
      <w:pPr>
        <w:spacing w:line="360" w:lineRule="auto"/>
        <w:ind w:firstLine="310" w:firstLineChars="147"/>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二、申请人的资格条件：</w:t>
      </w:r>
    </w:p>
    <w:p w14:paraId="22CB97A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1、满足《中华人民共和国政府采购法》第二十二条规定。</w:t>
      </w:r>
    </w:p>
    <w:p w14:paraId="4EC3D78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2、落实政府采购政策需满足的资格要求：</w:t>
      </w:r>
      <w:r>
        <w:rPr>
          <w:rFonts w:hint="eastAsia" w:asciiTheme="minorEastAsia" w:hAnsiTheme="minorEastAsia" w:eastAsiaTheme="minorEastAsia" w:cstheme="minorEastAsia"/>
          <w:color w:val="auto"/>
          <w:sz w:val="21"/>
          <w:szCs w:val="21"/>
          <w:highlight w:val="none"/>
          <w:u w:val="single"/>
          <w:lang w:val="en-US" w:eastAsia="zh-CN"/>
        </w:rPr>
        <w:t>无</w:t>
      </w:r>
      <w:r>
        <w:rPr>
          <w:rFonts w:hint="eastAsia" w:asciiTheme="minorEastAsia" w:hAnsiTheme="minorEastAsia" w:eastAsiaTheme="minorEastAsia" w:cstheme="minorEastAsia"/>
          <w:color w:val="auto"/>
          <w:sz w:val="21"/>
          <w:szCs w:val="21"/>
          <w:highlight w:val="none"/>
          <w:u w:val="single"/>
        </w:rPr>
        <w:t>。</w:t>
      </w:r>
    </w:p>
    <w:p w14:paraId="43397CA5">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3、本项目的特定资格要求：无。</w:t>
      </w:r>
    </w:p>
    <w:p w14:paraId="04EF977A">
      <w:pPr>
        <w:spacing w:line="360" w:lineRule="auto"/>
        <w:ind w:firstLine="310" w:firstLineChars="147"/>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三、获取竞争性磋商文件</w:t>
      </w:r>
    </w:p>
    <w:p w14:paraId="0D70E108">
      <w:pPr>
        <w:spacing w:line="360" w:lineRule="auto"/>
        <w:ind w:firstLine="420" w:firstLineChars="200"/>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2025年</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eastAsia="zh-CN"/>
        </w:rPr>
        <w:t>日</w:t>
      </w:r>
      <w:r>
        <w:rPr>
          <w:rFonts w:hint="eastAsia" w:asciiTheme="minorEastAsia" w:hAnsiTheme="minorEastAsia" w:eastAsiaTheme="minorEastAsia" w:cstheme="minorEastAsia"/>
          <w:color w:val="auto"/>
          <w:sz w:val="21"/>
          <w:szCs w:val="21"/>
          <w:highlight w:val="none"/>
        </w:rPr>
        <w:t>至</w:t>
      </w:r>
      <w:r>
        <w:rPr>
          <w:rFonts w:hint="eastAsia" w:asciiTheme="minorEastAsia" w:hAnsiTheme="minorEastAsia" w:eastAsiaTheme="minorEastAsia" w:cstheme="minorEastAsia"/>
          <w:color w:val="auto"/>
          <w:sz w:val="21"/>
          <w:szCs w:val="21"/>
          <w:highlight w:val="none"/>
          <w:lang w:eastAsia="zh-CN"/>
        </w:rPr>
        <w:t>2025年</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eastAsia="zh-CN"/>
        </w:rPr>
        <w:t>日</w:t>
      </w:r>
      <w:r>
        <w:rPr>
          <w:rFonts w:hint="eastAsia" w:asciiTheme="minorEastAsia" w:hAnsiTheme="minorEastAsia" w:eastAsiaTheme="minorEastAsia" w:cstheme="minorEastAsia"/>
          <w:color w:val="auto"/>
          <w:sz w:val="21"/>
          <w:szCs w:val="21"/>
          <w:highlight w:val="none"/>
        </w:rPr>
        <w:t>，每天上午00:00-12:00；下午12:00-23:59（北京时间，法定节假日除外）</w:t>
      </w:r>
      <w:r>
        <w:rPr>
          <w:rFonts w:hint="eastAsia" w:asciiTheme="minorEastAsia" w:hAnsiTheme="minorEastAsia" w:eastAsiaTheme="minorEastAsia" w:cstheme="minorEastAsia"/>
          <w:bCs/>
          <w:color w:val="auto"/>
          <w:kern w:val="0"/>
          <w:sz w:val="21"/>
          <w:szCs w:val="21"/>
          <w:highlight w:val="none"/>
        </w:rPr>
        <w:t>。</w:t>
      </w:r>
    </w:p>
    <w:p w14:paraId="4392BE0B">
      <w:pPr>
        <w:spacing w:line="360" w:lineRule="auto"/>
        <w:ind w:firstLine="420" w:firstLineChars="200"/>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地点：广西政府采购云平台（</w:t>
      </w:r>
      <w:r>
        <w:rPr>
          <w:rFonts w:hint="eastAsia" w:asciiTheme="minorEastAsia" w:hAnsiTheme="minorEastAsia" w:eastAsiaTheme="minorEastAsia" w:cstheme="minorEastAsia"/>
          <w:color w:val="auto"/>
          <w:sz w:val="21"/>
          <w:szCs w:val="21"/>
          <w:highlight w:val="none"/>
        </w:rPr>
        <w:t>https://www.gcy.zfcg.gxzf.gov.cn/</w:t>
      </w:r>
      <w:r>
        <w:rPr>
          <w:rFonts w:hint="eastAsia" w:asciiTheme="minorEastAsia" w:hAnsiTheme="minorEastAsia" w:eastAsiaTheme="minorEastAsia" w:cstheme="minorEastAsia"/>
          <w:bCs/>
          <w:color w:val="auto"/>
          <w:kern w:val="0"/>
          <w:sz w:val="21"/>
          <w:szCs w:val="21"/>
          <w:highlight w:val="none"/>
        </w:rPr>
        <w:t>）</w:t>
      </w:r>
    </w:p>
    <w:p w14:paraId="78326C8C">
      <w:pPr>
        <w:spacing w:line="360" w:lineRule="auto"/>
        <w:ind w:firstLine="420" w:firstLineChars="200"/>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方式：网上下载。本项目不发放纸质文件，供应商应自行在</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bCs/>
          <w:color w:val="auto"/>
          <w:kern w:val="0"/>
          <w:sz w:val="21"/>
          <w:szCs w:val="21"/>
          <w:highlight w:val="none"/>
        </w:rPr>
        <w:t>广西政府采购云平台（</w:t>
      </w:r>
      <w:r>
        <w:rPr>
          <w:rFonts w:hint="eastAsia" w:asciiTheme="minorEastAsia" w:hAnsiTheme="minorEastAsia" w:eastAsiaTheme="minorEastAsia" w:cstheme="minorEastAsia"/>
          <w:color w:val="auto"/>
          <w:sz w:val="21"/>
          <w:szCs w:val="21"/>
          <w:highlight w:val="none"/>
        </w:rPr>
        <w:t>https://www.gcy.zfcg.gxzf.gov.cn/</w:t>
      </w:r>
      <w:r>
        <w:rPr>
          <w:rFonts w:hint="eastAsia" w:asciiTheme="minorEastAsia" w:hAnsiTheme="minorEastAsia" w:eastAsiaTheme="minorEastAsia" w:cstheme="minorEastAsia"/>
          <w:bCs/>
          <w:color w:val="auto"/>
          <w:kern w:val="0"/>
          <w:sz w:val="21"/>
          <w:szCs w:val="21"/>
          <w:highlight w:val="none"/>
        </w:rPr>
        <w:t>）下载竞争性磋商文件（操作路径：登录广西政府采购云平台-项目采购-获取采购文件-找到本项目-点击“申请获取采购文件”），电子响应文件制作需要基于广西政府采购云平台获取的竞争性磋商文件编制。</w:t>
      </w:r>
    </w:p>
    <w:p w14:paraId="3A82F72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kern w:val="0"/>
          <w:sz w:val="21"/>
          <w:szCs w:val="21"/>
          <w:highlight w:val="none"/>
        </w:rPr>
        <w:t>售价：0元。</w:t>
      </w:r>
    </w:p>
    <w:p w14:paraId="692029FD">
      <w:pPr>
        <w:spacing w:line="360" w:lineRule="auto"/>
        <w:ind w:firstLine="310" w:firstLineChars="147"/>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四、响应文件提交</w:t>
      </w:r>
    </w:p>
    <w:p w14:paraId="2BBDCF39">
      <w:pPr>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1、首次响应文件提交截止时间：</w:t>
      </w:r>
      <w:r>
        <w:rPr>
          <w:rFonts w:hint="eastAsia" w:asciiTheme="minorEastAsia" w:hAnsiTheme="minorEastAsia" w:eastAsiaTheme="minorEastAsia" w:cstheme="minorEastAsia"/>
          <w:bCs/>
          <w:color w:val="auto"/>
          <w:kern w:val="0"/>
          <w:sz w:val="21"/>
          <w:szCs w:val="21"/>
          <w:highlight w:val="none"/>
          <w:lang w:eastAsia="zh-CN"/>
        </w:rPr>
        <w:t>2025年11月24日15时00分</w:t>
      </w:r>
      <w:r>
        <w:rPr>
          <w:rFonts w:hint="eastAsia" w:asciiTheme="minorEastAsia" w:hAnsiTheme="minorEastAsia" w:eastAsiaTheme="minorEastAsia" w:cstheme="minorEastAsia"/>
          <w:bCs/>
          <w:color w:val="auto"/>
          <w:kern w:val="0"/>
          <w:sz w:val="21"/>
          <w:szCs w:val="21"/>
          <w:highlight w:val="none"/>
        </w:rPr>
        <w:t>（北京时间）</w:t>
      </w:r>
    </w:p>
    <w:p w14:paraId="4201E9C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2、地点：本项目为全流程电子化项目，通过广西政府采购云平台（https://www.gcy.zfcg.gxzf.gov.cn/）实行在线电子响应。</w:t>
      </w:r>
    </w:p>
    <w:p w14:paraId="42DA630A">
      <w:pPr>
        <w:spacing w:line="360" w:lineRule="auto"/>
        <w:ind w:firstLine="310" w:firstLineChars="147"/>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五、开启</w:t>
      </w:r>
    </w:p>
    <w:p w14:paraId="3960915A">
      <w:pPr>
        <w:spacing w:line="360" w:lineRule="auto"/>
        <w:ind w:firstLine="420" w:firstLineChars="200"/>
        <w:rPr>
          <w:rFonts w:hint="eastAsia" w:asciiTheme="minorEastAsia" w:hAnsiTheme="minorEastAsia" w:eastAsiaTheme="minorEastAsia" w:cstheme="minorEastAsia"/>
          <w:bCs/>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1、首次响应文件开启时间：</w:t>
      </w:r>
      <w:r>
        <w:rPr>
          <w:rFonts w:hint="eastAsia" w:asciiTheme="minorEastAsia" w:hAnsiTheme="minorEastAsia" w:eastAsiaTheme="minorEastAsia" w:cstheme="minorEastAsia"/>
          <w:bCs/>
          <w:color w:val="auto"/>
          <w:kern w:val="0"/>
          <w:sz w:val="21"/>
          <w:szCs w:val="21"/>
          <w:highlight w:val="none"/>
          <w:lang w:eastAsia="zh-CN"/>
        </w:rPr>
        <w:t>2025年11月24日15时00分</w:t>
      </w:r>
      <w:r>
        <w:rPr>
          <w:rFonts w:hint="eastAsia" w:asciiTheme="minorEastAsia" w:hAnsiTheme="minorEastAsia" w:eastAsiaTheme="minorEastAsia" w:cstheme="minorEastAsia"/>
          <w:bCs/>
          <w:color w:val="auto"/>
          <w:kern w:val="0"/>
          <w:sz w:val="21"/>
          <w:szCs w:val="21"/>
          <w:highlight w:val="none"/>
        </w:rPr>
        <w:t>（北京时间）</w:t>
      </w:r>
    </w:p>
    <w:p w14:paraId="64F9A35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2、地点：本项目将在广西政府采购云平台电子开标大厅解密、开启。</w:t>
      </w:r>
    </w:p>
    <w:p w14:paraId="3A226D7C">
      <w:pPr>
        <w:spacing w:line="360" w:lineRule="auto"/>
        <w:ind w:firstLine="310" w:firstLineChars="147"/>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六、公告期限</w:t>
      </w:r>
    </w:p>
    <w:p w14:paraId="4522740C">
      <w:pPr>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自本公告发布之日起5个工作日。</w:t>
      </w:r>
    </w:p>
    <w:p w14:paraId="07E99EDF">
      <w:pPr>
        <w:spacing w:line="360" w:lineRule="auto"/>
        <w:ind w:firstLine="310" w:firstLineChars="147"/>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七、其他补充事宜</w:t>
      </w:r>
    </w:p>
    <w:p w14:paraId="734C91F5">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1、磋商保证金（人民币）：</w:t>
      </w:r>
      <w:r>
        <w:rPr>
          <w:rFonts w:hint="eastAsia" w:asciiTheme="minorEastAsia" w:hAnsiTheme="minorEastAsia" w:eastAsiaTheme="minorEastAsia" w:cstheme="minorEastAsia"/>
          <w:color w:val="auto"/>
          <w:sz w:val="21"/>
          <w:szCs w:val="21"/>
          <w:highlight w:val="none"/>
          <w:lang w:eastAsia="zh-CN"/>
        </w:rPr>
        <w:t>29000元</w:t>
      </w:r>
      <w:r>
        <w:rPr>
          <w:rFonts w:hint="eastAsia" w:asciiTheme="minorEastAsia" w:hAnsiTheme="minorEastAsia" w:eastAsiaTheme="minorEastAsia" w:cstheme="minorEastAsia"/>
          <w:color w:val="auto"/>
          <w:sz w:val="21"/>
          <w:szCs w:val="21"/>
          <w:highlight w:val="none"/>
        </w:rPr>
        <w:t>。</w:t>
      </w:r>
    </w:p>
    <w:p w14:paraId="16A3254A">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2A2E707">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421CFC4">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4、网上查询地址：中国政府采购网（www.ccgp.gov.cn）、广西政府采购网（zfcg.gxzf.gov.cn）。</w:t>
      </w:r>
    </w:p>
    <w:p w14:paraId="0DE49F0D">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5、本项目需要落实的政府采购政策：</w:t>
      </w:r>
    </w:p>
    <w:p w14:paraId="04B15275">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（1）政府采购促进中小企业发展。</w:t>
      </w:r>
    </w:p>
    <w:p w14:paraId="08408CB7">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（2）政府采购支持采用本国产品的政策。</w:t>
      </w:r>
    </w:p>
    <w:p w14:paraId="61C59B07">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（3）强制采购节能产品；优先采购节能产品、环境标志产品。</w:t>
      </w:r>
    </w:p>
    <w:p w14:paraId="5BD5C81F">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（4）政府采购促进残疾人就业政策。</w:t>
      </w:r>
    </w:p>
    <w:p w14:paraId="7445A20B">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（5）政府采购支持监狱企业发展。</w:t>
      </w:r>
    </w:p>
    <w:p w14:paraId="65BD7B27">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6、磋商注意事项：</w:t>
      </w:r>
    </w:p>
    <w:p w14:paraId="2883BB36">
      <w:pPr>
        <w:widowControl/>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1）响应文件提交方式：本项目为全流程电子化政府采购项目，通过广西政府采购云平台（https://www.gcy.zfcg.gxzf.gov.cn/）实行在线电子磋商采购，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Theme="minorEastAsia" w:hAnsiTheme="minorEastAsia" w:eastAsiaTheme="minorEastAsia" w:cstheme="minorEastAsia"/>
          <w:b/>
          <w:color w:val="auto"/>
          <w:sz w:val="21"/>
          <w:szCs w:val="21"/>
          <w:highlight w:val="none"/>
        </w:rPr>
        <w:t>供应商在广西政府采购云平台提交电子版响应文件时，请填写参加远程开标活动经办人联系方式。</w:t>
      </w:r>
    </w:p>
    <w:p w14:paraId="02046C27">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（2）供应商应及时熟悉掌握电子竞标系统操作指南（见政采云电子卖场首页右上角—服务中心—帮助文档—项目采购）：</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"https://service.zcygov.cn/" \l "/knowledges/tree?tag=AG1DtGwBFdiHxlNdhY0r"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https://service.zcygov.cn/#/knowledges/tree?tag=AG1DtGwBFdiHxlNdhY0r</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；及时完成CA申领和绑定（见广西壮族自治区政府采购网—办事服务—下载专区-政采云CA证书办理操作指南）。</w:t>
      </w:r>
    </w:p>
    <w:p w14:paraId="6B0F64F9">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56D475C9">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（4）为确保网上操作合法、有效和安全，请供应商确保在电子竞标过程中能够对相关数据电文进行加密和使用电子签章，妥善保管CA数字证书并使用有效的CA数字证书参与整个采购活动。</w:t>
      </w:r>
    </w:p>
    <w:p w14:paraId="135E55BA">
      <w:pPr>
        <w:spacing w:line="360" w:lineRule="auto"/>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注：供应商应当在首次响应文件提交截止时间前完成电子响应文件的上传、递交，</w:t>
      </w:r>
      <w:r>
        <w:rPr>
          <w:rFonts w:hint="eastAsia" w:asciiTheme="minorEastAsia" w:hAnsiTheme="minorEastAsia" w:eastAsiaTheme="minorEastAsia" w:cstheme="minorEastAsia"/>
          <w:b/>
          <w:color w:val="auto"/>
          <w:sz w:val="21"/>
          <w:szCs w:val="21"/>
          <w:highlight w:val="none"/>
        </w:rPr>
        <w:t>首次响应文件提交截止时间</w:t>
      </w:r>
      <w:r>
        <w:rPr>
          <w:rFonts w:hint="eastAsia" w:asciiTheme="minorEastAsia" w:hAnsiTheme="minorEastAsia" w:eastAsiaTheme="minorEastAsia" w:cstheme="minorEastAsia"/>
          <w:b/>
          <w:bCs/>
          <w:color w:val="auto"/>
          <w:sz w:val="21"/>
          <w:szCs w:val="21"/>
          <w:highlight w:val="none"/>
        </w:rPr>
        <w:t>前可以补充、修改或者撤回响应文件。补充或者修改响应文件的，应当先行撤回原文件，补充、修改后重新上传、递交。</w:t>
      </w:r>
      <w:r>
        <w:rPr>
          <w:rFonts w:hint="eastAsia" w:asciiTheme="minorEastAsia" w:hAnsiTheme="minorEastAsia" w:eastAsiaTheme="minorEastAsia" w:cstheme="minorEastAsia"/>
          <w:b/>
          <w:color w:val="auto"/>
          <w:sz w:val="21"/>
          <w:szCs w:val="21"/>
          <w:highlight w:val="none"/>
        </w:rPr>
        <w:t>首次响应文件提交截止时间</w:t>
      </w:r>
      <w:r>
        <w:rPr>
          <w:rFonts w:hint="eastAsia" w:asciiTheme="minorEastAsia" w:hAnsiTheme="minorEastAsia" w:eastAsiaTheme="minorEastAsia" w:cstheme="minorEastAsia"/>
          <w:b/>
          <w:bCs/>
          <w:color w:val="auto"/>
          <w:sz w:val="21"/>
          <w:szCs w:val="21"/>
          <w:highlight w:val="none"/>
        </w:rPr>
        <w:t>前未完成上传、递交的，视为撤回响应文件。</w:t>
      </w:r>
      <w:r>
        <w:rPr>
          <w:rFonts w:hint="eastAsia" w:asciiTheme="minorEastAsia" w:hAnsiTheme="minorEastAsia" w:eastAsiaTheme="minorEastAsia" w:cstheme="minorEastAsia"/>
          <w:b/>
          <w:color w:val="auto"/>
          <w:sz w:val="21"/>
          <w:szCs w:val="21"/>
          <w:highlight w:val="none"/>
        </w:rPr>
        <w:t>首次响应文件提交截止时间</w:t>
      </w:r>
      <w:r>
        <w:rPr>
          <w:rFonts w:hint="eastAsia" w:asciiTheme="minorEastAsia" w:hAnsiTheme="minorEastAsia" w:eastAsiaTheme="minorEastAsia" w:cstheme="minorEastAsia"/>
          <w:b/>
          <w:bCs/>
          <w:color w:val="auto"/>
          <w:sz w:val="21"/>
          <w:szCs w:val="21"/>
          <w:highlight w:val="none"/>
        </w:rPr>
        <w:t>以后上传递交的响应文件，广西政府采购云平台将予以拒收。</w:t>
      </w:r>
    </w:p>
    <w:p w14:paraId="3BF9A323">
      <w:pPr>
        <w:spacing w:line="360" w:lineRule="auto"/>
        <w:ind w:firstLine="420"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7、</w:t>
      </w:r>
      <w:r>
        <w:rPr>
          <w:rFonts w:hint="eastAsia" w:asciiTheme="minorEastAsia" w:hAnsiTheme="minorEastAsia" w:eastAsiaTheme="minorEastAsia" w:cstheme="minorEastAsia"/>
          <w:color w:val="auto"/>
          <w:sz w:val="21"/>
          <w:szCs w:val="21"/>
          <w:highlight w:val="none"/>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787A1245">
      <w:pPr>
        <w:widowControl/>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8、供应商需要在具备有摄像头及语音功能且互联网网络状况良好的电脑登录广西政府采购云平台远程开标大厅参与本次磋商，否则后果自负。</w:t>
      </w:r>
    </w:p>
    <w:p w14:paraId="3C084FA6">
      <w:pPr>
        <w:widowControl/>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9、若对项目采购电子交易系统操作有疑问，可登录广西政府采购云平台（https://www.gcy.zfcg.gxzf.gov.cn/），点击右侧咨询小采，获取采小蜜智能服务管家帮助，或拨打政采云服务热线95763获取热线服务帮助。</w:t>
      </w:r>
    </w:p>
    <w:bookmarkEnd w:id="8"/>
    <w:p w14:paraId="6B9C3FD2">
      <w:pPr>
        <w:spacing w:line="360" w:lineRule="auto"/>
        <w:ind w:firstLine="310" w:firstLineChars="147"/>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八、凡对本次采购提出询问，请按以下方式联系。</w:t>
      </w:r>
      <w:bookmarkEnd w:id="9"/>
      <w:bookmarkEnd w:id="10"/>
      <w:bookmarkEnd w:id="11"/>
      <w:bookmarkEnd w:id="12"/>
      <w:bookmarkEnd w:id="13"/>
    </w:p>
    <w:p w14:paraId="2DFDCA26">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bookmarkStart w:id="14" w:name="_Toc35393637"/>
      <w:bookmarkStart w:id="15" w:name="_Toc28359096"/>
      <w:bookmarkStart w:id="16" w:name="_Toc28359019"/>
      <w:bookmarkStart w:id="17" w:name="_Toc35393806"/>
      <w:r>
        <w:rPr>
          <w:rFonts w:hint="eastAsia" w:asciiTheme="minorEastAsia" w:hAnsiTheme="minorEastAsia" w:eastAsiaTheme="minorEastAsia" w:cstheme="minorEastAsia"/>
          <w:color w:val="auto"/>
          <w:sz w:val="21"/>
          <w:szCs w:val="21"/>
          <w:highlight w:val="none"/>
        </w:rPr>
        <w:t>1.采购人信息</w:t>
      </w:r>
    </w:p>
    <w:p w14:paraId="0E3ED1D5">
      <w:pPr>
        <w:widowControl/>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名  称：</w:t>
      </w:r>
      <w:r>
        <w:rPr>
          <w:rFonts w:hint="eastAsia" w:asciiTheme="minorEastAsia" w:hAnsiTheme="minorEastAsia" w:eastAsiaTheme="minorEastAsia" w:cstheme="minorEastAsia"/>
          <w:color w:val="auto"/>
          <w:sz w:val="21"/>
          <w:szCs w:val="21"/>
          <w:highlight w:val="none"/>
          <w:lang w:eastAsia="zh-CN"/>
        </w:rPr>
        <w:t>广西国际壮医医院</w:t>
      </w:r>
    </w:p>
    <w:p w14:paraId="2F38B9F5">
      <w:pPr>
        <w:widowControl/>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地  址：</w:t>
      </w:r>
      <w:r>
        <w:rPr>
          <w:rFonts w:hint="eastAsia" w:asciiTheme="minorEastAsia" w:hAnsiTheme="minorEastAsia" w:eastAsiaTheme="minorEastAsia" w:cstheme="minorEastAsia"/>
          <w:color w:val="auto"/>
          <w:sz w:val="21"/>
          <w:szCs w:val="21"/>
          <w:highlight w:val="none"/>
          <w:lang w:eastAsia="zh-CN"/>
        </w:rPr>
        <w:t>南宁市五象新区秋月路8号</w:t>
      </w:r>
    </w:p>
    <w:p w14:paraId="52237201">
      <w:pPr>
        <w:widowControl/>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val="en-US" w:eastAsia="zh-CN"/>
        </w:rPr>
        <w:t>黎自耕、覃双宜</w:t>
      </w:r>
    </w:p>
    <w:p w14:paraId="7B625517">
      <w:pPr>
        <w:widowControl/>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lang w:eastAsia="zh-CN"/>
        </w:rPr>
        <w:t>0771-3376599</w:t>
      </w:r>
    </w:p>
    <w:p w14:paraId="053ECCE3">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2.采购代理机构信息</w:t>
      </w:r>
    </w:p>
    <w:p w14:paraId="27D79631">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  称：广西科文招标有限公司</w:t>
      </w:r>
    </w:p>
    <w:p w14:paraId="0EFE515B">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  址：南宁市民族大道路141号中鼎万象东方大厦D区五层</w:t>
      </w:r>
    </w:p>
    <w:p w14:paraId="4E3F180D">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项目联系人：蒙颖、郑辉海</w:t>
      </w:r>
    </w:p>
    <w:p w14:paraId="6AD98F24">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项目联系方式：0771-2023875</w:t>
      </w:r>
    </w:p>
    <w:p w14:paraId="02D48D2B">
      <w:pPr>
        <w:spacing w:line="380" w:lineRule="exact"/>
        <w:ind w:firstLine="6195" w:firstLineChars="2950"/>
        <w:rPr>
          <w:rFonts w:hint="eastAsia" w:asciiTheme="minorEastAsia" w:hAnsiTheme="minorEastAsia" w:eastAsiaTheme="minorEastAsia" w:cstheme="minorEastAsia"/>
          <w:color w:val="auto"/>
          <w:sz w:val="21"/>
          <w:szCs w:val="21"/>
          <w:highlight w:val="none"/>
        </w:rPr>
      </w:pPr>
    </w:p>
    <w:p w14:paraId="07AA4EAA">
      <w:pPr>
        <w:snapToGrid w:val="0"/>
        <w:spacing w:line="380" w:lineRule="exact"/>
        <w:ind w:left="238"/>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广西科文招标有限公司</w:t>
      </w:r>
      <w:bookmarkEnd w:id="1"/>
      <w:bookmarkEnd w:id="14"/>
      <w:bookmarkEnd w:id="15"/>
      <w:bookmarkEnd w:id="16"/>
      <w:bookmarkEnd w:id="17"/>
    </w:p>
    <w:p w14:paraId="74312606">
      <w:pPr>
        <w:snapToGrid w:val="0"/>
        <w:spacing w:line="380" w:lineRule="exact"/>
        <w:ind w:left="238"/>
        <w:jc w:val="righ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2025年</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eastAsia="zh-CN"/>
        </w:rPr>
        <w:t>日</w:t>
      </w:r>
      <w:r>
        <w:rPr>
          <w:rFonts w:hint="eastAsia" w:asciiTheme="minorEastAsia" w:hAnsiTheme="minorEastAsia" w:eastAsiaTheme="minorEastAsia" w:cstheme="minorEastAsia"/>
          <w:b/>
          <w:bCs/>
          <w:color w:val="auto"/>
          <w:sz w:val="21"/>
          <w:szCs w:val="21"/>
          <w:highlight w:val="none"/>
        </w:rPr>
        <w:br w:type="page"/>
      </w:r>
    </w:p>
    <w:p w14:paraId="64506A50">
      <w:pPr>
        <w:pStyle w:val="2"/>
        <w:jc w:val="center"/>
        <w:rPr>
          <w:color w:val="auto"/>
          <w:highlight w:val="none"/>
        </w:rPr>
      </w:pPr>
      <w:bookmarkStart w:id="18" w:name="_Toc2429"/>
      <w:r>
        <w:rPr>
          <w:rFonts w:hint="eastAsia"/>
          <w:color w:val="auto"/>
          <w:highlight w:val="none"/>
        </w:rPr>
        <w:t>第二章 供应商须知</w:t>
      </w:r>
      <w:bookmarkEnd w:id="18"/>
    </w:p>
    <w:p w14:paraId="14721296">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475D28EC">
      <w:pPr>
        <w:spacing w:line="400" w:lineRule="exact"/>
        <w:jc w:val="center"/>
        <w:rPr>
          <w:rFonts w:ascii="宋体" w:hAnsi="宋体"/>
          <w:b/>
          <w:color w:val="auto"/>
          <w:sz w:val="32"/>
          <w:szCs w:val="32"/>
          <w:highlight w:val="none"/>
        </w:rPr>
      </w:pPr>
    </w:p>
    <w:tbl>
      <w:tblPr>
        <w:tblStyle w:val="23"/>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17042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9CD8029">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条款号</w:t>
            </w:r>
          </w:p>
        </w:tc>
        <w:tc>
          <w:tcPr>
            <w:tcW w:w="8627" w:type="dxa"/>
          </w:tcPr>
          <w:p w14:paraId="07FD4CB8">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内    容</w:t>
            </w:r>
          </w:p>
        </w:tc>
      </w:tr>
      <w:tr w14:paraId="6B757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C5D99CA">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8627" w:type="dxa"/>
            <w:vAlign w:val="center"/>
          </w:tcPr>
          <w:p w14:paraId="0006A2BB">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供应商的资格条件</w:t>
            </w:r>
            <w:r>
              <w:rPr>
                <w:rFonts w:hint="eastAsia" w:asciiTheme="minorEastAsia" w:hAnsiTheme="minorEastAsia" w:eastAsiaTheme="minorEastAsia" w:cstheme="minorEastAsia"/>
                <w:color w:val="auto"/>
                <w:sz w:val="21"/>
                <w:szCs w:val="21"/>
                <w:highlight w:val="none"/>
              </w:rPr>
              <w:t>：详见竞争性磋商公告</w:t>
            </w:r>
          </w:p>
        </w:tc>
      </w:tr>
      <w:tr w14:paraId="1F3E0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B20FF7">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w:t>
            </w:r>
          </w:p>
        </w:tc>
        <w:tc>
          <w:tcPr>
            <w:tcW w:w="8627" w:type="dxa"/>
            <w:vAlign w:val="center"/>
          </w:tcPr>
          <w:p w14:paraId="29F5F319">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是否接受联合体竞标：详见竞争性磋商公告（不接受）</w:t>
            </w:r>
          </w:p>
        </w:tc>
      </w:tr>
      <w:tr w14:paraId="4082B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9AF097">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w:t>
            </w:r>
          </w:p>
        </w:tc>
        <w:tc>
          <w:tcPr>
            <w:tcW w:w="8627" w:type="dxa"/>
            <w:vAlign w:val="center"/>
          </w:tcPr>
          <w:p w14:paraId="5EF31736">
            <w:pPr>
              <w:pStyle w:val="8"/>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本项目不允许分包。</w:t>
            </w:r>
          </w:p>
          <w:p w14:paraId="4594D047">
            <w:pPr>
              <w:pStyle w:val="8"/>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分包内容：</w:t>
            </w:r>
            <w:r>
              <w:rPr>
                <w:rFonts w:hint="eastAsia" w:asciiTheme="minorEastAsia" w:hAnsiTheme="minorEastAsia" w:eastAsiaTheme="minorEastAsia" w:cstheme="minorEastAsia"/>
                <w:color w:val="auto"/>
                <w:sz w:val="21"/>
                <w:szCs w:val="21"/>
                <w:highlight w:val="none"/>
                <w:u w:val="single"/>
              </w:rPr>
              <w:t>无。</w:t>
            </w:r>
          </w:p>
          <w:p w14:paraId="741CB65C">
            <w:pPr>
              <w:pStyle w:val="8"/>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分包金额或者比例：</w:t>
            </w:r>
            <w:r>
              <w:rPr>
                <w:rFonts w:hint="eastAsia" w:asciiTheme="minorEastAsia" w:hAnsiTheme="minorEastAsia" w:eastAsiaTheme="minorEastAsia" w:cstheme="minorEastAsia"/>
                <w:color w:val="auto"/>
                <w:sz w:val="21"/>
                <w:szCs w:val="21"/>
                <w:highlight w:val="none"/>
                <w:u w:val="single"/>
              </w:rPr>
              <w:t>无。</w:t>
            </w:r>
          </w:p>
        </w:tc>
      </w:tr>
      <w:tr w14:paraId="52B8B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7667F2">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12.1.1</w:t>
            </w:r>
          </w:p>
        </w:tc>
        <w:tc>
          <w:tcPr>
            <w:tcW w:w="8627" w:type="dxa"/>
            <w:vAlign w:val="center"/>
          </w:tcPr>
          <w:p w14:paraId="70386089">
            <w:pPr>
              <w:keepNext w:val="0"/>
              <w:keepLines w:val="0"/>
              <w:pageBreakBefore w:val="0"/>
              <w:widowControl w:val="0"/>
              <w:kinsoku/>
              <w:overflowPunct/>
              <w:topLinePunct w:val="0"/>
              <w:bidi w:val="0"/>
              <w:adjustRightInd/>
              <w:snapToGrid w:val="0"/>
              <w:spacing w:line="360" w:lineRule="exact"/>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资格证明文件</w:t>
            </w:r>
          </w:p>
          <w:p w14:paraId="60F11A0C">
            <w:pPr>
              <w:pStyle w:val="8"/>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39BB9730">
            <w:pPr>
              <w:keepNext w:val="0"/>
              <w:keepLines w:val="0"/>
              <w:pageBreakBefore w:val="0"/>
              <w:widowControl w:val="0"/>
              <w:kinsoku/>
              <w:overflowPunct/>
              <w:topLinePunct w:val="0"/>
              <w:bidi w:val="0"/>
              <w:adjustRightInd/>
              <w:spacing w:line="360" w:lineRule="exact"/>
              <w:contextualSpacing/>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依法缴纳税收的相关材料（响应文件提交截止之日前半年内竞标人连续3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59E1D15D">
            <w:pPr>
              <w:keepNext w:val="0"/>
              <w:keepLines w:val="0"/>
              <w:pageBreakBefore w:val="0"/>
              <w:widowControl w:val="0"/>
              <w:kinsoku/>
              <w:overflowPunct/>
              <w:topLinePunct w:val="0"/>
              <w:bidi w:val="0"/>
              <w:adjustRightInd/>
              <w:spacing w:line="360" w:lineRule="exact"/>
              <w:contextualSpacing/>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供应商依法缴纳社会保障资金的相关材料[响应文件提交截止之日前半年内竞标人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166A9649">
            <w:pPr>
              <w:keepNext w:val="0"/>
              <w:keepLines w:val="0"/>
              <w:pageBreakBefore w:val="0"/>
              <w:widowControl w:val="0"/>
              <w:kinsoku/>
              <w:overflowPunct/>
              <w:topLinePunct w:val="0"/>
              <w:bidi w:val="0"/>
              <w:adjustRightInd/>
              <w:spacing w:line="360" w:lineRule="exact"/>
              <w:contextualSpacing/>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4、供应商财务状况报告[</w:t>
            </w:r>
            <w:r>
              <w:rPr>
                <w:rFonts w:hint="eastAsia" w:asciiTheme="minorEastAsia" w:hAnsiTheme="minorEastAsia" w:eastAsiaTheme="minorEastAsia" w:cstheme="minorEastAsia"/>
                <w:color w:val="auto"/>
                <w:sz w:val="21"/>
                <w:szCs w:val="21"/>
                <w:highlight w:val="none"/>
                <w:lang w:val="en-US" w:eastAsia="zh-CN"/>
              </w:rPr>
              <w:t>2024年</w:t>
            </w:r>
            <w:r>
              <w:rPr>
                <w:rFonts w:hint="eastAsia" w:asciiTheme="minorEastAsia" w:hAnsiTheme="minorEastAsia" w:eastAsiaTheme="minorEastAsia" w:cstheme="minorEastAsia"/>
                <w:color w:val="auto"/>
                <w:sz w:val="21"/>
                <w:szCs w:val="21"/>
                <w:highlight w:val="none"/>
              </w:rPr>
              <w:t>财务状况报告，或者经审计的财务报告，或者银行出具的资信证明（应在有效期内，未注明有效期的视为自出具时间起一年内有效）。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如供应商在上述年度后成立的，提供自成立起至提交响应文件递交截止之日前所有月报或银行出具的资信证明]；</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
                <w:color w:val="auto"/>
                <w:sz w:val="21"/>
                <w:szCs w:val="21"/>
                <w:highlight w:val="none"/>
              </w:rPr>
              <w:t>除自然人外必须提供，否则响应文件按无效响应处理</w:t>
            </w:r>
            <w:r>
              <w:rPr>
                <w:rFonts w:hint="eastAsia" w:asciiTheme="minorEastAsia" w:hAnsiTheme="minorEastAsia" w:eastAsiaTheme="minorEastAsia" w:cstheme="minorEastAsia"/>
                <w:bCs/>
                <w:color w:val="auto"/>
                <w:sz w:val="21"/>
                <w:szCs w:val="21"/>
                <w:highlight w:val="none"/>
              </w:rPr>
              <w:t>）</w:t>
            </w:r>
          </w:p>
          <w:p w14:paraId="3A451895">
            <w:pPr>
              <w:keepNext w:val="0"/>
              <w:keepLines w:val="0"/>
              <w:pageBreakBefore w:val="0"/>
              <w:widowControl w:val="0"/>
              <w:kinsoku/>
              <w:overflowPunct/>
              <w:topLinePunct w:val="0"/>
              <w:bidi w:val="0"/>
              <w:adjustRightInd/>
              <w:snapToGrid w:val="0"/>
              <w:spacing w:line="36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5、供应商直接控股、管理关系信息表（格式后附）；（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7CA3855C">
            <w:pPr>
              <w:keepNext w:val="0"/>
              <w:keepLines w:val="0"/>
              <w:pageBreakBefore w:val="0"/>
              <w:widowControl w:val="0"/>
              <w:kinsoku/>
              <w:overflowPunct/>
              <w:topLinePunct w:val="0"/>
              <w:bidi w:val="0"/>
              <w:adjustRightInd/>
              <w:snapToGrid w:val="0"/>
              <w:spacing w:line="36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6、竞标声明（格式后附）；（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1E08F59A">
            <w:pPr>
              <w:pStyle w:val="10"/>
              <w:keepNext w:val="0"/>
              <w:keepLines w:val="0"/>
              <w:pageBreakBefore w:val="0"/>
              <w:widowControl w:val="0"/>
              <w:kinsoku/>
              <w:overflowPunct/>
              <w:topLinePunct w:val="0"/>
              <w:bidi w:val="0"/>
              <w:adjustRightInd/>
              <w:spacing w:line="360" w:lineRule="exac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7、中小企业声明函</w:t>
            </w:r>
            <w:r>
              <w:rPr>
                <w:rFonts w:hint="eastAsia" w:asciiTheme="minorEastAsia" w:hAnsiTheme="minorEastAsia" w:eastAsiaTheme="minorEastAsia" w:cstheme="minorEastAsia"/>
                <w:color w:val="auto"/>
                <w:sz w:val="21"/>
                <w:szCs w:val="21"/>
                <w:highlight w:val="none"/>
              </w:rPr>
              <w:t>（格式后附）；</w:t>
            </w:r>
            <w:r>
              <w:rPr>
                <w:rFonts w:hint="eastAsia" w:asciiTheme="minorEastAsia" w:hAnsiTheme="minorEastAsia" w:eastAsiaTheme="minorEastAsia" w:cstheme="minorEastAsia"/>
                <w:b/>
                <w:bCs/>
                <w:color w:val="auto"/>
                <w:sz w:val="21"/>
                <w:szCs w:val="21"/>
                <w:highlight w:val="none"/>
              </w:rPr>
              <w:t>（如有请提供）</w:t>
            </w:r>
          </w:p>
          <w:p w14:paraId="1E098CB7">
            <w:pPr>
              <w:pStyle w:val="10"/>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、除磋商文件规定必须提供以外，供应商认为需要提供的其他证明材料。</w:t>
            </w:r>
            <w:r>
              <w:rPr>
                <w:rFonts w:hint="eastAsia" w:asciiTheme="minorEastAsia" w:hAnsiTheme="minorEastAsia" w:eastAsiaTheme="minorEastAsia" w:cstheme="minorEastAsia"/>
                <w:b/>
                <w:bCs/>
                <w:color w:val="auto"/>
                <w:sz w:val="21"/>
                <w:szCs w:val="21"/>
                <w:highlight w:val="none"/>
              </w:rPr>
              <w:t>（如有请提供）</w:t>
            </w:r>
          </w:p>
          <w:p w14:paraId="57006A8A">
            <w:pPr>
              <w:keepNext w:val="0"/>
              <w:keepLines w:val="0"/>
              <w:pageBreakBefore w:val="0"/>
              <w:widowControl w:val="0"/>
              <w:kinsoku/>
              <w:overflowPunct/>
              <w:topLinePunct w:val="0"/>
              <w:bidi w:val="0"/>
              <w:adjustRightInd/>
              <w:snapToGrid w:val="0"/>
              <w:spacing w:line="360" w:lineRule="exact"/>
              <w:ind w:firstLine="422"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w:t>
            </w:r>
          </w:p>
          <w:p w14:paraId="6C180D91">
            <w:pPr>
              <w:keepNext w:val="0"/>
              <w:keepLines w:val="0"/>
              <w:pageBreakBefore w:val="0"/>
              <w:widowControl w:val="0"/>
              <w:kinsoku/>
              <w:overflowPunct/>
              <w:topLinePunct w:val="0"/>
              <w:bidi w:val="0"/>
              <w:adjustRightInd/>
              <w:snapToGrid w:val="0"/>
              <w:spacing w:line="360" w:lineRule="exact"/>
              <w:ind w:firstLine="413" w:firstLineChars="196"/>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1.以上标明“必须提供”的材料属于复印件的，必须加盖供应商公章，否则响应文件按无效响应处理。</w:t>
            </w:r>
          </w:p>
          <w:p w14:paraId="4A2264CC">
            <w:pPr>
              <w:keepNext w:val="0"/>
              <w:keepLines w:val="0"/>
              <w:pageBreakBefore w:val="0"/>
              <w:widowControl w:val="0"/>
              <w:kinsoku/>
              <w:overflowPunct/>
              <w:topLinePunct w:val="0"/>
              <w:bidi w:val="0"/>
              <w:adjustRightInd/>
              <w:snapToGrid w:val="0"/>
              <w:spacing w:line="360" w:lineRule="exact"/>
              <w:ind w:firstLine="422"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2.竞标声明必须由法定代表人在规定签章处签字并加盖供应商公章，否则响应文件按无效响应处理。</w:t>
            </w:r>
          </w:p>
          <w:p w14:paraId="563811BB">
            <w:pPr>
              <w:keepNext w:val="0"/>
              <w:keepLines w:val="0"/>
              <w:pageBreakBefore w:val="0"/>
              <w:widowControl w:val="0"/>
              <w:kinsoku/>
              <w:overflowPunct/>
              <w:topLinePunct w:val="0"/>
              <w:bidi w:val="0"/>
              <w:adjustRightInd/>
              <w:snapToGrid w:val="0"/>
              <w:spacing w:line="360" w:lineRule="exact"/>
              <w:ind w:firstLine="422"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3.供应商直接控股、管理关系信息表必须由法定代表人或者委托代理人在规定签章处签字并加盖供应商公章，否则响应文件按无效响应处理。</w:t>
            </w:r>
          </w:p>
          <w:p w14:paraId="0AD8ACA9">
            <w:pPr>
              <w:pStyle w:val="8"/>
              <w:keepNext w:val="0"/>
              <w:keepLines w:val="0"/>
              <w:pageBreakBefore w:val="0"/>
              <w:widowControl w:val="0"/>
              <w:kinsoku/>
              <w:overflowPunct/>
              <w:topLinePunct w:val="0"/>
              <w:bidi w:val="0"/>
              <w:adjustRightInd/>
              <w:spacing w:line="36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rPr>
              <w:t>4.分公司参加竞标的，应当取得总公司授权</w:t>
            </w:r>
            <w:r>
              <w:rPr>
                <w:rFonts w:hint="eastAsia" w:asciiTheme="minorEastAsia" w:hAnsiTheme="minorEastAsia" w:eastAsiaTheme="minorEastAsia" w:cstheme="minorEastAsia"/>
                <w:b/>
                <w:color w:val="auto"/>
                <w:sz w:val="21"/>
                <w:szCs w:val="21"/>
                <w:highlight w:val="none"/>
              </w:rPr>
              <w:t>，否则响应文件按无效响应处理。</w:t>
            </w:r>
          </w:p>
        </w:tc>
      </w:tr>
      <w:tr w14:paraId="688C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FE0F85">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12.1.2</w:t>
            </w:r>
          </w:p>
        </w:tc>
        <w:tc>
          <w:tcPr>
            <w:tcW w:w="8627" w:type="dxa"/>
            <w:vAlign w:val="center"/>
          </w:tcPr>
          <w:p w14:paraId="65E72811">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报价商务技术文件</w:t>
            </w:r>
          </w:p>
          <w:p w14:paraId="7364312A">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1、无串通竞标行为的承诺函（格式后附）；（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28F7724B">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2、竞标报价表（格式后附）；（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1FE3435B">
            <w:pPr>
              <w:keepNext w:val="0"/>
              <w:keepLines w:val="0"/>
              <w:pageBreakBefore w:val="0"/>
              <w:widowControl w:val="0"/>
              <w:kinsoku/>
              <w:overflowPunct/>
              <w:topLinePunct w:val="0"/>
              <w:bidi w:val="0"/>
              <w:adjustRightInd/>
              <w:snapToGrid w:val="0"/>
              <w:spacing w:line="36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3、法定代表人身份证明及法定代表人有效身份证正反面复印件（格式后附）；（</w:t>
            </w:r>
            <w:r>
              <w:rPr>
                <w:rFonts w:hint="eastAsia" w:asciiTheme="minorEastAsia" w:hAnsiTheme="minorEastAsia" w:eastAsiaTheme="minorEastAsia" w:cstheme="minorEastAsia"/>
                <w:b/>
                <w:bCs/>
                <w:color w:val="auto"/>
                <w:sz w:val="21"/>
                <w:szCs w:val="21"/>
                <w:highlight w:val="none"/>
              </w:rPr>
              <w:t>除自然人竞标外</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58A09503">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4、授权委托书及委托代理人有效身份证正反面复印件（格式后附）；（</w:t>
            </w:r>
            <w:r>
              <w:rPr>
                <w:rFonts w:hint="eastAsia" w:asciiTheme="minorEastAsia" w:hAnsiTheme="minorEastAsia" w:eastAsiaTheme="minorEastAsia" w:cstheme="minorEastAsia"/>
                <w:b/>
                <w:color w:val="auto"/>
                <w:sz w:val="21"/>
                <w:szCs w:val="21"/>
                <w:highlight w:val="none"/>
              </w:rPr>
              <w:t>委托时必须提供，否则响应文件按无效响应处理</w:t>
            </w:r>
            <w:r>
              <w:rPr>
                <w:rFonts w:hint="eastAsia" w:asciiTheme="minorEastAsia" w:hAnsiTheme="minorEastAsia" w:eastAsiaTheme="minorEastAsia" w:cstheme="minorEastAsia"/>
                <w:color w:val="auto"/>
                <w:sz w:val="21"/>
                <w:szCs w:val="21"/>
                <w:highlight w:val="none"/>
              </w:rPr>
              <w:t>）</w:t>
            </w:r>
          </w:p>
          <w:p w14:paraId="4ECC8C96">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5、磋商保证金提交凭证；（</w:t>
            </w:r>
            <w:r>
              <w:rPr>
                <w:rFonts w:hint="eastAsia" w:asciiTheme="minorEastAsia" w:hAnsiTheme="minorEastAsia" w:eastAsiaTheme="minorEastAsia" w:cstheme="minorEastAsia"/>
                <w:b/>
                <w:bCs/>
                <w:color w:val="auto"/>
                <w:sz w:val="21"/>
                <w:szCs w:val="21"/>
                <w:highlight w:val="none"/>
              </w:rPr>
              <w:t>如要求提交磋商保证金的则必须提供</w:t>
            </w:r>
            <w:r>
              <w:rPr>
                <w:rFonts w:hint="eastAsia" w:asciiTheme="minorEastAsia" w:hAnsiTheme="minorEastAsia" w:eastAsiaTheme="minorEastAsia" w:cstheme="minorEastAsia"/>
                <w:b/>
                <w:color w:val="auto"/>
                <w:sz w:val="21"/>
                <w:szCs w:val="21"/>
                <w:highlight w:val="none"/>
              </w:rPr>
              <w:t>，否则响应文件按无效响应处理</w:t>
            </w:r>
            <w:r>
              <w:rPr>
                <w:rFonts w:hint="eastAsia" w:asciiTheme="minorEastAsia" w:hAnsiTheme="minorEastAsia" w:eastAsiaTheme="minorEastAsia" w:cstheme="minorEastAsia"/>
                <w:color w:val="auto"/>
                <w:sz w:val="21"/>
                <w:szCs w:val="21"/>
                <w:highlight w:val="none"/>
              </w:rPr>
              <w:t>）</w:t>
            </w:r>
          </w:p>
          <w:p w14:paraId="46B825EE">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6、商务要求偏离表（格式后附）；（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49EF6FA9">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7、服务方案（格式自拟）；（</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329F07EB">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8、技术要求偏离表（格式后附）；（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791B3E67">
            <w:pPr>
              <w:pStyle w:val="10"/>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9、项目实施人员一览表（格式自拟）； （</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5BF1C795">
            <w:pPr>
              <w:pStyle w:val="10"/>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10、对应采购需求的技术要求、商务要求提供的其他文件资料（格式自拟）；</w:t>
            </w:r>
            <w:r>
              <w:rPr>
                <w:rFonts w:hint="eastAsia" w:asciiTheme="minorEastAsia" w:hAnsiTheme="minorEastAsia" w:eastAsiaTheme="minorEastAsia" w:cstheme="minorEastAsia"/>
                <w:b/>
                <w:bCs/>
                <w:color w:val="auto"/>
                <w:sz w:val="21"/>
                <w:szCs w:val="21"/>
                <w:highlight w:val="none"/>
              </w:rPr>
              <w:t>（如有请提供）</w:t>
            </w:r>
          </w:p>
          <w:p w14:paraId="522DB3DC">
            <w:pPr>
              <w:pStyle w:val="10"/>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11、供应商认为需要提供的其他有关资料。</w:t>
            </w:r>
            <w:r>
              <w:rPr>
                <w:rFonts w:hint="eastAsia" w:asciiTheme="minorEastAsia" w:hAnsiTheme="minorEastAsia" w:eastAsiaTheme="minorEastAsia" w:cstheme="minorEastAsia"/>
                <w:b/>
                <w:bCs/>
                <w:color w:val="auto"/>
                <w:sz w:val="21"/>
                <w:szCs w:val="21"/>
                <w:highlight w:val="none"/>
              </w:rPr>
              <w:t>（如有请提供）</w:t>
            </w:r>
          </w:p>
          <w:p w14:paraId="6397F483">
            <w:pPr>
              <w:keepNext w:val="0"/>
              <w:keepLines w:val="0"/>
              <w:pageBreakBefore w:val="0"/>
              <w:widowControl w:val="0"/>
              <w:kinsoku/>
              <w:overflowPunct/>
              <w:topLinePunct w:val="0"/>
              <w:bidi w:val="0"/>
              <w:adjustRightInd/>
              <w:snapToGrid w:val="0"/>
              <w:spacing w:line="360" w:lineRule="exact"/>
              <w:ind w:firstLine="422"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注：以上标明“必须提供”的材料属于复印件的，必须加盖供应商公章，否则响应文件按无效响应处理。</w:t>
            </w:r>
          </w:p>
        </w:tc>
      </w:tr>
      <w:tr w14:paraId="32173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84B605">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15.2</w:t>
            </w:r>
          </w:p>
        </w:tc>
        <w:tc>
          <w:tcPr>
            <w:tcW w:w="8627" w:type="dxa"/>
            <w:vAlign w:val="center"/>
          </w:tcPr>
          <w:p w14:paraId="01C6CC94">
            <w:pPr>
              <w:keepNext w:val="0"/>
              <w:keepLines w:val="0"/>
              <w:pageBreakBefore w:val="0"/>
              <w:widowControl w:val="0"/>
              <w:kinsoku/>
              <w:overflowPunct/>
              <w:topLinePunct w:val="0"/>
              <w:bidi w:val="0"/>
              <w:adjustRightInd/>
              <w:snapToGrid w:val="0"/>
              <w:spacing w:line="36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竞标报价是履行合同的最终价格，即满足全部采购需求所应提供的服务的价格；包括竞标服务的成本、运输（含保险）（如有）、技术服务、培训、税费等所有费用。</w:t>
            </w:r>
            <w:r>
              <w:rPr>
                <w:rFonts w:hint="eastAsia" w:asciiTheme="minorEastAsia" w:hAnsiTheme="minorEastAsia" w:eastAsiaTheme="minorEastAsia" w:cstheme="minorEastAsia"/>
                <w:b/>
                <w:color w:val="auto"/>
                <w:sz w:val="21"/>
                <w:szCs w:val="21"/>
                <w:highlight w:val="none"/>
              </w:rPr>
              <w:t>（采购需求另有约定的，从其约定。）</w:t>
            </w:r>
          </w:p>
        </w:tc>
      </w:tr>
      <w:tr w14:paraId="7518A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513CF2">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16.2</w:t>
            </w:r>
          </w:p>
        </w:tc>
        <w:tc>
          <w:tcPr>
            <w:tcW w:w="8627" w:type="dxa"/>
            <w:vAlign w:val="center"/>
          </w:tcPr>
          <w:p w14:paraId="3AEA21CA">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竞标有效期：首次响应文件提交截止之日起60天内。</w:t>
            </w:r>
          </w:p>
        </w:tc>
      </w:tr>
      <w:tr w14:paraId="43D80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9188BC">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17.1</w:t>
            </w:r>
          </w:p>
        </w:tc>
        <w:tc>
          <w:tcPr>
            <w:tcW w:w="8627" w:type="dxa"/>
            <w:vAlign w:val="center"/>
          </w:tcPr>
          <w:p w14:paraId="28569551">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磋商保证金：</w:t>
            </w:r>
            <w:r>
              <w:rPr>
                <w:rFonts w:hint="eastAsia" w:asciiTheme="minorEastAsia" w:hAnsiTheme="minorEastAsia" w:eastAsiaTheme="minorEastAsia" w:cstheme="minorEastAsia"/>
                <w:color w:val="auto"/>
                <w:kern w:val="0"/>
                <w:sz w:val="21"/>
                <w:szCs w:val="21"/>
                <w:highlight w:val="none"/>
                <w:lang w:eastAsia="zh-CN"/>
              </w:rPr>
              <w:t>29000元</w:t>
            </w:r>
            <w:r>
              <w:rPr>
                <w:rFonts w:hint="eastAsia" w:asciiTheme="minorEastAsia" w:hAnsiTheme="minorEastAsia" w:eastAsiaTheme="minorEastAsia" w:cstheme="minorEastAsia"/>
                <w:color w:val="auto"/>
                <w:kern w:val="0"/>
                <w:sz w:val="21"/>
                <w:szCs w:val="21"/>
                <w:highlight w:val="none"/>
              </w:rPr>
              <w:t>；</w:t>
            </w:r>
          </w:p>
          <w:p w14:paraId="5E608EA8">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磋商保证金的交纳方式：银行转账、支票、汇票、本票或者金融、担保金融、担保机构出具的保函，禁止采用现钞方式。采用银行转账方式的，在响应文件提交截止时间前交至指定账户并且到账（</w:t>
            </w:r>
            <w:r>
              <w:rPr>
                <w:rFonts w:hint="eastAsia" w:asciiTheme="minorEastAsia" w:hAnsiTheme="minorEastAsia" w:eastAsiaTheme="minorEastAsia" w:cstheme="minorEastAsia"/>
                <w:color w:val="auto"/>
                <w:sz w:val="21"/>
                <w:szCs w:val="21"/>
                <w:highlight w:val="none"/>
              </w:rPr>
              <w:t>开户名称：广西科文招标有限公司，开户银行：广西北部湾银行南宁分行营业部，银行账号：0101012090615689</w:t>
            </w:r>
            <w:r>
              <w:rPr>
                <w:rFonts w:hint="eastAsia" w:asciiTheme="minorEastAsia" w:hAnsiTheme="minorEastAsia" w:eastAsiaTheme="minorEastAsia" w:cstheme="minorEastAsia"/>
                <w:color w:val="auto"/>
                <w:kern w:val="0"/>
                <w:sz w:val="21"/>
                <w:szCs w:val="21"/>
                <w:highlight w:val="none"/>
              </w:rPr>
              <w:t>）；采用支票、汇票、本票或者保函等方式的，在响应文件提交截止时间前，供应商必须提交支票、汇票、本票或者保函原件。否则视为无效磋商保证金。</w:t>
            </w:r>
          </w:p>
          <w:p w14:paraId="30D389FA">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相关要求：</w:t>
            </w:r>
          </w:p>
          <w:p w14:paraId="529AE26F">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Theme="minorEastAsia" w:hAnsiTheme="minorEastAsia" w:eastAsiaTheme="minorEastAsia" w:cstheme="minorEastAsia"/>
                <w:b/>
                <w:color w:val="auto"/>
                <w:sz w:val="21"/>
                <w:szCs w:val="21"/>
                <w:highlight w:val="none"/>
              </w:rPr>
              <w:t>否则响应文件按无效响应处理</w:t>
            </w:r>
            <w:r>
              <w:rPr>
                <w:rFonts w:hint="eastAsia" w:asciiTheme="minorEastAsia" w:hAnsiTheme="minorEastAsia" w:eastAsiaTheme="minorEastAsia" w:cstheme="minorEastAsia"/>
                <w:color w:val="auto"/>
                <w:sz w:val="21"/>
                <w:szCs w:val="21"/>
                <w:highlight w:val="none"/>
              </w:rPr>
              <w:t>。</w:t>
            </w:r>
          </w:p>
          <w:p w14:paraId="48331C9E">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Theme="minorEastAsia" w:hAnsiTheme="minorEastAsia" w:eastAsiaTheme="minorEastAsia" w:cstheme="minorEastAsia"/>
                <w:b/>
                <w:color w:val="auto"/>
                <w:sz w:val="21"/>
                <w:szCs w:val="21"/>
                <w:highlight w:val="none"/>
              </w:rPr>
              <w:t>否则响应文件按无效响应处理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供应商必须在首次响应文件提交截止时间前将支票、汇票、本票或者金融、担保机构出具的保函原件提交给采购代理机构，由采购代理机构向供应商出具回执，并妥善保管。</w:t>
            </w:r>
          </w:p>
          <w:p w14:paraId="64128EA3">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p>
          <w:p w14:paraId="33ED47D5">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备注： </w:t>
            </w:r>
          </w:p>
          <w:p w14:paraId="6CB4343D">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1、磋商保证金在响应文件提交截止时间后提交的，或者不按规定交纳方式交纳的，或者未足额交纳的（包含保函额度不足的），视为无效磋商保证金。</w:t>
            </w:r>
          </w:p>
          <w:p w14:paraId="64D59C05">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2、供应商采用现钞方式或者从个人账户（自然人竞标除外）转出的磋商保证金，视为无效磋商保证金。</w:t>
            </w:r>
          </w:p>
          <w:p w14:paraId="0D914A9D">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3、支票、汇票或者本票出现无效或者背书情形的，视为无效磋商保证金。</w:t>
            </w:r>
          </w:p>
          <w:p w14:paraId="72E372FF">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4、保函有效期低于竞标有效期的，视为无效磋商保证金。</w:t>
            </w:r>
          </w:p>
          <w:p w14:paraId="7F8BC6A3">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5、采用金融、担保机构出具保函的，必须为无条件保函，否则视为无效磋商保证金。</w:t>
            </w:r>
          </w:p>
        </w:tc>
      </w:tr>
      <w:tr w14:paraId="06D2D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26B97008">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18.2</w:t>
            </w:r>
          </w:p>
        </w:tc>
        <w:tc>
          <w:tcPr>
            <w:tcW w:w="8627" w:type="dxa"/>
            <w:vAlign w:val="center"/>
          </w:tcPr>
          <w:p w14:paraId="227EFB1F">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响应文件应按资格证明文件、报价商务技术文件分别编制，并按广西政府采购云平台的要求编制、加密、上传。</w:t>
            </w:r>
          </w:p>
        </w:tc>
      </w:tr>
      <w:tr w14:paraId="20276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4573AC">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20.1</w:t>
            </w:r>
          </w:p>
        </w:tc>
        <w:tc>
          <w:tcPr>
            <w:tcW w:w="8627" w:type="dxa"/>
            <w:vAlign w:val="center"/>
          </w:tcPr>
          <w:p w14:paraId="7504C2AF">
            <w:pPr>
              <w:keepNext w:val="0"/>
              <w:keepLines w:val="0"/>
              <w:pageBreakBefore w:val="0"/>
              <w:widowControl w:val="0"/>
              <w:kinsoku/>
              <w:overflowPunct/>
              <w:topLinePunct w:val="0"/>
              <w:bidi w:val="0"/>
              <w:adjustRightInd/>
              <w:spacing w:line="360" w:lineRule="exact"/>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首次响应文件提交截止时间：详见竞争性磋商公告。</w:t>
            </w:r>
          </w:p>
          <w:p w14:paraId="3A38641C">
            <w:pPr>
              <w:keepNext w:val="0"/>
              <w:keepLines w:val="0"/>
              <w:pageBreakBefore w:val="0"/>
              <w:widowControl w:val="0"/>
              <w:kinsoku/>
              <w:overflowPunct/>
              <w:topLinePunct w:val="0"/>
              <w:bidi w:val="0"/>
              <w:adjustRightInd/>
              <w:spacing w:line="360" w:lineRule="exact"/>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首次响应文件提交地点：详见竞争性磋商公告。</w:t>
            </w:r>
          </w:p>
        </w:tc>
      </w:tr>
      <w:tr w14:paraId="6BB2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46A624">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24.1</w:t>
            </w:r>
          </w:p>
        </w:tc>
        <w:tc>
          <w:tcPr>
            <w:tcW w:w="8627" w:type="dxa"/>
            <w:vAlign w:val="center"/>
          </w:tcPr>
          <w:p w14:paraId="14E9C605">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磋商小组的人数：3人。</w:t>
            </w:r>
          </w:p>
        </w:tc>
      </w:tr>
      <w:tr w14:paraId="76E1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66C80C">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25.2</w:t>
            </w:r>
          </w:p>
        </w:tc>
        <w:tc>
          <w:tcPr>
            <w:tcW w:w="8627" w:type="dxa"/>
            <w:vAlign w:val="center"/>
          </w:tcPr>
          <w:p w14:paraId="4D5C12DF">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采购代理机构将依托电子交易平台发起开始解密指令，</w:t>
            </w:r>
            <w:r>
              <w:rPr>
                <w:rFonts w:hint="eastAsia" w:asciiTheme="minorEastAsia" w:hAnsiTheme="minorEastAsia" w:eastAsiaTheme="minorEastAsia" w:cstheme="minorEastAsia"/>
                <w:b/>
                <w:color w:val="auto"/>
                <w:sz w:val="21"/>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Theme="minorEastAsia" w:hAnsiTheme="minorEastAsia" w:eastAsiaTheme="minorEastAsia" w:cstheme="minorEastAsia"/>
                <w:b/>
                <w:bCs/>
                <w:color w:val="auto"/>
                <w:sz w:val="21"/>
                <w:szCs w:val="21"/>
                <w:highlight w:val="none"/>
              </w:rPr>
              <w:t>响应文件未按时解密的，</w:t>
            </w:r>
            <w:r>
              <w:rPr>
                <w:rFonts w:hint="eastAsia" w:asciiTheme="minorEastAsia" w:hAnsiTheme="minorEastAsia" w:eastAsiaTheme="minorEastAsia" w:cstheme="minorEastAsia"/>
                <w:b/>
                <w:color w:val="auto"/>
                <w:sz w:val="21"/>
                <w:szCs w:val="21"/>
                <w:highlight w:val="none"/>
              </w:rPr>
              <w:t>视为响应</w:t>
            </w:r>
            <w:r>
              <w:rPr>
                <w:rFonts w:hint="eastAsia" w:asciiTheme="minorEastAsia" w:hAnsiTheme="minorEastAsia" w:eastAsiaTheme="minorEastAsia" w:cstheme="minorEastAsia"/>
                <w:b/>
                <w:bCs/>
                <w:color w:val="auto"/>
                <w:sz w:val="21"/>
                <w:szCs w:val="21"/>
                <w:highlight w:val="none"/>
              </w:rPr>
              <w:t>文件无效。</w:t>
            </w:r>
          </w:p>
        </w:tc>
      </w:tr>
      <w:tr w14:paraId="386C4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27D6D924">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w:t>
            </w:r>
          </w:p>
        </w:tc>
        <w:tc>
          <w:tcPr>
            <w:tcW w:w="8627" w:type="dxa"/>
            <w:vAlign w:val="center"/>
          </w:tcPr>
          <w:p w14:paraId="15108750">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商务要求评审中允许负偏离的条款数为</w:t>
            </w:r>
            <w:r>
              <w:rPr>
                <w:rFonts w:hint="eastAsia" w:asciiTheme="minorEastAsia" w:hAnsiTheme="minorEastAsia" w:eastAsiaTheme="minorEastAsia" w:cstheme="minorEastAsia"/>
                <w:color w:val="auto"/>
                <w:sz w:val="21"/>
                <w:szCs w:val="21"/>
                <w:highlight w:val="none"/>
                <w:u w:val="single"/>
              </w:rPr>
              <w:t xml:space="preserve"> 0 </w:t>
            </w:r>
            <w:r>
              <w:rPr>
                <w:rFonts w:hint="eastAsia" w:asciiTheme="minorEastAsia" w:hAnsiTheme="minorEastAsia" w:eastAsiaTheme="minorEastAsia" w:cstheme="minorEastAsia"/>
                <w:color w:val="auto"/>
                <w:sz w:val="21"/>
                <w:szCs w:val="21"/>
                <w:highlight w:val="none"/>
              </w:rPr>
              <w:t>项。</w:t>
            </w:r>
          </w:p>
          <w:p w14:paraId="19A14C91">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lang w:eastAsia="zh-CN"/>
              </w:rPr>
            </w:pPr>
            <w:r>
              <w:rPr>
                <w:rFonts w:hint="eastAsia" w:ascii="宋体"/>
                <w:color w:val="auto"/>
                <w:szCs w:val="21"/>
                <w:highlight w:val="none"/>
              </w:rPr>
              <w:t>技术需求评审中除实质性参数“▲”和重要参数“●”以外的其他参数允许负偏离的条款数为</w:t>
            </w:r>
            <w:r>
              <w:rPr>
                <w:rFonts w:hint="eastAsia" w:ascii="宋体"/>
                <w:color w:val="auto"/>
                <w:szCs w:val="21"/>
                <w:highlight w:val="none"/>
                <w:u w:val="single"/>
              </w:rPr>
              <w:t xml:space="preserve"> 3 </w:t>
            </w:r>
            <w:r>
              <w:rPr>
                <w:rFonts w:hint="eastAsia" w:ascii="宋体"/>
                <w:color w:val="auto"/>
                <w:szCs w:val="21"/>
                <w:highlight w:val="none"/>
              </w:rPr>
              <w:t>项</w:t>
            </w:r>
            <w:r>
              <w:rPr>
                <w:rFonts w:hint="eastAsia" w:asciiTheme="minorEastAsia" w:hAnsiTheme="minorEastAsia" w:eastAsiaTheme="minorEastAsia" w:cstheme="minorEastAsia"/>
                <w:color w:val="auto"/>
                <w:sz w:val="21"/>
                <w:szCs w:val="21"/>
                <w:highlight w:val="none"/>
                <w:lang w:eastAsia="zh-CN"/>
              </w:rPr>
              <w:t>。</w:t>
            </w:r>
          </w:p>
        </w:tc>
      </w:tr>
      <w:tr w14:paraId="5C39B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vMerge w:val="continue"/>
            <w:vAlign w:val="center"/>
          </w:tcPr>
          <w:p w14:paraId="1D0FE03D">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p>
        </w:tc>
        <w:tc>
          <w:tcPr>
            <w:tcW w:w="8627" w:type="dxa"/>
            <w:vAlign w:val="center"/>
          </w:tcPr>
          <w:p w14:paraId="7EABA080">
            <w:pPr>
              <w:pStyle w:val="8"/>
              <w:keepNext w:val="0"/>
              <w:keepLines w:val="0"/>
              <w:pageBreakBefore w:val="0"/>
              <w:widowControl w:val="0"/>
              <w:kinsoku/>
              <w:overflowPunct/>
              <w:topLinePunct w:val="0"/>
              <w:bidi w:val="0"/>
              <w:adjustRightInd/>
              <w:spacing w:line="36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磋商的顺序：按“政采云”系统的编号顺序。</w:t>
            </w:r>
          </w:p>
          <w:p w14:paraId="1A4622AA">
            <w:pPr>
              <w:pStyle w:val="8"/>
              <w:keepNext w:val="0"/>
              <w:keepLines w:val="0"/>
              <w:pageBreakBefore w:val="0"/>
              <w:widowControl w:val="0"/>
              <w:kinsoku/>
              <w:overflowPunct/>
              <w:topLinePunct w:val="0"/>
              <w:bidi w:val="0"/>
              <w:adjustRightInd/>
              <w:spacing w:line="360" w:lineRule="exact"/>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符合磋商资格的供应商必须在接到磋商通知后规定时间内参加磋商，未在规定时间内参加磋商的视同放弃参加磋商权利，其响应文件按无效响应处理。</w:t>
            </w:r>
          </w:p>
          <w:p w14:paraId="6C4C47DA">
            <w:pPr>
              <w:pStyle w:val="8"/>
              <w:keepNext w:val="0"/>
              <w:keepLines w:val="0"/>
              <w:pageBreakBefore w:val="0"/>
              <w:widowControl w:val="0"/>
              <w:kinsoku/>
              <w:overflowPunct/>
              <w:topLinePunct w:val="0"/>
              <w:bidi w:val="0"/>
              <w:adjustRightInd/>
              <w:spacing w:line="360" w:lineRule="exact"/>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注：参与磋商前，供应商法定代表人或者委托代理人向磋商小组出示本人有效证件原件[有效证件可以是身份证（含临时身份证明）或者护照的其中一项]。</w:t>
            </w:r>
          </w:p>
        </w:tc>
      </w:tr>
      <w:tr w14:paraId="15092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EC415B">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28.1</w:t>
            </w:r>
          </w:p>
        </w:tc>
        <w:tc>
          <w:tcPr>
            <w:tcW w:w="8627" w:type="dxa"/>
            <w:vAlign w:val="center"/>
          </w:tcPr>
          <w:p w14:paraId="00079D69">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本项目收取履约保证金</w:t>
            </w:r>
          </w:p>
          <w:p w14:paraId="23C2F8F1">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1、履约保证金：合同金额的5%（乙方如为中小企业的，履约保证金按合同金额的2%收取）。</w:t>
            </w:r>
          </w:p>
          <w:p w14:paraId="06862402">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2、履约保证金递交方式：银行转账、支票、汇票、本票或者金融、担保机构出具的保函等非现金方式。</w:t>
            </w:r>
          </w:p>
          <w:p w14:paraId="76FA7BE6">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3、成交供应商应于合同签订后7日内足额递交履约保证金，履约保证金自项目验收合格且成交供应商履行完成合同义务，履行合同期间无违约行为后无息退还。</w:t>
            </w:r>
          </w:p>
          <w:p w14:paraId="0AF554BD">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4、成交供应商履行合同期间违约行为给采购人造成损失的，采购人有权选择直接从履约保证金扣除，且成交供应商应在收到采购人通知之日起5个工作日内补充因弥补采购人损失而减少的履约保证金。</w:t>
            </w:r>
          </w:p>
          <w:p w14:paraId="65D254A2">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5、在履约保证金退还日期前，若成交供应商的开户名称、开户银行、账号有变动的，请以书面形式通知采购人，否则由此产生的后果由成交供应商自行负责。</w:t>
            </w:r>
          </w:p>
          <w:p w14:paraId="0C84ADB0">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6、履约保证金指定账户：</w:t>
            </w:r>
          </w:p>
          <w:p w14:paraId="38E6D2C4">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开户名称：广西国际壮医医院</w:t>
            </w:r>
          </w:p>
          <w:p w14:paraId="19E254AC">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开户银行：交通银行南宁青秀山支行</w:t>
            </w:r>
          </w:p>
          <w:p w14:paraId="715F0CBA">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银行账号：451060505018010046011</w:t>
            </w:r>
          </w:p>
        </w:tc>
      </w:tr>
      <w:tr w14:paraId="3B9EA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716647">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29.1</w:t>
            </w:r>
          </w:p>
        </w:tc>
        <w:tc>
          <w:tcPr>
            <w:tcW w:w="8627" w:type="dxa"/>
            <w:vAlign w:val="center"/>
          </w:tcPr>
          <w:p w14:paraId="045DC41C">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签订合同携带的证明材料： </w:t>
            </w:r>
          </w:p>
          <w:p w14:paraId="4DE2CAA1">
            <w:pPr>
              <w:keepNext w:val="0"/>
              <w:keepLines w:val="0"/>
              <w:pageBreakBefore w:val="0"/>
              <w:widowControl w:val="0"/>
              <w:kinsoku/>
              <w:overflowPunct/>
              <w:topLinePunct w:val="0"/>
              <w:autoSpaceDE w:val="0"/>
              <w:autoSpaceDN w:val="0"/>
              <w:bidi w:val="0"/>
              <w:adjustRightInd/>
              <w:snapToGrid w:val="0"/>
              <w:spacing w:line="360" w:lineRule="exact"/>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1、委托代理人负责签订合同的，须携带授权委托书及委托代理人身份证原件等其他资格证件。</w:t>
            </w:r>
          </w:p>
          <w:p w14:paraId="6E0E63C1">
            <w:pPr>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2、法定代表人负责签订合同的，须携带法定代表人身份证明原件及身份证原件等其他证明材料。</w:t>
            </w:r>
          </w:p>
        </w:tc>
      </w:tr>
      <w:tr w14:paraId="7A8CC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9AAF47">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31.2</w:t>
            </w:r>
          </w:p>
        </w:tc>
        <w:tc>
          <w:tcPr>
            <w:tcW w:w="8627" w:type="dxa"/>
            <w:vAlign w:val="center"/>
          </w:tcPr>
          <w:p w14:paraId="165A000B">
            <w:pPr>
              <w:pStyle w:val="13"/>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接收质疑函方式：以纸质书面形式。</w:t>
            </w:r>
          </w:p>
          <w:p w14:paraId="0221F452">
            <w:pPr>
              <w:pStyle w:val="13"/>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质疑联系部门及联系方式：广西科文招标有限公司，质疑联系人：梁壮贤，联系电话：0771-2023972；项目负责人：蒙颖、郑辉海，联系电话：0771-2023875，通讯地址：广西南宁市民族大道141号中鼎万象东方D区五层</w:t>
            </w:r>
          </w:p>
          <w:p w14:paraId="175E1531">
            <w:pPr>
              <w:pStyle w:val="13"/>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现场提交质疑办理业务时间：工作日，上午8:00-12:00；下午15:00-18:00（北京时间）</w:t>
            </w:r>
          </w:p>
        </w:tc>
      </w:tr>
      <w:tr w14:paraId="1D35C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6" w:hRule="atLeast"/>
          <w:jc w:val="center"/>
        </w:trPr>
        <w:tc>
          <w:tcPr>
            <w:tcW w:w="992" w:type="dxa"/>
            <w:vAlign w:val="center"/>
          </w:tcPr>
          <w:p w14:paraId="279E67C7">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32.1</w:t>
            </w:r>
          </w:p>
        </w:tc>
        <w:tc>
          <w:tcPr>
            <w:tcW w:w="8627" w:type="dxa"/>
            <w:vAlign w:val="center"/>
          </w:tcPr>
          <w:p w14:paraId="74867704">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1.是否收取采购代理费：</w:t>
            </w:r>
          </w:p>
          <w:p w14:paraId="21444640">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sym w:font="Wingdings 2" w:char="F052"/>
            </w:r>
            <w:r>
              <w:rPr>
                <w:rFonts w:hint="eastAsia" w:asciiTheme="minorEastAsia" w:hAnsiTheme="minorEastAsia" w:eastAsiaTheme="minorEastAsia" w:cstheme="minorEastAsia"/>
                <w:color w:val="auto"/>
                <w:kern w:val="0"/>
                <w:sz w:val="21"/>
                <w:szCs w:val="21"/>
                <w:highlight w:val="none"/>
              </w:rPr>
              <w:t>是    □ 否</w:t>
            </w:r>
          </w:p>
          <w:p w14:paraId="6CC7829B">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2.采购代理费支付方式：</w:t>
            </w:r>
          </w:p>
          <w:p w14:paraId="79F177C6">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sym w:font="Wingdings 2" w:char="F052"/>
            </w:r>
            <w:r>
              <w:rPr>
                <w:rFonts w:hint="eastAsia" w:asciiTheme="minorEastAsia" w:hAnsiTheme="minorEastAsia" w:eastAsiaTheme="minorEastAsia" w:cstheme="minorEastAsia"/>
                <w:color w:val="auto"/>
                <w:kern w:val="0"/>
                <w:sz w:val="21"/>
                <w:szCs w:val="21"/>
                <w:highlight w:val="none"/>
              </w:rPr>
              <w:t>本项目代理服务费由</w:t>
            </w:r>
            <w:r>
              <w:rPr>
                <w:rFonts w:hint="eastAsia" w:asciiTheme="minorEastAsia" w:hAnsiTheme="minorEastAsia" w:eastAsiaTheme="minorEastAsia" w:cstheme="minorEastAsia"/>
                <w:color w:val="auto"/>
                <w:kern w:val="0"/>
                <w:sz w:val="21"/>
                <w:szCs w:val="21"/>
                <w:highlight w:val="none"/>
                <w:u w:val="single"/>
              </w:rPr>
              <w:t>成交供应商</w:t>
            </w:r>
            <w:r>
              <w:rPr>
                <w:rFonts w:hint="eastAsia" w:asciiTheme="minorEastAsia" w:hAnsiTheme="minorEastAsia" w:eastAsiaTheme="minorEastAsia" w:cstheme="minorEastAsia"/>
                <w:color w:val="auto"/>
                <w:kern w:val="0"/>
                <w:sz w:val="21"/>
                <w:szCs w:val="21"/>
                <w:highlight w:val="none"/>
              </w:rPr>
              <w:t>领取成交通知书前，一次性向采购代理机构支付。</w:t>
            </w:r>
          </w:p>
          <w:p w14:paraId="653FA240">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□采购人支付。</w:t>
            </w:r>
          </w:p>
          <w:p w14:paraId="5106700B">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3.采购代理费收取标准：</w:t>
            </w:r>
          </w:p>
          <w:p w14:paraId="4C59349C">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sym w:font="Wingdings 2" w:char="F052"/>
            </w:r>
            <w:r>
              <w:rPr>
                <w:rFonts w:hint="eastAsia" w:asciiTheme="minorEastAsia" w:hAnsiTheme="minorEastAsia" w:eastAsiaTheme="minorEastAsia" w:cstheme="minorEastAsia"/>
                <w:color w:val="auto"/>
                <w:kern w:val="0"/>
                <w:sz w:val="21"/>
                <w:szCs w:val="21"/>
                <w:highlight w:val="none"/>
              </w:rPr>
              <w:t>以分标（</w:t>
            </w:r>
            <w:r>
              <w:rPr>
                <w:rFonts w:hint="eastAsia" w:asciiTheme="minorEastAsia" w:hAnsiTheme="minorEastAsia" w:eastAsiaTheme="minorEastAsia" w:cstheme="minorEastAsia"/>
                <w:color w:val="auto"/>
                <w:kern w:val="0"/>
                <w:sz w:val="21"/>
                <w:szCs w:val="21"/>
                <w:highlight w:val="none"/>
              </w:rPr>
              <w:sym w:font="Wingdings 2" w:char="F052"/>
            </w:r>
            <w:r>
              <w:rPr>
                <w:rFonts w:hint="eastAsia" w:asciiTheme="minorEastAsia" w:hAnsiTheme="minorEastAsia" w:eastAsiaTheme="minorEastAsia" w:cstheme="minorEastAsia"/>
                <w:color w:val="auto"/>
                <w:kern w:val="0"/>
                <w:sz w:val="21"/>
                <w:szCs w:val="21"/>
                <w:highlight w:val="none"/>
              </w:rPr>
              <w:t>成交金额）为计费额，按服务类采用差额定率累进法计算出收费基准价格，采购代理收费以（</w:t>
            </w:r>
            <w:r>
              <w:rPr>
                <w:rFonts w:hint="eastAsia" w:asciiTheme="minorEastAsia" w:hAnsiTheme="minorEastAsia" w:eastAsiaTheme="minorEastAsia" w:cstheme="minorEastAsia"/>
                <w:color w:val="auto"/>
                <w:kern w:val="0"/>
                <w:sz w:val="21"/>
                <w:szCs w:val="21"/>
                <w:highlight w:val="none"/>
              </w:rPr>
              <w:sym w:font="Wingdings 2" w:char="0052"/>
            </w:r>
            <w:r>
              <w:rPr>
                <w:rFonts w:hint="eastAsia" w:asciiTheme="minorEastAsia" w:hAnsiTheme="minorEastAsia" w:eastAsiaTheme="minorEastAsia" w:cstheme="minorEastAsia"/>
                <w:color w:val="auto"/>
                <w:kern w:val="0"/>
                <w:sz w:val="21"/>
                <w:szCs w:val="21"/>
                <w:highlight w:val="none"/>
              </w:rPr>
              <w:t>收费基准价格下浮</w:t>
            </w:r>
            <w:r>
              <w:rPr>
                <w:rFonts w:hint="eastAsia" w:asciiTheme="minorEastAsia" w:hAnsiTheme="minorEastAsia" w:eastAsiaTheme="minorEastAsia" w:cstheme="minorEastAsia"/>
                <w:color w:val="auto"/>
                <w:kern w:val="0"/>
                <w:sz w:val="21"/>
                <w:szCs w:val="21"/>
                <w:highlight w:val="none"/>
                <w:u w:val="single"/>
              </w:rPr>
              <w:t>20%</w:t>
            </w:r>
            <w:r>
              <w:rPr>
                <w:rFonts w:hint="eastAsia" w:asciiTheme="minorEastAsia" w:hAnsiTheme="minorEastAsia" w:eastAsiaTheme="minorEastAsia" w:cstheme="minorEastAsia"/>
                <w:color w:val="auto"/>
                <w:kern w:val="0"/>
                <w:sz w:val="21"/>
                <w:szCs w:val="21"/>
                <w:highlight w:val="none"/>
              </w:rPr>
              <w:t>）收取。</w:t>
            </w:r>
          </w:p>
          <w:p w14:paraId="6EF2C59E">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□固定采购代理收费</w:t>
            </w:r>
            <w:r>
              <w:rPr>
                <w:rFonts w:hint="eastAsia" w:asciiTheme="minorEastAsia" w:hAnsiTheme="minorEastAsia" w:eastAsiaTheme="minorEastAsia" w:cstheme="minorEastAsia"/>
                <w:color w:val="auto"/>
                <w:kern w:val="0"/>
                <w:sz w:val="21"/>
                <w:szCs w:val="21"/>
                <w:highlight w:val="none"/>
                <w:u w:val="single"/>
              </w:rPr>
              <w:t xml:space="preserve">      元 。</w:t>
            </w:r>
          </w:p>
          <w:p w14:paraId="59E6F929">
            <w:pPr>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本项目代理服务费参照《招标代理服务费管理暂行办法》 (计价格﹝2002﹞1980号)、《国家发展改革委关于降低部分建设项目收费标准规范收费行为等有关问题的通知》(发改价格﹝2011﹞534号)的规定采用差额定率累进法计算。具体费率如下：</w:t>
            </w:r>
          </w:p>
          <w:p w14:paraId="38455008">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①采购金额在100万元以下的：</w:t>
            </w:r>
          </w:p>
          <w:p w14:paraId="07A78C2E">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货物1.5％；服务1.5％；工程1.0％；</w:t>
            </w:r>
          </w:p>
          <w:p w14:paraId="3304C696">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②采购金额在100-500万元之间：</w:t>
            </w:r>
          </w:p>
          <w:p w14:paraId="285DFA3C">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货物1.1％；服务0.8％；工程0.7％；</w:t>
            </w:r>
          </w:p>
          <w:p w14:paraId="192D849F">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③采购金额在500-1000万元之间：</w:t>
            </w:r>
          </w:p>
          <w:p w14:paraId="5617AB60">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货物0.8％；服务0.45％；工程0.55％；</w:t>
            </w:r>
          </w:p>
          <w:p w14:paraId="467AB67D">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④采购金额在1000-5000万元之间：</w:t>
            </w:r>
          </w:p>
          <w:p w14:paraId="589C5F31">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货物0.5％；服务0.25％；工程0.35％；</w:t>
            </w:r>
          </w:p>
          <w:p w14:paraId="652F8838">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4B269E74">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差额定率累进法计算过程示例：</w:t>
            </w:r>
          </w:p>
          <w:p w14:paraId="778B1566">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例如：某服务采购代理业务成交金额为300万元，采购代理服务费金额按如下计算：</w:t>
            </w:r>
          </w:p>
          <w:p w14:paraId="7170E47A">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100万元×1.5%＝1.5万元</w:t>
            </w:r>
          </w:p>
          <w:p w14:paraId="71B100A8">
            <w:pPr>
              <w:pStyle w:val="13"/>
              <w:keepNext w:val="0"/>
              <w:keepLines w:val="0"/>
              <w:pageBreakBefore w:val="0"/>
              <w:widowControl w:val="0"/>
              <w:kinsoku/>
              <w:overflowPunct/>
              <w:topLinePunct w:val="0"/>
              <w:bidi w:val="0"/>
              <w:adjustRightInd/>
              <w:spacing w:line="360" w:lineRule="exact"/>
              <w:ind w:left="420" w:left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（300－100）万元×0.8%＝1.6万元</w:t>
            </w:r>
          </w:p>
          <w:p w14:paraId="3EA5BC1A">
            <w:pPr>
              <w:keepNext w:val="0"/>
              <w:keepLines w:val="0"/>
              <w:pageBreakBefore w:val="0"/>
              <w:widowControl w:val="0"/>
              <w:kinsoku/>
              <w:overflowPunct/>
              <w:topLinePunct w:val="0"/>
              <w:bidi w:val="0"/>
              <w:adjustRightInd/>
              <w:spacing w:line="360" w:lineRule="exact"/>
              <w:ind w:firstLine="420" w:firstLineChars="200"/>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sz w:val="21"/>
                <w:szCs w:val="21"/>
                <w:highlight w:val="none"/>
              </w:rPr>
              <w:t>合计收费＝1.5＋1.6=3.1万元</w:t>
            </w:r>
          </w:p>
          <w:p w14:paraId="0A3F1CA4">
            <w:pPr>
              <w:keepNext w:val="0"/>
              <w:keepLines w:val="0"/>
              <w:pageBreakBefore w:val="0"/>
              <w:widowControl w:val="0"/>
              <w:kinsoku/>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4.采购代理费收取银行账户</w:t>
            </w:r>
          </w:p>
          <w:p w14:paraId="2C635A65">
            <w:pPr>
              <w:keepNext w:val="0"/>
              <w:keepLines w:val="0"/>
              <w:pageBreakBefore w:val="0"/>
              <w:widowControl w:val="0"/>
              <w:kinsoku/>
              <w:wordWrap w:val="0"/>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开户名称：广西科文招标有限公司南宁三分公司</w:t>
            </w:r>
          </w:p>
          <w:p w14:paraId="576A2A07">
            <w:pPr>
              <w:keepNext w:val="0"/>
              <w:keepLines w:val="0"/>
              <w:pageBreakBefore w:val="0"/>
              <w:widowControl w:val="0"/>
              <w:kinsoku/>
              <w:wordWrap w:val="0"/>
              <w:overflowPunct/>
              <w:topLinePunct w:val="0"/>
              <w:bidi w:val="0"/>
              <w:adjustRightInd/>
              <w:spacing w:line="36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开户银行：广西北部湾银行股份有限公司南宁市云景支行</w:t>
            </w:r>
          </w:p>
          <w:p w14:paraId="46AA8167">
            <w:pPr>
              <w:pStyle w:val="13"/>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银行账号：805029874400001</w:t>
            </w:r>
          </w:p>
        </w:tc>
      </w:tr>
      <w:tr w14:paraId="712EE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471F75">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33.1</w:t>
            </w:r>
          </w:p>
        </w:tc>
        <w:tc>
          <w:tcPr>
            <w:tcW w:w="8627" w:type="dxa"/>
            <w:vAlign w:val="center"/>
          </w:tcPr>
          <w:p w14:paraId="0C0831B7">
            <w:pPr>
              <w:pStyle w:val="13"/>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668F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409D5D">
            <w:pPr>
              <w:keepNext w:val="0"/>
              <w:keepLines w:val="0"/>
              <w:pageBreakBefore w:val="0"/>
              <w:widowControl w:val="0"/>
              <w:kinsoku/>
              <w:overflowPunct/>
              <w:topLinePunct w:val="0"/>
              <w:bidi w:val="0"/>
              <w:adjustRightInd/>
              <w:spacing w:line="36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33.2</w:t>
            </w:r>
          </w:p>
        </w:tc>
        <w:tc>
          <w:tcPr>
            <w:tcW w:w="8627" w:type="dxa"/>
            <w:vAlign w:val="center"/>
          </w:tcPr>
          <w:p w14:paraId="262389C1">
            <w:pPr>
              <w:pStyle w:val="13"/>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0015BAF9">
            <w:pPr>
              <w:pStyle w:val="13"/>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2、供应商为其他组织或者自然人时，本磋商文件规定的法定代表人指负责人或者自然人。本磋商文件所称负责人是指参加竞标的其他组织</w:t>
            </w:r>
            <w:r>
              <w:rPr>
                <w:rFonts w:hint="eastAsia" w:asciiTheme="minorEastAsia" w:hAnsiTheme="minorEastAsia" w:eastAsiaTheme="minorEastAsia" w:cstheme="minorEastAsia"/>
                <w:bCs/>
                <w:color w:val="auto"/>
                <w:sz w:val="21"/>
                <w:szCs w:val="21"/>
                <w:highlight w:val="none"/>
              </w:rPr>
              <w:t>营业执照或者执业许可证等证照上的</w:t>
            </w:r>
            <w:r>
              <w:rPr>
                <w:rFonts w:hint="eastAsia" w:asciiTheme="minorEastAsia" w:hAnsiTheme="minorEastAsia" w:eastAsiaTheme="minorEastAsia" w:cstheme="minorEastAsia"/>
                <w:color w:val="auto"/>
                <w:sz w:val="21"/>
                <w:szCs w:val="21"/>
                <w:highlight w:val="none"/>
              </w:rPr>
              <w:t>负责人，本磋商文件所称自然人指参与竞标的自然人本人，</w:t>
            </w:r>
            <w:r>
              <w:rPr>
                <w:rFonts w:hint="eastAsia" w:asciiTheme="minorEastAsia" w:hAnsiTheme="minorEastAsia" w:eastAsiaTheme="minorEastAsia" w:cstheme="minorEastAsia"/>
                <w:bCs/>
                <w:color w:val="auto"/>
                <w:sz w:val="21"/>
                <w:szCs w:val="21"/>
                <w:highlight w:val="none"/>
              </w:rPr>
              <w:t>且应具备独立承担民事责任能力，自然人应当为年满18岁以上成年人（十六周岁以上的未成年人，以自己的劳动收入为主要生活来源的，视为完全民事行为能力人）。</w:t>
            </w:r>
          </w:p>
          <w:p w14:paraId="79D82319">
            <w:pPr>
              <w:pStyle w:val="13"/>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3、本磋商文件中描述供应商的“签字”是指供应商的法定代表人或者委托代理人在文件规定签署处签名（含电子签名）的行为，私章、印鉴等其他形式均不能代替签字。</w:t>
            </w:r>
          </w:p>
          <w:p w14:paraId="70CF5A8C">
            <w:pPr>
              <w:pStyle w:val="13"/>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4、自然人竞标的，磋商文件规定盖公章处由自然人摁手指指印。</w:t>
            </w:r>
          </w:p>
          <w:p w14:paraId="3DCB3927">
            <w:pPr>
              <w:pStyle w:val="13"/>
              <w:keepNext w:val="0"/>
              <w:keepLines w:val="0"/>
              <w:pageBreakBefore w:val="0"/>
              <w:widowControl w:val="0"/>
              <w:kinsoku/>
              <w:overflowPunct/>
              <w:topLinePunct w:val="0"/>
              <w:bidi w:val="0"/>
              <w:adjustRightInd/>
              <w:snapToGrid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5、本磋商文件所称的“以上”“以下”“以内”“届满”，包括本数；所称的“不满”“超过”“以外”，不包括本数。</w:t>
            </w:r>
          </w:p>
        </w:tc>
      </w:tr>
    </w:tbl>
    <w:p w14:paraId="5EF913DC">
      <w:pPr>
        <w:spacing w:line="240" w:lineRule="auto"/>
        <w:jc w:val="left"/>
        <w:rPr>
          <w:rFonts w:ascii="宋体" w:hAnsi="宋体"/>
          <w:b/>
          <w:color w:val="auto"/>
          <w:sz w:val="32"/>
          <w:szCs w:val="32"/>
          <w:highlight w:val="none"/>
        </w:rPr>
      </w:pPr>
      <w:r>
        <w:rPr>
          <w:rFonts w:ascii="宋体" w:hAnsi="宋体"/>
          <w:b/>
          <w:color w:val="auto"/>
          <w:sz w:val="32"/>
          <w:szCs w:val="32"/>
          <w:highlight w:val="none"/>
        </w:rPr>
        <w:br w:type="page"/>
      </w:r>
    </w:p>
    <w:p w14:paraId="4BE4A49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供应商须知正文</w:t>
      </w:r>
    </w:p>
    <w:p w14:paraId="7199E5D3">
      <w:pPr>
        <w:spacing w:line="400" w:lineRule="exact"/>
        <w:jc w:val="center"/>
        <w:rPr>
          <w:rFonts w:ascii="宋体" w:hAnsi="宋体"/>
          <w:b/>
          <w:color w:val="auto"/>
          <w:sz w:val="32"/>
          <w:szCs w:val="32"/>
          <w:highlight w:val="none"/>
        </w:rPr>
      </w:pPr>
    </w:p>
    <w:p w14:paraId="075DA2C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一、总则</w:t>
      </w:r>
    </w:p>
    <w:p w14:paraId="06C2971C">
      <w:pPr>
        <w:spacing w:line="400" w:lineRule="exact"/>
        <w:rPr>
          <w:rFonts w:ascii="宋体" w:hAnsi="宋体"/>
          <w:color w:val="auto"/>
          <w:szCs w:val="21"/>
          <w:highlight w:val="none"/>
        </w:rPr>
      </w:pPr>
    </w:p>
    <w:p w14:paraId="062A83D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77D546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495863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42F9EF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1236EE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57213A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23DD4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568E013">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56F12C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3C200FD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8A67C8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7366826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09B285D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72D65C7B">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72A0B5C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1490BC5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595E84A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A75C1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91077C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7CF347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61FCAE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5.转包与分包             </w:t>
      </w:r>
    </w:p>
    <w:p w14:paraId="231D7FE4">
      <w:pPr>
        <w:pStyle w:val="5"/>
        <w:keepNext w:val="0"/>
        <w:keepLines w:val="0"/>
        <w:spacing w:before="0" w:after="0" w:line="360" w:lineRule="auto"/>
        <w:ind w:left="420" w:leftChars="200"/>
        <w:rPr>
          <w:rFonts w:ascii="宋体" w:hAnsi="宋体"/>
          <w:b w:val="0"/>
          <w:color w:val="auto"/>
          <w:sz w:val="21"/>
          <w:szCs w:val="21"/>
          <w:highlight w:val="none"/>
        </w:rPr>
      </w:pPr>
      <w:bookmarkStart w:id="19" w:name="_Toc254970532"/>
      <w:bookmarkStart w:id="20" w:name="_Toc254970673"/>
      <w:r>
        <w:rPr>
          <w:rFonts w:hint="eastAsia" w:ascii="宋体" w:hAnsi="宋体"/>
          <w:b w:val="0"/>
          <w:color w:val="auto"/>
          <w:sz w:val="21"/>
          <w:szCs w:val="21"/>
          <w:highlight w:val="none"/>
        </w:rPr>
        <w:t>5.1本项目不允许转包。</w:t>
      </w:r>
    </w:p>
    <w:p w14:paraId="25D3C4C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6.特别说明</w:t>
      </w:r>
      <w:bookmarkEnd w:id="19"/>
      <w:bookmarkEnd w:id="20"/>
    </w:p>
    <w:p w14:paraId="0CC81A80">
      <w:pPr>
        <w:spacing w:line="360" w:lineRule="auto"/>
        <w:ind w:firstLine="420" w:firstLineChars="200"/>
        <w:rPr>
          <w:rFonts w:ascii="宋体" w:hAnsi="宋体" w:cs="宋体"/>
          <w:color w:val="auto"/>
          <w:szCs w:val="21"/>
          <w:highlight w:val="none"/>
        </w:rPr>
      </w:pPr>
      <w:bookmarkStart w:id="21" w:name="_8.1提供相同品牌产品且通过资格审查、符合性审查的不同投标人参加同一合"/>
      <w:bookmarkEnd w:id="21"/>
      <w:r>
        <w:rPr>
          <w:rFonts w:hint="eastAsia" w:ascii="宋体" w:hAnsi="宋体" w:cs="宋体"/>
          <w:color w:val="auto"/>
          <w:szCs w:val="21"/>
          <w:highlight w:val="none"/>
        </w:rPr>
        <w:t>6.</w:t>
      </w:r>
      <w:r>
        <w:rPr>
          <w:rFonts w:ascii="宋体" w:hAnsi="宋体" w:cs="宋体"/>
          <w:color w:val="auto"/>
          <w:szCs w:val="21"/>
          <w:highlight w:val="none"/>
        </w:rPr>
        <w:t>1</w:t>
      </w:r>
      <w:bookmarkStart w:id="22"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22"/>
    <w:p w14:paraId="670639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32D450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15494D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ACA66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268BD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5CE75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30027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9F0E2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AB63F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9826E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5E7E2C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3D9644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5E4C4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17D06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71671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8300347">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7CF0C2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145BED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7B5D5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9B0F8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21257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F2C98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6E0CC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FD635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E3B8392">
      <w:pPr>
        <w:spacing w:line="360" w:lineRule="auto"/>
        <w:ind w:firstLine="420" w:firstLineChars="200"/>
        <w:rPr>
          <w:rFonts w:ascii="宋体" w:hAnsi="宋体" w:cs="宋体"/>
          <w:color w:val="auto"/>
          <w:szCs w:val="21"/>
          <w:highlight w:val="none"/>
        </w:rPr>
      </w:pPr>
    </w:p>
    <w:p w14:paraId="5AA0965A">
      <w:pPr>
        <w:spacing w:line="360" w:lineRule="auto"/>
        <w:ind w:left="1" w:firstLine="417" w:firstLineChars="199"/>
        <w:jc w:val="center"/>
        <w:rPr>
          <w:rFonts w:ascii="宋体" w:hAnsi="宋体"/>
          <w:color w:val="auto"/>
          <w:highlight w:val="none"/>
        </w:rPr>
      </w:pPr>
      <w:bookmarkStart w:id="23" w:name="_Toc254970675"/>
      <w:bookmarkStart w:id="24" w:name="_Toc254970534"/>
    </w:p>
    <w:p w14:paraId="44959F6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23"/>
      <w:bookmarkEnd w:id="24"/>
    </w:p>
    <w:p w14:paraId="5F3678C1">
      <w:pPr>
        <w:spacing w:line="360" w:lineRule="auto"/>
        <w:ind w:firstLine="482" w:firstLineChars="200"/>
        <w:rPr>
          <w:rFonts w:ascii="黑体" w:hAnsi="黑体" w:eastAsia="黑体" w:cs="宋体"/>
          <w:b/>
          <w:bCs/>
          <w:color w:val="auto"/>
          <w:sz w:val="24"/>
          <w:highlight w:val="none"/>
        </w:rPr>
      </w:pPr>
    </w:p>
    <w:p w14:paraId="493818F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7.磋商文件的构成</w:t>
      </w:r>
    </w:p>
    <w:p w14:paraId="697A6B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0FF0F9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6104C2E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78B50D9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56DCBF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2F28C97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45CC12B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8.供应商的询问</w:t>
      </w:r>
    </w:p>
    <w:p w14:paraId="0121CD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，以纸质书面形式向</w:t>
      </w:r>
      <w:r>
        <w:rPr>
          <w:rFonts w:ascii="宋体" w:hAnsi="宋体"/>
          <w:color w:val="auto"/>
          <w:szCs w:val="21"/>
          <w:highlight w:val="none"/>
        </w:rPr>
        <w:t>采购人、采购代理机构</w:t>
      </w:r>
      <w:r>
        <w:rPr>
          <w:rFonts w:hint="eastAsia" w:ascii="宋体" w:hAnsi="宋体"/>
          <w:color w:val="auto"/>
          <w:szCs w:val="21"/>
          <w:highlight w:val="none"/>
        </w:rPr>
        <w:t>提出</w:t>
      </w:r>
      <w:r>
        <w:rPr>
          <w:rFonts w:hint="eastAsia" w:ascii="宋体" w:hAnsi="宋体" w:cs="宋体"/>
          <w:color w:val="auto"/>
          <w:szCs w:val="21"/>
          <w:highlight w:val="none"/>
        </w:rPr>
        <w:t>，否则，由此产生的后果由供应商自行负责。</w:t>
      </w:r>
    </w:p>
    <w:p w14:paraId="718EAB5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9.磋商文件的澄清和修改</w:t>
      </w:r>
    </w:p>
    <w:p w14:paraId="0DF78F6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auto"/>
          <w:szCs w:val="21"/>
          <w:highlight w:val="none"/>
        </w:rPr>
        <w:t>5</w:t>
      </w:r>
      <w:r>
        <w:rPr>
          <w:rFonts w:hint="eastAsia" w:ascii="宋体" w:hAnsi="宋体" w:cs="宋体"/>
          <w:color w:val="auto"/>
          <w:szCs w:val="21"/>
          <w:highlight w:val="none"/>
        </w:rPr>
        <w:t>日前，在原公告发布媒体上发布更正公告；不足</w:t>
      </w:r>
      <w:r>
        <w:rPr>
          <w:rFonts w:ascii="宋体" w:hAnsi="宋体" w:cs="宋体"/>
          <w:color w:val="auto"/>
          <w:szCs w:val="21"/>
          <w:highlight w:val="none"/>
        </w:rPr>
        <w:t>5</w:t>
      </w:r>
      <w:r>
        <w:rPr>
          <w:rFonts w:hint="eastAsia" w:ascii="宋体" w:hAnsi="宋体" w:cs="宋体"/>
          <w:color w:val="auto"/>
          <w:szCs w:val="21"/>
          <w:highlight w:val="none"/>
        </w:rPr>
        <w:t>日的，采购人、采购代理机构应当顺延提交首次响应文件截止时间。</w:t>
      </w:r>
    </w:p>
    <w:p w14:paraId="53877297">
      <w:pPr>
        <w:spacing w:line="400" w:lineRule="exact"/>
        <w:ind w:firstLine="420" w:firstLineChars="200"/>
        <w:rPr>
          <w:rFonts w:ascii="宋体" w:hAnsi="宋体"/>
          <w:color w:val="auto"/>
          <w:szCs w:val="21"/>
          <w:highlight w:val="none"/>
        </w:rPr>
      </w:pPr>
      <w:r>
        <w:rPr>
          <w:rFonts w:hint="eastAsia" w:ascii="宋体" w:hAnsi="宋体" w:cs="宋体"/>
          <w:color w:val="auto"/>
          <w:highlight w:val="none"/>
        </w:rPr>
        <w:t>9.2采购人和采购代理机构可以视采购具体情况，变更</w:t>
      </w:r>
      <w:r>
        <w:rPr>
          <w:rFonts w:hint="eastAsia" w:ascii="宋体" w:hAnsi="宋体" w:cs="宋体"/>
          <w:color w:val="auto"/>
          <w:szCs w:val="21"/>
          <w:highlight w:val="none"/>
        </w:rPr>
        <w:t>首次响应文件提交截止时间和开启时间</w:t>
      </w:r>
      <w:r>
        <w:rPr>
          <w:rFonts w:hint="eastAsia" w:ascii="宋体" w:hAnsi="宋体" w:cs="宋体"/>
          <w:color w:val="auto"/>
          <w:highlight w:val="none"/>
        </w:rPr>
        <w:t>，</w:t>
      </w:r>
      <w:r>
        <w:rPr>
          <w:rFonts w:hint="eastAsia" w:ascii="宋体" w:hAnsi="宋体"/>
          <w:color w:val="auto"/>
          <w:highlight w:val="none"/>
        </w:rPr>
        <w:t>并</w:t>
      </w:r>
      <w:r>
        <w:rPr>
          <w:rFonts w:hint="eastAsia" w:ascii="宋体" w:hAnsi="宋体"/>
          <w:color w:val="auto"/>
          <w:szCs w:val="21"/>
          <w:highlight w:val="none"/>
        </w:rPr>
        <w:t>在原公告发布媒体上发布更正公告。</w:t>
      </w:r>
    </w:p>
    <w:p w14:paraId="3D5B1B36">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9.3</w:t>
      </w:r>
      <w:r>
        <w:rPr>
          <w:rFonts w:hint="eastAsia" w:ascii="宋体" w:hAnsi="宋体" w:cs="宋体"/>
          <w:color w:val="auto"/>
          <w:szCs w:val="21"/>
          <w:highlight w:val="none"/>
        </w:rPr>
        <w:t>磋商文件</w:t>
      </w:r>
      <w:r>
        <w:rPr>
          <w:rFonts w:hint="eastAsia" w:ascii="宋体" w:hAnsi="宋体"/>
          <w:color w:val="auto"/>
          <w:szCs w:val="21"/>
          <w:highlight w:val="none"/>
        </w:rPr>
        <w:t>澄清、答复、修改、补充的内容为</w:t>
      </w:r>
      <w:r>
        <w:rPr>
          <w:rFonts w:hint="eastAsia" w:ascii="宋体" w:hAnsi="宋体" w:cs="宋体"/>
          <w:color w:val="auto"/>
          <w:szCs w:val="21"/>
          <w:highlight w:val="none"/>
        </w:rPr>
        <w:t>磋商文件</w:t>
      </w:r>
      <w:r>
        <w:rPr>
          <w:rFonts w:hint="eastAsia" w:ascii="宋体" w:hAnsi="宋体"/>
          <w:color w:val="auto"/>
          <w:szCs w:val="21"/>
          <w:highlight w:val="none"/>
        </w:rPr>
        <w:t>的组成部分。</w:t>
      </w:r>
      <w:r>
        <w:rPr>
          <w:rFonts w:hint="eastAsia" w:ascii="宋体" w:hAnsi="宋体"/>
          <w:b/>
          <w:color w:val="auto"/>
          <w:szCs w:val="21"/>
          <w:highlight w:val="none"/>
        </w:rPr>
        <w:t>当</w:t>
      </w:r>
      <w:r>
        <w:rPr>
          <w:rFonts w:hint="eastAsia" w:ascii="宋体" w:hAnsi="宋体" w:cs="宋体"/>
          <w:b/>
          <w:color w:val="auto"/>
          <w:szCs w:val="21"/>
          <w:highlight w:val="none"/>
        </w:rPr>
        <w:t>磋商文件</w:t>
      </w:r>
      <w:r>
        <w:rPr>
          <w:rFonts w:hint="eastAsia" w:ascii="宋体" w:hAnsi="宋体"/>
          <w:b/>
          <w:color w:val="auto"/>
          <w:szCs w:val="21"/>
          <w:highlight w:val="none"/>
        </w:rPr>
        <w:t>与</w:t>
      </w:r>
      <w:r>
        <w:rPr>
          <w:rFonts w:hint="eastAsia" w:ascii="宋体" w:hAnsi="宋体" w:cs="宋体"/>
          <w:b/>
          <w:color w:val="auto"/>
          <w:szCs w:val="21"/>
          <w:highlight w:val="none"/>
        </w:rPr>
        <w:t>磋商文件</w:t>
      </w:r>
      <w:r>
        <w:rPr>
          <w:rFonts w:hint="eastAsia" w:ascii="宋体" w:hAnsi="宋体"/>
          <w:b/>
          <w:color w:val="auto"/>
          <w:szCs w:val="21"/>
          <w:highlight w:val="none"/>
        </w:rPr>
        <w:t>的澄清、答复、修改、补充通知就同一内容的表述不一致时，以最后发出的文件为准。</w:t>
      </w:r>
    </w:p>
    <w:p w14:paraId="406CAFF3">
      <w:pPr>
        <w:spacing w:line="400" w:lineRule="exact"/>
        <w:ind w:firstLine="422" w:firstLineChars="200"/>
        <w:rPr>
          <w:rFonts w:ascii="宋体" w:hAnsi="宋体"/>
          <w:b/>
          <w:color w:val="auto"/>
          <w:szCs w:val="21"/>
          <w:highlight w:val="none"/>
        </w:rPr>
      </w:pPr>
      <w:r>
        <w:rPr>
          <w:rFonts w:hint="eastAsia" w:ascii="宋体" w:hAnsi="宋体" w:cs="宋体"/>
          <w:b/>
          <w:color w:val="auto"/>
          <w:highlight w:val="none"/>
        </w:rPr>
        <w:t>9.4</w:t>
      </w:r>
      <w:r>
        <w:rPr>
          <w:rFonts w:hint="eastAsia" w:ascii="宋体" w:hAnsi="宋体"/>
          <w:b/>
          <w:color w:val="auto"/>
          <w:szCs w:val="21"/>
          <w:highlight w:val="none"/>
        </w:rPr>
        <w:t>响应文件未按磋商文件的澄清、修改后的内容编制的，其响应文件作无效响应处理。</w:t>
      </w:r>
    </w:p>
    <w:p w14:paraId="13FBDF25">
      <w:pPr>
        <w:spacing w:line="400" w:lineRule="exact"/>
        <w:ind w:firstLine="422" w:firstLineChars="200"/>
        <w:rPr>
          <w:rFonts w:ascii="宋体" w:hAnsi="宋体"/>
          <w:b/>
          <w:color w:val="auto"/>
          <w:szCs w:val="21"/>
          <w:highlight w:val="none"/>
        </w:rPr>
      </w:pPr>
    </w:p>
    <w:p w14:paraId="349A7C6F">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三、响应文件的编制</w:t>
      </w:r>
    </w:p>
    <w:p w14:paraId="28EC34FC">
      <w:pPr>
        <w:spacing w:line="360" w:lineRule="auto"/>
        <w:ind w:firstLine="482" w:firstLineChars="200"/>
        <w:rPr>
          <w:rFonts w:ascii="黑体" w:hAnsi="黑体" w:eastAsia="黑体" w:cs="宋体"/>
          <w:b/>
          <w:bCs/>
          <w:color w:val="auto"/>
          <w:sz w:val="24"/>
          <w:highlight w:val="none"/>
        </w:rPr>
      </w:pPr>
    </w:p>
    <w:p w14:paraId="339804F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10.响应文件的编制原则</w:t>
      </w:r>
    </w:p>
    <w:p w14:paraId="0C6701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D0689B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11.响应文件的组成</w:t>
      </w:r>
    </w:p>
    <w:p w14:paraId="7EDA67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11.1响应文件由资格证明文件、报价商务技术文件两部分组成。</w:t>
      </w:r>
    </w:p>
    <w:p w14:paraId="1BD76BA6">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11</w:t>
      </w:r>
      <w:r>
        <w:rPr>
          <w:rFonts w:ascii="宋体" w:hAnsi="宋体" w:cs="宋体"/>
          <w:color w:val="auto"/>
          <w:szCs w:val="21"/>
          <w:highlight w:val="none"/>
        </w:rPr>
        <w:t>.1.1</w:t>
      </w:r>
      <w:r>
        <w:rPr>
          <w:rFonts w:hint="eastAsia" w:ascii="宋体" w:hAnsi="宋体" w:cs="宋体"/>
          <w:color w:val="auto"/>
          <w:szCs w:val="21"/>
          <w:highlight w:val="none"/>
        </w:rPr>
        <w:t>资格证明文件：详见须知前附表</w:t>
      </w:r>
    </w:p>
    <w:p w14:paraId="7E38E24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11</w:t>
      </w:r>
      <w:r>
        <w:rPr>
          <w:rFonts w:ascii="宋体" w:hAnsi="宋体" w:cs="宋体"/>
          <w:color w:val="auto"/>
          <w:szCs w:val="21"/>
          <w:highlight w:val="none"/>
        </w:rPr>
        <w:t>.1.2</w:t>
      </w:r>
      <w:r>
        <w:rPr>
          <w:rFonts w:hint="eastAsia" w:ascii="宋体" w:hAnsi="宋体" w:cs="宋体"/>
          <w:color w:val="auto"/>
          <w:szCs w:val="21"/>
          <w:highlight w:val="none"/>
        </w:rPr>
        <w:t>报价商务技术文件：详见须知前附表</w:t>
      </w:r>
    </w:p>
    <w:p w14:paraId="671852D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12.计量单位</w:t>
      </w:r>
    </w:p>
    <w:p w14:paraId="60C064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50E912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13.竞标的风险</w:t>
      </w:r>
    </w:p>
    <w:p w14:paraId="093C59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D950EB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14.竞标报价</w:t>
      </w:r>
    </w:p>
    <w:p w14:paraId="2FAF0113">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14.1竞标报价应按磋商文件中“竞标报价表”格式填写。</w:t>
      </w:r>
    </w:p>
    <w:p w14:paraId="520D03D3">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14.2竞标报价的内容见“供应商须知前附表”。</w:t>
      </w:r>
    </w:p>
    <w:p w14:paraId="44247F74">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14.3竞标报价要求</w:t>
      </w:r>
    </w:p>
    <w:p w14:paraId="449AE00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14</w:t>
      </w:r>
      <w:r>
        <w:rPr>
          <w:rFonts w:ascii="宋体" w:hAnsi="宋体" w:cs="宋体"/>
          <w:b/>
          <w:color w:val="auto"/>
          <w:szCs w:val="21"/>
          <w:highlight w:val="none"/>
        </w:rPr>
        <w:t>.3.1</w:t>
      </w:r>
      <w:r>
        <w:rPr>
          <w:rFonts w:hint="eastAsia" w:ascii="宋体" w:hAnsi="宋体" w:cs="宋体"/>
          <w:b/>
          <w:color w:val="auto"/>
          <w:szCs w:val="21"/>
          <w:highlight w:val="none"/>
        </w:rPr>
        <w:t>供应商的竞标报价应符合以下要求，否则响应文件按无效响应处理：</w:t>
      </w:r>
    </w:p>
    <w:p w14:paraId="5A5605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620C46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471E79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w:t>
      </w:r>
      <w:r>
        <w:rPr>
          <w:rFonts w:ascii="宋体" w:hAnsi="宋体" w:cs="宋体"/>
          <w:color w:val="auto"/>
          <w:szCs w:val="21"/>
          <w:highlight w:val="none"/>
        </w:rPr>
        <w:t>2</w:t>
      </w:r>
      <w:r>
        <w:rPr>
          <w:rFonts w:hint="eastAsia" w:ascii="宋体" w:hAnsi="宋体" w:cs="宋体"/>
          <w:color w:val="auto"/>
          <w:szCs w:val="21"/>
          <w:highlight w:val="none"/>
        </w:rPr>
        <w:t>最后报价超过所竞标分标规定的采购预算金额或者最高限价的，其响应文件将按无效响应处理。</w:t>
      </w:r>
      <w:bookmarkStart w:id="25" w:name="_Hlk42592874"/>
    </w:p>
    <w:bookmarkEnd w:id="25"/>
    <w:p w14:paraId="57C198E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15.竞标有效期</w:t>
      </w:r>
    </w:p>
    <w:p w14:paraId="0CA5D4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15.1竞标有效期是指为保证采购人有足够的时间在提交响应文件后完成评审、确定成交供应商、合同签订等工作而要求供应商提交的响应文件在一定时间内保持有效的期限。</w:t>
      </w:r>
    </w:p>
    <w:p w14:paraId="04124E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 竞标有效期应由供应商按“供应商须知前附表”规定的期限作出响应。</w:t>
      </w:r>
    </w:p>
    <w:p w14:paraId="79B248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15.3供应商的响应文件在竞标有效期内均保持有效。</w:t>
      </w:r>
    </w:p>
    <w:p w14:paraId="6B61EEB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16.磋商保证金</w:t>
      </w:r>
    </w:p>
    <w:p w14:paraId="500F876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16.1供应商须按“供应商须知前附表”的规定提交磋商保证金。</w:t>
      </w:r>
    </w:p>
    <w:p w14:paraId="1A4BA7B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16.2磋商保证金的退还</w:t>
      </w:r>
    </w:p>
    <w:p w14:paraId="21F74FD6">
      <w:pPr>
        <w:spacing w:line="360" w:lineRule="auto"/>
        <w:ind w:firstLine="420" w:firstLineChars="200"/>
        <w:rPr>
          <w:rFonts w:ascii="宋体" w:hAnsi="宋体" w:cs="宋体"/>
          <w:color w:val="auto"/>
          <w:szCs w:val="21"/>
          <w:highlight w:val="none"/>
        </w:rPr>
      </w:pPr>
      <w:bookmarkStart w:id="26"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成交供应商的磋商保证金自成交通知书发出之日起4个工作日内退还；</w:t>
      </w:r>
      <w:r>
        <w:rPr>
          <w:rFonts w:hint="eastAsia" w:ascii="宋体" w:hAnsi="宋体" w:cs="宋体"/>
          <w:color w:val="auto"/>
          <w:szCs w:val="21"/>
          <w:highlight w:val="none"/>
        </w:rPr>
        <w:t>成交供应商的磋商保证金自签订合同之日起4个工作日内退还。</w:t>
      </w:r>
      <w:bookmarkEnd w:id="26"/>
      <w:r>
        <w:rPr>
          <w:rFonts w:hint="eastAsia" w:ascii="宋体" w:hAnsi="宋体" w:cs="宋体"/>
          <w:color w:val="auto"/>
          <w:szCs w:val="21"/>
          <w:highlight w:val="none"/>
        </w:rPr>
        <w:t xml:space="preserve"> </w:t>
      </w:r>
    </w:p>
    <w:p w14:paraId="0E70E47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16.3磋商保证金不计息。</w:t>
      </w:r>
    </w:p>
    <w:p w14:paraId="6B882FA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16.4供应商有下列情形之一的，磋商保证金将不予退还： </w:t>
      </w:r>
    </w:p>
    <w:p w14:paraId="014CD48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w:t>
      </w:r>
    </w:p>
    <w:p w14:paraId="460BE13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23B211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1EB83E9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3A48526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（5）法律法规规定的其他情形。</w:t>
      </w:r>
    </w:p>
    <w:p w14:paraId="0494B0F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17.响应文件编制的要求</w:t>
      </w:r>
    </w:p>
    <w:p w14:paraId="62BF1026">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17.1供应商应按本磋商文件规定的格式和顺序编制响应文件并标注页码，响应文件内容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olor w:val="auto"/>
          <w:highlight w:val="none"/>
        </w:rPr>
        <w:t>由此引发的</w:t>
      </w:r>
      <w:r>
        <w:rPr>
          <w:rFonts w:hint="eastAsia" w:ascii="宋体" w:hAnsi="宋体" w:cs="宋体"/>
          <w:color w:val="auto"/>
          <w:spacing w:val="-6"/>
          <w:szCs w:val="21"/>
          <w:highlight w:val="none"/>
        </w:rPr>
        <w:t>后果由供应商承担。</w:t>
      </w:r>
    </w:p>
    <w:p w14:paraId="08E5BB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17.2响应文件应按资格证明文件、报价商务技术文件分别编制电子文件，并按广西政府采购云平台的要求编制、加密、上传。</w:t>
      </w:r>
    </w:p>
    <w:p w14:paraId="623D63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w:t>
      </w:r>
      <w:bookmarkStart w:id="27"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响应文件须由供应商在规定位置盖公章并签字</w:t>
      </w:r>
      <w:bookmarkStart w:id="28" w:name="_Hlk65832569"/>
      <w:r>
        <w:rPr>
          <w:rFonts w:hint="eastAsia" w:ascii="宋体" w:hAnsi="宋体"/>
          <w:color w:val="auto"/>
          <w:szCs w:val="21"/>
          <w:highlight w:val="none"/>
        </w:rPr>
        <w:t>（具体以供应商须知前附表或响应文件格式规定为准）</w:t>
      </w:r>
      <w:bookmarkEnd w:id="27"/>
      <w:bookmarkEnd w:id="28"/>
      <w:r>
        <w:rPr>
          <w:rFonts w:hint="eastAsia" w:ascii="宋体" w:hAnsi="宋体" w:cs="宋体"/>
          <w:color w:val="auto"/>
          <w:szCs w:val="21"/>
          <w:highlight w:val="none"/>
        </w:rPr>
        <w:t>，否则其响应文件按无效响应处理。</w:t>
      </w:r>
    </w:p>
    <w:p w14:paraId="5349A6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17.4响应文件中标注的供应商名称应与营业执照（事业单位法人证书、执业许可证、自然人身份证）及公章一致，否则其响应文件按无效响应处理。</w:t>
      </w:r>
    </w:p>
    <w:p w14:paraId="294013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78D305F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18.响应文件的加密、解密</w:t>
      </w:r>
    </w:p>
    <w:p w14:paraId="6F349DFA">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18.1电子</w:t>
      </w:r>
      <w:r>
        <w:rPr>
          <w:rFonts w:hint="eastAsia" w:ascii="宋体" w:hAnsi="宋体" w:cs="宋体"/>
          <w:color w:val="auto"/>
          <w:szCs w:val="21"/>
          <w:highlight w:val="none"/>
        </w:rPr>
        <w:t>响应文件</w:t>
      </w:r>
      <w:r>
        <w:rPr>
          <w:rFonts w:hint="eastAsia" w:ascii="宋体" w:hAnsi="宋体"/>
          <w:color w:val="auto"/>
          <w:szCs w:val="21"/>
          <w:highlight w:val="none"/>
        </w:rPr>
        <w:t>编制完成后，供应商应按广西政府采购云平台的要求进行加密，并在规定时间内解密，否则，由此产生的后果由供应商自行负责。</w:t>
      </w:r>
    </w:p>
    <w:p w14:paraId="391D1B7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19.响应文件的提交</w:t>
      </w:r>
    </w:p>
    <w:p w14:paraId="519AB4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19.1供应商必须在“供应商须知前附表”规定的时间和地点提交响应文件。</w:t>
      </w:r>
    </w:p>
    <w:p w14:paraId="2896FC1F">
      <w:pPr>
        <w:widowControl/>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19.2本项目为全流程电子化政府采购项目，通过广西政府采购云平台（https://www.gcy.zfcg.gxzf.gov.cn/）实行在线电子竞标，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Cs w:val="21"/>
          <w:highlight w:val="none"/>
        </w:rPr>
        <w:t>供应商在广西政府采购云平台提交电子版响应文件时，请填写参加远程开标活动经办人联系方式。</w:t>
      </w:r>
    </w:p>
    <w:p w14:paraId="12806B94">
      <w:pPr>
        <w:pStyle w:val="5"/>
        <w:keepNext w:val="0"/>
        <w:keepLines w:val="0"/>
        <w:spacing w:before="0" w:after="0" w:line="360" w:lineRule="auto"/>
        <w:ind w:firstLine="420" w:firstLineChars="200"/>
        <w:jc w:val="left"/>
        <w:rPr>
          <w:rFonts w:ascii="宋体" w:hAnsi="宋体"/>
          <w:b w:val="0"/>
          <w:color w:val="auto"/>
          <w:sz w:val="21"/>
          <w:szCs w:val="21"/>
          <w:highlight w:val="none"/>
        </w:rPr>
      </w:pPr>
      <w:r>
        <w:rPr>
          <w:rFonts w:hint="eastAsia" w:ascii="宋体" w:hAnsi="宋体"/>
          <w:b w:val="0"/>
          <w:color w:val="auto"/>
          <w:sz w:val="21"/>
          <w:szCs w:val="21"/>
          <w:highlight w:val="none"/>
        </w:rPr>
        <w:t>19.3未在规定时间内上传或者未按广西政府采购云平台的要求编制、加密的电子响应文件，广西政府采购云平台将拒收。</w:t>
      </w:r>
    </w:p>
    <w:p w14:paraId="727E64E6">
      <w:pPr>
        <w:pStyle w:val="6"/>
        <w:rPr>
          <w:rFonts w:ascii="宋体" w:hAnsi="宋体" w:cs="宋体"/>
          <w:color w:val="auto"/>
          <w:szCs w:val="21"/>
          <w:highlight w:val="none"/>
        </w:rPr>
      </w:pPr>
      <w:r>
        <w:rPr>
          <w:rFonts w:hint="eastAsia" w:ascii="宋体" w:hAnsi="宋体"/>
          <w:color w:val="auto"/>
          <w:szCs w:val="21"/>
          <w:highlight w:val="none"/>
        </w:rPr>
        <w:t>19.4电子</w:t>
      </w:r>
      <w:r>
        <w:rPr>
          <w:rFonts w:hint="eastAsia" w:ascii="宋体" w:hAnsi="宋体" w:cs="宋体"/>
          <w:color w:val="auto"/>
          <w:szCs w:val="21"/>
          <w:highlight w:val="none"/>
        </w:rPr>
        <w:t>响应文件</w:t>
      </w:r>
      <w:r>
        <w:rPr>
          <w:rFonts w:hint="eastAsia" w:ascii="宋体" w:hAnsi="宋体"/>
          <w:color w:val="auto"/>
          <w:szCs w:val="21"/>
          <w:highlight w:val="none"/>
        </w:rPr>
        <w:t>提交方</w:t>
      </w:r>
      <w:r>
        <w:rPr>
          <w:rFonts w:hint="eastAsia" w:ascii="宋体" w:hAnsi="宋体"/>
          <w:bCs/>
          <w:color w:val="auto"/>
          <w:szCs w:val="21"/>
          <w:highlight w:val="none"/>
        </w:rPr>
        <w:t>式见“竞争性磋商公告”</w:t>
      </w:r>
      <w:r>
        <w:rPr>
          <w:rFonts w:hint="eastAsia" w:ascii="宋体" w:hAnsi="宋体"/>
          <w:color w:val="auto"/>
          <w:szCs w:val="21"/>
          <w:highlight w:val="none"/>
        </w:rPr>
        <w:t>中“四、响应文件提交”。</w:t>
      </w:r>
    </w:p>
    <w:p w14:paraId="407AD02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20.首次响应文件的补充、修改与撤回</w:t>
      </w:r>
    </w:p>
    <w:p w14:paraId="77D1759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55E5BCE4">
      <w:pPr>
        <w:spacing w:line="360" w:lineRule="auto"/>
        <w:ind w:firstLine="482" w:firstLineChars="200"/>
        <w:rPr>
          <w:rFonts w:ascii="黑体" w:hAnsi="黑体" w:eastAsia="黑体" w:cs="宋体"/>
          <w:b/>
          <w:bCs/>
          <w:color w:val="auto"/>
          <w:sz w:val="24"/>
          <w:highlight w:val="none"/>
        </w:rPr>
      </w:pPr>
      <w:bookmarkStart w:id="29" w:name="_Hlk45702405"/>
      <w:r>
        <w:rPr>
          <w:rFonts w:hint="eastAsia" w:ascii="黑体" w:hAnsi="黑体" w:eastAsia="黑体" w:cs="宋体"/>
          <w:b/>
          <w:bCs/>
          <w:color w:val="auto"/>
          <w:sz w:val="24"/>
          <w:highlight w:val="none"/>
        </w:rPr>
        <w:t>21. 首次响应文件的退回</w:t>
      </w:r>
    </w:p>
    <w:p w14:paraId="2E5D9C6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21.1在首次响应文件提交截止时间提交响应文件的供应商不足3家时，</w:t>
      </w:r>
      <w:r>
        <w:rPr>
          <w:rFonts w:hint="eastAsia" w:ascii="宋体" w:hAnsi="宋体"/>
          <w:color w:val="auto"/>
          <w:szCs w:val="21"/>
          <w:highlight w:val="none"/>
        </w:rPr>
        <w:t>采购代理机构将根据广西政府采购云平台的操作将电子版响应文件退回，</w:t>
      </w:r>
      <w:r>
        <w:rPr>
          <w:rFonts w:hint="eastAsia" w:ascii="宋体" w:hAnsi="宋体" w:cs="宋体"/>
          <w:color w:val="auto"/>
          <w:szCs w:val="21"/>
          <w:highlight w:val="none"/>
        </w:rPr>
        <w:t>除此之外采购人和采购代理机构对已提交的电子响应文件概不退回。</w:t>
      </w:r>
    </w:p>
    <w:p w14:paraId="38D48B3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 截止时间后的撤回</w:t>
      </w:r>
    </w:p>
    <w:p w14:paraId="316FCA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22.1供应商在首次响应文件提交截止时间后书面通知采购人、采购代理机构书面撤回响应文件的，将根据本须知正文16.4的规定不予退还其磋商保证金。</w:t>
      </w:r>
    </w:p>
    <w:bookmarkEnd w:id="29"/>
    <w:p w14:paraId="24CC59B9">
      <w:pPr>
        <w:spacing w:line="360" w:lineRule="auto"/>
        <w:rPr>
          <w:rFonts w:ascii="宋体" w:hAnsi="宋体"/>
          <w:color w:val="auto"/>
          <w:szCs w:val="21"/>
          <w:highlight w:val="none"/>
        </w:rPr>
      </w:pPr>
    </w:p>
    <w:p w14:paraId="4B641B28">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14EAA6B8">
      <w:pPr>
        <w:spacing w:line="360" w:lineRule="auto"/>
        <w:ind w:firstLine="482" w:firstLineChars="200"/>
        <w:rPr>
          <w:rFonts w:ascii="黑体" w:hAnsi="黑体" w:eastAsia="黑体" w:cs="宋体"/>
          <w:b/>
          <w:bCs/>
          <w:color w:val="auto"/>
          <w:sz w:val="24"/>
          <w:highlight w:val="none"/>
        </w:rPr>
      </w:pPr>
    </w:p>
    <w:p w14:paraId="255A4AF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23.磋商小组成立</w:t>
      </w:r>
    </w:p>
    <w:p w14:paraId="677355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FC296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1876B1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68EF5F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24.1首次响应文件由磋商小组或者采购代理机构在“供应商须知前附表”规定的时间开启。</w:t>
      </w:r>
    </w:p>
    <w:p w14:paraId="663960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b/>
          <w:bCs/>
          <w:color w:val="auto"/>
          <w:szCs w:val="21"/>
          <w:highlight w:val="none"/>
        </w:rPr>
        <w:t>文件无效。</w:t>
      </w:r>
      <w:r>
        <w:rPr>
          <w:rFonts w:hint="eastAsia" w:ascii="宋体" w:hAnsi="宋体" w:cs="宋体"/>
          <w:color w:val="auto"/>
          <w:szCs w:val="21"/>
          <w:highlight w:val="none"/>
        </w:rPr>
        <w:t>（解密异常情况处理：详见本章25.2电子交易活动的中止。）</w:t>
      </w:r>
    </w:p>
    <w:p w14:paraId="1FBF3C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24.3成功解密响应文件的供应商不足3家的，不得磋商。</w:t>
      </w:r>
    </w:p>
    <w:p w14:paraId="2705F62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5.评审程序、评审方法和评审标准</w:t>
      </w:r>
    </w:p>
    <w:p w14:paraId="23096EF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1磋商小组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0E0C6640">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25.2电子交易活动的中止。采购过程中出现以下情形，导致电子交易平台无法正常运行，或者无法保证电子交易的公平、公正和安全时，采购机构可中止电子交易活动：</w:t>
      </w:r>
    </w:p>
    <w:p w14:paraId="0AEAACD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36760FDB">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73CEF189">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28F5546A">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0544985A">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76BD504F">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25.3出现以上情形，不影响采购公平、公正性的，采购代理机构可以待上述情形消除后继续组织电子交易活动；影响或可能影响采购公平、公正性的，经采购代理机构确认后，应当重新采购。</w:t>
      </w:r>
    </w:p>
    <w:p w14:paraId="2FBB993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6.确定成交供应商及结果公告</w:t>
      </w:r>
    </w:p>
    <w:p w14:paraId="734FCB9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6.1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F7E541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6.2采购代理机构应当在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r>
        <w:rPr>
          <w:rFonts w:hint="eastAsia" w:ascii="宋体" w:hAnsi="宋体" w:cs="宋体"/>
          <w:b/>
          <w:color w:val="auto"/>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0"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30"/>
    </w:p>
    <w:p w14:paraId="6DFC71C8">
      <w:pPr>
        <w:spacing w:line="360" w:lineRule="auto"/>
        <w:ind w:firstLine="420" w:firstLineChars="200"/>
        <w:rPr>
          <w:rFonts w:ascii="宋体" w:hAnsi="宋体" w:cs="Courier New"/>
          <w:color w:val="auto"/>
          <w:szCs w:val="21"/>
          <w:highlight w:val="none"/>
        </w:rPr>
      </w:pPr>
      <w:r>
        <w:rPr>
          <w:rFonts w:hint="eastAsia" w:ascii="宋体" w:hAnsi="宋体" w:cs="宋体"/>
          <w:color w:val="auto"/>
          <w:szCs w:val="21"/>
          <w:highlight w:val="none"/>
        </w:rPr>
        <w:t>26</w:t>
      </w:r>
      <w:r>
        <w:rPr>
          <w:rFonts w:ascii="宋体" w:hAnsi="宋体" w:cs="宋体"/>
          <w:color w:val="auto"/>
          <w:szCs w:val="21"/>
          <w:highlight w:val="none"/>
        </w:rPr>
        <w:t>.3</w:t>
      </w:r>
      <w:r>
        <w:rPr>
          <w:rFonts w:hint="eastAsia" w:ascii="宋体" w:hAnsi="宋体" w:cs="Courier New"/>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highlight w:val="none"/>
        </w:rPr>
        <w:t>拒绝签订政府采购合同的成交供应商不得参加对该项目重新开展的采购活动。</w:t>
      </w:r>
    </w:p>
    <w:p w14:paraId="7412A64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7.签订合同</w:t>
      </w:r>
    </w:p>
    <w:p w14:paraId="79469E98">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w:t>
      </w:r>
      <w:r>
        <w:rPr>
          <w:rFonts w:ascii="宋体" w:hAnsi="宋体" w:cs="宋体"/>
          <w:color w:val="auto"/>
          <w:szCs w:val="21"/>
          <w:highlight w:val="none"/>
        </w:rPr>
        <w:t>.1</w:t>
      </w:r>
      <w:r>
        <w:rPr>
          <w:rFonts w:hint="eastAsia" w:ascii="宋体" w:hAnsi="宋体" w:cs="宋体"/>
          <w:color w:val="auto"/>
          <w:szCs w:val="21"/>
          <w:highlight w:val="none"/>
        </w:rPr>
        <w:t>成交供应商在收到成交通知书</w:t>
      </w:r>
      <w:r>
        <w:rPr>
          <w:rFonts w:hint="eastAsia" w:ascii="宋体" w:hAnsi="宋体"/>
          <w:color w:val="auto"/>
          <w:szCs w:val="21"/>
          <w:highlight w:val="none"/>
        </w:rPr>
        <w:t>（书面或电子）</w:t>
      </w:r>
      <w:r>
        <w:rPr>
          <w:rFonts w:hint="eastAsia" w:ascii="宋体" w:hAnsi="宋体" w:cs="宋体"/>
          <w:color w:val="auto"/>
          <w:szCs w:val="21"/>
          <w:highlight w:val="none"/>
        </w:rPr>
        <w:t>后，应当在签订合同时向采购人出示相关证明材料，具体内容详见 “供应商须知前附表”，经采购人核验合格后方可签订合同</w:t>
      </w:r>
      <w:r>
        <w:rPr>
          <w:rFonts w:hint="eastAsia" w:ascii="宋体" w:hAnsi="宋体"/>
          <w:color w:val="auto"/>
          <w:szCs w:val="21"/>
          <w:highlight w:val="none"/>
        </w:rPr>
        <w:t>（书面或电子）</w:t>
      </w:r>
      <w:r>
        <w:rPr>
          <w:rFonts w:hint="eastAsia" w:ascii="宋体" w:hAnsi="宋体" w:cs="宋体"/>
          <w:color w:val="auto"/>
          <w:szCs w:val="21"/>
          <w:highlight w:val="none"/>
        </w:rPr>
        <w:t>。</w:t>
      </w:r>
    </w:p>
    <w:p w14:paraId="4CE49825">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7.2 签订合同时间：按成交通知书规定的时间与采购人签订政府采购合同</w:t>
      </w:r>
      <w:r>
        <w:rPr>
          <w:rFonts w:hint="eastAsia" w:ascii="宋体" w:hAnsi="宋体"/>
          <w:color w:val="auto"/>
          <w:szCs w:val="21"/>
          <w:highlight w:val="none"/>
        </w:rPr>
        <w:t>（最长不能超过25自然日）</w:t>
      </w:r>
      <w:r>
        <w:rPr>
          <w:rFonts w:hint="eastAsia" w:ascii="宋体" w:hAnsi="宋体" w:cs="宋体"/>
          <w:color w:val="auto"/>
          <w:szCs w:val="21"/>
          <w:highlight w:val="none"/>
        </w:rPr>
        <w:t>。</w:t>
      </w:r>
    </w:p>
    <w:p w14:paraId="032AE714">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7.3</w:t>
      </w:r>
      <w:r>
        <w:rPr>
          <w:rFonts w:hint="eastAsia" w:ascii="宋体" w:hAnsi="宋体"/>
          <w:color w:val="auto"/>
          <w:szCs w:val="21"/>
          <w:highlight w:val="none"/>
        </w:rPr>
        <w:t>成交供应商拒绝与采购人签订合同的，按照本须知正文第</w:t>
      </w:r>
      <w:r>
        <w:rPr>
          <w:rFonts w:ascii="宋体" w:hAnsi="宋体"/>
          <w:color w:val="auto"/>
          <w:szCs w:val="21"/>
          <w:highlight w:val="none"/>
        </w:rPr>
        <w:t>2</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条的规定</w:t>
      </w:r>
      <w:r>
        <w:rPr>
          <w:rFonts w:hint="eastAsia" w:ascii="宋体" w:hAnsi="宋体"/>
          <w:color w:val="auto"/>
          <w:szCs w:val="21"/>
          <w:highlight w:val="none"/>
        </w:rPr>
        <w:t>执行</w:t>
      </w:r>
      <w:r>
        <w:rPr>
          <w:rFonts w:hint="eastAsia" w:ascii="宋体" w:hAnsi="宋体" w:cs="宋体"/>
          <w:color w:val="auto"/>
          <w:szCs w:val="21"/>
          <w:highlight w:val="none"/>
        </w:rPr>
        <w:t>。</w:t>
      </w:r>
    </w:p>
    <w:p w14:paraId="14ADD57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28.政府采购合同公告</w:t>
      </w:r>
    </w:p>
    <w:p w14:paraId="4AB461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AF87FE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29. 询问、质疑和投诉</w:t>
      </w:r>
    </w:p>
    <w:p w14:paraId="2655D136">
      <w:pPr>
        <w:pStyle w:val="6"/>
        <w:spacing w:line="360" w:lineRule="auto"/>
        <w:rPr>
          <w:rFonts w:ascii="宋体" w:hAnsi="宋体"/>
          <w:color w:val="auto"/>
          <w:szCs w:val="21"/>
          <w:highlight w:val="none"/>
        </w:rPr>
      </w:pPr>
      <w:r>
        <w:rPr>
          <w:rFonts w:hint="eastAsia" w:ascii="宋体" w:hAnsi="宋体" w:cs="宋体"/>
          <w:color w:val="auto"/>
          <w:highlight w:val="none"/>
        </w:rPr>
        <w:t>29.1供应商对政府采购活动事项有疑问的，可以向采购人、采购代理机构提出询问，采购人或者采购代理机构应当在3个工作日内对供应商依法提出的询问作出答复，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0068805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6B67A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497B6C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0F822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8B8B42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29.3供应商提出的询问或者质疑超出采购人对采购代理机构委托授权范围的，采购代理机构应当告知供应商向采购人提出。政府采购评审专家应当配合采购人或者采购代理机构答复供应商的询问和质疑。</w:t>
      </w:r>
    </w:p>
    <w:p w14:paraId="4217A5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0E1EE5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7CA78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3EE13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E97E8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90AD1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6944C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2A2BEC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4B805F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w:t>
      </w:r>
      <w:r>
        <w:rPr>
          <w:rFonts w:ascii="宋体" w:hAnsi="宋体" w:cs="宋体"/>
          <w:color w:val="auto"/>
          <w:highlight w:val="none"/>
        </w:rPr>
        <w:t>.5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019CBA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058410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2504D3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6053BB9">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29.</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0F8081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0.其他内容</w:t>
      </w:r>
    </w:p>
    <w:p w14:paraId="4FA52EE2">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0.1代理服务费：代理服务收取标准及缴费账户详见“供应商须知前附表”。</w:t>
      </w:r>
    </w:p>
    <w:p w14:paraId="7BF69C10">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0</w:t>
      </w:r>
      <w:r>
        <w:rPr>
          <w:rFonts w:ascii="宋体" w:hAnsi="宋体" w:cs="宋体"/>
          <w:color w:val="auto"/>
          <w:szCs w:val="21"/>
          <w:highlight w:val="none"/>
        </w:rPr>
        <w:t>.2</w:t>
      </w:r>
      <w:r>
        <w:rPr>
          <w:rFonts w:hint="eastAsia" w:ascii="宋体" w:hAnsi="宋体" w:cs="宋体"/>
          <w:color w:val="auto"/>
          <w:szCs w:val="21"/>
          <w:highlight w:val="none"/>
        </w:rPr>
        <w:t>代理服务费收费计算标准：</w:t>
      </w:r>
    </w:p>
    <w:tbl>
      <w:tblPr>
        <w:tblStyle w:val="23"/>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818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DF8ED7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4F30F3CE">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4B9FDF64">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213FD3C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5531D83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1270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96A638B">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2980C183">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41085F5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3DE8483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5D97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5C2526A">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10450FC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7F91790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6522820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72C8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1FDAF9C">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33E776E8">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1538C8B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79CBB07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6640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82F2A10">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72E6B67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13A3F7D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6F5AA78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0F79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A6D700B">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11426F2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216C30B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0C01555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70CB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44431CB">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24C33680">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5DDE146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075EEAB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544D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8EFB17F">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3F0101D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5CB413A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68569FC7">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041B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2BD0D09">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2AFF541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0BA41C93">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710AF32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7E4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5931FC7">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0AA71EB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28CC15D6">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3B2D1C71">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7652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9A52502">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500AB28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5234EBE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4D490F77">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7C3BA060">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72ADCD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1364BF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7186D60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例如：某服务采购代理业务成交金额为300万元，采购代理服务费金额按如下计算：</w:t>
      </w:r>
    </w:p>
    <w:p w14:paraId="1FA999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100万元×1.5%＝1.5万元</w:t>
      </w:r>
    </w:p>
    <w:p w14:paraId="3571FD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（300－100）万元×0.8%＝1.6万元</w:t>
      </w:r>
    </w:p>
    <w:p w14:paraId="4C1AEE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合计收费＝1.5＋1.6=3.1万元</w:t>
      </w:r>
    </w:p>
    <w:p w14:paraId="6A72A665">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0</w:t>
      </w:r>
      <w:r>
        <w:rPr>
          <w:rFonts w:ascii="宋体" w:hAnsi="宋体" w:cs="宋体"/>
          <w:color w:val="auto"/>
          <w:kern w:val="0"/>
          <w:szCs w:val="21"/>
          <w:highlight w:val="none"/>
        </w:rPr>
        <w:t xml:space="preserve">.3 </w:t>
      </w:r>
      <w:r>
        <w:rPr>
          <w:rFonts w:hint="eastAsia" w:ascii="宋体" w:hAnsi="宋体" w:cs="宋体"/>
          <w:color w:val="auto"/>
          <w:kern w:val="0"/>
          <w:szCs w:val="21"/>
          <w:highlight w:val="none"/>
        </w:rPr>
        <w:t>代理服务费交纳</w:t>
      </w:r>
      <w:r>
        <w:rPr>
          <w:rFonts w:ascii="宋体" w:hAnsi="宋体" w:cs="宋体"/>
          <w:color w:val="auto"/>
          <w:kern w:val="0"/>
          <w:szCs w:val="21"/>
          <w:highlight w:val="none"/>
        </w:rPr>
        <w:t>银行帐号信息</w:t>
      </w:r>
    </w:p>
    <w:p w14:paraId="71C72FB5">
      <w:pPr>
        <w:pStyle w:val="13"/>
        <w:snapToGrid w:val="0"/>
        <w:spacing w:line="360" w:lineRule="auto"/>
        <w:ind w:firstLine="800" w:firstLineChars="400"/>
        <w:rPr>
          <w:rFonts w:hAnsi="宋体"/>
          <w:color w:val="auto"/>
          <w:highlight w:val="none"/>
        </w:rPr>
      </w:pPr>
      <w:r>
        <w:rPr>
          <w:rFonts w:hint="eastAsia" w:hAnsi="宋体"/>
          <w:color w:val="auto"/>
          <w:highlight w:val="none"/>
        </w:rPr>
        <w:t>开户名称：广西科文招标有限公司南宁三分公司</w:t>
      </w:r>
    </w:p>
    <w:p w14:paraId="75D73B4A">
      <w:pPr>
        <w:pStyle w:val="13"/>
        <w:snapToGrid w:val="0"/>
        <w:spacing w:line="360" w:lineRule="auto"/>
        <w:ind w:firstLine="800" w:firstLineChars="400"/>
        <w:rPr>
          <w:rFonts w:hAnsi="宋体"/>
          <w:color w:val="auto"/>
          <w:highlight w:val="none"/>
        </w:rPr>
      </w:pPr>
      <w:r>
        <w:rPr>
          <w:rFonts w:hint="eastAsia" w:hAnsi="宋体"/>
          <w:color w:val="auto"/>
          <w:highlight w:val="none"/>
        </w:rPr>
        <w:t>开户银行：广西北部湾银行股份有限公司南宁市云景支行</w:t>
      </w:r>
    </w:p>
    <w:p w14:paraId="7FA0D40C">
      <w:pPr>
        <w:pStyle w:val="13"/>
        <w:snapToGrid w:val="0"/>
        <w:spacing w:line="360" w:lineRule="auto"/>
        <w:ind w:firstLine="800" w:firstLineChars="400"/>
        <w:rPr>
          <w:rFonts w:hAnsi="宋体"/>
          <w:color w:val="auto"/>
          <w:highlight w:val="none"/>
        </w:rPr>
      </w:pPr>
      <w:r>
        <w:rPr>
          <w:rFonts w:hint="eastAsia" w:hAnsi="宋体"/>
          <w:color w:val="auto"/>
          <w:highlight w:val="none"/>
        </w:rPr>
        <w:t>银行账号：805029874400001</w:t>
      </w:r>
    </w:p>
    <w:p w14:paraId="79C56FC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31</w:t>
      </w:r>
      <w:r>
        <w:rPr>
          <w:rFonts w:ascii="黑体" w:hAnsi="黑体" w:eastAsia="黑体" w:cs="宋体"/>
          <w:b/>
          <w:bCs/>
          <w:color w:val="auto"/>
          <w:sz w:val="24"/>
          <w:highlight w:val="none"/>
        </w:rPr>
        <w:t>.需要补充的其他内容</w:t>
      </w:r>
    </w:p>
    <w:p w14:paraId="04DF72CC">
      <w:pPr>
        <w:pStyle w:val="13"/>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31</w:t>
      </w:r>
      <w:r>
        <w:rPr>
          <w:rFonts w:hAnsi="宋体" w:cs="宋体"/>
          <w:color w:val="auto"/>
          <w:kern w:val="2"/>
          <w:sz w:val="21"/>
          <w:highlight w:val="none"/>
        </w:rPr>
        <w:t>.1</w:t>
      </w:r>
      <w:r>
        <w:rPr>
          <w:rFonts w:hint="eastAsia" w:hAnsi="宋体" w:cs="宋体"/>
          <w:color w:val="auto"/>
          <w:kern w:val="2"/>
          <w:sz w:val="21"/>
          <w:highlight w:val="none"/>
        </w:rPr>
        <w:t>本磋商文件解释规则详见“供应商须知前附表”。</w:t>
      </w:r>
    </w:p>
    <w:p w14:paraId="5E4B7225">
      <w:pPr>
        <w:pStyle w:val="13"/>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w:t>
      </w:r>
      <w:r>
        <w:rPr>
          <w:rFonts w:hint="eastAsia" w:hAnsi="宋体" w:cs="宋体"/>
          <w:color w:val="auto"/>
          <w:kern w:val="2"/>
          <w:sz w:val="21"/>
          <w:highlight w:val="none"/>
        </w:rPr>
        <w:t>1</w:t>
      </w:r>
      <w:r>
        <w:rPr>
          <w:rFonts w:hAnsi="宋体" w:cs="宋体"/>
          <w:color w:val="auto"/>
          <w:kern w:val="2"/>
          <w:sz w:val="21"/>
          <w:highlight w:val="none"/>
        </w:rPr>
        <w:t>.2</w:t>
      </w:r>
      <w:r>
        <w:rPr>
          <w:rFonts w:hint="eastAsia" w:hAnsi="宋体" w:cs="宋体"/>
          <w:color w:val="auto"/>
          <w:kern w:val="2"/>
          <w:sz w:val="21"/>
          <w:highlight w:val="none"/>
        </w:rPr>
        <w:t xml:space="preserve"> 其他事项详见“供应商须知前附表”。</w:t>
      </w:r>
    </w:p>
    <w:p w14:paraId="5F204178">
      <w:pPr>
        <w:pStyle w:val="13"/>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31</w:t>
      </w:r>
      <w:r>
        <w:rPr>
          <w:rFonts w:hAnsi="宋体" w:cs="宋体"/>
          <w:color w:val="auto"/>
          <w:kern w:val="2"/>
          <w:sz w:val="21"/>
          <w:highlight w:val="none"/>
        </w:rPr>
        <w:t>.3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87D5C7D">
      <w:pPr>
        <w:pStyle w:val="13"/>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401D944">
      <w:pPr>
        <w:pStyle w:val="13"/>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094ED28F">
      <w:pPr>
        <w:pStyle w:val="13"/>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1F197CD">
      <w:pPr>
        <w:pStyle w:val="13"/>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14:paraId="6EDB2CEC">
      <w:pPr>
        <w:pStyle w:val="13"/>
        <w:snapToGrid w:val="0"/>
        <w:spacing w:before="120" w:after="120"/>
        <w:rPr>
          <w:rFonts w:hAnsi="宋体"/>
          <w:color w:val="auto"/>
          <w:highlight w:val="none"/>
        </w:rPr>
      </w:pPr>
    </w:p>
    <w:p w14:paraId="746ABDA5">
      <w:pPr>
        <w:jc w:val="left"/>
        <w:rPr>
          <w:rFonts w:hAnsi="宋体"/>
          <w:b/>
          <w:color w:val="auto"/>
          <w:sz w:val="32"/>
          <w:szCs w:val="32"/>
          <w:highlight w:val="none"/>
        </w:rPr>
      </w:pPr>
    </w:p>
    <w:p w14:paraId="3A757CA1">
      <w:pPr>
        <w:pStyle w:val="2"/>
        <w:spacing w:line="360" w:lineRule="auto"/>
        <w:jc w:val="center"/>
        <w:rPr>
          <w:color w:val="auto"/>
          <w:highlight w:val="none"/>
        </w:rPr>
      </w:pPr>
      <w:r>
        <w:rPr>
          <w:color w:val="auto"/>
          <w:highlight w:val="none"/>
        </w:rPr>
        <w:br w:type="page"/>
      </w:r>
      <w:bookmarkStart w:id="31" w:name="_Toc18607"/>
      <w:r>
        <w:rPr>
          <w:rFonts w:hint="eastAsia"/>
          <w:color w:val="auto"/>
          <w:highlight w:val="none"/>
        </w:rPr>
        <w:t>第三章 采购需求</w:t>
      </w:r>
      <w:bookmarkEnd w:id="31"/>
    </w:p>
    <w:p w14:paraId="44138BC9">
      <w:pPr>
        <w:spacing w:line="400" w:lineRule="exact"/>
        <w:jc w:val="center"/>
        <w:rPr>
          <w:rFonts w:ascii="宋体" w:hAnsi="宋体"/>
          <w:b/>
          <w:color w:val="auto"/>
          <w:sz w:val="32"/>
          <w:szCs w:val="32"/>
          <w:highlight w:val="none"/>
        </w:rPr>
      </w:pPr>
    </w:p>
    <w:p w14:paraId="19B05FF1">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说明：</w:t>
      </w:r>
    </w:p>
    <w:p w14:paraId="036BCE3B">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w:t>
      </w:r>
      <w:r>
        <w:rPr>
          <w:rFonts w:hAnsi="宋体"/>
          <w:b/>
          <w:bCs/>
          <w:color w:val="auto"/>
          <w:highlight w:val="none"/>
        </w:rPr>
        <w:t>中</w:t>
      </w:r>
      <w:r>
        <w:rPr>
          <w:rFonts w:hint="eastAsia" w:hAnsi="宋体"/>
          <w:b/>
          <w:bCs/>
          <w:color w:val="auto"/>
          <w:highlight w:val="none"/>
        </w:rPr>
        <w:t>的技术要求。</w:t>
      </w:r>
    </w:p>
    <w:p w14:paraId="642BD024">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2、</w:t>
      </w:r>
      <w:r>
        <w:rPr>
          <w:rFonts w:hAnsi="宋体"/>
          <w:b/>
          <w:bCs/>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auto"/>
          <w:highlight w:val="none"/>
        </w:rPr>
        <w:t>中如有货物产品，且货物</w:t>
      </w:r>
      <w:r>
        <w:rPr>
          <w:rFonts w:hAnsi="宋体"/>
          <w:b/>
          <w:bCs/>
          <w:color w:val="auto"/>
          <w:highlight w:val="none"/>
        </w:rPr>
        <w:t>产品属于节能产品政府采购品目清单内标注“★”的（详见本章后附的节能产品政府采购品目清单），供应商的竞标货物必须使用政府强制采购的节能产品，否则响应文件作无效响应处理。</w:t>
      </w:r>
    </w:p>
    <w:p w14:paraId="7E9F97D6">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3、如供应商竞标产品存在侵犯他人的知识产权或者专利成果行为的，由供应商自行承担相应法律责任。</w:t>
      </w:r>
    </w:p>
    <w:p w14:paraId="013D5E9C">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4、“实质性要求”是指竞争性磋商文件中已经指明不满足则响应无效的条款，或者不能负偏离的条款，或者采购需求中带“▲”的条款，必须满足，</w:t>
      </w:r>
      <w:r>
        <w:rPr>
          <w:rFonts w:hint="eastAsia" w:asciiTheme="minorEastAsia" w:hAnsiTheme="minorEastAsia" w:eastAsiaTheme="minorEastAsia" w:cstheme="minorEastAsia"/>
          <w:b/>
          <w:color w:val="auto"/>
          <w:sz w:val="21"/>
          <w:szCs w:val="21"/>
          <w:highlight w:val="none"/>
        </w:rPr>
        <w:t>否则响应文件按无效响应处理</w:t>
      </w:r>
      <w:r>
        <w:rPr>
          <w:rFonts w:hint="eastAsia" w:hAnsi="宋体"/>
          <w:b/>
          <w:bCs/>
          <w:color w:val="auto"/>
          <w:highlight w:val="none"/>
        </w:rPr>
        <w:t>。</w:t>
      </w:r>
    </w:p>
    <w:p w14:paraId="5C917F6B">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lang w:val="en-US" w:eastAsia="zh-CN"/>
        </w:rPr>
        <w:t>5</w:t>
      </w:r>
      <w:r>
        <w:rPr>
          <w:rFonts w:hint="eastAsia" w:hAnsi="宋体"/>
          <w:b/>
          <w:bCs/>
          <w:color w:val="auto"/>
          <w:highlight w:val="none"/>
        </w:rPr>
        <w:t>、标注“▲”的条款，需要提供技术支持资料，应按如下任一方式提供。</w:t>
      </w:r>
    </w:p>
    <w:p w14:paraId="2C82CA52">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（1）生产厂家的宣传彩页或配置清单，提供复印件加盖</w:t>
      </w:r>
      <w:r>
        <w:rPr>
          <w:rFonts w:hint="eastAsia" w:hAnsi="宋体"/>
          <w:b/>
          <w:bCs/>
          <w:color w:val="auto"/>
          <w:highlight w:val="none"/>
          <w:lang w:val="en-US" w:eastAsia="zh-CN"/>
        </w:rPr>
        <w:t>竞标</w:t>
      </w:r>
      <w:r>
        <w:rPr>
          <w:rFonts w:hint="eastAsia" w:hAnsi="宋体"/>
          <w:b/>
          <w:bCs/>
          <w:color w:val="auto"/>
          <w:highlight w:val="none"/>
        </w:rPr>
        <w:t>人电子签章。</w:t>
      </w:r>
    </w:p>
    <w:p w14:paraId="678F8E2D">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（2）国家认定的第三方认证（检测）机构出具认证证书（检测报告）或国际机构第三方认证报告，提供复印件加盖</w:t>
      </w:r>
      <w:r>
        <w:rPr>
          <w:rFonts w:hint="eastAsia" w:hAnsi="宋体"/>
          <w:b/>
          <w:bCs/>
          <w:color w:val="auto"/>
          <w:highlight w:val="none"/>
          <w:lang w:val="en-US" w:eastAsia="zh-CN"/>
        </w:rPr>
        <w:t>竞标</w:t>
      </w:r>
      <w:r>
        <w:rPr>
          <w:rFonts w:hint="eastAsia" w:hAnsi="宋体"/>
          <w:b/>
          <w:bCs/>
          <w:color w:val="auto"/>
          <w:highlight w:val="none"/>
        </w:rPr>
        <w:t>人电子签章。</w:t>
      </w:r>
    </w:p>
    <w:p w14:paraId="7884B3FE">
      <w:pPr>
        <w:spacing w:line="360" w:lineRule="exact"/>
        <w:ind w:left="-10" w:leftChars="-5" w:right="2" w:rightChars="1" w:firstLine="422" w:firstLineChars="200"/>
        <w:rPr>
          <w:color w:val="auto"/>
          <w:highlight w:val="none"/>
        </w:rPr>
      </w:pPr>
      <w:r>
        <w:rPr>
          <w:rFonts w:hint="eastAsia" w:hAnsi="宋体"/>
          <w:b/>
          <w:bCs/>
          <w:color w:val="auto"/>
          <w:highlight w:val="none"/>
        </w:rPr>
        <w:t>注：除以上规定的形式中所规定的要求提交资料之外，提交其他证明材料视为未提供证明材料。</w:t>
      </w:r>
    </w:p>
    <w:p w14:paraId="6394A47C">
      <w:pPr>
        <w:spacing w:line="360" w:lineRule="exact"/>
        <w:ind w:left="-10" w:leftChars="-5" w:right="2" w:rightChars="1" w:firstLine="422" w:firstLineChars="200"/>
        <w:rPr>
          <w:rFonts w:hint="eastAsia" w:hAnsi="宋体" w:eastAsia="宋体"/>
          <w:b/>
          <w:bCs/>
          <w:color w:val="auto"/>
          <w:highlight w:val="none"/>
          <w:lang w:val="en-US" w:eastAsia="zh-CN"/>
        </w:rPr>
      </w:pPr>
      <w:r>
        <w:rPr>
          <w:rFonts w:hint="eastAsia" w:hAnsi="宋体"/>
          <w:b/>
          <w:bCs/>
          <w:color w:val="auto"/>
          <w:highlight w:val="none"/>
          <w:lang w:val="en-US" w:eastAsia="zh-CN"/>
        </w:rPr>
        <w:t>6、标注“</w:t>
      </w:r>
      <w:r>
        <w:rPr>
          <w:rFonts w:hint="eastAsia" w:ascii="宋体" w:hAnsi="宋体" w:eastAsia="宋体" w:cs="宋体"/>
          <w:color w:val="auto"/>
          <w:sz w:val="21"/>
          <w:szCs w:val="21"/>
          <w:highlight w:val="none"/>
        </w:rPr>
        <w:t>●</w:t>
      </w:r>
      <w:r>
        <w:rPr>
          <w:rFonts w:hint="eastAsia" w:hAnsi="宋体"/>
          <w:b/>
          <w:bCs/>
          <w:color w:val="auto"/>
          <w:highlight w:val="none"/>
          <w:lang w:val="en-US" w:eastAsia="zh-CN"/>
        </w:rPr>
        <w:t>”的条款为重要参数，作为评分依据。</w:t>
      </w:r>
    </w:p>
    <w:p w14:paraId="2F2E19B8">
      <w:pPr>
        <w:spacing w:line="360" w:lineRule="exact"/>
        <w:ind w:left="-10" w:leftChars="-5" w:right="2" w:rightChars="1" w:firstLine="422" w:firstLineChars="200"/>
        <w:rPr>
          <w:rFonts w:ascii="宋体" w:hAnsi="宋体" w:cs="宋体"/>
          <w:b/>
          <w:color w:val="auto"/>
          <w:szCs w:val="21"/>
          <w:highlight w:val="none"/>
        </w:rPr>
      </w:pPr>
      <w:r>
        <w:rPr>
          <w:rFonts w:hint="eastAsia" w:hAnsi="宋体"/>
          <w:b/>
          <w:bCs/>
          <w:color w:val="auto"/>
          <w:highlight w:val="none"/>
          <w:lang w:val="en-US" w:eastAsia="zh-CN"/>
        </w:rPr>
        <w:t>7</w:t>
      </w:r>
      <w:r>
        <w:rPr>
          <w:rFonts w:hint="eastAsia" w:hAnsi="宋体"/>
          <w:b/>
          <w:bCs/>
          <w:color w:val="auto"/>
          <w:highlight w:val="none"/>
        </w:rPr>
        <w:t>、采购标的中小企业划分标准所属</w:t>
      </w:r>
      <w:r>
        <w:rPr>
          <w:rFonts w:hint="eastAsia" w:ascii="宋体" w:hAnsi="宋体" w:cs="宋体"/>
          <w:b/>
          <w:color w:val="auto"/>
          <w:szCs w:val="21"/>
          <w:highlight w:val="none"/>
        </w:rPr>
        <w:t>行业名称（行业名称及划分见本章附件七）：</w:t>
      </w:r>
      <w:r>
        <w:rPr>
          <w:rFonts w:hint="eastAsia" w:ascii="宋体" w:hAnsi="宋体" w:cs="宋体"/>
          <w:b/>
          <w:bCs/>
          <w:color w:val="auto"/>
          <w:kern w:val="0"/>
          <w:szCs w:val="21"/>
          <w:highlight w:val="none"/>
        </w:rPr>
        <w:t>其他未列明行业</w:t>
      </w:r>
      <w:r>
        <w:rPr>
          <w:rFonts w:hint="eastAsia" w:ascii="宋体" w:hAnsi="宋体" w:cs="宋体"/>
          <w:b/>
          <w:color w:val="auto"/>
          <w:szCs w:val="21"/>
          <w:highlight w:val="none"/>
        </w:rPr>
        <w:t>。</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6"/>
        <w:gridCol w:w="1721"/>
        <w:gridCol w:w="1000"/>
        <w:gridCol w:w="6140"/>
      </w:tblGrid>
      <w:tr w14:paraId="07E8E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0" w:type="auto"/>
            <w:gridSpan w:val="4"/>
            <w:tcBorders>
              <w:top w:val="single" w:color="auto" w:sz="4" w:space="0"/>
              <w:left w:val="single" w:color="auto" w:sz="4" w:space="0"/>
              <w:bottom w:val="nil"/>
              <w:right w:val="single" w:color="auto" w:sz="4" w:space="0"/>
            </w:tcBorders>
            <w:vAlign w:val="center"/>
          </w:tcPr>
          <w:p w14:paraId="0764929A">
            <w:pPr>
              <w:keepNext w:val="0"/>
              <w:keepLines w:val="0"/>
              <w:pageBreakBefore w:val="0"/>
              <w:kinsoku/>
              <w:overflowPunct/>
              <w:autoSpaceDE/>
              <w:autoSpaceDN/>
              <w:bidi w:val="0"/>
              <w:adjustRightInd w:val="0"/>
              <w:snapToGrid w:val="0"/>
              <w:spacing w:after="200" w:line="36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服务需求</w:t>
            </w:r>
          </w:p>
        </w:tc>
      </w:tr>
      <w:tr w14:paraId="28317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vMerge w:val="restart"/>
            <w:tcBorders>
              <w:top w:val="single" w:color="auto" w:sz="4" w:space="0"/>
              <w:left w:val="single" w:color="auto" w:sz="4" w:space="0"/>
              <w:bottom w:val="nil"/>
              <w:right w:val="single" w:color="auto" w:sz="4" w:space="0"/>
            </w:tcBorders>
            <w:vAlign w:val="center"/>
          </w:tcPr>
          <w:p w14:paraId="132EE3D3">
            <w:pPr>
              <w:keepNext w:val="0"/>
              <w:keepLines w:val="0"/>
              <w:pageBreakBefore w:val="0"/>
              <w:kinsoku/>
              <w:overflowPunct/>
              <w:autoSpaceDE/>
              <w:autoSpaceDN/>
              <w:bidi w:val="0"/>
              <w:adjustRightInd w:val="0"/>
              <w:snapToGrid w:val="0"/>
              <w:spacing w:after="20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4" w:type="dxa"/>
            <w:tcBorders>
              <w:top w:val="single" w:color="auto" w:sz="4" w:space="0"/>
              <w:left w:val="single" w:color="auto" w:sz="4" w:space="0"/>
              <w:bottom w:val="single" w:color="auto" w:sz="4" w:space="0"/>
              <w:right w:val="single" w:color="auto" w:sz="4" w:space="0"/>
            </w:tcBorders>
            <w:vAlign w:val="center"/>
          </w:tcPr>
          <w:p w14:paraId="7D31A6C8">
            <w:pPr>
              <w:keepNext w:val="0"/>
              <w:keepLines w:val="0"/>
              <w:pageBreakBefore w:val="0"/>
              <w:kinsoku/>
              <w:overflowPunct/>
              <w:autoSpaceDE/>
              <w:autoSpaceDN/>
              <w:bidi w:val="0"/>
              <w:adjustRightInd w:val="0"/>
              <w:snapToGrid w:val="0"/>
              <w:spacing w:after="20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879" w:type="dxa"/>
            <w:tcBorders>
              <w:top w:val="single" w:color="auto" w:sz="4" w:space="0"/>
              <w:left w:val="single" w:color="auto" w:sz="4" w:space="0"/>
              <w:bottom w:val="single" w:color="auto" w:sz="4" w:space="0"/>
              <w:right w:val="single" w:color="auto" w:sz="4" w:space="0"/>
            </w:tcBorders>
            <w:vAlign w:val="center"/>
          </w:tcPr>
          <w:p w14:paraId="484BC980">
            <w:pPr>
              <w:keepNext w:val="0"/>
              <w:keepLines w:val="0"/>
              <w:pageBreakBefore w:val="0"/>
              <w:kinsoku/>
              <w:overflowPunct/>
              <w:autoSpaceDE/>
              <w:autoSpaceDN/>
              <w:bidi w:val="0"/>
              <w:adjustRightInd w:val="0"/>
              <w:snapToGrid w:val="0"/>
              <w:spacing w:after="20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6148" w:type="dxa"/>
            <w:tcBorders>
              <w:top w:val="single" w:color="auto" w:sz="4" w:space="0"/>
              <w:left w:val="single" w:color="auto" w:sz="4" w:space="0"/>
              <w:bottom w:val="single" w:color="auto" w:sz="4" w:space="0"/>
              <w:right w:val="single" w:color="auto" w:sz="4" w:space="0"/>
            </w:tcBorders>
            <w:vAlign w:val="center"/>
          </w:tcPr>
          <w:p w14:paraId="640E567B">
            <w:pPr>
              <w:keepNext w:val="0"/>
              <w:keepLines w:val="0"/>
              <w:pageBreakBefore w:val="0"/>
              <w:kinsoku/>
              <w:overflowPunct/>
              <w:autoSpaceDE/>
              <w:autoSpaceDN/>
              <w:bidi w:val="0"/>
              <w:adjustRightInd w:val="0"/>
              <w:snapToGrid w:val="0"/>
              <w:spacing w:after="20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w:t>
            </w:r>
          </w:p>
        </w:tc>
      </w:tr>
      <w:tr w14:paraId="6AB46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nil"/>
              <w:right w:val="single" w:color="auto" w:sz="4" w:space="0"/>
            </w:tcBorders>
            <w:vAlign w:val="center"/>
          </w:tcPr>
          <w:p w14:paraId="0BB7FCB5">
            <w:pPr>
              <w:keepNext w:val="0"/>
              <w:keepLines w:val="0"/>
              <w:pageBreakBefore w:val="0"/>
              <w:widowControl/>
              <w:kinsoku/>
              <w:overflowPunct/>
              <w:autoSpaceDE/>
              <w:autoSpaceDN/>
              <w:bidi w:val="0"/>
              <w:spacing w:line="360" w:lineRule="exact"/>
              <w:ind w:firstLine="0" w:firstLineChars="0"/>
              <w:jc w:val="left"/>
              <w:textAlignment w:val="auto"/>
              <w:rPr>
                <w:rFonts w:hint="eastAsia" w:ascii="宋体" w:hAnsi="宋体" w:eastAsia="宋体" w:cs="宋体"/>
                <w:color w:val="auto"/>
                <w:sz w:val="21"/>
                <w:szCs w:val="21"/>
                <w:highlight w:val="none"/>
              </w:rPr>
            </w:pPr>
          </w:p>
        </w:tc>
        <w:tc>
          <w:tcPr>
            <w:tcW w:w="1834" w:type="dxa"/>
            <w:tcBorders>
              <w:top w:val="single" w:color="auto" w:sz="4" w:space="0"/>
              <w:left w:val="single" w:color="auto" w:sz="4" w:space="0"/>
              <w:bottom w:val="single" w:color="auto" w:sz="4" w:space="0"/>
              <w:right w:val="single" w:color="auto" w:sz="4" w:space="0"/>
            </w:tcBorders>
            <w:vAlign w:val="center"/>
          </w:tcPr>
          <w:p w14:paraId="6ADE7BE8">
            <w:pPr>
              <w:keepNext w:val="0"/>
              <w:keepLines w:val="0"/>
              <w:pageBreakBefore w:val="0"/>
              <w:kinsoku/>
              <w:overflowPunct/>
              <w:autoSpaceDE/>
              <w:autoSpaceDN/>
              <w:bidi w:val="0"/>
              <w:adjustRightInd w:val="0"/>
              <w:snapToGrid w:val="0"/>
              <w:spacing w:after="20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中药智能煎煮系统建设服务项目</w:t>
            </w:r>
          </w:p>
        </w:tc>
        <w:tc>
          <w:tcPr>
            <w:tcW w:w="879" w:type="dxa"/>
            <w:tcBorders>
              <w:top w:val="single" w:color="auto" w:sz="4" w:space="0"/>
              <w:left w:val="single" w:color="auto" w:sz="4" w:space="0"/>
              <w:bottom w:val="single" w:color="auto" w:sz="4" w:space="0"/>
              <w:right w:val="single" w:color="auto" w:sz="4" w:space="0"/>
            </w:tcBorders>
            <w:vAlign w:val="center"/>
          </w:tcPr>
          <w:p w14:paraId="195253AE">
            <w:pPr>
              <w:keepNext w:val="0"/>
              <w:keepLines w:val="0"/>
              <w:pageBreakBefore w:val="0"/>
              <w:kinsoku/>
              <w:overflowPunct/>
              <w:autoSpaceDE/>
              <w:autoSpaceDN/>
              <w:bidi w:val="0"/>
              <w:adjustRightInd w:val="0"/>
              <w:snapToGrid w:val="0"/>
              <w:spacing w:after="200" w:line="360" w:lineRule="exact"/>
              <w:ind w:firstLine="0" w:firstLineChars="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vertAlign w:val="baseline"/>
                <w:lang w:val="en-US" w:eastAsia="zh-CN"/>
              </w:rPr>
              <w:t>1项</w:t>
            </w:r>
          </w:p>
        </w:tc>
        <w:tc>
          <w:tcPr>
            <w:tcW w:w="6148" w:type="dxa"/>
            <w:tcBorders>
              <w:top w:val="single" w:color="auto" w:sz="4" w:space="0"/>
              <w:left w:val="single" w:color="auto" w:sz="4" w:space="0"/>
              <w:bottom w:val="single" w:color="auto" w:sz="4" w:space="0"/>
              <w:right w:val="single" w:color="auto" w:sz="4" w:space="0"/>
            </w:tcBorders>
            <w:shd w:val="clear" w:color="auto" w:fill="auto"/>
            <w:vAlign w:val="top"/>
          </w:tcPr>
          <w:p w14:paraId="293FCAB1">
            <w:pPr>
              <w:spacing w:line="360" w:lineRule="auto"/>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一、法规与指南</w:t>
            </w:r>
          </w:p>
          <w:p w14:paraId="03189CF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系统或设备的设计、制造须符合该设备的现行行业标准、规范以及现行版中国安全、环保及相关法律法规要求。包括但不限于以下标准、规范和指南：</w:t>
            </w:r>
          </w:p>
          <w:p w14:paraId="7D798D59">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1.《医疗机构中药煎药室管理规范》国家中医药管理局</w:t>
            </w:r>
          </w:p>
          <w:p w14:paraId="2286ACDB">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2.JB/T 20199-2021《中药自动化煎制系统》</w:t>
            </w:r>
          </w:p>
          <w:p w14:paraId="313EC937">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3.JB/T20116-2009《中药汤药包装机》</w:t>
            </w:r>
          </w:p>
          <w:p w14:paraId="7367A93B">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4.GB/T36035-2018《制药机械电气安全通用要求》</w:t>
            </w:r>
          </w:p>
          <w:p w14:paraId="542D612D">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5.GB/T 5226.1-2019《机械电气安全机械电气设备》第1部分：通用技术条件</w:t>
            </w:r>
          </w:p>
          <w:p w14:paraId="0564E139">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6.GB/T3797-2005《电气控制设备》</w:t>
            </w:r>
          </w:p>
          <w:p w14:paraId="3276E71C">
            <w:pPr>
              <w:spacing w:line="360" w:lineRule="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 xml:space="preserve">二、中药智能煎煮系统 </w:t>
            </w:r>
          </w:p>
          <w:p w14:paraId="61726DA5">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1.智能煎煮单元1套，含底座平台、机器人、机械手爪等</w:t>
            </w:r>
          </w:p>
          <w:p w14:paraId="25FF4A72">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1.1实现煎药锅的全自动化搬运；</w:t>
            </w:r>
          </w:p>
          <w:p w14:paraId="2D2F7972">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1.2提供</w:t>
            </w:r>
            <w:r>
              <w:rPr>
                <w:rFonts w:ascii="宋体" w:hAnsi="宋体" w:cs="Arial"/>
                <w:bCs/>
                <w:color w:val="auto"/>
                <w:szCs w:val="21"/>
                <w:highlight w:val="none"/>
              </w:rPr>
              <w:t>不</w:t>
            </w:r>
            <w:r>
              <w:rPr>
                <w:rFonts w:hint="eastAsia" w:ascii="宋体" w:hAnsi="宋体" w:cs="Arial"/>
                <w:bCs/>
                <w:color w:val="auto"/>
                <w:szCs w:val="21"/>
                <w:highlight w:val="none"/>
              </w:rPr>
              <w:t>少</w:t>
            </w:r>
            <w:r>
              <w:rPr>
                <w:rFonts w:ascii="宋体" w:hAnsi="宋体" w:cs="Arial"/>
                <w:bCs/>
                <w:color w:val="auto"/>
                <w:szCs w:val="21"/>
                <w:highlight w:val="none"/>
              </w:rPr>
              <w:t>于</w:t>
            </w:r>
            <w:r>
              <w:rPr>
                <w:rFonts w:hint="eastAsia" w:ascii="宋体" w:hAnsi="宋体" w:eastAsia="宋体" w:cs="宋体"/>
                <w:color w:val="auto"/>
                <w:sz w:val="21"/>
                <w:szCs w:val="21"/>
                <w:highlight w:val="none"/>
                <w:shd w:val="clear" w:color="auto" w:fill="FFFFFF"/>
              </w:rPr>
              <w:t>30个煎煮工位；</w:t>
            </w:r>
          </w:p>
          <w:p w14:paraId="602898E5">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1.3电磁加热；</w:t>
            </w:r>
          </w:p>
          <w:p w14:paraId="65A74AFB">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1.4实现煎药锅加热与控制，根据处方信息，控制实现文武火的切换；</w:t>
            </w:r>
          </w:p>
          <w:p w14:paraId="0C505DD1">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1.5实现煎药锅中处方完成一、二煎、先煎、后下工艺作业。</w:t>
            </w:r>
          </w:p>
          <w:p w14:paraId="55A4FA25">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1.6产能≥25张处方/小时；</w:t>
            </w:r>
          </w:p>
          <w:p w14:paraId="72822922">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1.7煎出率：≥50%；</w:t>
            </w:r>
          </w:p>
          <w:p w14:paraId="12AF339D">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1.8设备尺寸：</w:t>
            </w:r>
            <w:r>
              <w:rPr>
                <w:rFonts w:hint="eastAsia" w:ascii="宋体" w:hAnsi="宋体" w:eastAsia="宋体" w:cs="宋体"/>
                <w:color w:val="auto"/>
                <w:sz w:val="21"/>
                <w:szCs w:val="21"/>
                <w:highlight w:val="none"/>
                <w:shd w:val="clear" w:color="auto" w:fill="FFFFFF"/>
                <w:lang w:val="en-US" w:eastAsia="zh-CN"/>
              </w:rPr>
              <w:t>约</w:t>
            </w:r>
            <w:r>
              <w:rPr>
                <w:rFonts w:hint="eastAsia" w:ascii="宋体" w:hAnsi="宋体" w:eastAsia="宋体" w:cs="宋体"/>
                <w:color w:val="auto"/>
                <w:sz w:val="21"/>
                <w:szCs w:val="21"/>
                <w:highlight w:val="none"/>
                <w:shd w:val="clear" w:color="auto" w:fill="FFFFFF"/>
              </w:rPr>
              <w:t>5.8m*5.5m*2.8m。</w:t>
            </w:r>
          </w:p>
          <w:p w14:paraId="0190A33D">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2.煎药锅（电）45个，煎药锅容积不小于35L，材质：304不锈钢。</w:t>
            </w:r>
          </w:p>
          <w:p w14:paraId="3B5E653D">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3.煎药锅接驳工作站1套，实现煎药锅从输送单元接驳至煎煮单元的功能。</w:t>
            </w:r>
          </w:p>
          <w:p w14:paraId="7FD6889D">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4.自动包装与贴标单元1套</w:t>
            </w:r>
            <w:r>
              <w:rPr>
                <w:rFonts w:hint="eastAsia" w:ascii="宋体" w:hAnsi="宋体" w:eastAsia="宋体" w:cs="宋体"/>
                <w:color w:val="auto"/>
                <w:sz w:val="21"/>
                <w:szCs w:val="21"/>
                <w:highlight w:val="none"/>
                <w:shd w:val="clear" w:color="auto" w:fill="FFFFFF"/>
              </w:rPr>
              <w:tab/>
            </w:r>
          </w:p>
          <w:p w14:paraId="05A93DF7">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4.1实现药液从煎药锅到自动包装与贴标一体机的转移、药液称重、自动灌装、对灌装完成药包进行自动贴标、自动包装与贴标一体机的清洗。</w:t>
            </w:r>
          </w:p>
          <w:p w14:paraId="5F426441">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4.2灌装药包容量可在50ml-250ml间自动设定。</w:t>
            </w:r>
          </w:p>
          <w:p w14:paraId="3BB3CF75">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5.药锅倒渣清洗单元1套</w:t>
            </w:r>
          </w:p>
          <w:p w14:paraId="02251118">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5.1倒渣清洗效率：≥25锅/小时；</w:t>
            </w:r>
          </w:p>
          <w:p w14:paraId="7217A7D5">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5.2对煎药锅内药渣的倾倒作业和药渣的储存；</w:t>
            </w:r>
          </w:p>
          <w:p w14:paraId="640F4A29">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5.3对煎药锅的锅盖、内锅、外锅进行自动清洗。</w:t>
            </w:r>
          </w:p>
          <w:p w14:paraId="0CD8695F">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6.智能加水单元1套</w:t>
            </w:r>
          </w:p>
          <w:p w14:paraId="4CCFCE2C">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6.1自动计算和获取加水量，可根据大数据进行后续优化改善，根据单人单方要求不断完善注水精度；加水精度可控。</w:t>
            </w:r>
          </w:p>
          <w:p w14:paraId="4634A8D1">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6.2加水设备加水精度控制在±100ml（小于5000mL）、±2%（≥5000mL）以内。</w:t>
            </w:r>
          </w:p>
          <w:p w14:paraId="5C0B980C">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7.煎药锅输送单元1套</w:t>
            </w:r>
          </w:p>
          <w:p w14:paraId="28CDB508">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7.1实现煎药锅的缓存、输送、挡停、限位；</w:t>
            </w:r>
          </w:p>
          <w:p w14:paraId="269039B6">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7.2长度约10米；</w:t>
            </w:r>
          </w:p>
          <w:p w14:paraId="25BCA9EA">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7.3浸泡时间不少于30分钟；</w:t>
            </w:r>
          </w:p>
          <w:p w14:paraId="3FA73E4A">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7.4运行速度16m/min。</w:t>
            </w:r>
          </w:p>
          <w:p w14:paraId="1058D797">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8.成品复核单元1套，辅助人工完成成品复核并打包转运至快递发货间。</w:t>
            </w:r>
          </w:p>
          <w:p w14:paraId="552B8B46">
            <w:pPr>
              <w:pStyle w:val="48"/>
              <w:spacing w:line="360" w:lineRule="auto"/>
              <w:ind w:firstLine="0" w:firstLineChars="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9.具体要求如下：</w:t>
            </w:r>
          </w:p>
          <w:p w14:paraId="179928D6">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9.1设备供应方应提供处方的煎煮设备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包括但不限于：加水设备、煎煮设备、灌装设备、成品复核设备；并提供设备形式及特点。</w:t>
            </w:r>
          </w:p>
          <w:p w14:paraId="51624108">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9.2设备供应方应提供不少于30个电煎煮工位。</w:t>
            </w:r>
          </w:p>
          <w:p w14:paraId="3FF064B4">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9.3设备供应方应根据产能和煎煮工位数匹配相应数量的灌装机。</w:t>
            </w:r>
          </w:p>
          <w:p w14:paraId="67E28497">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9.4系统应具备自动加水浸泡、自动煎煮、自动灌装、自动打印标签、自动贴标、自动清洗等功能。</w:t>
            </w:r>
          </w:p>
          <w:p w14:paraId="59FE54D8">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加水设备具有智能化加水功能；自动计算和获取加水量，可根据大数据进行后续优化改善，根据单人单方要求不断完善注水精度；加水精度可控；可根据后续数据积累不断优化改善，根据处方进行智能加水控制。</w:t>
            </w:r>
          </w:p>
          <w:p w14:paraId="004AF29A">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9.6加水设备加水精度控制在±100ml（小于5000mL）、±2%（≥5000mL）以内，浸泡时间不少于30分钟。</w:t>
            </w:r>
          </w:p>
          <w:p w14:paraId="24FA850C">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9.7煎煮设备具有单处方工艺的个性化定制功能。</w:t>
            </w:r>
          </w:p>
          <w:p w14:paraId="72071DDA">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●9.8设备供应方提供设备的煎煮系统（对群药）应采用无包裹式煎煮方式。</w:t>
            </w:r>
          </w:p>
          <w:p w14:paraId="24270A00">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9.8设备供应方提供设备应采用常温常压煎煮方式，保证煎煮及包装全过程药液温度不超过100℃。</w:t>
            </w:r>
          </w:p>
          <w:p w14:paraId="6302E8D1">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●9.10煎煮设备具有自动煎煮功能，无人干预；执行自动煎煮的设备中运动部件不应设置在煎煮工位上方，防止煎煮过程中产生的蒸汽影响设备寿命，设备供应方应提供详细的方案说明文件。</w:t>
            </w:r>
          </w:p>
          <w:p w14:paraId="172057C6">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9.11煎煮设备具有处方自动一煎、二煎、先煎、后下功能。</w:t>
            </w:r>
          </w:p>
          <w:p w14:paraId="33227C71">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9.12煎煮设备具有文武火自动切换功能。</w:t>
            </w:r>
          </w:p>
          <w:p w14:paraId="61A2768C">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9.13煎出率：≥50%，供货时应提供相关部门出具的数据报告。</w:t>
            </w:r>
          </w:p>
          <w:p w14:paraId="5BCB123D">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9.14煎煮设备煎煮完成后，应做到一方一清洁，减少人工；煎煮设备的清洗应最大程度的减少能耗；供货时提供详细方案说明。</w:t>
            </w:r>
          </w:p>
          <w:p w14:paraId="38D172DE">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●9.15煎煮完成的煎药锅须进行刷锅，清洗，漂洗等多道工序，完成煎药锅的清洁作业。</w:t>
            </w:r>
          </w:p>
          <w:p w14:paraId="3A23B06A">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●9.16煎药锅自动刷锅工作时应覆盖煎药锅与药液直接接触面，包括但不限于渣液分离滤网（双面）、锅内壁，设备供应方应提供刷锅工作结构详图。</w:t>
            </w:r>
          </w:p>
          <w:p w14:paraId="6B068FF4">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9.17煎药锅自动清洗工作时洁净水应覆盖煎药锅与药液直接接触面，做到无死角清洗。</w:t>
            </w:r>
          </w:p>
          <w:p w14:paraId="00DB0FEE">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9.18煎煮设备的容积不小于35L。</w:t>
            </w:r>
          </w:p>
          <w:p w14:paraId="00212954">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9.19灌装设备应根据处方自动匹配灌装工位，自动灌装。</w:t>
            </w:r>
          </w:p>
          <w:p w14:paraId="5385615F">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9.20灌装设备的灌装药包容量可在50ml-250ml间自动设定，灌装药包容量＜100ml的误差范围为±10%，灌装药包容量≥100ml的误差范围为±5%。</w:t>
            </w:r>
          </w:p>
          <w:p w14:paraId="14DBE9D9">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9.21灌装设备应有加热保温功能。</w:t>
            </w:r>
          </w:p>
          <w:p w14:paraId="73DF2A02">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●9.22灌装设备在灌装时应进行过滤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保证灌装后的药包内无明显的药渣，可根据用户需求动态调整过滤网目数；过滤后的药渣应保证不污染下一处方。</w:t>
            </w:r>
          </w:p>
          <w:p w14:paraId="36D679CC">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●9.23灌装设备所使用的包装复合膜应为市面常见且通用的食品级或药用级复合膜，应在灌装后的每袋药包上张贴1张与处方信息相关的由激光打印机打印的热敏标签，字迹清晰，贴标整体良率不低于99%。</w:t>
            </w:r>
          </w:p>
          <w:p w14:paraId="23206771">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9.24灌装设备灌装完成后，做到一方一清洁，每次清洗应采用煮沸后的热水（水温不低于80℃），设备供应方应提供热水制备设备。</w:t>
            </w:r>
          </w:p>
          <w:p w14:paraId="0D50143E">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●9.25煎好的药渣应自动除渣、自动转运至集中的唯一药渣桶，无须人工参与；供货时提供详细的方案说明。</w:t>
            </w:r>
          </w:p>
          <w:p w14:paraId="5AE033D0">
            <w:pPr>
              <w:pStyle w:val="48"/>
              <w:spacing w:line="360" w:lineRule="auto"/>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▲9.26提供不少于1台成品复核设备。</w:t>
            </w:r>
            <w:r>
              <w:rPr>
                <w:rFonts w:hint="eastAsia" w:ascii="宋体" w:hAnsi="宋体" w:eastAsia="宋体" w:cs="宋体"/>
                <w:color w:val="auto"/>
                <w:sz w:val="21"/>
                <w:highlight w:val="none"/>
              </w:rPr>
              <w:t>需要提供技术支持资料，应按如下任一方式提供。</w:t>
            </w:r>
          </w:p>
          <w:p w14:paraId="4FFE245D">
            <w:pPr>
              <w:pStyle w:val="48"/>
              <w:spacing w:line="360" w:lineRule="auto"/>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（1）生产厂家的宣传彩页或配置清单，提供复印件加盖竞标人电子签章。</w:t>
            </w:r>
          </w:p>
          <w:p w14:paraId="11E60D67">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（2）国家认定的第三方认证（检测）机构出具认证证书（检测报告）或国际机构第三方认证报告，提供复印件加盖竞标人电子签章。</w:t>
            </w:r>
          </w:p>
          <w:p w14:paraId="693E4D2C">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9.27成品复核设备应包含成品影像留存，标签补打等功能。</w:t>
            </w:r>
          </w:p>
          <w:p w14:paraId="001D9773">
            <w:pPr>
              <w:spacing w:line="42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三、信息系统软件 </w:t>
            </w:r>
          </w:p>
          <w:p w14:paraId="5EA24DB9">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1.中药智能煎制信息管理系统1套</w:t>
            </w:r>
          </w:p>
          <w:p w14:paraId="593A63CC">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功能有系统管理、处方管理、任务查询及管理、质控管理、生产在线查询质控、生产溯源信息、对账、统计分析及物流下单功能；对煎制业务提供辅助审方、辅助工艺匹配、处方分类汇总、在线状态跟踪、质量追溯等服务。</w:t>
            </w:r>
          </w:p>
          <w:p w14:paraId="728D0279">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2.智能煎制手持软件1套</w:t>
            </w:r>
          </w:p>
          <w:p w14:paraId="4C66CF9B">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主要功能有移动端请配货、处方代煎流程管理模块、快递下单打单、辅助异常处理及移动终端查询等功能。</w:t>
            </w:r>
          </w:p>
          <w:p w14:paraId="44A9B387">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3.中药智能煎制物流管理系统软件1套</w:t>
            </w:r>
          </w:p>
          <w:p w14:paraId="59925FB6">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主要负责整个生产的物流的调度及环型设备等各位工位协同的最优分配策略、加水量的计算、煎煮方案接收与下发、出入库策略、人机交互协同等功能。</w:t>
            </w:r>
          </w:p>
          <w:p w14:paraId="08C86CD9">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4.中药智能煎制物流控制系统软件1套</w:t>
            </w:r>
          </w:p>
          <w:p w14:paraId="1BD81798">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主要负责与PLC（可编辑逻辑控制器）的信息交互、设备状态的采集、设备的控制、设备任务下发、上层业务系统的数据供给等等。</w:t>
            </w:r>
          </w:p>
          <w:p w14:paraId="2CBBF2AA">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5.中药智能煎制管理网关 1套</w:t>
            </w:r>
          </w:p>
          <w:p w14:paraId="1F7D2389">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主要负责煎煮设备的监控、设备异常的远程处理及控制，各种标签、处方打印机等等设备的管理及控制、与现场单片的交互通讯，协同作业等功能。</w:t>
            </w:r>
          </w:p>
          <w:p w14:paraId="6D4D9EFD">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6.驾驶舱1套</w:t>
            </w:r>
            <w:r>
              <w:rPr>
                <w:rFonts w:hint="eastAsia" w:ascii="宋体" w:hAnsi="宋体" w:eastAsia="宋体" w:cs="宋体"/>
                <w:color w:val="auto"/>
                <w:sz w:val="21"/>
                <w:szCs w:val="21"/>
                <w:highlight w:val="none"/>
                <w:shd w:val="clear" w:color="auto" w:fill="FFFFFF"/>
              </w:rPr>
              <w:tab/>
            </w:r>
          </w:p>
          <w:p w14:paraId="0C24B3E9">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主要展示在产和未产量、医院处方量等分析图；现场的饮片供应情况、处方状态监控、煎煮状态展现、现场异常的集中化展示等功能。</w:t>
            </w:r>
          </w:p>
          <w:p w14:paraId="248F1EDB">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7.微信小程序1套</w:t>
            </w:r>
          </w:p>
          <w:p w14:paraId="46EA6AFA">
            <w:pPr>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支持将查询入口嵌入至政府/医疗机构/饮片企业/第三方等官方公众号、小程序等入口；支持用户通过扫描药包条码、登录认证的手机号或处方号从单独链接、公众号或小程序进行查询煎制溯源信息（包含处方流程节点、流程执行时间、煎煮温度曲线等信息）、药品物流配送信息。</w:t>
            </w:r>
          </w:p>
          <w:p w14:paraId="44F244B5">
            <w:pPr>
              <w:widowControl/>
              <w:spacing w:line="42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8.具本要求如下：</w:t>
            </w:r>
          </w:p>
          <w:p w14:paraId="14D25E02">
            <w:pPr>
              <w:spacing w:line="360" w:lineRule="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8.1系统软件要求</w:t>
            </w:r>
          </w:p>
          <w:p w14:paraId="38237A0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中药智能化煎制系统软件功能主要划分为生产调度管理系统、煎制管理系统、煎制手持管理系统、药品对账管理系统、生产统计分析管理系统、驾驶舱、患者端查询系统、其它相关系统要求等部分。</w:t>
            </w:r>
          </w:p>
          <w:p w14:paraId="35FF304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8.2生产调度管理系统</w:t>
            </w:r>
          </w:p>
          <w:p w14:paraId="43E87EC6">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8.2.1系统支持处方代煎制作流程的记录；</w:t>
            </w:r>
          </w:p>
          <w:p w14:paraId="1E4F04B8">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8.2.2处方如须采取特殊煎煮方案，系统应支持手动修改；</w:t>
            </w:r>
          </w:p>
          <w:p w14:paraId="381BB358">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8.2.3支持自动加水浸泡，加水量可根据组成处方的药品吸水量进行精准计算；</w:t>
            </w:r>
          </w:p>
          <w:p w14:paraId="442BEEDA">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8.2.4支持药品浸泡自动计时；</w:t>
            </w:r>
          </w:p>
          <w:p w14:paraId="7FB4DB59">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8.2.5系统支持自动煎煮，可通过温度进行煎煮自动系统调节；</w:t>
            </w:r>
          </w:p>
          <w:p w14:paraId="115A86FB">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8.2.6系统支持处方生产溯源。从订单审核后的处方排产、煎煮方案、药品浸泡、煎煮、包装、物流到全过程记录以相关数据保存；</w:t>
            </w:r>
          </w:p>
          <w:p w14:paraId="272A2467">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8.2.7系统支持方自动一煎、二煎（二煎时自动加水）、先煎、后下功能及具备烊化、炖化等特殊处理方案；</w:t>
            </w:r>
          </w:p>
          <w:p w14:paraId="343B7986">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8.2.8系统煎煮模式方案满足：预设一般药物、解表类、滋补类等常用煎煮模式，以及用户自定义模式；</w:t>
            </w:r>
          </w:p>
          <w:p w14:paraId="1960907A">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8.2.9系统可根据处方加工流程，自动匹配灌装工位，自动灌装；</w:t>
            </w:r>
          </w:p>
          <w:p w14:paraId="7016774F">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8.2.10系统支持自动贴标，同时可根据不同的机构配置不同的标签模板。</w:t>
            </w:r>
          </w:p>
          <w:p w14:paraId="0FEEF3D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8.3煎制管理系统</w:t>
            </w:r>
          </w:p>
          <w:p w14:paraId="21B11913">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8.3.1中药智能煎制接审方管理单元：支持将接审后的电子处方自动转换为煎煮生产任务。任务可根据接审方时预设的处方煎药方案、一煎二煎、先煎后下、灌装贴标/打码、成品复核等全流程生产任务；</w:t>
            </w:r>
          </w:p>
          <w:p w14:paraId="1839355B">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8.3.2中药智能煎制快递物流管理单元：支持快递公司接口（顺丰等主流快递公司）对接，支持定制开发对接其他物流公司；支持自动生成配送交接签收单；</w:t>
            </w:r>
          </w:p>
          <w:p w14:paraId="278578BB">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8.3.3中药智能煎制质控管理单元：支持通过处方号、患者姓名、医院名称、时间段等多种条件组合模糊/精准查询煎制的处方信息；支持查看单个处方信息的煎制详情，包含处方（基本）处方信息、煎煮灌装详细信息、处方流程节点等信息；支持将以上信息生成pdf格式的质控报告，支持导出将质控报告pdf；</w:t>
            </w:r>
          </w:p>
          <w:p w14:paraId="47FBF85D">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8.3.4中药智能煎制溯源管理单元：支持处方从加水、泡药、煎药、包装、成品、发货、物流到信息追溯；可对接种植及饮片加工追溯平台，实现从种植、饮片生产、饮片使用、处方审方、调配、煎煮、包装、物流信息等全产业链过程追溯，以及煎药状态查询。</w:t>
            </w:r>
          </w:p>
          <w:p w14:paraId="28FFCA1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8.4煎制手持管理系统</w:t>
            </w:r>
          </w:p>
          <w:p w14:paraId="0F4D2BE1">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煎制辅助管理模块：智能煎制辅助管理通过手持终端设备辅助完成人工请配货作业、煎煮（设备）信息查询及人工煎煮辅助作业。主要功能包含移动端请配货、辅助人工处理及移动终端查询等功能。终端数量无限制授权。</w:t>
            </w:r>
          </w:p>
          <w:p w14:paraId="2D34E47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8.5药品对账管理系统</w:t>
            </w:r>
          </w:p>
          <w:p w14:paraId="685E25C3">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系统应支持分医院、提供按月、季的结算依据，如饮片的用量查询，实现对医院、诊所、互联网医院等不同医疗机构的用量查询，对账管理。</w:t>
            </w:r>
          </w:p>
          <w:p w14:paraId="4756BC6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8.6生产统计分析管理系统</w:t>
            </w:r>
          </w:p>
          <w:p w14:paraId="11172633">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系统支持以下报表统计（包括但不限于）：药品出库统计、员工业绩、配送统计、药品总库存汇总、医生处方量统计、医院处方量统计、药品明细查询、医院协定方统计、药品入库统计等。能够满足对药品管理、员工绩效管理、机构结算管理、处方管理、数据分析等方面的报表需求；</w:t>
            </w:r>
          </w:p>
          <w:p w14:paraId="2D5997C4">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8.6.2各工位日报查询表，实现对员工、煎药设备工作量统计、泡药、煎药、发货环节及配送统计；</w:t>
            </w:r>
          </w:p>
          <w:p w14:paraId="2658FB3D">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8.6.3每个订单的煎药报告；</w:t>
            </w:r>
          </w:p>
          <w:p w14:paraId="4F2206B4">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8.6.4按照调配方式、饮片等多维度统计分析；</w:t>
            </w:r>
          </w:p>
          <w:p w14:paraId="10243E4B">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8.6.5实现综合查询功能，对处方整体煎药流程的记录信息查询（泡药人员、泡药时间、煎药人员、煎药时间、包装、发货等），并提供煎药温度曲线；</w:t>
            </w:r>
          </w:p>
          <w:p w14:paraId="602E20B4">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8.6.6设备管理查询；</w:t>
            </w:r>
          </w:p>
          <w:p w14:paraId="3A030647">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8.6.7基于以上的自定义查询，实现查询条件及数据列表字段可配；</w:t>
            </w:r>
          </w:p>
          <w:p w14:paraId="26D77919">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8.6.8打印机、煎煮设备、包装贴标设备等设备信息管理；</w:t>
            </w:r>
          </w:p>
          <w:p w14:paraId="34196689">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8.6.9设备的运行状态；</w:t>
            </w:r>
          </w:p>
          <w:p w14:paraId="53CE1DF3">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8.6.10对设备的使用情况进行监控查询；</w:t>
            </w:r>
          </w:p>
          <w:p w14:paraId="1006C100">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8.6.11设备基础能耗及环境温湿度查询；</w:t>
            </w:r>
          </w:p>
          <w:p w14:paraId="7068C779">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8.6.12展示当天的处方处理量；</w:t>
            </w:r>
          </w:p>
          <w:p w14:paraId="711ED3C0">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8.6.13各个工序的待处理处方量等；</w:t>
            </w:r>
          </w:p>
          <w:p w14:paraId="557B80D2">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8.6.14容错提示；</w:t>
            </w:r>
          </w:p>
          <w:p w14:paraId="4DAF64A7">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8.6.15工位工作量进度表；</w:t>
            </w:r>
          </w:p>
          <w:p w14:paraId="2EC638A5">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8.6.16支持快递单号查询、并根据快递单查询对应处方单。</w:t>
            </w:r>
          </w:p>
          <w:p w14:paraId="3374B66B">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8.7驾驶仓</w:t>
            </w:r>
          </w:p>
          <w:p w14:paraId="57C516C1">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8.7.1生产辅助数智驾驶仓：</w:t>
            </w:r>
          </w:p>
          <w:p w14:paraId="7000C3B3">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8.7.1.1处方数据展示：煎制中心总处方量、当日处方量、近一周处方量折线图；</w:t>
            </w:r>
          </w:p>
          <w:p w14:paraId="2BC46449">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8.7.1.2生产饮片数据：煎制中心近一周每日的处方量、对应总包数、煎煮合格率等数据上下滚动展示；</w:t>
            </w:r>
          </w:p>
          <w:p w14:paraId="7C011AC3">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8.7.1.3设备运行信息：煎制中心近一周每日设备总数、各区域（煎煮、载体、清洗等）设备数、每日设备异常数、每日异常处理数；</w:t>
            </w:r>
          </w:p>
          <w:p w14:paraId="20050455">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8.7.1.4生产信息展示：近一周煎制中心处方总数、平均加水时间、平均煎煮时间、浓缩率、包装耗时、成品复核耗时、饮片消耗总量等数据上下滚动数据展示。</w:t>
            </w:r>
          </w:p>
          <w:p w14:paraId="5091ACD1">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8.7.2质量管理数智驾驶仓：</w:t>
            </w:r>
          </w:p>
          <w:p w14:paraId="2B104D35">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8.7.2.1合格率雷达图：近一周煎煮合格率、包装合格率轮流展示；</w:t>
            </w:r>
          </w:p>
          <w:p w14:paraId="463C1001">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8.7.2.2偏差统计：近一周审方偏差数、称重偏差数的数据展示；</w:t>
            </w:r>
          </w:p>
          <w:p w14:paraId="6BBCB2DC">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8.7.2.3煎煮任务监控：近一周重煎率、煎煮时长偏差率、浓缩率数据展示；</w:t>
            </w:r>
          </w:p>
          <w:p w14:paraId="4A3A0BBD">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8.7.2.4质量实时看板：近一周审方准确率、重煎率、灌装合格率、包装合格率、配送延误率、清洗合格率、标签合格率破爆率等数据展示。</w:t>
            </w:r>
          </w:p>
          <w:p w14:paraId="2424B5AB">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8.7.3医疗机构数智驾驶仓：</w:t>
            </w:r>
          </w:p>
          <w:p w14:paraId="2786A515">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8.7.3.1代煎总处方量数据、今日处方量数据、近一周处方量折线图数据等展示；</w:t>
            </w:r>
          </w:p>
          <w:p w14:paraId="12D32E38">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8.7.3.2近一周处方生产产能的数据折线图展示；</w:t>
            </w:r>
          </w:p>
          <w:p w14:paraId="5671BE22">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8.7.3.3生产中处方当前状态数据展示。</w:t>
            </w:r>
          </w:p>
          <w:p w14:paraId="294CC81E">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8.7.4医院宣传数智看板：</w:t>
            </w:r>
          </w:p>
          <w:p w14:paraId="25B2B191">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8.7.4.1支持当日处方总数据概览：显示当日浸泡处方数、在煎处方数、完成复核数的处方；</w:t>
            </w:r>
          </w:p>
          <w:p w14:paraId="7E215438">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8.7.4.2支持近半月/一月处方处方完成数量对比统计折线图；</w:t>
            </w:r>
          </w:p>
          <w:p w14:paraId="1051363D">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8.7.4.3支持对接入医院处方总数统计，对单个医院处方占比以饼图的方式进行展示；</w:t>
            </w:r>
          </w:p>
          <w:p w14:paraId="13DBCF71">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8.7.4.4支持对处方数据进行监控：包含处方号、处方来源、患者姓名（脱敏）、帖数、流程节点、当前工位等数据滚动展示；</w:t>
            </w:r>
          </w:p>
          <w:p w14:paraId="528CE63D">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8.7.4.5支持对平台累计服务人次，并按年龄段统计进行统计展示；</w:t>
            </w:r>
          </w:p>
          <w:p w14:paraId="1FD4C70F">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8.7.4.6支持对日均处方量及日均处方贴数进行统计展示。</w:t>
            </w:r>
          </w:p>
          <w:p w14:paraId="0A227C1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8.8患者端查询系统</w:t>
            </w:r>
          </w:p>
          <w:p w14:paraId="0DD91E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1.支持将查询入口嵌入至政府/医疗机构/饮片企业/第三方等官方公众号、小程序等入口；</w:t>
            </w:r>
          </w:p>
          <w:p w14:paraId="3D636D96">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2.支持用户通过扫描药包条码、登录认证的手机号或处方号从单独链接、公众号或小程序进行查询煎制溯源信息（包含处方流程节点、流程执行时间、煎煮温度曲线等信息）、药品物流配送信息。</w:t>
            </w:r>
          </w:p>
          <w:p w14:paraId="005EACB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8.9其它相关系统要求</w:t>
            </w:r>
          </w:p>
          <w:p w14:paraId="4F5B05AA">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8.9.1系统需要具备较强的可配置性，可选字段单独功能字典管理，用户前台可配置；</w:t>
            </w:r>
          </w:p>
          <w:p w14:paraId="7B1AEC86">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8.9.2系统数据库完善的备份机制，提供可靠的、易操作的数据备份方法和机制,做好系统关键数据的备份，确保出现紧急情况时数据安全，并能在UPS不间断电源瞬时切换供电时，自动保存当前煎煮参数、配方信息及运行状态。即使在电网故障时，也应能完整保留煎煮数据、时间设定等核心数据，待电力恢复后无缝继续煎煮流程，避免数据丢失。</w:t>
            </w:r>
          </w:p>
          <w:p w14:paraId="20499D73">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8.9.3在系统维保期内，</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rPr>
              <w:t>需提供标准化系统接口并免费提供对接、调试服务；</w:t>
            </w:r>
          </w:p>
          <w:p w14:paraId="212B529C">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8.9.4支持接口定制化开发（在一定条件内免费定制开发）；</w:t>
            </w:r>
          </w:p>
          <w:p w14:paraId="68674ECA">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8.9.5自动加水支持数据采集计算，并不断完善算法；</w:t>
            </w:r>
          </w:p>
          <w:p w14:paraId="56067D62">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8.9.6系统管理支持用户管理、角色管理、部门管理、权限管理、菜单管理、日志查看等功能；</w:t>
            </w:r>
          </w:p>
          <w:p w14:paraId="3BCDA6AE">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8.9.7系统平台应用应具有异常处理的功能，如错误数据修改、返工处理等；</w:t>
            </w:r>
          </w:p>
          <w:p w14:paraId="0FBAA6DF">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8.9.8药品管理：支持维护（新增、编辑、删除等）煎药中心的饮片信息(药品编码、药品名称等信息)；支持自定义设置超剂量、配伍禁忌等规则；</w:t>
            </w:r>
          </w:p>
          <w:p w14:paraId="1A23D58D">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8.9.9系统故障信息报错准确；</w:t>
            </w:r>
          </w:p>
          <w:p w14:paraId="0DF5DEA3">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8.9.10支持按照医院设置默认不同的配送方式；</w:t>
            </w:r>
          </w:p>
          <w:p w14:paraId="732B832C">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8.9.11服务器支持本地化部署，系统服务器本地化部署；</w:t>
            </w:r>
          </w:p>
          <w:p w14:paraId="7F7831D2">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8.9.12其他相关显示终端及硬件选用行业领先品牌；</w:t>
            </w:r>
          </w:p>
          <w:p w14:paraId="0A2A86E0">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8.9.13系统在出现bug及影响生产顺利进行的问题终身免费维护更新；</w:t>
            </w:r>
          </w:p>
          <w:p w14:paraId="54E91A56">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8.9.14预留与HIS、WMS、SAP、ERP、MES、溯源系统及其他处方平台和库存管理系统的等信息化系统标准接口；</w:t>
            </w:r>
          </w:p>
          <w:p w14:paraId="361053B8">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8.9.15系统支持煎药订单状态、物流单据的数据交互。支持订单状态节点的筛选；</w:t>
            </w:r>
          </w:p>
          <w:p w14:paraId="75A2887C">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8.9.16系统及接口具备完善的日志功能。</w:t>
            </w:r>
          </w:p>
          <w:p w14:paraId="00D9E00A">
            <w:pPr>
              <w:spacing w:line="360" w:lineRule="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四、物流系统要求</w:t>
            </w:r>
          </w:p>
          <w:p w14:paraId="3BA30937">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1.从饮片自动加水到汤剂灌装采用自动化形式。</w:t>
            </w:r>
          </w:p>
          <w:p w14:paraId="39469384">
            <w:pPr>
              <w:pStyle w:val="48"/>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●2.中药智能煎煮系统中与饮片直接接触的浸泡和煎煮载具在流转作业过程中应由智能物流系统全自动调度输送，流转全程无人员参与，载具流转信息与处方信息关联，杜绝信息错乱，保证生产安全。</w:t>
            </w:r>
          </w:p>
          <w:p w14:paraId="6F71F680">
            <w:pPr>
              <w:spacing w:line="360" w:lineRule="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五、系统应急保障措施要求</w:t>
            </w:r>
          </w:p>
          <w:p w14:paraId="6D051A5C">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1.系统需具备不停产的相关保障措施，包括加水、煎煮、包装、出渣等所有工序，由设备供应方进行识别并给出具体方案。</w:t>
            </w:r>
          </w:p>
          <w:p w14:paraId="1DF4DD4B">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2.关键设备采用模块化设计，分布式控制。</w:t>
            </w:r>
          </w:p>
          <w:p w14:paraId="4883BFA2">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3.系统应有网络通讯保障机制。</w:t>
            </w:r>
          </w:p>
          <w:p w14:paraId="094EDA26">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4.提供设备所需常用备品备件及清单。</w:t>
            </w:r>
          </w:p>
          <w:p w14:paraId="37931E7B">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5.设备供应方应提供维护保养方案。</w:t>
            </w:r>
          </w:p>
          <w:p w14:paraId="4CA26C05">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6.设备供应方应具备运行保障管理系统，实现设备维修管理、设备周期性运行保养计划、备品备件管理等功能。</w:t>
            </w:r>
          </w:p>
          <w:p w14:paraId="052D2946">
            <w:pPr>
              <w:pStyle w:val="48"/>
              <w:ind w:firstLine="0" w:firstLineChars="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六、安全要求</w:t>
            </w:r>
          </w:p>
          <w:p w14:paraId="72205D6C">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1.设备运行时，在距设备1m、距地面1.2m以上的位置测量，噪声不超过80db（A）。</w:t>
            </w:r>
          </w:p>
          <w:p w14:paraId="5086BE7A">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2.设备的电源开关具备断电上锁功能。</w:t>
            </w:r>
          </w:p>
          <w:p w14:paraId="7F0DA3B6">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3.设备危险可动零部件应装有防护装置，人员易于接近的运动部位须设有防护罩，可保证无人员与运行部件接触而受伤害的风险。</w:t>
            </w:r>
          </w:p>
          <w:p w14:paraId="660115D7">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4.设备防护罩的材质为结实、耐用、方便的材料。</w:t>
            </w:r>
          </w:p>
          <w:p w14:paraId="692BD44D">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5.防护罩设有安全连锁装置，与设备启停联控。</w:t>
            </w:r>
          </w:p>
          <w:p w14:paraId="34EE9EA2">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6.在人员易接近的位置装设急停按钮，保证意外情况发生时能立即停机。</w:t>
            </w:r>
          </w:p>
          <w:p w14:paraId="1A2D68C6">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7.停开关安装位置避免误碰，除触摸屏上的开关以外，所有急停开关均应安装硬质保护套。</w:t>
            </w:r>
          </w:p>
          <w:p w14:paraId="1ACE2449">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8.断电或急停开关按下后需要手动复位后才能启动设备。</w:t>
            </w:r>
          </w:p>
          <w:p w14:paraId="031E5B66">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9.电气设备应安装短路、断路、过载、接地等安全保扩装置，有漏电保护功能（强电分路检测，弱电分类检测）。</w:t>
            </w:r>
          </w:p>
          <w:p w14:paraId="637BA848">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10.操作屏转动角度设置限位，避免内置线转断造成漏电现象。</w:t>
            </w:r>
          </w:p>
          <w:p w14:paraId="06795D87">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11.设备出现紧急故障时能自动停机保护，设备断电或故障时，机器能立即停稳，以保护操作工、设备和产品。恢复供电或故障排除后设备不能自动开机，必须人工启动。</w:t>
            </w:r>
          </w:p>
          <w:p w14:paraId="02162E82">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12.如果设备功能失调或失控，应该按照以下优先级别保护：人员→设备→生产的产品。</w:t>
            </w:r>
          </w:p>
          <w:p w14:paraId="1ECE945F">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13.设备外罩或部件边缘光滑，无锋利锐角，无对操作人员造成划伤的风险。</w:t>
            </w:r>
          </w:p>
          <w:p w14:paraId="484AE8E1">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14.任何有潜在触电危险性部位必须有清晰明显的警示标识。</w:t>
            </w:r>
          </w:p>
          <w:p w14:paraId="15C7B648">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15.机械转动部位应设有有效防护设施和清晰明显的警示标识。</w:t>
            </w:r>
          </w:p>
          <w:p w14:paraId="46AB6FB9">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16.配设专用吊装工位和吊装部件，保证设备吊装运输安全。</w:t>
            </w:r>
          </w:p>
          <w:p w14:paraId="2935E9EA">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17.设备应贴有标准的设备铭牌，铭牌上应注明名称、产地、出厂日期、型号、重量及其它重要技术参数，并配有中文说明。</w:t>
            </w:r>
          </w:p>
          <w:p w14:paraId="229EE069">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18.煎药设备具有防温度过高温和防干烧功能。</w:t>
            </w:r>
          </w:p>
          <w:p w14:paraId="065048AA">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19.具有电流保护装置，保证操作人员人身安全。</w:t>
            </w:r>
          </w:p>
          <w:p w14:paraId="1B15E124">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20设备安全警示标示齐全。</w:t>
            </w:r>
          </w:p>
          <w:p w14:paraId="5E2A1419">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21.设备可靠接地，在使用过程中不产生静电。</w:t>
            </w:r>
          </w:p>
          <w:p w14:paraId="23627AA2">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22.设备电源或高温管线做好隐蔽或保温，防止触电或烫伤。</w:t>
            </w:r>
          </w:p>
          <w:p w14:paraId="11D9EBBC">
            <w:pPr>
              <w:pStyle w:val="48"/>
              <w:ind w:firstLine="0" w:firstLineChars="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七、系统设备工艺要求</w:t>
            </w:r>
          </w:p>
          <w:p w14:paraId="6CDA1245">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1.直接与药物接触的煎药和包装容器应选用耐腐蚀、耐高温、不脱落、无毒、不易与药汁起反应、不释放有害物质的材质，以陶瓷、玻璃、食品级304不锈钢等材料，不得使用铝、铁和普通塑料制品。</w:t>
            </w:r>
          </w:p>
          <w:p w14:paraId="1EBFFA8B">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●2.煎煮设备应做到“一方一清洁”，煎煮设备与药液接触部分应做到无清洁死角（结构件所有R角半径不小于5mm），设备供应方应提供煎药锅与药液直接接触面的结构件R角尺寸详图。</w:t>
            </w:r>
          </w:p>
          <w:p w14:paraId="14CE0F95">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3.设备外表面应平整、易于清洁、防锈蚀处理的零件表面涂层应平整、光滑、无脱落、无气泡。</w:t>
            </w:r>
          </w:p>
          <w:p w14:paraId="77CBEBEE">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4.设备与厂房地面连接结构的设计须确保不破坏厂房设施、无死角、易清洁，易维护保养。</w:t>
            </w:r>
          </w:p>
          <w:p w14:paraId="0D655445">
            <w:pPr>
              <w:pStyle w:val="48"/>
              <w:ind w:firstLine="0" w:firstLineChars="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八、包装运输要求</w:t>
            </w:r>
          </w:p>
          <w:p w14:paraId="32BC725A">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1.设备出厂包装应满足运输和装卸要求，能够防潮湿、防磕碰和防振动。</w:t>
            </w:r>
          </w:p>
          <w:p w14:paraId="5DA3A40A">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2.设备到货清单必须详列每个包装箱的内容物。</w:t>
            </w:r>
          </w:p>
          <w:p w14:paraId="4E72E472">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3.煎煮设备供应方应负责办理设备运输相关手续，并承担运输费用，且运输时间应包含于供货周期内。</w:t>
            </w:r>
          </w:p>
          <w:p w14:paraId="7C42BFD7">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4.供货方负责送货到医院煎煮中心指定地点，并负责到货后的搬运、吊装及到位。</w:t>
            </w:r>
          </w:p>
          <w:p w14:paraId="47564A5F">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5.货物的开箱启包和检查要在设备安装现场进行，应由双方各派代表参加；根据运单和装箱单查对设备及其配套件的数量和质量；同时将检查结果准确填入《设备开箱验收记录》并签字。</w:t>
            </w:r>
          </w:p>
          <w:p w14:paraId="77772C9B">
            <w:pPr>
              <w:pStyle w:val="48"/>
              <w:ind w:firstLine="0" w:firstLineChars="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九、文件资料要求</w:t>
            </w:r>
          </w:p>
          <w:p w14:paraId="694C457E">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1.煎煮中心煎煮系统供货方在接到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通知书10天内提供设备安装布置图（长、宽、高）。</w:t>
            </w:r>
          </w:p>
          <w:p w14:paraId="3CCD27C6">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2.煎煮中心煎煮系统供货方在接到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通知书10 天内提供基建、设备能源及配套设施提资图（水、电、气、其他）。</w:t>
            </w:r>
          </w:p>
          <w:p w14:paraId="0C1B1F66">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3.在发货前提供发货清单并详列每装箱内容物。</w:t>
            </w:r>
          </w:p>
          <w:p w14:paraId="62B50487">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与到货设备名称与型号一致的设备操作、维护保养手册，内容为中文，纸版3份/套，内容至少包括设备原理及结构说明图、技术与能耗参数、设备运输及安装要求、设备安全操作规程、设备维护保养清单、设备润滑示意图、规格切换调整方法、设备常见故障及排除方法等。</w:t>
            </w:r>
          </w:p>
          <w:p w14:paraId="0EE809F2">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5.提供标准作业程序（SOP）文件，包括操作、清洁、维护、保养等规程和清理、润滑、电路、气路等点检表。</w:t>
            </w:r>
          </w:p>
          <w:p w14:paraId="6B51744D">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6.在设备调试期前10天内提供系统调试所需要的物料（饮片、耗材）及人员提资表。</w:t>
            </w:r>
          </w:p>
          <w:p w14:paraId="130BD111">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7.提供备品备件清单，提供易损易耗件清单，内容至少包括备件型号、更换周期、使用数量等。需有配件编码。</w:t>
            </w:r>
          </w:p>
          <w:p w14:paraId="5A8F4AD1">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8.提供随机工具清单。</w:t>
            </w:r>
          </w:p>
          <w:p w14:paraId="1274F89E">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9.提供人员培训资料。</w:t>
            </w:r>
          </w:p>
          <w:p w14:paraId="122AACD0">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10.提供设备合格证。</w:t>
            </w:r>
          </w:p>
          <w:p w14:paraId="093BD58E">
            <w:pPr>
              <w:pStyle w:val="48"/>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11.数据模板、接口技术文档、测试报告、操作手册、系统上线运行报告、验收报告等所有项目过程资料。</w:t>
            </w:r>
          </w:p>
          <w:p w14:paraId="2BA50F3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12.控制及信息系统软件清单、版本号和备份软件，电脑端及手持端安装包，软件及服务器维护手册。</w:t>
            </w:r>
          </w:p>
          <w:p w14:paraId="5A31F758">
            <w:pPr>
              <w:pStyle w:val="2"/>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十、项目建设基本要求</w:t>
            </w:r>
          </w:p>
          <w:p w14:paraId="4786857B">
            <w:pPr>
              <w:jc w:val="lef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1.建设要求</w:t>
            </w:r>
          </w:p>
          <w:p w14:paraId="6C5ED85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的设备硬件和软件是整体生产体系的一部分，可独立运行。</w:t>
            </w:r>
          </w:p>
          <w:p w14:paraId="6CBD1E33">
            <w:pPr>
              <w:jc w:val="lef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2.环境及条件</w:t>
            </w:r>
          </w:p>
          <w:p w14:paraId="6127A279">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建设环境：竞标人应根据方案设计，对系统运行环境给予对应的要求；如需要采购人配套建设的部分在磋商响应文件中予以告知。</w:t>
            </w:r>
          </w:p>
          <w:p w14:paraId="3923DA7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周边条件：</w:t>
            </w:r>
          </w:p>
          <w:p w14:paraId="42915AE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2.1建筑：采购人提供建筑及装修相关的建设，竞标人提供的方案中如对建筑的特殊要求的，应在</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后的技术联络中予以明确，并提交相关要求材料。</w:t>
            </w:r>
          </w:p>
          <w:p w14:paraId="5B6DC21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2.2电源：竞标人应给出设计方案实际所需电源类型、容量和位置图，供电点及以上部分由采购人负责建设。供电点以下的供电线路由成交人负责建设。</w:t>
            </w:r>
          </w:p>
          <w:p w14:paraId="56D9F0E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2.3气源：竞标人应提供系统气源由</w:t>
            </w:r>
            <w:r>
              <w:rPr>
                <w:rFonts w:hint="eastAsia" w:ascii="宋体" w:hAnsi="宋体" w:cs="宋体"/>
                <w:color w:val="auto"/>
                <w:sz w:val="21"/>
                <w:szCs w:val="21"/>
                <w:highlight w:val="none"/>
                <w:lang w:val="en-US" w:eastAsia="zh-CN"/>
              </w:rPr>
              <w:t>竞标人</w:t>
            </w:r>
            <w:r>
              <w:rPr>
                <w:rFonts w:hint="eastAsia" w:ascii="宋体" w:hAnsi="宋体" w:eastAsia="宋体" w:cs="宋体"/>
                <w:color w:val="auto"/>
                <w:sz w:val="21"/>
                <w:szCs w:val="21"/>
                <w:highlight w:val="none"/>
              </w:rPr>
              <w:t>负责建设。</w:t>
            </w:r>
          </w:p>
          <w:p w14:paraId="32E6556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2.4水源：竞标人应给出设计方案实际所需水源类型、流量及位置图，供水口及以上部分由采购人负责建设。供水口以下的供水管路由成交人负责建设。</w:t>
            </w:r>
          </w:p>
          <w:p w14:paraId="1560CDC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2.5信息源：竞标人应提供系统网口需求规格、数量及位置图，信息源口及以上部分由采购人负责建设。信息源口以下的线路铺设由成交人负责。</w:t>
            </w:r>
          </w:p>
          <w:p w14:paraId="5F05116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2.6视频监控源：竞标人应提供系统视频监控数量及位置图，所有建设由采购人联合其它楼层负责统一建设。</w:t>
            </w:r>
          </w:p>
          <w:p w14:paraId="3B39A6E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三废：竞标人应提供系统生产过程中产生的废水、废渣、废气建设的相关技术要求。所有与三废相关的废水处理设备及管路，废渣的收集、处理和转运设备，废气的收集和排气设备及管路，均由采购人负责统一建设。</w:t>
            </w:r>
          </w:p>
          <w:p w14:paraId="7EBD2B0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如设备需求以上条件或未提及的条件，又需要采购人自行建设配套的，请在</w:t>
            </w:r>
            <w:r>
              <w:rPr>
                <w:rFonts w:hint="eastAsia" w:ascii="宋体" w:hAnsi="宋体" w:cs="宋体"/>
                <w:color w:val="auto"/>
                <w:sz w:val="21"/>
                <w:szCs w:val="21"/>
                <w:highlight w:val="none"/>
                <w:lang w:val="en-US" w:eastAsia="zh-CN"/>
              </w:rPr>
              <w:t>磋商响应文件</w:t>
            </w:r>
            <w:r>
              <w:rPr>
                <w:rFonts w:hint="eastAsia" w:ascii="宋体" w:hAnsi="宋体" w:eastAsia="宋体" w:cs="宋体"/>
                <w:color w:val="auto"/>
                <w:sz w:val="21"/>
                <w:szCs w:val="21"/>
                <w:highlight w:val="none"/>
              </w:rPr>
              <w:t>中告知。</w:t>
            </w:r>
          </w:p>
          <w:p w14:paraId="1CFC1009">
            <w:pPr>
              <w:jc w:val="lef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3.布局要求</w:t>
            </w:r>
          </w:p>
          <w:p w14:paraId="7B2C2BA9">
            <w:pPr>
              <w:pStyle w:val="48"/>
              <w:ind w:firstLine="0" w:firstLineChars="0"/>
              <w:rPr>
                <w:rFonts w:hint="eastAsia" w:ascii="宋体" w:hAnsi="宋体" w:eastAsia="宋体" w:cs="宋体"/>
                <w:i w:val="0"/>
                <w:iCs w:val="0"/>
                <w:caps w:val="0"/>
                <w:color w:val="auto"/>
                <w:spacing w:val="0"/>
                <w:kern w:val="2"/>
                <w:sz w:val="21"/>
                <w:szCs w:val="21"/>
                <w:highlight w:val="none"/>
                <w:u w:val="none"/>
                <w:lang w:val="en-US" w:eastAsia="zh-CN" w:bidi="ar-SA"/>
              </w:rPr>
            </w:pPr>
            <w:r>
              <w:rPr>
                <w:rFonts w:hint="eastAsia" w:ascii="宋体" w:hAnsi="宋体" w:eastAsia="宋体" w:cs="宋体"/>
                <w:color w:val="auto"/>
                <w:sz w:val="21"/>
                <w:szCs w:val="21"/>
                <w:highlight w:val="none"/>
              </w:rPr>
              <w:t>系统位于1楼，场地长约7米 宽约6米，实际可用面积约40平方米，场地布局详见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附件：</w:t>
            </w:r>
            <w:r>
              <w:rPr>
                <w:rFonts w:hint="eastAsia" w:ascii="宋体" w:hAnsi="宋体" w:eastAsia="宋体" w:cs="宋体"/>
                <w:color w:val="auto"/>
                <w:sz w:val="21"/>
                <w:szCs w:val="21"/>
                <w:highlight w:val="none"/>
              </w:rPr>
              <w:t>建筑布局图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76C64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34B54A74">
            <w:pPr>
              <w:keepNext w:val="0"/>
              <w:keepLines w:val="0"/>
              <w:pageBreakBefore w:val="0"/>
              <w:kinsoku/>
              <w:overflowPunct/>
              <w:autoSpaceDE/>
              <w:autoSpaceDN/>
              <w:bidi w:val="0"/>
              <w:adjustRightInd w:val="0"/>
              <w:snapToGrid w:val="0"/>
              <w:spacing w:after="20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商务条款</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3CDA1F">
            <w:pPr>
              <w:widowControl/>
              <w:shd w:val="clear" w:color="auto" w:fill="FFFFFF"/>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一、合同签订期：自成交通知书发出之日起</w:t>
            </w:r>
            <w:r>
              <w:rPr>
                <w:rFonts w:hint="eastAsia" w:ascii="宋体" w:hAnsi="宋体" w:cs="宋体"/>
                <w:color w:val="auto"/>
                <w:szCs w:val="21"/>
                <w:highlight w:val="none"/>
                <w:u w:val="single"/>
              </w:rPr>
              <w:t>25</w:t>
            </w:r>
            <w:r>
              <w:rPr>
                <w:rFonts w:hint="eastAsia" w:ascii="宋体" w:hAnsi="宋体" w:cs="宋体"/>
                <w:color w:val="auto"/>
                <w:szCs w:val="21"/>
                <w:highlight w:val="none"/>
              </w:rPr>
              <w:t>日内。</w:t>
            </w:r>
          </w:p>
          <w:p w14:paraId="08E100F5">
            <w:pPr>
              <w:widowControl/>
              <w:shd w:val="clear" w:color="auto" w:fill="FFFFFF"/>
              <w:snapToGrid w:val="0"/>
              <w:spacing w:line="360" w:lineRule="exact"/>
              <w:rPr>
                <w:rFonts w:hint="eastAsia" w:ascii="宋体" w:hAnsi="宋体" w:cs="宋体"/>
                <w:bCs/>
                <w:color w:val="auto"/>
                <w:szCs w:val="21"/>
                <w:highlight w:val="none"/>
              </w:rPr>
            </w:pPr>
            <w:r>
              <w:rPr>
                <w:rFonts w:hint="eastAsia" w:ascii="宋体" w:hAnsi="宋体" w:cs="宋体"/>
                <w:color w:val="auto"/>
                <w:szCs w:val="21"/>
                <w:highlight w:val="none"/>
              </w:rPr>
              <w:t>二、提交</w:t>
            </w:r>
            <w:r>
              <w:rPr>
                <w:rFonts w:hint="eastAsia" w:ascii="宋体" w:hAnsi="宋体" w:cs="宋体"/>
                <w:bCs/>
                <w:color w:val="auto"/>
                <w:szCs w:val="21"/>
                <w:highlight w:val="none"/>
                <w:lang w:val="en-US" w:eastAsia="zh-CN"/>
              </w:rPr>
              <w:t>服务成果</w:t>
            </w:r>
            <w:r>
              <w:rPr>
                <w:rFonts w:hint="eastAsia" w:ascii="宋体" w:hAnsi="宋体" w:cs="宋体"/>
                <w:bCs/>
                <w:color w:val="auto"/>
                <w:szCs w:val="21"/>
                <w:highlight w:val="none"/>
              </w:rPr>
              <w:t>时间：</w:t>
            </w:r>
          </w:p>
          <w:p w14:paraId="2CC5ED3A">
            <w:pPr>
              <w:widowControl/>
              <w:shd w:val="clear" w:color="auto" w:fill="FFFFFF"/>
              <w:snapToGrid w:val="0"/>
              <w:spacing w:line="360" w:lineRule="exact"/>
              <w:rPr>
                <w:rFonts w:hint="eastAsia" w:ascii="宋体" w:hAnsi="宋体" w:cs="宋体"/>
                <w:bCs/>
                <w:color w:val="auto"/>
                <w:szCs w:val="21"/>
                <w:highlight w:val="none"/>
              </w:rPr>
            </w:pPr>
            <w:r>
              <w:rPr>
                <w:rFonts w:hint="eastAsia" w:asciiTheme="minorEastAsia" w:hAnsiTheme="minorEastAsia" w:eastAsiaTheme="minorEastAsia" w:cstheme="minorEastAsia"/>
                <w:color w:val="auto"/>
                <w:sz w:val="21"/>
                <w:szCs w:val="21"/>
                <w:highlight w:val="none"/>
              </w:rPr>
              <w:t>自签订合同之日起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硬件部分30</w:t>
            </w:r>
            <w:r>
              <w:rPr>
                <w:rFonts w:hint="eastAsia" w:asciiTheme="minorEastAsia" w:hAnsiTheme="minorEastAsia" w:eastAsiaTheme="minorEastAsia" w:cstheme="minorEastAsia"/>
                <w:color w:val="auto"/>
                <w:sz w:val="21"/>
                <w:szCs w:val="21"/>
                <w:highlight w:val="none"/>
              </w:rPr>
              <w:t>日历日内交货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整体项目应在满足进场安装之日起60日内完成并达到交付条件</w:t>
            </w:r>
            <w:r>
              <w:rPr>
                <w:rFonts w:hint="eastAsia" w:ascii="宋体" w:hAnsi="宋体" w:cs="宋体"/>
                <w:bCs/>
                <w:color w:val="auto"/>
                <w:szCs w:val="21"/>
                <w:highlight w:val="none"/>
              </w:rPr>
              <w:t>。</w:t>
            </w:r>
          </w:p>
          <w:p w14:paraId="210ED0D3">
            <w:pPr>
              <w:widowControl/>
              <w:shd w:val="clear" w:color="auto" w:fill="FFFFFF"/>
              <w:snapToGrid w:val="0"/>
              <w:spacing w:line="360" w:lineRule="exact"/>
              <w:rPr>
                <w:rFonts w:hint="eastAsia" w:ascii="宋体" w:hAnsi="宋体" w:cs="宋体"/>
                <w:bCs/>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w:t>
            </w:r>
            <w:r>
              <w:rPr>
                <w:rFonts w:hint="eastAsia" w:ascii="宋体" w:hAnsi="宋体" w:cs="宋体"/>
                <w:bCs/>
                <w:color w:val="auto"/>
                <w:szCs w:val="21"/>
                <w:highlight w:val="none"/>
                <w:u w:val="single"/>
              </w:rPr>
              <w:t>广西南宁市（采购人指定地点）</w:t>
            </w:r>
          </w:p>
          <w:p w14:paraId="6978614F">
            <w:pPr>
              <w:widowControl/>
              <w:shd w:val="clear" w:color="auto" w:fill="FFFFFF"/>
              <w:snapToGrid w:val="0"/>
              <w:spacing w:line="36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四、安装、调试、验收要求</w:t>
            </w:r>
          </w:p>
          <w:p w14:paraId="469C7D5E">
            <w:pPr>
              <w:widowControl/>
              <w:shd w:val="clear" w:color="auto" w:fill="FFFFFF"/>
              <w:snapToGrid w:val="0"/>
              <w:spacing w:line="36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1、收到成交通知书后，25日内签订合同；</w:t>
            </w:r>
            <w:r>
              <w:rPr>
                <w:rFonts w:hint="eastAsia" w:asciiTheme="minorEastAsia" w:hAnsiTheme="minorEastAsia" w:eastAsiaTheme="minorEastAsia" w:cstheme="minorEastAsia"/>
                <w:color w:val="auto"/>
                <w:sz w:val="21"/>
                <w:szCs w:val="21"/>
                <w:highlight w:val="none"/>
              </w:rPr>
              <w:t>自签订合同之日起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硬件部分30</w:t>
            </w:r>
            <w:r>
              <w:rPr>
                <w:rFonts w:hint="eastAsia" w:asciiTheme="minorEastAsia" w:hAnsiTheme="minorEastAsia" w:eastAsiaTheme="minorEastAsia" w:cstheme="minorEastAsia"/>
                <w:color w:val="auto"/>
                <w:sz w:val="21"/>
                <w:szCs w:val="21"/>
                <w:highlight w:val="none"/>
              </w:rPr>
              <w:t>日历日内交货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整体项目应在满足进场安装之日起60日内完成并达到交付条件</w:t>
            </w:r>
            <w:r>
              <w:rPr>
                <w:rFonts w:hint="eastAsia" w:ascii="宋体" w:hAnsi="宋体" w:cs="宋体"/>
                <w:bCs/>
                <w:color w:val="auto"/>
                <w:szCs w:val="21"/>
                <w:highlight w:val="none"/>
                <w:lang w:val="en-US" w:eastAsia="zh-CN"/>
              </w:rPr>
              <w:t>。</w:t>
            </w:r>
          </w:p>
          <w:p w14:paraId="6C5B5DD9">
            <w:pPr>
              <w:widowControl/>
              <w:shd w:val="clear" w:color="auto" w:fill="FFFFFF"/>
              <w:snapToGrid w:val="0"/>
              <w:spacing w:line="36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2、根据采购人提供的布局图设计布置技术图，布局要求合理。</w:t>
            </w:r>
          </w:p>
          <w:p w14:paraId="331D655C">
            <w:pPr>
              <w:widowControl/>
              <w:shd w:val="clear" w:color="auto" w:fill="FFFFFF"/>
              <w:snapToGrid w:val="0"/>
              <w:spacing w:line="36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3、竞标人须负责订购设备的运送、现场安装、调试工作及费用，设备到货2个月内完成安装调试。</w:t>
            </w:r>
          </w:p>
          <w:p w14:paraId="374EC81B">
            <w:pPr>
              <w:widowControl/>
              <w:shd w:val="clear" w:color="auto" w:fill="FFFFFF"/>
              <w:snapToGrid w:val="0"/>
              <w:spacing w:line="360" w:lineRule="exac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4、按照及相关标准要求进行验收，整线连续10小时生产（连续运行15天）。</w:t>
            </w:r>
          </w:p>
          <w:p w14:paraId="7BB7AEE5">
            <w:pPr>
              <w:widowControl/>
              <w:shd w:val="clear" w:color="auto" w:fill="FFFFFF"/>
              <w:snapToGrid w:val="0"/>
              <w:spacing w:line="360" w:lineRule="exact"/>
              <w:rPr>
                <w:rFonts w:hint="eastAsia" w:ascii="宋体" w:hAnsi="宋体" w:cs="宋体"/>
                <w:color w:val="auto"/>
                <w:szCs w:val="21"/>
                <w:highlight w:val="none"/>
              </w:rPr>
            </w:pPr>
            <w:r>
              <w:rPr>
                <w:rFonts w:hint="eastAsia" w:ascii="宋体" w:hAnsi="宋体" w:cs="宋体"/>
                <w:bCs/>
                <w:color w:val="auto"/>
                <w:szCs w:val="21"/>
                <w:highlight w:val="none"/>
                <w:lang w:val="en-US" w:eastAsia="zh-CN"/>
              </w:rPr>
              <w:t>五</w:t>
            </w:r>
            <w:r>
              <w:rPr>
                <w:rFonts w:hint="eastAsia" w:ascii="宋体" w:hAnsi="宋体" w:cs="宋体"/>
                <w:bCs/>
                <w:color w:val="auto"/>
                <w:szCs w:val="21"/>
                <w:highlight w:val="none"/>
              </w:rPr>
              <w:t>、</w:t>
            </w:r>
            <w:r>
              <w:rPr>
                <w:rFonts w:hint="eastAsia" w:ascii="宋体" w:hAnsi="宋体" w:cs="宋体"/>
                <w:color w:val="auto"/>
                <w:szCs w:val="21"/>
                <w:highlight w:val="none"/>
              </w:rPr>
              <w:t>验收标准、规范：</w:t>
            </w:r>
          </w:p>
          <w:p w14:paraId="3E1BCC98">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需承担供货时产品质量抽样检测的相关费用以及项目验收时发生的一切费用。</w:t>
            </w:r>
          </w:p>
          <w:p w14:paraId="2E752839">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2、采购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将依据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文件上的技术要求和国家有关质量标准对成交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提交的货物进行初步验收，初步验收不合格的，采购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有权不予签收；在本项目验收时，成交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如提供不符合</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文件和采购合同规定的货物，采购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有权拒绝接受，由此产生的一切损失均由成交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自行承担。</w:t>
            </w:r>
          </w:p>
          <w:p w14:paraId="2751D444">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3、当项目完成后，由成交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向采购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提出项目竣工测试申请，并于验收前向采购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提供一切有关技术文件、资料、图纸和相关记录等竣工材料，并在竣工前7个工作日通知采购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及有关部门准备验收。拟竣工项目的实施总体功能、性能符合采购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认可的技术设计方案及合同规定的，予以验收，并作出验收结果报告。供需双方签署项目终验验收证书，并自正式交付使用之日起，整体项目才视为接受，并开始计算</w:t>
            </w:r>
            <w:r>
              <w:rPr>
                <w:rFonts w:hint="eastAsia" w:ascii="宋体" w:hAnsi="宋体" w:cs="宋体"/>
                <w:color w:val="auto"/>
                <w:szCs w:val="21"/>
                <w:highlight w:val="none"/>
                <w:lang w:val="en-US" w:eastAsia="zh-CN"/>
              </w:rPr>
              <w:t>质</w:t>
            </w:r>
            <w:r>
              <w:rPr>
                <w:rFonts w:hint="eastAsia" w:ascii="宋体" w:hAnsi="宋体" w:cs="宋体"/>
                <w:color w:val="auto"/>
                <w:szCs w:val="21"/>
                <w:highlight w:val="none"/>
              </w:rPr>
              <w:t>保期。</w:t>
            </w:r>
          </w:p>
          <w:p w14:paraId="588CA641">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4、验收标准</w:t>
            </w:r>
          </w:p>
          <w:p w14:paraId="04F91CFB">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（1）项目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文件及</w:t>
            </w:r>
            <w:r>
              <w:rPr>
                <w:rFonts w:hint="eastAsia" w:ascii="宋体" w:hAnsi="宋体" w:cs="宋体"/>
                <w:color w:val="auto"/>
                <w:szCs w:val="21"/>
                <w:highlight w:val="none"/>
                <w:lang w:val="en-US" w:eastAsia="zh-CN"/>
              </w:rPr>
              <w:t>成交人磋商响应</w:t>
            </w:r>
            <w:r>
              <w:rPr>
                <w:rFonts w:hint="eastAsia" w:ascii="宋体" w:hAnsi="宋体" w:cs="宋体"/>
                <w:color w:val="auto"/>
                <w:szCs w:val="21"/>
                <w:highlight w:val="none"/>
              </w:rPr>
              <w:t>文件中的“技术要求偏离表”，逐条验收；</w:t>
            </w:r>
          </w:p>
          <w:p w14:paraId="4CEEC17F">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文件及</w:t>
            </w:r>
            <w:r>
              <w:rPr>
                <w:rFonts w:hint="eastAsia" w:ascii="宋体" w:hAnsi="宋体" w:cs="宋体"/>
                <w:color w:val="auto"/>
                <w:szCs w:val="21"/>
                <w:highlight w:val="none"/>
                <w:lang w:val="en-US" w:eastAsia="zh-CN"/>
              </w:rPr>
              <w:t>成交人磋商响应</w:t>
            </w:r>
            <w:r>
              <w:rPr>
                <w:rFonts w:hint="eastAsia" w:ascii="宋体" w:hAnsi="宋体" w:cs="宋体"/>
                <w:color w:val="auto"/>
                <w:szCs w:val="21"/>
                <w:highlight w:val="none"/>
              </w:rPr>
              <w:t>文件中的“商务要求偏离表”，逐条验收；</w:t>
            </w:r>
          </w:p>
          <w:p w14:paraId="6470E1DA">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成交人磋商响应</w:t>
            </w:r>
            <w:r>
              <w:rPr>
                <w:rFonts w:hint="eastAsia" w:ascii="宋体" w:hAnsi="宋体" w:cs="宋体"/>
                <w:color w:val="auto"/>
                <w:szCs w:val="21"/>
                <w:highlight w:val="none"/>
              </w:rPr>
              <w:t>文件中其他技术、服务、商务性的说明、承诺事项，逐条验收。</w:t>
            </w:r>
          </w:p>
          <w:p w14:paraId="7FB5DDFA">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（4）国家相关法律、法规、标准和规范等。</w:t>
            </w:r>
          </w:p>
          <w:p w14:paraId="4B3B55B8">
            <w:pPr>
              <w:widowControl/>
              <w:shd w:val="clear" w:color="auto" w:fill="FFFFFF"/>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（5）执行《关于印发广西壮族自治区政府采购项目履约验收管理办法的通知》（桂财采〔2015〕22号），采用文中《广西壮族自治区政府采购项目合同验收书》格式文本等规范。</w:t>
            </w:r>
          </w:p>
          <w:p w14:paraId="03061D6F">
            <w:pPr>
              <w:widowControl/>
              <w:shd w:val="clear" w:color="auto" w:fill="FFFFFF"/>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、质保及售后服务要求：</w:t>
            </w:r>
          </w:p>
          <w:p w14:paraId="660816B3">
            <w:pPr>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质保期限自验收合格之日起1年。软件系统终身免费安装及维护、免费接入HIS系统。</w:t>
            </w:r>
          </w:p>
          <w:p w14:paraId="5BA3E7D2">
            <w:pPr>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质保期内</w:t>
            </w:r>
            <w:r>
              <w:rPr>
                <w:rFonts w:hint="eastAsia"/>
                <w:color w:val="auto"/>
                <w:highlight w:val="none"/>
                <w:lang w:eastAsia="zh-CN"/>
              </w:rPr>
              <w:t>，</w:t>
            </w:r>
            <w:r>
              <w:rPr>
                <w:rFonts w:hint="eastAsia"/>
                <w:color w:val="auto"/>
                <w:highlight w:val="none"/>
              </w:rPr>
              <w:t>非人为原因所造成的设备故障，需更换机械零部件及电子元器件等，成交人须无条件免费更换，免费进行系统升级。</w:t>
            </w:r>
          </w:p>
          <w:p w14:paraId="7195DD82">
            <w:pPr>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质保期内，成交人应免费供应或更换设备所需密封圈等易损件和消耗品。设备成交人负责终身维修和备件供应，保修期满后按市场价格供应备件。</w:t>
            </w:r>
          </w:p>
          <w:p w14:paraId="27B892C5">
            <w:pPr>
              <w:rPr>
                <w:rFonts w:hint="eastAsia"/>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设备寿命周期内，成交人在接到</w:t>
            </w:r>
            <w:r>
              <w:rPr>
                <w:rFonts w:hint="eastAsia"/>
                <w:color w:val="auto"/>
                <w:highlight w:val="none"/>
                <w:lang w:val="en-US" w:eastAsia="zh-CN"/>
              </w:rPr>
              <w:t>采购人</w:t>
            </w:r>
            <w:r>
              <w:rPr>
                <w:rFonts w:hint="eastAsia"/>
                <w:color w:val="auto"/>
                <w:highlight w:val="none"/>
              </w:rPr>
              <w:t>维修服务通知后须在1小时内予以回复，若需要到现场解决问题，在 24 小时内赶到现场。</w:t>
            </w:r>
          </w:p>
          <w:p w14:paraId="073AD5A9">
            <w:pPr>
              <w:rPr>
                <w:rFonts w:hint="eastAsia"/>
                <w:color w:val="auto"/>
                <w:highlight w:val="none"/>
              </w:rPr>
            </w:pPr>
            <w:r>
              <w:rPr>
                <w:rFonts w:hint="eastAsia"/>
                <w:color w:val="auto"/>
                <w:highlight w:val="none"/>
              </w:rPr>
              <w:t>5</w:t>
            </w:r>
            <w:r>
              <w:rPr>
                <w:rFonts w:hint="eastAsia"/>
                <w:color w:val="auto"/>
                <w:highlight w:val="none"/>
                <w:lang w:eastAsia="zh-CN"/>
              </w:rPr>
              <w:t>、</w:t>
            </w:r>
            <w:r>
              <w:rPr>
                <w:rFonts w:hint="eastAsia"/>
                <w:color w:val="auto"/>
                <w:highlight w:val="none"/>
              </w:rPr>
              <w:t>设备运行综合性能：设备配备良好的减振、传动、变速、冷却、润滑装置，在维修保养周期内，没有明显的振动和噪声恶化现象，始终符合出厂验收标准。</w:t>
            </w:r>
          </w:p>
          <w:p w14:paraId="4F7A17D9">
            <w:pPr>
              <w:rPr>
                <w:rFonts w:hint="eastAsia"/>
                <w:color w:val="auto"/>
                <w:highlight w:val="none"/>
              </w:rPr>
            </w:pPr>
            <w:r>
              <w:rPr>
                <w:rFonts w:hint="eastAsia"/>
                <w:color w:val="auto"/>
                <w:highlight w:val="none"/>
              </w:rPr>
              <w:t>6</w:t>
            </w:r>
            <w:r>
              <w:rPr>
                <w:rFonts w:hint="eastAsia"/>
                <w:color w:val="auto"/>
                <w:highlight w:val="none"/>
                <w:lang w:eastAsia="zh-CN"/>
              </w:rPr>
              <w:t>、</w:t>
            </w:r>
            <w:r>
              <w:rPr>
                <w:rFonts w:hint="eastAsia"/>
                <w:color w:val="auto"/>
                <w:highlight w:val="none"/>
              </w:rPr>
              <w:t>提供设备维护保养计划及润滑计划。</w:t>
            </w:r>
          </w:p>
          <w:p w14:paraId="3A658362">
            <w:pPr>
              <w:rPr>
                <w:color w:val="auto"/>
                <w:highlight w:val="none"/>
              </w:rPr>
            </w:pPr>
            <w:r>
              <w:rPr>
                <w:rFonts w:hint="eastAsia"/>
                <w:color w:val="auto"/>
                <w:highlight w:val="none"/>
              </w:rPr>
              <w:t>7</w:t>
            </w:r>
            <w:r>
              <w:rPr>
                <w:rFonts w:hint="eastAsia"/>
                <w:color w:val="auto"/>
                <w:highlight w:val="none"/>
                <w:lang w:eastAsia="zh-CN"/>
              </w:rPr>
              <w:t>、</w:t>
            </w:r>
            <w:r>
              <w:rPr>
                <w:rFonts w:hint="eastAsia"/>
                <w:color w:val="auto"/>
                <w:highlight w:val="none"/>
              </w:rPr>
              <w:t>设备质保期内，</w:t>
            </w:r>
            <w:r>
              <w:rPr>
                <w:rFonts w:hint="eastAsia"/>
                <w:color w:val="auto"/>
                <w:highlight w:val="none"/>
                <w:lang w:val="en-US" w:eastAsia="zh-CN"/>
              </w:rPr>
              <w:t>成交人</w:t>
            </w:r>
            <w:r>
              <w:rPr>
                <w:rFonts w:hint="eastAsia"/>
                <w:color w:val="auto"/>
                <w:highlight w:val="none"/>
              </w:rPr>
              <w:t>应免费提供远程和现场故障诊断、排除服务。</w:t>
            </w:r>
          </w:p>
          <w:p w14:paraId="4E248B36">
            <w:pPr>
              <w:rPr>
                <w:rFonts w:ascii="宋体" w:hAnsi="宋体" w:cs="宋体"/>
                <w:color w:val="auto"/>
                <w:szCs w:val="21"/>
                <w:highlight w:val="none"/>
              </w:rPr>
            </w:pP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、培训要求</w:t>
            </w:r>
          </w:p>
          <w:p w14:paraId="431193BC">
            <w:pPr>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培训合格标准为</w:t>
            </w:r>
            <w:r>
              <w:rPr>
                <w:rFonts w:hint="eastAsia"/>
                <w:color w:val="auto"/>
                <w:highlight w:val="none"/>
                <w:lang w:val="en-US" w:eastAsia="zh-CN"/>
              </w:rPr>
              <w:t>采购人</w:t>
            </w:r>
            <w:r>
              <w:rPr>
                <w:rFonts w:hint="eastAsia"/>
                <w:color w:val="auto"/>
                <w:highlight w:val="none"/>
              </w:rPr>
              <w:t>相关人员能够独立正确操作设备，会排除常见故障，</w:t>
            </w:r>
            <w:r>
              <w:rPr>
                <w:rFonts w:hint="eastAsia"/>
                <w:color w:val="auto"/>
                <w:highlight w:val="none"/>
                <w:lang w:val="en-US" w:eastAsia="zh-CN"/>
              </w:rPr>
              <w:t>竞标</w:t>
            </w:r>
            <w:r>
              <w:rPr>
                <w:rFonts w:hint="eastAsia"/>
                <w:color w:val="auto"/>
                <w:highlight w:val="none"/>
              </w:rPr>
              <w:t>时应提供培训方案。</w:t>
            </w:r>
          </w:p>
          <w:p w14:paraId="6E6D72CA">
            <w:pPr>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免费负责对技术管理人员、操作人员、维修人员进行本套生产线设备的培训，包括：图纸、工艺、操作、设备维护、设备性能及问题解答。培训应包括但不限于以下内容：</w:t>
            </w:r>
          </w:p>
          <w:p w14:paraId="25DF5693">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设备原理、结构、性能，主要部件的装配和拆卸；设备控制系统和信息系统；</w:t>
            </w:r>
          </w:p>
          <w:p w14:paraId="0494CDE0">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设备操作；</w:t>
            </w:r>
          </w:p>
          <w:p w14:paraId="7A4690CE">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设备故障排除及维护保养。</w:t>
            </w:r>
          </w:p>
          <w:p w14:paraId="7BED763A">
            <w:pPr>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所提供的培训课程表随</w:t>
            </w:r>
            <w:r>
              <w:rPr>
                <w:rFonts w:hint="eastAsia"/>
                <w:color w:val="auto"/>
                <w:highlight w:val="none"/>
                <w:lang w:val="en-US" w:eastAsia="zh-CN"/>
              </w:rPr>
              <w:t>磋商响应</w:t>
            </w:r>
            <w:r>
              <w:rPr>
                <w:rFonts w:hint="eastAsia"/>
                <w:color w:val="auto"/>
                <w:highlight w:val="none"/>
              </w:rPr>
              <w:t>文件一起提交。</w:t>
            </w:r>
          </w:p>
          <w:p w14:paraId="71B9DB5D">
            <w:pPr>
              <w:rPr>
                <w:rFonts w:hint="eastAsia"/>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lang w:val="en-US" w:eastAsia="zh-CN"/>
              </w:rPr>
              <w:t>成交人</w:t>
            </w:r>
            <w:r>
              <w:rPr>
                <w:rFonts w:hint="eastAsia"/>
                <w:color w:val="auto"/>
                <w:highlight w:val="none"/>
              </w:rPr>
              <w:t>必须提供纸质版或电子版培训资料。所有的资料必须是中文书写。</w:t>
            </w:r>
          </w:p>
          <w:p w14:paraId="638186DA">
            <w:pPr>
              <w:rPr>
                <w:color w:val="auto"/>
                <w:highlight w:val="none"/>
              </w:rPr>
            </w:pPr>
            <w:r>
              <w:rPr>
                <w:rFonts w:hint="eastAsia"/>
                <w:color w:val="auto"/>
                <w:highlight w:val="none"/>
              </w:rPr>
              <w:t>5</w:t>
            </w:r>
            <w:r>
              <w:rPr>
                <w:rFonts w:hint="eastAsia"/>
                <w:color w:val="auto"/>
                <w:highlight w:val="none"/>
                <w:lang w:eastAsia="zh-CN"/>
              </w:rPr>
              <w:t>、</w:t>
            </w:r>
            <w:r>
              <w:rPr>
                <w:rFonts w:hint="eastAsia"/>
                <w:color w:val="auto"/>
                <w:highlight w:val="none"/>
              </w:rPr>
              <w:t>项目期间负责对业务操作人员、管理人员、IT管理员进行培训，并保证经</w:t>
            </w:r>
            <w:r>
              <w:rPr>
                <w:rFonts w:hint="eastAsia"/>
                <w:color w:val="auto"/>
                <w:highlight w:val="none"/>
                <w:lang w:val="en-US" w:eastAsia="zh-CN"/>
              </w:rPr>
              <w:t>过</w:t>
            </w:r>
            <w:r>
              <w:rPr>
                <w:rFonts w:hint="eastAsia"/>
                <w:color w:val="auto"/>
                <w:highlight w:val="none"/>
              </w:rPr>
              <w:t>培训</w:t>
            </w:r>
            <w:r>
              <w:rPr>
                <w:rFonts w:hint="eastAsia"/>
                <w:color w:val="auto"/>
                <w:highlight w:val="none"/>
                <w:lang w:eastAsia="zh-CN"/>
              </w:rPr>
              <w:t>，</w:t>
            </w:r>
            <w:r>
              <w:rPr>
                <w:rFonts w:hint="eastAsia"/>
                <w:color w:val="auto"/>
                <w:highlight w:val="none"/>
                <w:lang w:val="en-US" w:eastAsia="zh-CN"/>
              </w:rPr>
              <w:t>相关</w:t>
            </w:r>
            <w:r>
              <w:rPr>
                <w:rFonts w:hint="eastAsia"/>
                <w:color w:val="auto"/>
                <w:highlight w:val="none"/>
              </w:rPr>
              <w:t>人员能熟练应用系统，并处理基本错误及业务调整。项目上线后，根据需要安排远程或现场指导，</w:t>
            </w:r>
            <w:r>
              <w:rPr>
                <w:rFonts w:hint="eastAsia"/>
                <w:color w:val="auto"/>
                <w:highlight w:val="none"/>
                <w:lang w:val="en-US" w:eastAsia="zh-CN"/>
              </w:rPr>
              <w:t>成交人</w:t>
            </w:r>
            <w:r>
              <w:rPr>
                <w:rFonts w:hint="eastAsia"/>
                <w:color w:val="auto"/>
                <w:highlight w:val="none"/>
              </w:rPr>
              <w:t>按照项目进度做好知识转移。</w:t>
            </w:r>
          </w:p>
          <w:p w14:paraId="71FFDC2C">
            <w:pPr>
              <w:widowControl/>
              <w:shd w:val="clear" w:color="auto" w:fill="FFFFFF"/>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七、其他：</w:t>
            </w:r>
          </w:p>
          <w:p w14:paraId="7DE44041">
            <w:pPr>
              <w:widowControl/>
              <w:shd w:val="clear" w:color="auto" w:fill="FFFFFF"/>
              <w:snapToGrid w:val="0"/>
              <w:spacing w:line="360" w:lineRule="exac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货物必须为经合法渠道销售的全新原装产品；负责送货上门，根据采购人提供的条件（如场地、电源、水源等）完成安装调试；保修期内负责上门维修，保修期后负责长期及时有效的技术服务，终身维修，维保期内负责维修、更换零部件；费用应包含在报价中。</w:t>
            </w:r>
          </w:p>
          <w:p w14:paraId="5809161C">
            <w:pPr>
              <w:rPr>
                <w:color w:val="auto"/>
                <w:highlight w:val="none"/>
              </w:rPr>
            </w:pPr>
            <w:r>
              <w:rPr>
                <w:rFonts w:ascii="宋体" w:hAnsi="宋体" w:cs="宋体"/>
                <w:color w:val="auto"/>
                <w:szCs w:val="21"/>
                <w:highlight w:val="none"/>
              </w:rPr>
              <w:t>2</w:t>
            </w:r>
            <w:r>
              <w:rPr>
                <w:rFonts w:hint="eastAsia" w:ascii="宋体" w:hAnsi="宋体" w:cs="宋体"/>
                <w:color w:val="auto"/>
                <w:szCs w:val="21"/>
                <w:highlight w:val="none"/>
              </w:rPr>
              <w:t>、调试及运行：1）成交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负责全部设备的安装、调试、试运行，设备的安装、调试费用应包括在</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总价中。交付的设备应符合技术规格要求；2）设备到达</w:t>
            </w:r>
            <w:r>
              <w:rPr>
                <w:rFonts w:hint="eastAsia" w:ascii="宋体" w:hAnsi="宋体" w:cs="宋体"/>
                <w:color w:val="auto"/>
                <w:szCs w:val="21"/>
                <w:highlight w:val="none"/>
                <w:lang w:val="en-US" w:eastAsia="zh-CN"/>
              </w:rPr>
              <w:t>采购人收货地址</w:t>
            </w:r>
            <w:r>
              <w:rPr>
                <w:rFonts w:hint="eastAsia" w:ascii="宋体" w:hAnsi="宋体" w:cs="宋体"/>
                <w:color w:val="auto"/>
                <w:szCs w:val="21"/>
                <w:highlight w:val="none"/>
              </w:rPr>
              <w:t>后，成交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应在收到</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通知后一星期内，派出有经验的技术人员进行安装调试；3）成交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应在</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月内完成安装调试工作，如因成交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原因造成延期，所造成的费用由成交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承担。</w:t>
            </w:r>
          </w:p>
          <w:p w14:paraId="31CFEA9D">
            <w:pPr>
              <w:widowControl/>
              <w:shd w:val="clear" w:color="auto" w:fill="FFFFFF"/>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以上款项中，如在本项目“</w:t>
            </w:r>
            <w:r>
              <w:rPr>
                <w:rFonts w:hint="eastAsia" w:ascii="宋体" w:hAnsi="宋体" w:cs="宋体"/>
                <w:color w:val="auto"/>
                <w:szCs w:val="21"/>
                <w:highlight w:val="none"/>
                <w:lang w:val="en-US" w:eastAsia="zh-CN"/>
              </w:rPr>
              <w:t>服务需求</w:t>
            </w:r>
            <w:r>
              <w:rPr>
                <w:rFonts w:hint="eastAsia" w:ascii="宋体" w:hAnsi="宋体" w:cs="宋体"/>
                <w:color w:val="auto"/>
                <w:szCs w:val="21"/>
                <w:highlight w:val="none"/>
              </w:rPr>
              <w:t>”有专项要求的，从其规定。</w:t>
            </w:r>
          </w:p>
          <w:p w14:paraId="283DA389">
            <w:pPr>
              <w:widowControl/>
              <w:shd w:val="clear" w:color="auto" w:fill="FFFFFF"/>
              <w:snapToGrid w:val="0"/>
              <w:spacing w:line="360" w:lineRule="exac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、知识产权：</w:t>
            </w:r>
          </w:p>
          <w:p w14:paraId="7358C24D">
            <w:pPr>
              <w:widowControl/>
              <w:shd w:val="clear" w:color="auto" w:fill="FFFFFF"/>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成交人</w:t>
            </w:r>
            <w:r>
              <w:rPr>
                <w:rFonts w:hint="eastAsia" w:ascii="宋体" w:hAnsi="宋体" w:cs="宋体"/>
                <w:color w:val="auto"/>
                <w:szCs w:val="21"/>
                <w:highlight w:val="none"/>
              </w:rPr>
              <w:t>需提供软件的报告、资料、文件等内容及服务成果，采购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享有充分、完整和排他的著作权和知识产权。未经采购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书面许可，</w:t>
            </w:r>
            <w:r>
              <w:rPr>
                <w:rFonts w:hint="eastAsia" w:ascii="宋体" w:hAnsi="宋体" w:cs="宋体"/>
                <w:color w:val="auto"/>
                <w:szCs w:val="21"/>
                <w:highlight w:val="none"/>
                <w:lang w:val="en-US" w:eastAsia="zh-CN"/>
              </w:rPr>
              <w:t>成交人</w:t>
            </w:r>
            <w:r>
              <w:rPr>
                <w:rFonts w:hint="eastAsia" w:ascii="宋体" w:hAnsi="宋体" w:cs="宋体"/>
                <w:color w:val="auto"/>
                <w:szCs w:val="21"/>
                <w:highlight w:val="none"/>
              </w:rPr>
              <w:t>不得向任何第三方提供上述报告、资料、文件、用户信息等内容及服务成果。即使向履行有关的人员提供，也应注意保密并限于履行合同的必需范围。</w:t>
            </w:r>
          </w:p>
          <w:p w14:paraId="0C1208F5">
            <w:pPr>
              <w:widowControl/>
              <w:shd w:val="clear" w:color="auto" w:fill="FFFFFF"/>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成交人</w:t>
            </w:r>
            <w:r>
              <w:rPr>
                <w:rFonts w:hint="eastAsia" w:ascii="宋体" w:hAnsi="宋体" w:cs="宋体"/>
                <w:color w:val="auto"/>
                <w:szCs w:val="21"/>
                <w:highlight w:val="none"/>
              </w:rPr>
              <w:t>应严格遵守相关的知识产权及软件版权保护的法律、</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"http://www.chinalawedu.com/falvfagui/" \o "法规" \t "_blank"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法规</w:t>
            </w:r>
            <w:r>
              <w:rPr>
                <w:rFonts w:hint="eastAsia" w:ascii="宋体" w:hAnsi="宋体" w:cs="宋体"/>
                <w:color w:val="auto"/>
                <w:szCs w:val="21"/>
                <w:highlight w:val="none"/>
              </w:rPr>
              <w:fldChar w:fldCharType="end"/>
            </w:r>
            <w:r>
              <w:rPr>
                <w:rFonts w:hint="eastAsia" w:ascii="宋体" w:hAnsi="宋体" w:cs="宋体"/>
                <w:color w:val="auto"/>
                <w:szCs w:val="21"/>
                <w:highlight w:val="none"/>
              </w:rPr>
              <w:t>；并在项目所规定的范围内使用本信息系统，任何</w:t>
            </w:r>
            <w:r>
              <w:rPr>
                <w:rFonts w:hint="eastAsia" w:ascii="宋体" w:hAnsi="宋体" w:cs="宋体"/>
                <w:color w:val="auto"/>
                <w:szCs w:val="21"/>
                <w:highlight w:val="none"/>
                <w:lang w:val="en-US" w:eastAsia="zh-CN"/>
              </w:rPr>
              <w:t>成交人</w:t>
            </w:r>
            <w:r>
              <w:rPr>
                <w:rFonts w:hint="eastAsia" w:ascii="宋体" w:hAnsi="宋体" w:cs="宋体"/>
                <w:color w:val="auto"/>
                <w:szCs w:val="21"/>
                <w:highlight w:val="none"/>
              </w:rPr>
              <w:t>用于未经授权的商业目的的复制行为所造成的违约或侵权责任由</w:t>
            </w:r>
            <w:r>
              <w:rPr>
                <w:rFonts w:hint="eastAsia" w:ascii="宋体" w:hAnsi="宋体" w:cs="宋体"/>
                <w:color w:val="auto"/>
                <w:szCs w:val="21"/>
                <w:highlight w:val="none"/>
                <w:lang w:val="en-US" w:eastAsia="zh-CN"/>
              </w:rPr>
              <w:t>成交人</w:t>
            </w:r>
            <w:r>
              <w:rPr>
                <w:rFonts w:hint="eastAsia" w:ascii="宋体" w:hAnsi="宋体" w:cs="宋体"/>
                <w:color w:val="auto"/>
                <w:szCs w:val="21"/>
                <w:highlight w:val="none"/>
              </w:rPr>
              <w:t>承担。</w:t>
            </w:r>
          </w:p>
          <w:p w14:paraId="5D2D5342">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、开放接口供其他系统同步数据，及与其他系统接口个性化开发。费用应包含在报价中。</w:t>
            </w:r>
          </w:p>
          <w:p w14:paraId="30B55208">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、项目实施过程中的安全生产要求</w:t>
            </w:r>
          </w:p>
          <w:p w14:paraId="50CC1635">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成交人应遵守国家关于安全生产有关管理规定，严格按安全标准组织项目实施，并随时接受采购人安全检查人员实施的监督检查，采取必要的安全防护措施，消除事故隐患。由于成交人安全措施不力造成事故的责任和因此发生的费用，由成交人负责。</w:t>
            </w:r>
          </w:p>
          <w:p w14:paraId="70CB9697">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（2）成交人应对己方实施人员进行安全教育，并对他们的安全负责。</w:t>
            </w:r>
          </w:p>
          <w:p w14:paraId="5EF3610C">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（3）采购人提供成交人实施人员的生产用水、用电、项目实施用临时办公场地等。</w:t>
            </w:r>
          </w:p>
          <w:p w14:paraId="1AD3772C">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竞标人</w:t>
            </w:r>
            <w:r>
              <w:rPr>
                <w:rFonts w:hint="eastAsia" w:ascii="宋体" w:hAnsi="宋体" w:cs="宋体"/>
                <w:color w:val="auto"/>
                <w:szCs w:val="21"/>
                <w:highlight w:val="none"/>
              </w:rPr>
              <w:t>提供的产品必须符合《中华人民共和国的环境保护法》及其他相关环保法律、法规、标准等规定的要求，环保检测分析方法采用中华人民共和国现行的国家规定的方法。噪声检测应符合GB 3768的规定，不得大于80dB (A)。</w:t>
            </w:r>
          </w:p>
          <w:p w14:paraId="079C86C2">
            <w:pPr>
              <w:wordWrap w:val="0"/>
              <w:topLinePunct/>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七、报价要求：</w:t>
            </w:r>
          </w:p>
          <w:p w14:paraId="04F68AF6">
            <w:pPr>
              <w:wordWrap w:val="0"/>
              <w:topLinePunct/>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报价应为采购人指定地点的现场交货价，包括：1）货物的价格：包括货款、杂配件、安装调试费、验收费、施工水电费等完成本项过程所需的全部费用；2）货物的标准附件、备品备件、专用工具的价格；3）运输、装卸、保管、调试、培训、技术支持、售后服务费；4）招标代理服务费、保险费和各项税金。</w:t>
            </w:r>
          </w:p>
          <w:p w14:paraId="7B8C9F5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八、付款方式：</w:t>
            </w:r>
          </w:p>
          <w:p w14:paraId="47A8CA49">
            <w:pPr>
              <w:wordWrap w:val="0"/>
              <w:topLinePunct/>
              <w:snapToGrid w:val="0"/>
              <w:spacing w:line="360" w:lineRule="exact"/>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.1、签订合同且成交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足额递交履约保证金后10个工作日内，采购人向成交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支付合同金额的30%作为预付款，</w:t>
            </w:r>
            <w:r>
              <w:rPr>
                <w:rFonts w:hint="eastAsia" w:ascii="宋体" w:hAnsi="宋体" w:cs="宋体"/>
                <w:color w:val="auto"/>
                <w:szCs w:val="21"/>
                <w:highlight w:val="none"/>
                <w:lang w:val="en-US" w:eastAsia="zh-CN"/>
              </w:rPr>
              <w:t>硬件部分到货且完成初验合格后，采购人向成交人支付合同金额的40%作为进度款，</w:t>
            </w:r>
            <w:r>
              <w:rPr>
                <w:rFonts w:hint="eastAsia" w:ascii="宋体" w:hAnsi="宋体" w:cs="宋体"/>
                <w:color w:val="auto"/>
                <w:szCs w:val="21"/>
                <w:highlight w:val="none"/>
              </w:rPr>
              <w:t>项目实施完成并通过验收后支付通过验收部分的剩余款项（不计利息）。</w:t>
            </w:r>
          </w:p>
          <w:p w14:paraId="70DB7621">
            <w:pPr>
              <w:wordWrap w:val="0"/>
              <w:topLinePunct/>
              <w:snapToGrid w:val="0"/>
              <w:spacing w:line="360" w:lineRule="exact"/>
              <w:rPr>
                <w:rFonts w:hint="eastAsia" w:ascii="Times New Roman" w:hAnsi="Times New Roman" w:eastAsia="宋体" w:cs="Times New Roman"/>
                <w:color w:val="auto"/>
                <w:kern w:val="2"/>
                <w:sz w:val="21"/>
                <w:szCs w:val="24"/>
                <w:highlight w:val="none"/>
                <w:lang w:val="en-US" w:eastAsia="zh-CN" w:bidi="ar-SA"/>
              </w:rPr>
            </w:pPr>
            <w:r>
              <w:rPr>
                <w:rFonts w:ascii="宋体" w:hAnsi="宋体" w:cs="宋体"/>
                <w:color w:val="auto"/>
                <w:szCs w:val="21"/>
                <w:highlight w:val="none"/>
              </w:rPr>
              <w:t>8</w:t>
            </w:r>
            <w:r>
              <w:rPr>
                <w:rFonts w:hint="eastAsia" w:ascii="宋体" w:hAnsi="宋体" w:cs="宋体"/>
                <w:color w:val="auto"/>
                <w:szCs w:val="21"/>
                <w:highlight w:val="none"/>
              </w:rPr>
              <w:t>.2、每期付款前成交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须开具合同约定金额的增值税发票给采购人，成交</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未及时向采购人开具发票的，采购人有权顺延付款时间，且不承担任何逾期付款违约责任。</w:t>
            </w:r>
          </w:p>
        </w:tc>
      </w:tr>
    </w:tbl>
    <w:p w14:paraId="2A73631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7920B23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32"/>
          <w:szCs w:val="32"/>
          <w:highlight w:val="none"/>
        </w:rPr>
      </w:pPr>
      <w:r>
        <w:rPr>
          <w:rFonts w:hint="eastAsia" w:ascii="宋体" w:hAnsi="宋体" w:cs="宋体"/>
          <w:b/>
          <w:color w:val="auto"/>
          <w:sz w:val="32"/>
          <w:szCs w:val="32"/>
          <w:highlight w:val="none"/>
        </w:rPr>
        <w:t>附件</w:t>
      </w: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rPr>
        <w:t>：</w:t>
      </w:r>
    </w:p>
    <w:p w14:paraId="10B7DB34">
      <w:pPr>
        <w:spacing w:line="528"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节能产品政府采购品目清单</w:t>
      </w:r>
    </w:p>
    <w:p w14:paraId="05156FEA">
      <w:pPr>
        <w:rPr>
          <w:color w:val="auto"/>
          <w:highlight w:val="none"/>
        </w:rPr>
      </w:pPr>
    </w:p>
    <w:tbl>
      <w:tblPr>
        <w:tblStyle w:val="23"/>
        <w:tblW w:w="10205" w:type="dxa"/>
        <w:jc w:val="center"/>
        <w:tblLayout w:type="fixed"/>
        <w:tblCellMar>
          <w:top w:w="0" w:type="dxa"/>
          <w:left w:w="0" w:type="dxa"/>
          <w:bottom w:w="0" w:type="dxa"/>
          <w:right w:w="0" w:type="dxa"/>
        </w:tblCellMar>
      </w:tblPr>
      <w:tblGrid>
        <w:gridCol w:w="716"/>
        <w:gridCol w:w="1590"/>
        <w:gridCol w:w="1981"/>
        <w:gridCol w:w="6"/>
        <w:gridCol w:w="2002"/>
        <w:gridCol w:w="3903"/>
        <w:gridCol w:w="7"/>
      </w:tblGrid>
      <w:tr w14:paraId="156731C2">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49D27724">
            <w:pPr>
              <w:spacing w:before="124" w:line="283" w:lineRule="auto"/>
              <w:ind w:left="7" w:right="4"/>
              <w:jc w:val="center"/>
              <w:rPr>
                <w:rFonts w:ascii="宋体" w:hAnsi="宋体" w:cs="宋体"/>
                <w:b/>
                <w:bCs/>
                <w:color w:val="auto"/>
                <w:kern w:val="0"/>
                <w:sz w:val="24"/>
                <w:highlight w:val="none"/>
                <w:lang w:eastAsia="en-US"/>
              </w:rPr>
            </w:pPr>
            <w:r>
              <w:rPr>
                <w:rFonts w:hint="eastAsia" w:ascii="宋体" w:hAnsi="宋体" w:cs="宋体"/>
                <w:b/>
                <w:bCs/>
                <w:color w:val="auto"/>
                <w:kern w:val="0"/>
                <w:sz w:val="24"/>
                <w:highlight w:val="none"/>
                <w:lang w:eastAsia="en-US"/>
              </w:rPr>
              <w:t>品目序号</w:t>
            </w:r>
          </w:p>
        </w:tc>
        <w:tc>
          <w:tcPr>
            <w:tcW w:w="5579" w:type="dxa"/>
            <w:gridSpan w:val="4"/>
            <w:tcBorders>
              <w:top w:val="single" w:color="auto" w:sz="4" w:space="0"/>
              <w:left w:val="single" w:color="auto" w:sz="4" w:space="0"/>
              <w:bottom w:val="single" w:color="auto" w:sz="4" w:space="0"/>
              <w:right w:val="single" w:color="auto" w:sz="4" w:space="0"/>
            </w:tcBorders>
            <w:vAlign w:val="center"/>
          </w:tcPr>
          <w:p w14:paraId="5F3671F2">
            <w:pPr>
              <w:spacing w:before="124" w:line="283" w:lineRule="auto"/>
              <w:ind w:left="7" w:right="4"/>
              <w:jc w:val="center"/>
              <w:rPr>
                <w:rFonts w:ascii="宋体" w:hAnsi="宋体" w:cs="宋体"/>
                <w:b/>
                <w:bCs/>
                <w:color w:val="auto"/>
                <w:kern w:val="0"/>
                <w:sz w:val="24"/>
                <w:highlight w:val="none"/>
                <w:lang w:eastAsia="en-US"/>
              </w:rPr>
            </w:pPr>
            <w:r>
              <w:rPr>
                <w:rFonts w:hint="eastAsia" w:ascii="宋体" w:hAnsi="宋体" w:cs="宋体"/>
                <w:b/>
                <w:bCs/>
                <w:color w:val="auto"/>
                <w:kern w:val="0"/>
                <w:sz w:val="24"/>
                <w:highlight w:val="none"/>
                <w:lang w:eastAsia="en-US"/>
              </w:rPr>
              <w:t>名称</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84AC467">
            <w:pPr>
              <w:spacing w:before="124" w:line="283" w:lineRule="auto"/>
              <w:ind w:left="7" w:right="4"/>
              <w:jc w:val="center"/>
              <w:rPr>
                <w:rFonts w:ascii="宋体" w:hAnsi="宋体" w:cs="宋体"/>
                <w:b/>
                <w:bCs/>
                <w:color w:val="auto"/>
                <w:kern w:val="0"/>
                <w:sz w:val="24"/>
                <w:highlight w:val="none"/>
                <w:lang w:eastAsia="en-US"/>
              </w:rPr>
            </w:pPr>
            <w:r>
              <w:rPr>
                <w:rFonts w:hint="eastAsia" w:ascii="宋体" w:hAnsi="宋体" w:cs="宋体"/>
                <w:b/>
                <w:bCs/>
                <w:color w:val="auto"/>
                <w:kern w:val="0"/>
                <w:sz w:val="24"/>
                <w:highlight w:val="none"/>
                <w:lang w:eastAsia="en-US"/>
              </w:rPr>
              <w:t>依据的标准</w:t>
            </w:r>
          </w:p>
        </w:tc>
      </w:tr>
      <w:tr w14:paraId="626546F9">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1E1F3A5A">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69973F40">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A020101计算机设备</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4DF667D7">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★A02010104台式计算机</w:t>
            </w:r>
          </w:p>
        </w:tc>
        <w:tc>
          <w:tcPr>
            <w:tcW w:w="2002" w:type="dxa"/>
            <w:tcBorders>
              <w:top w:val="single" w:color="auto" w:sz="4" w:space="0"/>
              <w:left w:val="single" w:color="auto" w:sz="4" w:space="0"/>
              <w:bottom w:val="single" w:color="auto" w:sz="4" w:space="0"/>
              <w:right w:val="single" w:color="auto" w:sz="4" w:space="0"/>
            </w:tcBorders>
            <w:vAlign w:val="center"/>
          </w:tcPr>
          <w:p w14:paraId="5B80EE3B">
            <w:pPr>
              <w:spacing w:before="124" w:line="283" w:lineRule="auto"/>
              <w:ind w:left="7" w:right="4"/>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BFA2762">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1EA7E67E">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6B35302">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62F7ADDB">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586B5970">
            <w:pPr>
              <w:spacing w:before="44" w:line="283" w:lineRule="auto"/>
              <w:ind w:left="7" w:right="5"/>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★A02010105便携式计算机</w:t>
            </w:r>
          </w:p>
        </w:tc>
        <w:tc>
          <w:tcPr>
            <w:tcW w:w="2002" w:type="dxa"/>
            <w:tcBorders>
              <w:top w:val="single" w:color="auto" w:sz="4" w:space="0"/>
              <w:left w:val="single" w:color="auto" w:sz="4" w:space="0"/>
              <w:bottom w:val="single" w:color="auto" w:sz="4" w:space="0"/>
              <w:right w:val="single" w:color="auto" w:sz="4" w:space="0"/>
            </w:tcBorders>
            <w:vAlign w:val="center"/>
          </w:tcPr>
          <w:p w14:paraId="4A613E80">
            <w:pPr>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22B48B2">
            <w:pPr>
              <w:spacing w:before="4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2547397A">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546C987">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0DD5F9F9">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68A045C6">
            <w:pPr>
              <w:spacing w:before="64" w:line="283" w:lineRule="auto"/>
              <w:ind w:left="7" w:right="5"/>
              <w:jc w:val="center"/>
              <w:rPr>
                <w:rFonts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2002" w:type="dxa"/>
            <w:tcBorders>
              <w:top w:val="single" w:color="auto" w:sz="4" w:space="0"/>
              <w:left w:val="single" w:color="auto" w:sz="4" w:space="0"/>
              <w:bottom w:val="single" w:color="auto" w:sz="4" w:space="0"/>
              <w:right w:val="single" w:color="auto" w:sz="4" w:space="0"/>
            </w:tcBorders>
            <w:vAlign w:val="center"/>
          </w:tcPr>
          <w:p w14:paraId="4062E18A">
            <w:pPr>
              <w:jc w:val="center"/>
              <w:rPr>
                <w:rFonts w:ascii="宋体" w:hAnsi="宋体" w:cs="宋体"/>
                <w:color w:val="auto"/>
                <w:kern w:val="0"/>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97E8C86">
            <w:pPr>
              <w:spacing w:before="6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4DC1DFB8">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1AB25514">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2</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285A3D17">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A020106输入输出设备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00F859EB">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A02010601打印设备</w:t>
            </w:r>
          </w:p>
        </w:tc>
        <w:tc>
          <w:tcPr>
            <w:tcW w:w="2002" w:type="dxa"/>
            <w:tcBorders>
              <w:top w:val="single" w:color="auto" w:sz="4" w:space="0"/>
              <w:left w:val="single" w:color="auto" w:sz="4" w:space="0"/>
              <w:bottom w:val="single" w:color="auto" w:sz="4" w:space="0"/>
              <w:right w:val="single" w:color="auto" w:sz="4" w:space="0"/>
            </w:tcBorders>
            <w:vAlign w:val="center"/>
          </w:tcPr>
          <w:p w14:paraId="47E5A841">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A0201060101喷墨打</w:t>
            </w:r>
          </w:p>
          <w:p w14:paraId="6EFC3D1B">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1AC96D2">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1BD99DB7">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509747D5">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251D2CC0">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2397DF2F">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5872414E">
            <w:pPr>
              <w:spacing w:before="52"/>
              <w:ind w:left="7"/>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★A0201060102激光</w:t>
            </w:r>
          </w:p>
          <w:p w14:paraId="735CC831">
            <w:pPr>
              <w:spacing w:before="50"/>
              <w:ind w:left="7"/>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FF18034">
            <w:pPr>
              <w:spacing w:before="52" w:line="283" w:lineRule="auto"/>
              <w:ind w:left="7" w:right="7"/>
              <w:jc w:val="center"/>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47FF42E">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5D05D728">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38532EB4">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70B78AC4">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27B368FA">
            <w:pPr>
              <w:spacing w:before="52"/>
              <w:ind w:left="7"/>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★A0201060104针式</w:t>
            </w:r>
          </w:p>
          <w:p w14:paraId="40FB373E">
            <w:pPr>
              <w:spacing w:before="50"/>
              <w:ind w:left="7"/>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38642DB">
            <w:pPr>
              <w:spacing w:before="52" w:line="283" w:lineRule="auto"/>
              <w:ind w:left="7" w:right="7"/>
              <w:jc w:val="center"/>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62EEE0FB">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774C7C44">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235D753">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77CD441">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A02010604显示设备</w:t>
            </w:r>
          </w:p>
        </w:tc>
        <w:tc>
          <w:tcPr>
            <w:tcW w:w="2002" w:type="dxa"/>
            <w:tcBorders>
              <w:top w:val="single" w:color="auto" w:sz="4" w:space="0"/>
              <w:left w:val="single" w:color="auto" w:sz="4" w:space="0"/>
              <w:bottom w:val="single" w:color="auto" w:sz="4" w:space="0"/>
              <w:right w:val="single" w:color="auto" w:sz="4" w:space="0"/>
            </w:tcBorders>
            <w:vAlign w:val="center"/>
          </w:tcPr>
          <w:p w14:paraId="37B76E61">
            <w:pPr>
              <w:spacing w:before="68"/>
              <w:ind w:left="7"/>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★A0201060401液晶</w:t>
            </w:r>
          </w:p>
          <w:p w14:paraId="4997B92E">
            <w:pPr>
              <w:spacing w:before="50"/>
              <w:ind w:left="7"/>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显示器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2B302DB">
            <w:pPr>
              <w:spacing w:before="68"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3EE6AF09">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6FBC5A3">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2BBE36AE">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4F9B1E20">
            <w:pPr>
              <w:spacing w:line="283" w:lineRule="auto"/>
              <w:ind w:right="5"/>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A02010609图形图像输入设备</w:t>
            </w:r>
          </w:p>
        </w:tc>
        <w:tc>
          <w:tcPr>
            <w:tcW w:w="2002" w:type="dxa"/>
            <w:tcBorders>
              <w:top w:val="single" w:color="auto" w:sz="4" w:space="0"/>
              <w:left w:val="single" w:color="auto" w:sz="4" w:space="0"/>
              <w:bottom w:val="single" w:color="auto" w:sz="4" w:space="0"/>
              <w:right w:val="single" w:color="auto" w:sz="4" w:space="0"/>
            </w:tcBorders>
            <w:vAlign w:val="center"/>
          </w:tcPr>
          <w:p w14:paraId="498332DE">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A0201060901扫描仪</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74A75C5">
            <w:pPr>
              <w:spacing w:before="49" w:line="283" w:lineRule="auto"/>
              <w:ind w:left="7" w:right="7"/>
              <w:jc w:val="center"/>
              <w:rPr>
                <w:rFonts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w:t>
            </w:r>
          </w:p>
          <w:p w14:paraId="376BC04B">
            <w:pPr>
              <w:spacing w:before="12" w:line="283" w:lineRule="auto"/>
              <w:ind w:left="7" w:right="5"/>
              <w:jc w:val="center"/>
              <w:rPr>
                <w:rFonts w:ascii="宋体" w:hAnsi="宋体" w:cs="宋体"/>
                <w:color w:val="auto"/>
                <w:kern w:val="0"/>
                <w:szCs w:val="21"/>
                <w:highlight w:val="none"/>
              </w:rPr>
            </w:pPr>
            <w:r>
              <w:rPr>
                <w:rFonts w:hint="eastAsia" w:ascii="宋体" w:hAnsi="宋体" w:cs="宋体"/>
                <w:color w:val="auto"/>
                <w:kern w:val="0"/>
                <w:szCs w:val="21"/>
                <w:highlight w:val="none"/>
              </w:rPr>
              <w:t>中打印速度为15页/分的针式打印机相关要求</w:t>
            </w:r>
          </w:p>
        </w:tc>
      </w:tr>
      <w:tr w14:paraId="7E2DD7C6">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101011C5">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3</w:t>
            </w:r>
          </w:p>
        </w:tc>
        <w:tc>
          <w:tcPr>
            <w:tcW w:w="1590" w:type="dxa"/>
            <w:tcBorders>
              <w:top w:val="single" w:color="auto" w:sz="4" w:space="0"/>
              <w:left w:val="single" w:color="auto" w:sz="4" w:space="0"/>
              <w:bottom w:val="single" w:color="auto" w:sz="4" w:space="0"/>
              <w:right w:val="single" w:color="auto" w:sz="4" w:space="0"/>
            </w:tcBorders>
            <w:vAlign w:val="center"/>
          </w:tcPr>
          <w:p w14:paraId="4D565F1D">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A020202投影仪</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2804D217">
            <w:pPr>
              <w:spacing w:before="124" w:line="283" w:lineRule="auto"/>
              <w:ind w:left="7" w:right="4"/>
              <w:jc w:val="center"/>
              <w:rPr>
                <w:rFonts w:ascii="宋体" w:hAnsi="宋体" w:cs="宋体"/>
                <w:color w:val="auto"/>
                <w:kern w:val="0"/>
                <w:szCs w:val="21"/>
                <w:highlight w:val="none"/>
                <w:lang w:eastAsia="en-US"/>
              </w:rPr>
            </w:pPr>
          </w:p>
        </w:tc>
        <w:tc>
          <w:tcPr>
            <w:tcW w:w="2002" w:type="dxa"/>
            <w:tcBorders>
              <w:top w:val="single" w:color="auto" w:sz="4" w:space="0"/>
              <w:left w:val="single" w:color="auto" w:sz="4" w:space="0"/>
              <w:bottom w:val="single" w:color="auto" w:sz="4" w:space="0"/>
              <w:right w:val="single" w:color="auto" w:sz="4" w:space="0"/>
            </w:tcBorders>
            <w:vAlign w:val="center"/>
          </w:tcPr>
          <w:p w14:paraId="16804CB6">
            <w:pPr>
              <w:spacing w:before="124" w:line="283" w:lineRule="auto"/>
              <w:ind w:left="7" w:right="4"/>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3DE00B5">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w:t>
            </w:r>
          </w:p>
          <w:p w14:paraId="28FEDAA8">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（GB32028）</w:t>
            </w:r>
          </w:p>
        </w:tc>
      </w:tr>
      <w:tr w14:paraId="272B44EB">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8704850">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4</w:t>
            </w:r>
          </w:p>
        </w:tc>
        <w:tc>
          <w:tcPr>
            <w:tcW w:w="1590" w:type="dxa"/>
            <w:tcBorders>
              <w:top w:val="single" w:color="auto" w:sz="4" w:space="0"/>
              <w:left w:val="single" w:color="auto" w:sz="4" w:space="0"/>
              <w:bottom w:val="single" w:color="auto" w:sz="4" w:space="0"/>
              <w:right w:val="single" w:color="auto" w:sz="4" w:space="0"/>
            </w:tcBorders>
            <w:vAlign w:val="center"/>
          </w:tcPr>
          <w:p w14:paraId="01C61FD4">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A020204多功能一体机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141AA35">
            <w:pPr>
              <w:spacing w:before="124" w:line="283" w:lineRule="auto"/>
              <w:ind w:left="7" w:right="4"/>
              <w:jc w:val="center"/>
              <w:rPr>
                <w:rFonts w:ascii="宋体" w:hAnsi="宋体" w:cs="宋体"/>
                <w:color w:val="auto"/>
                <w:kern w:val="0"/>
                <w:szCs w:val="21"/>
                <w:highlight w:val="none"/>
                <w:lang w:eastAsia="en-US"/>
              </w:rPr>
            </w:pPr>
          </w:p>
        </w:tc>
        <w:tc>
          <w:tcPr>
            <w:tcW w:w="2002" w:type="dxa"/>
            <w:tcBorders>
              <w:top w:val="single" w:color="auto" w:sz="4" w:space="0"/>
              <w:left w:val="single" w:color="auto" w:sz="4" w:space="0"/>
              <w:bottom w:val="single" w:color="auto" w:sz="4" w:space="0"/>
              <w:right w:val="single" w:color="auto" w:sz="4" w:space="0"/>
            </w:tcBorders>
            <w:vAlign w:val="center"/>
          </w:tcPr>
          <w:p w14:paraId="2C564EA0">
            <w:pPr>
              <w:spacing w:before="124" w:line="283" w:lineRule="auto"/>
              <w:ind w:left="7" w:right="4"/>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08D13F4">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7F02F7AD">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4E32E804">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5</w:t>
            </w:r>
          </w:p>
        </w:tc>
        <w:tc>
          <w:tcPr>
            <w:tcW w:w="1590" w:type="dxa"/>
            <w:tcBorders>
              <w:top w:val="single" w:color="auto" w:sz="4" w:space="0"/>
              <w:left w:val="single" w:color="auto" w:sz="4" w:space="0"/>
              <w:bottom w:val="single" w:color="auto" w:sz="4" w:space="0"/>
              <w:right w:val="single" w:color="auto" w:sz="4" w:space="0"/>
            </w:tcBorders>
            <w:vAlign w:val="center"/>
          </w:tcPr>
          <w:p w14:paraId="1E8D5B19">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A020519泵</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50D82D10">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A02051901离心泵</w:t>
            </w:r>
          </w:p>
        </w:tc>
        <w:tc>
          <w:tcPr>
            <w:tcW w:w="2002" w:type="dxa"/>
            <w:tcBorders>
              <w:top w:val="single" w:color="auto" w:sz="4" w:space="0"/>
              <w:left w:val="single" w:color="auto" w:sz="4" w:space="0"/>
              <w:bottom w:val="single" w:color="auto" w:sz="4" w:space="0"/>
              <w:right w:val="single" w:color="auto" w:sz="4" w:space="0"/>
            </w:tcBorders>
            <w:vAlign w:val="center"/>
          </w:tcPr>
          <w:p w14:paraId="71E171D4">
            <w:pPr>
              <w:spacing w:before="124" w:line="283" w:lineRule="auto"/>
              <w:ind w:left="7" w:right="4"/>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2393BAF3">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29CDD3AA">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right w:val="single" w:color="auto" w:sz="4" w:space="0"/>
            </w:tcBorders>
            <w:vAlign w:val="center"/>
          </w:tcPr>
          <w:p w14:paraId="7D2B8DCD">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6</w:t>
            </w:r>
          </w:p>
        </w:tc>
        <w:tc>
          <w:tcPr>
            <w:tcW w:w="1590" w:type="dxa"/>
            <w:vMerge w:val="restart"/>
            <w:tcBorders>
              <w:top w:val="single" w:color="auto" w:sz="4" w:space="0"/>
              <w:left w:val="single" w:color="auto" w:sz="4" w:space="0"/>
              <w:right w:val="single" w:color="auto" w:sz="4" w:space="0"/>
            </w:tcBorders>
            <w:vAlign w:val="center"/>
          </w:tcPr>
          <w:p w14:paraId="07C66038">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A020523制冷空调设备</w:t>
            </w:r>
          </w:p>
        </w:tc>
        <w:tc>
          <w:tcPr>
            <w:tcW w:w="1987" w:type="dxa"/>
            <w:gridSpan w:val="2"/>
            <w:vMerge w:val="restart"/>
            <w:tcBorders>
              <w:top w:val="single" w:color="auto" w:sz="4" w:space="0"/>
              <w:left w:val="single" w:color="auto" w:sz="4" w:space="0"/>
              <w:right w:val="single" w:color="auto" w:sz="4" w:space="0"/>
            </w:tcBorders>
            <w:vAlign w:val="center"/>
          </w:tcPr>
          <w:p w14:paraId="04AF7444">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★A02052301制冷压缩机</w:t>
            </w:r>
          </w:p>
        </w:tc>
        <w:tc>
          <w:tcPr>
            <w:tcW w:w="2002" w:type="dxa"/>
            <w:tcBorders>
              <w:top w:val="single" w:color="auto" w:sz="4" w:space="0"/>
              <w:left w:val="single" w:color="auto" w:sz="4" w:space="0"/>
              <w:bottom w:val="single" w:color="auto" w:sz="4" w:space="0"/>
              <w:right w:val="single" w:color="auto" w:sz="4" w:space="0"/>
            </w:tcBorders>
            <w:vAlign w:val="center"/>
          </w:tcPr>
          <w:p w14:paraId="17455FCF">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720845C">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34BE350C">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54D3DE04">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7D009C2A">
            <w:pPr>
              <w:widowControl/>
              <w:jc w:val="center"/>
              <w:rPr>
                <w:rFonts w:ascii="宋体" w:hAnsi="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14:paraId="448B6030">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7400B79E">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水源热泵机组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75411AA">
            <w:pPr>
              <w:spacing w:before="52" w:line="283" w:lineRule="auto"/>
              <w:ind w:left="7" w:right="7"/>
              <w:jc w:val="center"/>
              <w:rPr>
                <w:rFonts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43E757B5">
        <w:tblPrEx>
          <w:tblCellMar>
            <w:top w:w="0" w:type="dxa"/>
            <w:left w:w="0" w:type="dxa"/>
            <w:bottom w:w="0" w:type="dxa"/>
            <w:right w:w="0" w:type="dxa"/>
          </w:tblCellMar>
        </w:tblPrEx>
        <w:trPr>
          <w:trHeight w:val="647" w:hRule="atLeast"/>
          <w:jc w:val="center"/>
        </w:trPr>
        <w:tc>
          <w:tcPr>
            <w:tcW w:w="716" w:type="dxa"/>
            <w:vMerge w:val="continue"/>
            <w:tcBorders>
              <w:left w:val="single" w:color="auto" w:sz="4" w:space="0"/>
              <w:right w:val="single" w:color="auto" w:sz="4" w:space="0"/>
            </w:tcBorders>
            <w:vAlign w:val="center"/>
          </w:tcPr>
          <w:p w14:paraId="182F6B3C">
            <w:pPr>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1220C472">
            <w:pPr>
              <w:jc w:val="center"/>
              <w:rPr>
                <w:rFonts w:ascii="宋体" w:hAnsi="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14:paraId="0D264BC1">
            <w:pPr>
              <w:jc w:val="center"/>
              <w:rPr>
                <w:rFonts w:ascii="宋体" w:hAnsi="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14:paraId="0142167D">
            <w:pPr>
              <w:spacing w:before="93"/>
              <w:ind w:left="7"/>
              <w:jc w:val="center"/>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E113691">
            <w:pPr>
              <w:spacing w:before="93"/>
              <w:ind w:left="7"/>
              <w:jc w:val="center"/>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646BD372">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6ED11ED0">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23637ADB">
            <w:pPr>
              <w:widowControl/>
              <w:jc w:val="center"/>
              <w:rPr>
                <w:rFonts w:ascii="宋体" w:hAnsi="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7E7399E5">
            <w:pPr>
              <w:spacing w:line="283" w:lineRule="auto"/>
              <w:ind w:right="5"/>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★A02052305空调机组</w:t>
            </w:r>
          </w:p>
        </w:tc>
        <w:tc>
          <w:tcPr>
            <w:tcW w:w="2002" w:type="dxa"/>
            <w:tcBorders>
              <w:top w:val="single" w:color="auto" w:sz="4" w:space="0"/>
              <w:left w:val="single" w:color="auto" w:sz="4" w:space="0"/>
              <w:bottom w:val="single" w:color="auto" w:sz="4" w:space="0"/>
              <w:right w:val="single" w:color="auto" w:sz="4" w:space="0"/>
            </w:tcBorders>
            <w:vAlign w:val="center"/>
          </w:tcPr>
          <w:p w14:paraId="795009CD">
            <w:pPr>
              <w:spacing w:before="4" w:line="283" w:lineRule="auto"/>
              <w:ind w:left="7" w:right="7"/>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76D1044">
            <w:pPr>
              <w:spacing w:before="160" w:line="283" w:lineRule="auto"/>
              <w:ind w:left="7" w:right="7"/>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3749495A">
        <w:tblPrEx>
          <w:tblCellMar>
            <w:top w:w="0" w:type="dxa"/>
            <w:left w:w="0" w:type="dxa"/>
            <w:bottom w:w="0" w:type="dxa"/>
            <w:right w:w="0" w:type="dxa"/>
          </w:tblCellMar>
        </w:tblPrEx>
        <w:trPr>
          <w:trHeight w:val="241" w:hRule="atLeast"/>
          <w:jc w:val="center"/>
        </w:trPr>
        <w:tc>
          <w:tcPr>
            <w:tcW w:w="716" w:type="dxa"/>
            <w:vMerge w:val="continue"/>
            <w:tcBorders>
              <w:left w:val="single" w:color="auto" w:sz="4" w:space="0"/>
              <w:right w:val="single" w:color="auto" w:sz="4" w:space="0"/>
            </w:tcBorders>
            <w:vAlign w:val="center"/>
          </w:tcPr>
          <w:p w14:paraId="60AD7D00">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08900D7D">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24E0234E">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14:paraId="66E35440">
            <w:pPr>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w:t>
            </w:r>
          </w:p>
          <w:p w14:paraId="5884A18D">
            <w:pPr>
              <w:spacing w:line="256" w:lineRule="exact"/>
              <w:ind w:left="7"/>
              <w:jc w:val="center"/>
              <w:rPr>
                <w:rFonts w:ascii="宋体" w:hAnsi="宋体" w:cs="宋体"/>
                <w:color w:val="auto"/>
                <w:kern w:val="0"/>
                <w:szCs w:val="21"/>
                <w:highlight w:val="none"/>
              </w:rPr>
            </w:pPr>
            <w:r>
              <w:rPr>
                <w:rFonts w:hint="eastAsia" w:ascii="宋体" w:hAnsi="宋体" w:cs="宋体"/>
                <w:color w:val="auto"/>
                <w:kern w:val="0"/>
                <w:szCs w:val="21"/>
                <w:highlight w:val="none"/>
              </w:rPr>
              <w:t>(制冷量&gt;14000W)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2A817E1">
            <w:pPr>
              <w:spacing w:before="9"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79B5ED9B">
        <w:tblPrEx>
          <w:tblCellMar>
            <w:top w:w="0" w:type="dxa"/>
            <w:left w:w="0" w:type="dxa"/>
            <w:bottom w:w="0" w:type="dxa"/>
            <w:right w:w="0" w:type="dxa"/>
          </w:tblCellMar>
        </w:tblPrEx>
        <w:trPr>
          <w:trHeight w:val="637" w:hRule="atLeast"/>
          <w:jc w:val="center"/>
        </w:trPr>
        <w:tc>
          <w:tcPr>
            <w:tcW w:w="716" w:type="dxa"/>
            <w:vMerge w:val="continue"/>
            <w:tcBorders>
              <w:left w:val="single" w:color="auto" w:sz="4" w:space="0"/>
              <w:right w:val="single" w:color="auto" w:sz="4" w:space="0"/>
            </w:tcBorders>
            <w:vAlign w:val="center"/>
          </w:tcPr>
          <w:p w14:paraId="497CDBFF">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2C2AF975">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14:paraId="3495BE9E">
            <w:pPr>
              <w:spacing w:before="83"/>
              <w:ind w:left="7"/>
              <w:jc w:val="center"/>
              <w:rPr>
                <w:rFonts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2002" w:type="dxa"/>
            <w:tcBorders>
              <w:top w:val="single" w:color="auto" w:sz="4" w:space="0"/>
              <w:left w:val="single" w:color="auto" w:sz="4" w:space="0"/>
              <w:bottom w:val="single" w:color="auto" w:sz="4" w:space="0"/>
              <w:right w:val="single" w:color="auto" w:sz="4" w:space="0"/>
            </w:tcBorders>
            <w:vAlign w:val="center"/>
          </w:tcPr>
          <w:p w14:paraId="0E47617B">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机房空调</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2AE130C">
            <w:pPr>
              <w:spacing w:before="83"/>
              <w:ind w:left="7"/>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69E817E4">
        <w:tblPrEx>
          <w:tblCellMar>
            <w:top w:w="0" w:type="dxa"/>
            <w:left w:w="0" w:type="dxa"/>
            <w:bottom w:w="0" w:type="dxa"/>
            <w:right w:w="0" w:type="dxa"/>
          </w:tblCellMar>
        </w:tblPrEx>
        <w:trPr>
          <w:trHeight w:val="1070" w:hRule="atLeast"/>
          <w:jc w:val="center"/>
        </w:trPr>
        <w:tc>
          <w:tcPr>
            <w:tcW w:w="716" w:type="dxa"/>
            <w:vMerge w:val="continue"/>
            <w:tcBorders>
              <w:left w:val="single" w:color="auto" w:sz="4" w:space="0"/>
              <w:right w:val="single" w:color="auto" w:sz="4" w:space="0"/>
            </w:tcBorders>
            <w:vAlign w:val="center"/>
          </w:tcPr>
          <w:p w14:paraId="44F0CDBC">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63139C86">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14:paraId="2A3F8CE2">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A02052399其他制冷空调设备</w:t>
            </w:r>
          </w:p>
        </w:tc>
        <w:tc>
          <w:tcPr>
            <w:tcW w:w="2002" w:type="dxa"/>
            <w:tcBorders>
              <w:top w:val="single" w:color="auto" w:sz="4" w:space="0"/>
              <w:left w:val="single" w:color="auto" w:sz="4" w:space="0"/>
              <w:bottom w:val="single" w:color="auto" w:sz="4" w:space="0"/>
              <w:right w:val="single" w:color="auto" w:sz="4" w:space="0"/>
            </w:tcBorders>
            <w:vAlign w:val="center"/>
          </w:tcPr>
          <w:p w14:paraId="5F77910E">
            <w:pPr>
              <w:spacing w:before="16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冷却塔</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28E71EA">
            <w:pPr>
              <w:jc w:val="center"/>
              <w:rPr>
                <w:rFonts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w:t>
            </w:r>
          </w:p>
          <w:p w14:paraId="1224E3FE">
            <w:pPr>
              <w:spacing w:line="256" w:lineRule="exact"/>
              <w:ind w:left="7"/>
              <w:jc w:val="center"/>
              <w:rPr>
                <w:rFonts w:ascii="宋体" w:hAnsi="宋体" w:cs="宋体"/>
                <w:color w:val="auto"/>
                <w:kern w:val="0"/>
                <w:szCs w:val="21"/>
                <w:highlight w:val="none"/>
              </w:rPr>
            </w:pPr>
            <w:r>
              <w:rPr>
                <w:rFonts w:hint="eastAsia" w:ascii="宋体" w:hAnsi="宋体" w:cs="宋体"/>
                <w:color w:val="auto"/>
                <w:kern w:val="0"/>
                <w:szCs w:val="21"/>
                <w:highlight w:val="none"/>
              </w:rPr>
              <w:t>《机械通风冷却塔第2部分：大型开式冷却塔》（GB/T7190.2）</w:t>
            </w:r>
          </w:p>
        </w:tc>
      </w:tr>
      <w:tr w14:paraId="30D1BED3">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33C7EC92">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7</w:t>
            </w:r>
          </w:p>
        </w:tc>
        <w:tc>
          <w:tcPr>
            <w:tcW w:w="1590" w:type="dxa"/>
            <w:tcBorders>
              <w:top w:val="single" w:color="auto" w:sz="4" w:space="0"/>
              <w:left w:val="single" w:color="auto" w:sz="4" w:space="0"/>
              <w:bottom w:val="single" w:color="auto" w:sz="4" w:space="0"/>
              <w:right w:val="single" w:color="auto" w:sz="4" w:space="0"/>
            </w:tcBorders>
            <w:vAlign w:val="center"/>
          </w:tcPr>
          <w:p w14:paraId="0BB82C35">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A020601电机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06E1A60">
            <w:pPr>
              <w:spacing w:before="124" w:line="283" w:lineRule="auto"/>
              <w:ind w:left="7" w:right="4"/>
              <w:jc w:val="center"/>
              <w:rPr>
                <w:rFonts w:ascii="宋体" w:hAnsi="宋体" w:cs="宋体"/>
                <w:color w:val="auto"/>
                <w:kern w:val="0"/>
                <w:szCs w:val="21"/>
                <w:highlight w:val="none"/>
                <w:lang w:eastAsia="en-US"/>
              </w:rPr>
            </w:pPr>
          </w:p>
        </w:tc>
        <w:tc>
          <w:tcPr>
            <w:tcW w:w="2002" w:type="dxa"/>
            <w:tcBorders>
              <w:top w:val="single" w:color="auto" w:sz="4" w:space="0"/>
              <w:left w:val="single" w:color="auto" w:sz="4" w:space="0"/>
              <w:bottom w:val="single" w:color="auto" w:sz="4" w:space="0"/>
              <w:right w:val="single" w:color="auto" w:sz="4" w:space="0"/>
            </w:tcBorders>
            <w:vAlign w:val="center"/>
          </w:tcPr>
          <w:p w14:paraId="76A7B7EC">
            <w:pPr>
              <w:spacing w:before="124" w:line="283" w:lineRule="auto"/>
              <w:ind w:left="7" w:right="4"/>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12E2952">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309CE644">
        <w:tblPrEx>
          <w:tblCellMar>
            <w:top w:w="0" w:type="dxa"/>
            <w:left w:w="0" w:type="dxa"/>
            <w:bottom w:w="0" w:type="dxa"/>
            <w:right w:w="0" w:type="dxa"/>
          </w:tblCellMar>
        </w:tblPrEx>
        <w:trPr>
          <w:trHeight w:val="55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FB465F2">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8</w:t>
            </w:r>
          </w:p>
        </w:tc>
        <w:tc>
          <w:tcPr>
            <w:tcW w:w="1590" w:type="dxa"/>
            <w:tcBorders>
              <w:top w:val="single" w:color="auto" w:sz="4" w:space="0"/>
              <w:left w:val="single" w:color="auto" w:sz="4" w:space="0"/>
              <w:right w:val="single" w:color="auto" w:sz="4" w:space="0"/>
            </w:tcBorders>
            <w:vAlign w:val="center"/>
          </w:tcPr>
          <w:p w14:paraId="71C0B930">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A020602变压器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89C43F8">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配电变压器</w:t>
            </w:r>
          </w:p>
        </w:tc>
        <w:tc>
          <w:tcPr>
            <w:tcW w:w="2002" w:type="dxa"/>
            <w:tcBorders>
              <w:top w:val="single" w:color="auto" w:sz="4" w:space="0"/>
              <w:left w:val="single" w:color="auto" w:sz="4" w:space="0"/>
              <w:bottom w:val="single" w:color="auto" w:sz="4" w:space="0"/>
              <w:right w:val="single" w:color="auto" w:sz="4" w:space="0"/>
            </w:tcBorders>
            <w:vAlign w:val="center"/>
          </w:tcPr>
          <w:p w14:paraId="310C2C4A">
            <w:pPr>
              <w:spacing w:before="124" w:line="283" w:lineRule="auto"/>
              <w:ind w:left="7" w:right="4"/>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1A2FC01">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139BE7FF">
        <w:tblPrEx>
          <w:tblCellMar>
            <w:top w:w="0" w:type="dxa"/>
            <w:left w:w="0" w:type="dxa"/>
            <w:bottom w:w="0" w:type="dxa"/>
            <w:right w:w="0" w:type="dxa"/>
          </w:tblCellMar>
        </w:tblPrEx>
        <w:trPr>
          <w:trHeight w:val="66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8A8C289">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9</w:t>
            </w:r>
          </w:p>
        </w:tc>
        <w:tc>
          <w:tcPr>
            <w:tcW w:w="1590" w:type="dxa"/>
            <w:tcBorders>
              <w:top w:val="single" w:color="auto" w:sz="4" w:space="0"/>
              <w:left w:val="single" w:color="auto" w:sz="4" w:space="0"/>
              <w:right w:val="single" w:color="auto" w:sz="4" w:space="0"/>
            </w:tcBorders>
            <w:vAlign w:val="center"/>
          </w:tcPr>
          <w:p w14:paraId="62BF53CB">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★A020609镇流器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29DD98E">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管型荧光灯镇流器</w:t>
            </w:r>
          </w:p>
        </w:tc>
        <w:tc>
          <w:tcPr>
            <w:tcW w:w="2002" w:type="dxa"/>
            <w:tcBorders>
              <w:top w:val="single" w:color="auto" w:sz="4" w:space="0"/>
              <w:left w:val="single" w:color="auto" w:sz="4" w:space="0"/>
              <w:bottom w:val="single" w:color="auto" w:sz="4" w:space="0"/>
              <w:right w:val="single" w:color="auto" w:sz="4" w:space="0"/>
            </w:tcBorders>
            <w:vAlign w:val="center"/>
          </w:tcPr>
          <w:p w14:paraId="37DFFCA8">
            <w:pPr>
              <w:spacing w:before="124" w:line="283" w:lineRule="auto"/>
              <w:ind w:left="7" w:right="4"/>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953AE19">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1F548F47">
        <w:tblPrEx>
          <w:tblCellMar>
            <w:top w:w="0" w:type="dxa"/>
            <w:left w:w="0" w:type="dxa"/>
            <w:bottom w:w="0" w:type="dxa"/>
            <w:right w:w="0" w:type="dxa"/>
          </w:tblCellMar>
        </w:tblPrEx>
        <w:trPr>
          <w:trHeight w:val="562" w:hRule="atLeast"/>
          <w:jc w:val="center"/>
        </w:trPr>
        <w:tc>
          <w:tcPr>
            <w:tcW w:w="716" w:type="dxa"/>
            <w:vMerge w:val="restart"/>
            <w:tcBorders>
              <w:top w:val="single" w:color="auto" w:sz="4" w:space="0"/>
              <w:left w:val="single" w:color="auto" w:sz="4" w:space="0"/>
              <w:right w:val="single" w:color="auto" w:sz="4" w:space="0"/>
            </w:tcBorders>
            <w:vAlign w:val="center"/>
          </w:tcPr>
          <w:p w14:paraId="5D9A7B0F">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10</w:t>
            </w:r>
          </w:p>
        </w:tc>
        <w:tc>
          <w:tcPr>
            <w:tcW w:w="1590" w:type="dxa"/>
            <w:vMerge w:val="restart"/>
            <w:tcBorders>
              <w:top w:val="single" w:color="auto" w:sz="4" w:space="0"/>
              <w:left w:val="single" w:color="auto" w:sz="4" w:space="0"/>
              <w:right w:val="single" w:color="auto" w:sz="4" w:space="0"/>
            </w:tcBorders>
            <w:vAlign w:val="center"/>
          </w:tcPr>
          <w:p w14:paraId="3E083462">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A020618生活用电器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842F895">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A0206180101电冰箱</w:t>
            </w:r>
          </w:p>
        </w:tc>
        <w:tc>
          <w:tcPr>
            <w:tcW w:w="2002" w:type="dxa"/>
            <w:tcBorders>
              <w:top w:val="single" w:color="auto" w:sz="4" w:space="0"/>
              <w:left w:val="single" w:color="auto" w:sz="4" w:space="0"/>
              <w:bottom w:val="single" w:color="auto" w:sz="4" w:space="0"/>
              <w:right w:val="single" w:color="auto" w:sz="4" w:space="0"/>
            </w:tcBorders>
            <w:vAlign w:val="center"/>
          </w:tcPr>
          <w:p w14:paraId="029ACC61">
            <w:pPr>
              <w:spacing w:before="124" w:line="283" w:lineRule="auto"/>
              <w:ind w:left="7" w:right="4"/>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0B302C0">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《家用电冰箱耗电量限定值及能效等级》（GB12021.2）</w:t>
            </w:r>
          </w:p>
        </w:tc>
      </w:tr>
      <w:tr w14:paraId="7C832041">
        <w:tblPrEx>
          <w:tblCellMar>
            <w:top w:w="0" w:type="dxa"/>
            <w:left w:w="0" w:type="dxa"/>
            <w:bottom w:w="0" w:type="dxa"/>
            <w:right w:w="0" w:type="dxa"/>
          </w:tblCellMar>
        </w:tblPrEx>
        <w:trPr>
          <w:trHeight w:val="1496" w:hRule="atLeast"/>
          <w:jc w:val="center"/>
        </w:trPr>
        <w:tc>
          <w:tcPr>
            <w:tcW w:w="716" w:type="dxa"/>
            <w:vMerge w:val="continue"/>
            <w:tcBorders>
              <w:left w:val="single" w:color="auto" w:sz="4" w:space="0"/>
              <w:right w:val="single" w:color="auto" w:sz="4" w:space="0"/>
            </w:tcBorders>
            <w:vAlign w:val="center"/>
          </w:tcPr>
          <w:p w14:paraId="7E4E53DF">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0200829B">
            <w:pPr>
              <w:widowControl/>
              <w:jc w:val="center"/>
              <w:rPr>
                <w:rFonts w:ascii="宋体" w:hAnsi="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68C8B20A">
            <w:pPr>
              <w:spacing w:before="171"/>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★A0206180203空调</w:t>
            </w:r>
          </w:p>
          <w:p w14:paraId="7A2C5F9D">
            <w:pPr>
              <w:spacing w:before="50"/>
              <w:ind w:left="7"/>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机</w:t>
            </w:r>
          </w:p>
        </w:tc>
        <w:tc>
          <w:tcPr>
            <w:tcW w:w="2002" w:type="dxa"/>
            <w:tcBorders>
              <w:top w:val="single" w:color="auto" w:sz="4" w:space="0"/>
              <w:left w:val="single" w:color="auto" w:sz="4" w:space="0"/>
              <w:bottom w:val="single" w:color="auto" w:sz="4" w:space="0"/>
              <w:right w:val="single" w:color="auto" w:sz="4" w:space="0"/>
            </w:tcBorders>
            <w:vAlign w:val="center"/>
          </w:tcPr>
          <w:p w14:paraId="57729CA6">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房间空气调节器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86AF958">
            <w:pPr>
              <w:spacing w:before="4"/>
              <w:ind w:left="7"/>
              <w:jc w:val="center"/>
              <w:rPr>
                <w:rFonts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7F41D9EE">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794F60C5">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0750C295">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66659BB3">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34163576">
            <w:pPr>
              <w:spacing w:before="4" w:line="283" w:lineRule="auto"/>
              <w:ind w:left="7" w:right="7"/>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5881D85">
            <w:pPr>
              <w:spacing w:before="160" w:line="283" w:lineRule="auto"/>
              <w:ind w:left="7" w:right="7"/>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7B700E28">
        <w:tblPrEx>
          <w:tblCellMar>
            <w:top w:w="0" w:type="dxa"/>
            <w:left w:w="0" w:type="dxa"/>
            <w:bottom w:w="0" w:type="dxa"/>
            <w:right w:w="0" w:type="dxa"/>
          </w:tblCellMar>
        </w:tblPrEx>
        <w:trPr>
          <w:trHeight w:val="512" w:hRule="atLeast"/>
          <w:jc w:val="center"/>
        </w:trPr>
        <w:tc>
          <w:tcPr>
            <w:tcW w:w="716" w:type="dxa"/>
            <w:vMerge w:val="continue"/>
            <w:tcBorders>
              <w:left w:val="single" w:color="auto" w:sz="4" w:space="0"/>
              <w:right w:val="single" w:color="auto" w:sz="4" w:space="0"/>
            </w:tcBorders>
            <w:vAlign w:val="center"/>
          </w:tcPr>
          <w:p w14:paraId="584F0860">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715C1C7E">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05FF4F0D">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50BFE669">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单元式空气调节机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93E0846">
            <w:pPr>
              <w:spacing w:before="4"/>
              <w:ind w:left="7"/>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w:t>
            </w:r>
          </w:p>
        </w:tc>
      </w:tr>
      <w:tr w14:paraId="6A807537">
        <w:tblPrEx>
          <w:tblCellMar>
            <w:top w:w="0" w:type="dxa"/>
            <w:left w:w="0" w:type="dxa"/>
            <w:bottom w:w="0" w:type="dxa"/>
            <w:right w:w="0" w:type="dxa"/>
          </w:tblCellMar>
        </w:tblPrEx>
        <w:trPr>
          <w:trHeight w:val="492" w:hRule="atLeast"/>
          <w:jc w:val="center"/>
        </w:trPr>
        <w:tc>
          <w:tcPr>
            <w:tcW w:w="716" w:type="dxa"/>
            <w:vMerge w:val="continue"/>
            <w:tcBorders>
              <w:left w:val="single" w:color="auto" w:sz="4" w:space="0"/>
              <w:right w:val="single" w:color="auto" w:sz="4" w:space="0"/>
            </w:tcBorders>
            <w:vAlign w:val="center"/>
          </w:tcPr>
          <w:p w14:paraId="38BF6D86">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4EF6BD59">
            <w:pPr>
              <w:widowControl/>
              <w:jc w:val="center"/>
              <w:rPr>
                <w:rFonts w:ascii="宋体" w:hAnsi="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3ADB254F">
            <w:pPr>
              <w:widowControl/>
              <w:jc w:val="center"/>
              <w:rPr>
                <w:rFonts w:ascii="宋体" w:hAnsi="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0767CA5E">
            <w:pPr>
              <w:spacing w:line="256" w:lineRule="exact"/>
              <w:ind w:left="7"/>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BF36467">
            <w:pPr>
              <w:spacing w:line="256" w:lineRule="exact"/>
              <w:ind w:left="7"/>
              <w:jc w:val="center"/>
              <w:rPr>
                <w:rFonts w:ascii="宋体" w:hAnsi="宋体" w:cs="宋体"/>
                <w:color w:val="auto"/>
                <w:kern w:val="0"/>
                <w:szCs w:val="21"/>
                <w:highlight w:val="none"/>
              </w:rPr>
            </w:pPr>
            <w:r>
              <w:rPr>
                <w:rFonts w:hint="eastAsia" w:ascii="宋体" w:hAnsi="宋体" w:cs="宋体"/>
                <w:color w:val="auto"/>
                <w:kern w:val="0"/>
                <w:szCs w:val="21"/>
                <w:highlight w:val="none"/>
              </w:rPr>
              <w:t>《风管送风式空调机组能效限定值及能效等级》（GB37479）</w:t>
            </w:r>
          </w:p>
        </w:tc>
      </w:tr>
      <w:tr w14:paraId="2E4C64F7">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294BE33B">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36634D95">
            <w:pPr>
              <w:widowControl/>
              <w:jc w:val="center"/>
              <w:rPr>
                <w:rFonts w:ascii="宋体" w:hAnsi="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18928542">
            <w:pPr>
              <w:spacing w:before="162"/>
              <w:ind w:left="7"/>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A0206180301洗衣机</w:t>
            </w:r>
          </w:p>
        </w:tc>
        <w:tc>
          <w:tcPr>
            <w:tcW w:w="2002" w:type="dxa"/>
            <w:tcBorders>
              <w:top w:val="single" w:color="auto" w:sz="4" w:space="0"/>
              <w:left w:val="single" w:color="auto" w:sz="4" w:space="0"/>
              <w:bottom w:val="single" w:color="auto" w:sz="4" w:space="0"/>
              <w:right w:val="single" w:color="auto" w:sz="4" w:space="0"/>
            </w:tcBorders>
            <w:vAlign w:val="center"/>
          </w:tcPr>
          <w:p w14:paraId="72BC5F5C">
            <w:pPr>
              <w:jc w:val="center"/>
              <w:rPr>
                <w:rFonts w:ascii="宋体" w:hAnsi="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9F1006A">
            <w:pPr>
              <w:spacing w:before="6"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22B4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5DD94BEF">
            <w:pPr>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7B8249B1">
            <w:pPr>
              <w:jc w:val="center"/>
              <w:rPr>
                <w:rFonts w:ascii="宋体" w:hAnsi="宋体" w:cs="宋体"/>
                <w:color w:val="auto"/>
                <w:kern w:val="0"/>
                <w:szCs w:val="21"/>
                <w:highlight w:val="none"/>
              </w:rPr>
            </w:pPr>
          </w:p>
        </w:tc>
        <w:tc>
          <w:tcPr>
            <w:tcW w:w="1981" w:type="dxa"/>
            <w:vMerge w:val="restart"/>
            <w:tcBorders>
              <w:top w:val="single" w:color="auto" w:sz="4" w:space="0"/>
              <w:left w:val="single" w:color="auto" w:sz="4" w:space="0"/>
              <w:bottom w:val="single" w:color="auto" w:sz="4" w:space="0"/>
              <w:right w:val="single" w:color="auto" w:sz="4" w:space="0"/>
            </w:tcBorders>
            <w:vAlign w:val="center"/>
          </w:tcPr>
          <w:p w14:paraId="457B82F8">
            <w:pPr>
              <w:spacing w:before="161"/>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A02061808热水器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9671C02">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★电热水器</w:t>
            </w:r>
          </w:p>
        </w:tc>
        <w:tc>
          <w:tcPr>
            <w:tcW w:w="3903" w:type="dxa"/>
            <w:tcBorders>
              <w:top w:val="single" w:color="auto" w:sz="4" w:space="0"/>
              <w:left w:val="single" w:color="auto" w:sz="4" w:space="0"/>
              <w:bottom w:val="single" w:color="auto" w:sz="4" w:space="0"/>
              <w:right w:val="single" w:color="auto" w:sz="4" w:space="0"/>
            </w:tcBorders>
            <w:vAlign w:val="center"/>
          </w:tcPr>
          <w:p w14:paraId="6F268EAF">
            <w:pPr>
              <w:tabs>
                <w:tab w:val="left" w:pos="1608"/>
              </w:tabs>
              <w:spacing w:before="52"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73D3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6726A525">
            <w:pPr>
              <w:widowControl/>
              <w:jc w:val="center"/>
              <w:rPr>
                <w:rFonts w:ascii="宋体" w:hAnsi="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58AC32A7">
            <w:pPr>
              <w:widowControl/>
              <w:jc w:val="center"/>
              <w:rPr>
                <w:rFonts w:ascii="宋体" w:hAnsi="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738C4B01">
            <w:pPr>
              <w:widowControl/>
              <w:jc w:val="center"/>
              <w:rPr>
                <w:rFonts w:ascii="宋体" w:hAnsi="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78074A9">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燃气热水器</w:t>
            </w:r>
          </w:p>
        </w:tc>
        <w:tc>
          <w:tcPr>
            <w:tcW w:w="3903" w:type="dxa"/>
            <w:tcBorders>
              <w:top w:val="single" w:color="auto" w:sz="4" w:space="0"/>
              <w:left w:val="single" w:color="auto" w:sz="4" w:space="0"/>
              <w:bottom w:val="single" w:color="auto" w:sz="4" w:space="0"/>
              <w:right w:val="single" w:color="auto" w:sz="4" w:space="0"/>
            </w:tcBorders>
            <w:vAlign w:val="center"/>
          </w:tcPr>
          <w:p w14:paraId="35C99672">
            <w:pPr>
              <w:spacing w:before="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w:t>
            </w:r>
          </w:p>
          <w:p w14:paraId="7085B5A3">
            <w:pPr>
              <w:spacing w:before="12"/>
              <w:ind w:left="7"/>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（GB20665）</w:t>
            </w:r>
          </w:p>
        </w:tc>
      </w:tr>
      <w:tr w14:paraId="34BD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61E466CC">
            <w:pPr>
              <w:widowControl/>
              <w:jc w:val="center"/>
              <w:rPr>
                <w:rFonts w:ascii="宋体" w:hAnsi="宋体" w:cs="宋体"/>
                <w:color w:val="auto"/>
                <w:kern w:val="0"/>
                <w:szCs w:val="21"/>
                <w:highlight w:val="none"/>
                <w:lang w:eastAsia="en-US"/>
              </w:rPr>
            </w:pPr>
          </w:p>
        </w:tc>
        <w:tc>
          <w:tcPr>
            <w:tcW w:w="1590" w:type="dxa"/>
            <w:vMerge w:val="continue"/>
            <w:tcBorders>
              <w:left w:val="single" w:color="auto" w:sz="4" w:space="0"/>
              <w:right w:val="single" w:color="auto" w:sz="4" w:space="0"/>
            </w:tcBorders>
            <w:vAlign w:val="center"/>
          </w:tcPr>
          <w:p w14:paraId="3DF6274F">
            <w:pPr>
              <w:widowControl/>
              <w:jc w:val="center"/>
              <w:rPr>
                <w:rFonts w:ascii="宋体" w:hAnsi="宋体" w:cs="宋体"/>
                <w:color w:val="auto"/>
                <w:kern w:val="0"/>
                <w:szCs w:val="21"/>
                <w:highlight w:val="none"/>
                <w:lang w:eastAsia="en-US"/>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10907626">
            <w:pPr>
              <w:widowControl/>
              <w:jc w:val="center"/>
              <w:rPr>
                <w:rFonts w:ascii="宋体" w:hAnsi="宋体" w:cs="宋体"/>
                <w:color w:val="auto"/>
                <w:kern w:val="0"/>
                <w:szCs w:val="21"/>
                <w:highlight w:val="none"/>
                <w:lang w:eastAsia="en-US"/>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4812C79">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热泵热水器</w:t>
            </w:r>
          </w:p>
        </w:tc>
        <w:tc>
          <w:tcPr>
            <w:tcW w:w="3903" w:type="dxa"/>
            <w:tcBorders>
              <w:top w:val="single" w:color="auto" w:sz="4" w:space="0"/>
              <w:left w:val="single" w:color="auto" w:sz="4" w:space="0"/>
              <w:bottom w:val="single" w:color="auto" w:sz="4" w:space="0"/>
              <w:right w:val="single" w:color="auto" w:sz="4" w:space="0"/>
            </w:tcBorders>
            <w:vAlign w:val="center"/>
          </w:tcPr>
          <w:p w14:paraId="691AD793">
            <w:pPr>
              <w:spacing w:before="93" w:line="283" w:lineRule="auto"/>
              <w:ind w:left="7" w:right="7"/>
              <w:jc w:val="center"/>
              <w:rPr>
                <w:rFonts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3DA3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bottom w:val="single" w:color="auto" w:sz="4" w:space="0"/>
              <w:right w:val="single" w:color="auto" w:sz="4" w:space="0"/>
            </w:tcBorders>
            <w:vAlign w:val="center"/>
          </w:tcPr>
          <w:p w14:paraId="32C3E87E">
            <w:pPr>
              <w:widowControl/>
              <w:jc w:val="center"/>
              <w:rPr>
                <w:rFonts w:ascii="宋体" w:hAnsi="宋体" w:cs="宋体"/>
                <w:color w:val="auto"/>
                <w:kern w:val="0"/>
                <w:szCs w:val="21"/>
                <w:highlight w:val="none"/>
              </w:rPr>
            </w:pPr>
          </w:p>
        </w:tc>
        <w:tc>
          <w:tcPr>
            <w:tcW w:w="1590" w:type="dxa"/>
            <w:vMerge w:val="continue"/>
            <w:tcBorders>
              <w:left w:val="single" w:color="auto" w:sz="4" w:space="0"/>
              <w:bottom w:val="single" w:color="auto" w:sz="4" w:space="0"/>
              <w:right w:val="single" w:color="auto" w:sz="4" w:space="0"/>
            </w:tcBorders>
            <w:vAlign w:val="center"/>
          </w:tcPr>
          <w:p w14:paraId="6BF27E75">
            <w:pPr>
              <w:widowControl/>
              <w:jc w:val="center"/>
              <w:rPr>
                <w:rFonts w:ascii="宋体" w:hAnsi="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5FD1A56E">
            <w:pPr>
              <w:widowControl/>
              <w:jc w:val="center"/>
              <w:rPr>
                <w:rFonts w:ascii="宋体" w:hAnsi="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4EBF388">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太阳能热水系统</w:t>
            </w:r>
          </w:p>
        </w:tc>
        <w:tc>
          <w:tcPr>
            <w:tcW w:w="3903" w:type="dxa"/>
            <w:tcBorders>
              <w:top w:val="single" w:color="auto" w:sz="4" w:space="0"/>
              <w:left w:val="single" w:color="auto" w:sz="4" w:space="0"/>
              <w:bottom w:val="single" w:color="auto" w:sz="4" w:space="0"/>
              <w:right w:val="single" w:color="auto" w:sz="4" w:space="0"/>
            </w:tcBorders>
            <w:vAlign w:val="center"/>
          </w:tcPr>
          <w:p w14:paraId="6271B637">
            <w:pPr>
              <w:spacing w:before="52"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7EAB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3B53C2A0">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11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0864274D">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A020619照明设备</w:t>
            </w:r>
          </w:p>
        </w:tc>
        <w:tc>
          <w:tcPr>
            <w:tcW w:w="1981" w:type="dxa"/>
            <w:tcBorders>
              <w:top w:val="single" w:color="auto" w:sz="4" w:space="0"/>
              <w:left w:val="single" w:color="auto" w:sz="4" w:space="0"/>
              <w:bottom w:val="single" w:color="auto" w:sz="4" w:space="0"/>
              <w:right w:val="single" w:color="auto" w:sz="4" w:space="0"/>
            </w:tcBorders>
            <w:vAlign w:val="center"/>
          </w:tcPr>
          <w:p w14:paraId="0471DEFB">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7EB1B71B">
            <w:pPr>
              <w:spacing w:before="124" w:line="283" w:lineRule="auto"/>
              <w:ind w:left="7" w:right="4"/>
              <w:jc w:val="center"/>
              <w:rPr>
                <w:rFonts w:ascii="宋体" w:hAnsi="宋体" w:cs="宋体"/>
                <w:color w:val="auto"/>
                <w:kern w:val="0"/>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164C8341">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55CC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72CC0777">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906A913">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135B50CB">
            <w:pPr>
              <w:spacing w:before="92" w:line="283" w:lineRule="auto"/>
              <w:ind w:left="7" w:right="2"/>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LED道路/隧道照明产品</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9A08A69">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1E942442">
            <w:pPr>
              <w:spacing w:before="92" w:line="283" w:lineRule="auto"/>
              <w:ind w:left="7" w:right="7"/>
              <w:jc w:val="center"/>
              <w:rPr>
                <w:rFonts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3756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1F6EFEE0">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7DBDCCA5">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5463D6AF">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LED筒灯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ACA8A72">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44FF3A9D">
            <w:pPr>
              <w:spacing w:before="83" w:line="283" w:lineRule="auto"/>
              <w:ind w:left="7" w:right="7"/>
              <w:jc w:val="center"/>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090D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95B6F81">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05312DAC">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01E726FB">
            <w:pPr>
              <w:spacing w:line="283" w:lineRule="auto"/>
              <w:ind w:right="7"/>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10A83C7B">
            <w:pPr>
              <w:jc w:val="center"/>
              <w:rPr>
                <w:rFonts w:ascii="宋体" w:hAnsi="宋体" w:cs="宋体"/>
                <w:color w:val="auto"/>
                <w:kern w:val="0"/>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40EAD102">
            <w:pPr>
              <w:spacing w:line="283" w:lineRule="auto"/>
              <w:ind w:right="7"/>
              <w:jc w:val="center"/>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69B2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79D257EA">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12</w:t>
            </w:r>
          </w:p>
        </w:tc>
        <w:tc>
          <w:tcPr>
            <w:tcW w:w="1590" w:type="dxa"/>
            <w:tcBorders>
              <w:top w:val="single" w:color="auto" w:sz="4" w:space="0"/>
              <w:left w:val="single" w:color="auto" w:sz="4" w:space="0"/>
              <w:bottom w:val="single" w:color="auto" w:sz="4" w:space="0"/>
              <w:right w:val="single" w:color="auto" w:sz="4" w:space="0"/>
            </w:tcBorders>
            <w:vAlign w:val="center"/>
          </w:tcPr>
          <w:p w14:paraId="159C1676">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★A020910电视设备</w:t>
            </w:r>
          </w:p>
        </w:tc>
        <w:tc>
          <w:tcPr>
            <w:tcW w:w="1981" w:type="dxa"/>
            <w:tcBorders>
              <w:top w:val="single" w:color="auto" w:sz="4" w:space="0"/>
              <w:left w:val="single" w:color="auto" w:sz="4" w:space="0"/>
              <w:bottom w:val="single" w:color="auto" w:sz="4" w:space="0"/>
              <w:right w:val="single" w:color="auto" w:sz="4" w:space="0"/>
            </w:tcBorders>
            <w:vAlign w:val="center"/>
          </w:tcPr>
          <w:p w14:paraId="54CB8EA2">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113C752F">
            <w:pPr>
              <w:spacing w:before="124" w:line="283" w:lineRule="auto"/>
              <w:ind w:left="7" w:right="4"/>
              <w:jc w:val="center"/>
              <w:rPr>
                <w:rFonts w:ascii="宋体" w:hAnsi="宋体" w:cs="宋体"/>
                <w:color w:val="auto"/>
                <w:kern w:val="0"/>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3CB6F7E9">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4645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31EDB65E">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13</w:t>
            </w:r>
          </w:p>
        </w:tc>
        <w:tc>
          <w:tcPr>
            <w:tcW w:w="1590" w:type="dxa"/>
            <w:tcBorders>
              <w:top w:val="single" w:color="auto" w:sz="4" w:space="0"/>
              <w:left w:val="single" w:color="auto" w:sz="4" w:space="0"/>
              <w:bottom w:val="single" w:color="auto" w:sz="4" w:space="0"/>
              <w:right w:val="single" w:color="auto" w:sz="4" w:space="0"/>
            </w:tcBorders>
            <w:vAlign w:val="center"/>
          </w:tcPr>
          <w:p w14:paraId="30961E31">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★A020911视频设备</w:t>
            </w:r>
          </w:p>
        </w:tc>
        <w:tc>
          <w:tcPr>
            <w:tcW w:w="1981" w:type="dxa"/>
            <w:tcBorders>
              <w:top w:val="single" w:color="auto" w:sz="4" w:space="0"/>
              <w:left w:val="single" w:color="auto" w:sz="4" w:space="0"/>
              <w:bottom w:val="single" w:color="auto" w:sz="4" w:space="0"/>
              <w:right w:val="single" w:color="auto" w:sz="4" w:space="0"/>
            </w:tcBorders>
            <w:vAlign w:val="center"/>
          </w:tcPr>
          <w:p w14:paraId="305FE8BC">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A02091107视频监控设备</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0E3A789">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监视器</w:t>
            </w:r>
          </w:p>
        </w:tc>
        <w:tc>
          <w:tcPr>
            <w:tcW w:w="3903" w:type="dxa"/>
            <w:tcBorders>
              <w:top w:val="single" w:color="auto" w:sz="4" w:space="0"/>
              <w:left w:val="single" w:color="auto" w:sz="4" w:space="0"/>
              <w:bottom w:val="single" w:color="auto" w:sz="4" w:space="0"/>
              <w:right w:val="single" w:color="auto" w:sz="4" w:space="0"/>
            </w:tcBorders>
            <w:vAlign w:val="center"/>
          </w:tcPr>
          <w:p w14:paraId="0B00BD2A">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7B91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7C1890A4">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14</w:t>
            </w:r>
          </w:p>
        </w:tc>
        <w:tc>
          <w:tcPr>
            <w:tcW w:w="1590" w:type="dxa"/>
            <w:tcBorders>
              <w:top w:val="single" w:color="auto" w:sz="4" w:space="0"/>
              <w:left w:val="single" w:color="auto" w:sz="4" w:space="0"/>
              <w:bottom w:val="single" w:color="auto" w:sz="4" w:space="0"/>
              <w:right w:val="single" w:color="auto" w:sz="4" w:space="0"/>
            </w:tcBorders>
            <w:vAlign w:val="center"/>
          </w:tcPr>
          <w:p w14:paraId="13CCDF68">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A031210饮食炊事机械</w:t>
            </w:r>
          </w:p>
        </w:tc>
        <w:tc>
          <w:tcPr>
            <w:tcW w:w="1981" w:type="dxa"/>
            <w:tcBorders>
              <w:top w:val="single" w:color="auto" w:sz="4" w:space="0"/>
              <w:left w:val="single" w:color="auto" w:sz="4" w:space="0"/>
              <w:bottom w:val="single" w:color="auto" w:sz="4" w:space="0"/>
              <w:right w:val="single" w:color="auto" w:sz="4" w:space="0"/>
            </w:tcBorders>
            <w:vAlign w:val="center"/>
          </w:tcPr>
          <w:p w14:paraId="4D9B61AB">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商用燃气灶具</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99A4747">
            <w:pPr>
              <w:spacing w:before="124" w:line="283" w:lineRule="auto"/>
              <w:ind w:left="7" w:right="4"/>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12875D5D">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7C6F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78C95124">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15</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144BBD79">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★A060805便器</w:t>
            </w:r>
          </w:p>
        </w:tc>
        <w:tc>
          <w:tcPr>
            <w:tcW w:w="1981" w:type="dxa"/>
            <w:tcBorders>
              <w:top w:val="single" w:color="auto" w:sz="4" w:space="0"/>
              <w:left w:val="single" w:color="auto" w:sz="4" w:space="0"/>
              <w:bottom w:val="single" w:color="auto" w:sz="4" w:space="0"/>
              <w:right w:val="single" w:color="auto" w:sz="4" w:space="0"/>
            </w:tcBorders>
            <w:vAlign w:val="center"/>
          </w:tcPr>
          <w:p w14:paraId="18F341CB">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坐便器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07B2D0E">
            <w:pPr>
              <w:spacing w:before="124" w:line="283" w:lineRule="auto"/>
              <w:ind w:left="7" w:right="4"/>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533B8AC5">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w:t>
            </w:r>
          </w:p>
          <w:p w14:paraId="41E9AA07">
            <w:pPr>
              <w:spacing w:before="124" w:line="283" w:lineRule="auto"/>
              <w:ind w:left="7" w:right="4"/>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（GB25502）</w:t>
            </w:r>
          </w:p>
        </w:tc>
      </w:tr>
      <w:tr w14:paraId="58FA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3ED1D2B">
            <w:pPr>
              <w:widowControl/>
              <w:jc w:val="center"/>
              <w:rPr>
                <w:rFonts w:ascii="宋体" w:hAnsi="宋体" w:cs="宋体"/>
                <w:color w:val="auto"/>
                <w:kern w:val="0"/>
                <w:szCs w:val="21"/>
                <w:highlight w:val="none"/>
                <w:lang w:eastAsia="en-US"/>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52EF939">
            <w:pPr>
              <w:widowControl/>
              <w:jc w:val="center"/>
              <w:rPr>
                <w:rFonts w:ascii="宋体" w:hAnsi="宋体" w:cs="宋体"/>
                <w:color w:val="auto"/>
                <w:kern w:val="0"/>
                <w:szCs w:val="21"/>
                <w:highlight w:val="none"/>
                <w:lang w:eastAsia="en-US"/>
              </w:rPr>
            </w:pPr>
          </w:p>
        </w:tc>
        <w:tc>
          <w:tcPr>
            <w:tcW w:w="1981" w:type="dxa"/>
            <w:tcBorders>
              <w:top w:val="single" w:color="auto" w:sz="4" w:space="0"/>
              <w:left w:val="single" w:color="auto" w:sz="4" w:space="0"/>
              <w:bottom w:val="single" w:color="auto" w:sz="4" w:space="0"/>
              <w:right w:val="single" w:color="auto" w:sz="4" w:space="0"/>
            </w:tcBorders>
            <w:vAlign w:val="center"/>
          </w:tcPr>
          <w:p w14:paraId="19B33A59">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蹲便器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3C58A88">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53733274">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64D6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E173A9C">
            <w:pPr>
              <w:widowControl/>
              <w:jc w:val="center"/>
              <w:rPr>
                <w:rFonts w:ascii="宋体" w:hAnsi="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1665348E">
            <w:pPr>
              <w:widowControl/>
              <w:jc w:val="center"/>
              <w:rPr>
                <w:rFonts w:ascii="宋体" w:hAnsi="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4D081AED">
            <w:pPr>
              <w:jc w:val="center"/>
              <w:rPr>
                <w:rFonts w:ascii="宋体" w:hAnsi="宋体" w:cs="宋体"/>
                <w:color w:val="auto"/>
                <w:kern w:val="0"/>
                <w:szCs w:val="21"/>
                <w:highlight w:val="none"/>
                <w:lang w:eastAsia="en-US"/>
              </w:rPr>
            </w:pPr>
            <w:r>
              <w:rPr>
                <w:rFonts w:hint="eastAsia" w:ascii="宋体" w:hAnsi="宋体" w:cs="宋体"/>
                <w:color w:val="auto"/>
                <w:kern w:val="0"/>
                <w:szCs w:val="21"/>
                <w:highlight w:val="none"/>
                <w:lang w:eastAsia="en-US"/>
              </w:rPr>
              <w:t>小便器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169C2E9C">
            <w:pPr>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179B4D36">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47262FDE">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3A0FF2EF">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590" w:type="dxa"/>
            <w:tcBorders>
              <w:top w:val="single" w:color="auto" w:sz="4" w:space="0"/>
              <w:left w:val="single" w:color="auto" w:sz="4" w:space="0"/>
              <w:bottom w:val="single" w:color="auto" w:sz="4" w:space="0"/>
              <w:right w:val="single" w:color="auto" w:sz="4" w:space="0"/>
            </w:tcBorders>
            <w:vAlign w:val="center"/>
          </w:tcPr>
          <w:p w14:paraId="538C76F3">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981" w:type="dxa"/>
            <w:tcBorders>
              <w:top w:val="single" w:color="auto" w:sz="4" w:space="0"/>
              <w:left w:val="single" w:color="auto" w:sz="4" w:space="0"/>
              <w:bottom w:val="single" w:color="auto" w:sz="4" w:space="0"/>
              <w:right w:val="single" w:color="auto" w:sz="4" w:space="0"/>
            </w:tcBorders>
            <w:vAlign w:val="center"/>
          </w:tcPr>
          <w:p w14:paraId="63070128">
            <w:pPr>
              <w:spacing w:before="124" w:line="283" w:lineRule="auto"/>
              <w:ind w:left="7" w:right="4"/>
              <w:jc w:val="center"/>
              <w:rPr>
                <w:rFonts w:ascii="宋体" w:hAnsi="宋体" w:cs="宋体"/>
                <w:color w:val="auto"/>
                <w:kern w:val="0"/>
                <w:szCs w:val="21"/>
                <w:highlight w:val="none"/>
                <w:lang w:eastAsia="en-US"/>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2498249">
            <w:pPr>
              <w:spacing w:before="124" w:line="283" w:lineRule="auto"/>
              <w:ind w:left="7" w:right="4"/>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1D6ADD00">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642AAD71">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7BD3AA37">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590" w:type="dxa"/>
            <w:tcBorders>
              <w:top w:val="single" w:color="auto" w:sz="4" w:space="0"/>
              <w:left w:val="single" w:color="auto" w:sz="4" w:space="0"/>
              <w:bottom w:val="single" w:color="auto" w:sz="4" w:space="0"/>
              <w:right w:val="single" w:color="auto" w:sz="4" w:space="0"/>
            </w:tcBorders>
            <w:vAlign w:val="center"/>
          </w:tcPr>
          <w:p w14:paraId="119634FB">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981" w:type="dxa"/>
            <w:tcBorders>
              <w:top w:val="single" w:color="auto" w:sz="4" w:space="0"/>
              <w:left w:val="single" w:color="auto" w:sz="4" w:space="0"/>
              <w:bottom w:val="single" w:color="auto" w:sz="4" w:space="0"/>
              <w:right w:val="single" w:color="auto" w:sz="4" w:space="0"/>
            </w:tcBorders>
            <w:vAlign w:val="center"/>
          </w:tcPr>
          <w:p w14:paraId="6461FF32">
            <w:pPr>
              <w:spacing w:before="124" w:line="283" w:lineRule="auto"/>
              <w:ind w:left="7" w:right="4"/>
              <w:jc w:val="center"/>
              <w:rPr>
                <w:rFonts w:ascii="宋体" w:hAnsi="宋体" w:cs="宋体"/>
                <w:color w:val="auto"/>
                <w:kern w:val="0"/>
                <w:szCs w:val="21"/>
                <w:highlight w:val="none"/>
                <w:lang w:eastAsia="en-US"/>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4853E6F">
            <w:pPr>
              <w:spacing w:before="124" w:line="283" w:lineRule="auto"/>
              <w:ind w:left="7" w:right="4"/>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12C0368D">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04AA3E18">
        <w:tblPrEx>
          <w:tblCellMar>
            <w:top w:w="0" w:type="dxa"/>
            <w:left w:w="0" w:type="dxa"/>
            <w:bottom w:w="0" w:type="dxa"/>
            <w:right w:w="0" w:type="dxa"/>
          </w:tblCellMar>
        </w:tblPrEx>
        <w:trPr>
          <w:gridAfter w:val="1"/>
          <w:wAfter w:w="7" w:type="dxa"/>
          <w:trHeight w:val="90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14:paraId="29D1C625">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590" w:type="dxa"/>
            <w:tcBorders>
              <w:top w:val="single" w:color="auto" w:sz="4" w:space="0"/>
              <w:left w:val="single" w:color="auto" w:sz="4" w:space="0"/>
              <w:bottom w:val="single" w:color="auto" w:sz="4" w:space="0"/>
              <w:right w:val="single" w:color="auto" w:sz="4" w:space="0"/>
            </w:tcBorders>
            <w:vAlign w:val="center"/>
          </w:tcPr>
          <w:p w14:paraId="60B12A9B">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981" w:type="dxa"/>
            <w:tcBorders>
              <w:top w:val="single" w:color="auto" w:sz="4" w:space="0"/>
              <w:left w:val="single" w:color="auto" w:sz="4" w:space="0"/>
              <w:bottom w:val="single" w:color="auto" w:sz="4" w:space="0"/>
              <w:right w:val="single" w:color="auto" w:sz="4" w:space="0"/>
            </w:tcBorders>
            <w:vAlign w:val="center"/>
          </w:tcPr>
          <w:p w14:paraId="61754675">
            <w:pPr>
              <w:spacing w:before="124" w:line="283" w:lineRule="auto"/>
              <w:ind w:left="7" w:right="4"/>
              <w:jc w:val="center"/>
              <w:rPr>
                <w:rFonts w:ascii="宋体" w:hAnsi="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1D89038">
            <w:pPr>
              <w:spacing w:before="124" w:line="283" w:lineRule="auto"/>
              <w:ind w:left="7" w:right="4"/>
              <w:jc w:val="center"/>
              <w:rPr>
                <w:rFonts w:ascii="宋体" w:hAnsi="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12AF04D6">
            <w:pPr>
              <w:spacing w:before="124" w:line="283" w:lineRule="auto"/>
              <w:ind w:left="7" w:right="4"/>
              <w:jc w:val="center"/>
              <w:rPr>
                <w:rFonts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07521724">
      <w:pPr>
        <w:spacing w:after="120"/>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1FC4F62A">
      <w:pPr>
        <w:snapToGrid w:val="0"/>
        <w:jc w:val="left"/>
        <w:rPr>
          <w:rFonts w:ascii="宋体" w:hAnsi="宋体" w:cs="宋体"/>
          <w:color w:val="auto"/>
          <w:szCs w:val="21"/>
          <w:highlight w:val="none"/>
        </w:rPr>
      </w:pPr>
      <w:r>
        <w:rPr>
          <w:rFonts w:hint="eastAsia" w:ascii="宋体" w:hAnsi="宋体" w:cs="宋体"/>
          <w:color w:val="auto"/>
          <w:szCs w:val="21"/>
          <w:highlight w:val="none"/>
        </w:rPr>
        <w:t xml:space="preserve">    2.以“★”标注的为政府强制采购产品。</w:t>
      </w:r>
    </w:p>
    <w:p w14:paraId="620CDDE6">
      <w:pPr>
        <w:jc w:val="center"/>
        <w:rPr>
          <w:color w:val="auto"/>
          <w:highlight w:val="none"/>
        </w:rPr>
      </w:pPr>
      <w:r>
        <w:rPr>
          <w:rFonts w:hint="eastAsia"/>
          <w:color w:val="auto"/>
          <w:highlight w:val="none"/>
        </w:rPr>
        <w:br w:type="page"/>
      </w:r>
    </w:p>
    <w:p w14:paraId="739117E5">
      <w:pPr>
        <w:jc w:val="left"/>
        <w:rPr>
          <w:rFonts w:ascii="宋体" w:hAnsi="宋体" w:cs="宋体"/>
          <w:color w:val="auto"/>
          <w:kern w:val="0"/>
          <w:sz w:val="32"/>
          <w:szCs w:val="32"/>
          <w:highlight w:val="none"/>
        </w:rPr>
      </w:pPr>
      <w:r>
        <w:rPr>
          <w:rFonts w:hint="eastAsia" w:ascii="宋体" w:hAnsi="宋体" w:cs="宋体"/>
          <w:b/>
          <w:color w:val="auto"/>
          <w:sz w:val="32"/>
          <w:szCs w:val="32"/>
          <w:highlight w:val="none"/>
        </w:rPr>
        <w:t>附件</w:t>
      </w:r>
      <w:r>
        <w:rPr>
          <w:rFonts w:hint="eastAsia" w:ascii="宋体" w:hAnsi="宋体" w:cs="宋体"/>
          <w:b/>
          <w:color w:val="auto"/>
          <w:sz w:val="32"/>
          <w:szCs w:val="32"/>
          <w:highlight w:val="none"/>
          <w:lang w:val="en-US" w:eastAsia="zh-CN"/>
        </w:rPr>
        <w:t>2</w:t>
      </w:r>
      <w:r>
        <w:rPr>
          <w:rFonts w:hint="eastAsia" w:ascii="宋体" w:hAnsi="宋体" w:cs="宋体"/>
          <w:b/>
          <w:color w:val="auto"/>
          <w:sz w:val="32"/>
          <w:szCs w:val="32"/>
          <w:highlight w:val="none"/>
        </w:rPr>
        <w:t>：</w:t>
      </w:r>
    </w:p>
    <w:p w14:paraId="52250614">
      <w:pPr>
        <w:spacing w:line="528"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中小微企业划型标准</w:t>
      </w:r>
    </w:p>
    <w:tbl>
      <w:tblPr>
        <w:tblStyle w:val="23"/>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14:paraId="44E0E553">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22CD87E0">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2870F5B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6DD65E46">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vAlign w:val="center"/>
          </w:tcPr>
          <w:p w14:paraId="331AD67F">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vAlign w:val="center"/>
          </w:tcPr>
          <w:p w14:paraId="274BC094">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vAlign w:val="center"/>
          </w:tcPr>
          <w:p w14:paraId="53869615">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8A36169">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00EC497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vAlign w:val="center"/>
          </w:tcPr>
          <w:p w14:paraId="5AE1614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4CD4A2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826F2D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14:paraId="38E820C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42" w:type="dxa"/>
            <w:tcBorders>
              <w:top w:val="nil"/>
              <w:left w:val="nil"/>
              <w:bottom w:val="single" w:color="auto" w:sz="4" w:space="0"/>
              <w:right w:val="single" w:color="auto" w:sz="4" w:space="0"/>
            </w:tcBorders>
            <w:vAlign w:val="center"/>
          </w:tcPr>
          <w:p w14:paraId="714FEA6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748455C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918477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384" w:type="dxa"/>
            <w:tcBorders>
              <w:top w:val="nil"/>
              <w:left w:val="nil"/>
              <w:bottom w:val="single" w:color="auto" w:sz="4" w:space="0"/>
              <w:right w:val="single" w:color="auto" w:sz="4" w:space="0"/>
            </w:tcBorders>
            <w:vAlign w:val="center"/>
          </w:tcPr>
          <w:p w14:paraId="734008C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4903D25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0333C7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26DBE86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64E9B3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85143A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13E36AD9">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6999FED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7408CD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59A3842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43" w:type="dxa"/>
            <w:tcBorders>
              <w:top w:val="nil"/>
              <w:left w:val="nil"/>
              <w:bottom w:val="single" w:color="auto" w:sz="4" w:space="0"/>
              <w:right w:val="single" w:color="auto" w:sz="4" w:space="0"/>
            </w:tcBorders>
            <w:vAlign w:val="center"/>
          </w:tcPr>
          <w:p w14:paraId="1163DE2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42" w:type="dxa"/>
            <w:tcBorders>
              <w:top w:val="nil"/>
              <w:left w:val="nil"/>
              <w:bottom w:val="single" w:color="auto" w:sz="4" w:space="0"/>
              <w:right w:val="single" w:color="auto" w:sz="4" w:space="0"/>
            </w:tcBorders>
            <w:vAlign w:val="center"/>
          </w:tcPr>
          <w:p w14:paraId="4410BD6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7305C7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35F0BE2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vAlign w:val="center"/>
          </w:tcPr>
          <w:p w14:paraId="057A838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108DED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445C7B2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43" w:type="dxa"/>
            <w:tcBorders>
              <w:top w:val="nil"/>
              <w:left w:val="nil"/>
              <w:bottom w:val="single" w:color="auto" w:sz="4" w:space="0"/>
              <w:right w:val="single" w:color="auto" w:sz="4" w:space="0"/>
            </w:tcBorders>
            <w:vAlign w:val="center"/>
          </w:tcPr>
          <w:p w14:paraId="7FC5B63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42" w:type="dxa"/>
            <w:tcBorders>
              <w:top w:val="nil"/>
              <w:left w:val="nil"/>
              <w:bottom w:val="single" w:color="auto" w:sz="4" w:space="0"/>
              <w:right w:val="single" w:color="auto" w:sz="4" w:space="0"/>
            </w:tcBorders>
            <w:vAlign w:val="center"/>
          </w:tcPr>
          <w:p w14:paraId="74C6BDF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5EA92E5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800C27D">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CED6B5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2DD742C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B61762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43" w:type="dxa"/>
            <w:tcBorders>
              <w:top w:val="nil"/>
              <w:left w:val="nil"/>
              <w:bottom w:val="single" w:color="auto" w:sz="4" w:space="0"/>
              <w:right w:val="single" w:color="auto" w:sz="4" w:space="0"/>
            </w:tcBorders>
            <w:vAlign w:val="center"/>
          </w:tcPr>
          <w:p w14:paraId="106AA4E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42" w:type="dxa"/>
            <w:tcBorders>
              <w:top w:val="nil"/>
              <w:left w:val="nil"/>
              <w:bottom w:val="single" w:color="auto" w:sz="4" w:space="0"/>
              <w:right w:val="single" w:color="auto" w:sz="4" w:space="0"/>
            </w:tcBorders>
            <w:vAlign w:val="center"/>
          </w:tcPr>
          <w:p w14:paraId="48D2732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025C0450">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7D5FC2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vAlign w:val="center"/>
          </w:tcPr>
          <w:p w14:paraId="41E3F62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726A5AB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3748307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43" w:type="dxa"/>
            <w:tcBorders>
              <w:top w:val="nil"/>
              <w:left w:val="nil"/>
              <w:bottom w:val="single" w:color="auto" w:sz="4" w:space="0"/>
              <w:right w:val="single" w:color="auto" w:sz="4" w:space="0"/>
            </w:tcBorders>
            <w:vAlign w:val="center"/>
          </w:tcPr>
          <w:p w14:paraId="3AF8A05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1142" w:type="dxa"/>
            <w:tcBorders>
              <w:top w:val="nil"/>
              <w:left w:val="nil"/>
              <w:bottom w:val="single" w:color="auto" w:sz="4" w:space="0"/>
              <w:right w:val="single" w:color="auto" w:sz="4" w:space="0"/>
            </w:tcBorders>
            <w:vAlign w:val="center"/>
          </w:tcPr>
          <w:p w14:paraId="72C96A2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202DA0F3">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1108CAD7">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FF589D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739E616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720AD46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43" w:type="dxa"/>
            <w:tcBorders>
              <w:top w:val="nil"/>
              <w:left w:val="nil"/>
              <w:bottom w:val="single" w:color="auto" w:sz="4" w:space="0"/>
              <w:right w:val="single" w:color="auto" w:sz="4" w:space="0"/>
            </w:tcBorders>
            <w:vAlign w:val="center"/>
          </w:tcPr>
          <w:p w14:paraId="7A615CB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42" w:type="dxa"/>
            <w:tcBorders>
              <w:top w:val="nil"/>
              <w:left w:val="nil"/>
              <w:bottom w:val="single" w:color="auto" w:sz="4" w:space="0"/>
              <w:right w:val="single" w:color="auto" w:sz="4" w:space="0"/>
            </w:tcBorders>
            <w:vAlign w:val="center"/>
          </w:tcPr>
          <w:p w14:paraId="5C168C9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7DBC3EBC">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C5417A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vAlign w:val="center"/>
          </w:tcPr>
          <w:p w14:paraId="574F072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648832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1B00D6B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43" w:type="dxa"/>
            <w:tcBorders>
              <w:top w:val="nil"/>
              <w:left w:val="nil"/>
              <w:bottom w:val="single" w:color="auto" w:sz="4" w:space="0"/>
              <w:right w:val="single" w:color="auto" w:sz="4" w:space="0"/>
            </w:tcBorders>
            <w:vAlign w:val="center"/>
          </w:tcPr>
          <w:p w14:paraId="739875F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1142" w:type="dxa"/>
            <w:tcBorders>
              <w:top w:val="nil"/>
              <w:left w:val="nil"/>
              <w:bottom w:val="single" w:color="auto" w:sz="4" w:space="0"/>
              <w:right w:val="single" w:color="auto" w:sz="4" w:space="0"/>
            </w:tcBorders>
            <w:vAlign w:val="center"/>
          </w:tcPr>
          <w:p w14:paraId="2346395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9A70FC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D05052D">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48540EB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629BF24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47BEE15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14:paraId="7E75832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42" w:type="dxa"/>
            <w:tcBorders>
              <w:top w:val="nil"/>
              <w:left w:val="nil"/>
              <w:bottom w:val="single" w:color="auto" w:sz="4" w:space="0"/>
              <w:right w:val="single" w:color="auto" w:sz="4" w:space="0"/>
            </w:tcBorders>
            <w:vAlign w:val="center"/>
          </w:tcPr>
          <w:p w14:paraId="511E805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2863ED5">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86C561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vAlign w:val="center"/>
          </w:tcPr>
          <w:p w14:paraId="1066419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6C8E8D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19AFA95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63DDBB2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01DC666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499EB5B">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753E260">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4978DD3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38165D1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11DAEDF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43" w:type="dxa"/>
            <w:tcBorders>
              <w:top w:val="nil"/>
              <w:left w:val="nil"/>
              <w:bottom w:val="single" w:color="auto" w:sz="4" w:space="0"/>
              <w:right w:val="single" w:color="auto" w:sz="4" w:space="0"/>
            </w:tcBorders>
            <w:vAlign w:val="center"/>
          </w:tcPr>
          <w:p w14:paraId="165EE5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42" w:type="dxa"/>
            <w:tcBorders>
              <w:top w:val="nil"/>
              <w:left w:val="nil"/>
              <w:bottom w:val="single" w:color="auto" w:sz="4" w:space="0"/>
              <w:right w:val="single" w:color="auto" w:sz="4" w:space="0"/>
            </w:tcBorders>
            <w:vAlign w:val="center"/>
          </w:tcPr>
          <w:p w14:paraId="1150B2A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74D405A7">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8402F6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vAlign w:val="center"/>
          </w:tcPr>
          <w:p w14:paraId="54DA07A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0B72BEF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5474460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43" w:type="dxa"/>
            <w:tcBorders>
              <w:top w:val="nil"/>
              <w:left w:val="nil"/>
              <w:bottom w:val="single" w:color="auto" w:sz="4" w:space="0"/>
              <w:right w:val="single" w:color="auto" w:sz="4" w:space="0"/>
            </w:tcBorders>
            <w:vAlign w:val="center"/>
          </w:tcPr>
          <w:p w14:paraId="1454152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42" w:type="dxa"/>
            <w:tcBorders>
              <w:top w:val="nil"/>
              <w:left w:val="nil"/>
              <w:bottom w:val="single" w:color="auto" w:sz="4" w:space="0"/>
              <w:right w:val="single" w:color="auto" w:sz="4" w:space="0"/>
            </w:tcBorders>
            <w:vAlign w:val="center"/>
          </w:tcPr>
          <w:p w14:paraId="2689D16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36D18C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1F98C1B7">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269F5CE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0F8DE8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A5F113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43" w:type="dxa"/>
            <w:tcBorders>
              <w:top w:val="nil"/>
              <w:left w:val="nil"/>
              <w:bottom w:val="single" w:color="auto" w:sz="4" w:space="0"/>
              <w:right w:val="single" w:color="auto" w:sz="4" w:space="0"/>
            </w:tcBorders>
            <w:vAlign w:val="center"/>
          </w:tcPr>
          <w:p w14:paraId="03BB2C4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14:paraId="6EEF38E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00D858B">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2953F80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vAlign w:val="center"/>
          </w:tcPr>
          <w:p w14:paraId="71E1438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707D30C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37F78D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6D7DA3A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77EE8A3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034B8C4B">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A246305">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71F3811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76B9AEC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67DE975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43" w:type="dxa"/>
            <w:tcBorders>
              <w:top w:val="nil"/>
              <w:left w:val="nil"/>
              <w:bottom w:val="single" w:color="auto" w:sz="4" w:space="0"/>
              <w:right w:val="single" w:color="auto" w:sz="4" w:space="0"/>
            </w:tcBorders>
            <w:vAlign w:val="center"/>
          </w:tcPr>
          <w:p w14:paraId="4235228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7708AE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6C3DF2D">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2E6258B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vAlign w:val="center"/>
          </w:tcPr>
          <w:p w14:paraId="79D13F8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654414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526ED5C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7E701F8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5EC93F2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3CF56D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5DDB4C54">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71B488D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0658BAB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6E9C8EB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14:paraId="7F965E1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3D2BE5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E55E9E5">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66ACA78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vAlign w:val="center"/>
          </w:tcPr>
          <w:p w14:paraId="684D711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78651B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F1007B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043D38C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76340BF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DA5123A">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7977270">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6EB09D0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4DD7354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08309C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14:paraId="0EF6A1F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745BEF6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BDCFDD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FFA386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vAlign w:val="center"/>
          </w:tcPr>
          <w:p w14:paraId="6D3F2C9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7FBAE0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675FDD5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43" w:type="dxa"/>
            <w:tcBorders>
              <w:top w:val="nil"/>
              <w:left w:val="nil"/>
              <w:bottom w:val="single" w:color="auto" w:sz="4" w:space="0"/>
              <w:right w:val="single" w:color="auto" w:sz="4" w:space="0"/>
            </w:tcBorders>
            <w:vAlign w:val="center"/>
          </w:tcPr>
          <w:p w14:paraId="33E86BE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4951563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2F8B16B">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6DD16FF7">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0F8EF62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4447A5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5530289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43" w:type="dxa"/>
            <w:tcBorders>
              <w:top w:val="nil"/>
              <w:left w:val="nil"/>
              <w:bottom w:val="single" w:color="auto" w:sz="4" w:space="0"/>
              <w:right w:val="single" w:color="auto" w:sz="4" w:space="0"/>
            </w:tcBorders>
            <w:vAlign w:val="center"/>
          </w:tcPr>
          <w:p w14:paraId="73C3D2C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14:paraId="2DA8320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D4E71C1">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DF00E8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vAlign w:val="center"/>
          </w:tcPr>
          <w:p w14:paraId="2EED57F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625B52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6D9CEEF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5573684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166F96E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E8D0C14">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964016D">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A9D492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2CDE81E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16FA201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43" w:type="dxa"/>
            <w:tcBorders>
              <w:top w:val="nil"/>
              <w:left w:val="nil"/>
              <w:bottom w:val="single" w:color="auto" w:sz="4" w:space="0"/>
              <w:right w:val="single" w:color="auto" w:sz="4" w:space="0"/>
            </w:tcBorders>
            <w:vAlign w:val="center"/>
          </w:tcPr>
          <w:p w14:paraId="7C2578E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42" w:type="dxa"/>
            <w:tcBorders>
              <w:top w:val="nil"/>
              <w:left w:val="nil"/>
              <w:bottom w:val="single" w:color="auto" w:sz="4" w:space="0"/>
              <w:right w:val="single" w:color="auto" w:sz="4" w:space="0"/>
            </w:tcBorders>
            <w:vAlign w:val="center"/>
          </w:tcPr>
          <w:p w14:paraId="7DF3967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4DDAFE18">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0C5184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vAlign w:val="center"/>
          </w:tcPr>
          <w:p w14:paraId="094D062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23F4AD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B6AF8B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43" w:type="dxa"/>
            <w:tcBorders>
              <w:top w:val="nil"/>
              <w:left w:val="nil"/>
              <w:bottom w:val="single" w:color="auto" w:sz="4" w:space="0"/>
              <w:right w:val="single" w:color="auto" w:sz="4" w:space="0"/>
            </w:tcBorders>
            <w:vAlign w:val="center"/>
          </w:tcPr>
          <w:p w14:paraId="213E620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42" w:type="dxa"/>
            <w:tcBorders>
              <w:top w:val="nil"/>
              <w:left w:val="nil"/>
              <w:bottom w:val="single" w:color="auto" w:sz="4" w:space="0"/>
              <w:right w:val="single" w:color="auto" w:sz="4" w:space="0"/>
            </w:tcBorders>
            <w:vAlign w:val="center"/>
          </w:tcPr>
          <w:p w14:paraId="258BE68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442FA122">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1231C981">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6686675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4F997F6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A3ABBD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43" w:type="dxa"/>
            <w:tcBorders>
              <w:top w:val="nil"/>
              <w:left w:val="nil"/>
              <w:bottom w:val="single" w:color="auto" w:sz="4" w:space="0"/>
              <w:right w:val="single" w:color="auto" w:sz="4" w:space="0"/>
            </w:tcBorders>
            <w:vAlign w:val="center"/>
          </w:tcPr>
          <w:p w14:paraId="0D71318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42" w:type="dxa"/>
            <w:tcBorders>
              <w:top w:val="nil"/>
              <w:left w:val="nil"/>
              <w:bottom w:val="single" w:color="auto" w:sz="4" w:space="0"/>
              <w:right w:val="single" w:color="auto" w:sz="4" w:space="0"/>
            </w:tcBorders>
            <w:vAlign w:val="center"/>
          </w:tcPr>
          <w:p w14:paraId="1CEAE07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633E270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7CD611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vAlign w:val="center"/>
          </w:tcPr>
          <w:p w14:paraId="67FD058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37032E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BCEDE1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672FED4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42" w:type="dxa"/>
            <w:tcBorders>
              <w:top w:val="nil"/>
              <w:left w:val="nil"/>
              <w:bottom w:val="single" w:color="auto" w:sz="4" w:space="0"/>
              <w:right w:val="single" w:color="auto" w:sz="4" w:space="0"/>
            </w:tcBorders>
            <w:vAlign w:val="center"/>
          </w:tcPr>
          <w:p w14:paraId="082B253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47977EC3">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77B62CA4">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9CDCBB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375E539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51A626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43" w:type="dxa"/>
            <w:tcBorders>
              <w:top w:val="nil"/>
              <w:left w:val="nil"/>
              <w:bottom w:val="single" w:color="auto" w:sz="4" w:space="0"/>
              <w:right w:val="single" w:color="auto" w:sz="4" w:space="0"/>
            </w:tcBorders>
            <w:vAlign w:val="center"/>
          </w:tcPr>
          <w:p w14:paraId="18070B4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42" w:type="dxa"/>
            <w:tcBorders>
              <w:top w:val="nil"/>
              <w:left w:val="nil"/>
              <w:bottom w:val="single" w:color="auto" w:sz="4" w:space="0"/>
              <w:right w:val="single" w:color="auto" w:sz="4" w:space="0"/>
            </w:tcBorders>
            <w:vAlign w:val="center"/>
          </w:tcPr>
          <w:p w14:paraId="0F316D2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64F53D2C">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31CD00E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vAlign w:val="center"/>
          </w:tcPr>
          <w:p w14:paraId="0E10BBC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397FD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7A2BE69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2621420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7972D30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87F265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506D3851">
            <w:pPr>
              <w:widowControl/>
              <w:jc w:val="left"/>
              <w:rPr>
                <w:rFonts w:ascii="宋体" w:hAnsi="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1DC6AC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023F46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3CB2C8E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43" w:type="dxa"/>
            <w:tcBorders>
              <w:top w:val="nil"/>
              <w:left w:val="nil"/>
              <w:bottom w:val="single" w:color="auto" w:sz="4" w:space="0"/>
              <w:right w:val="single" w:color="auto" w:sz="4" w:space="0"/>
            </w:tcBorders>
            <w:vAlign w:val="center"/>
          </w:tcPr>
          <w:p w14:paraId="34EAA83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42" w:type="dxa"/>
            <w:tcBorders>
              <w:top w:val="nil"/>
              <w:left w:val="nil"/>
              <w:bottom w:val="single" w:color="auto" w:sz="4" w:space="0"/>
              <w:right w:val="single" w:color="auto" w:sz="4" w:space="0"/>
            </w:tcBorders>
            <w:vAlign w:val="center"/>
          </w:tcPr>
          <w:p w14:paraId="24D802E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712034A">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42B261E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vAlign w:val="center"/>
          </w:tcPr>
          <w:p w14:paraId="7F01F0E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696077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13F1A78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2A09BAB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63A1FCF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5CB60CE6">
      <w:pPr>
        <w:spacing w:line="360" w:lineRule="auto"/>
        <w:ind w:firstLine="525" w:firstLineChars="250"/>
        <w:jc w:val="left"/>
        <w:rPr>
          <w:rFonts w:ascii="宋体" w:hAnsi="宋体" w:cs="宋体"/>
          <w:color w:val="auto"/>
          <w:sz w:val="32"/>
          <w:szCs w:val="32"/>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9FE49ED">
      <w:pPr>
        <w:jc w:val="center"/>
        <w:rPr>
          <w:color w:val="auto"/>
          <w:highlight w:val="none"/>
        </w:rPr>
      </w:pPr>
    </w:p>
    <w:p w14:paraId="20E55A7E">
      <w:pPr>
        <w:jc w:val="center"/>
        <w:rPr>
          <w:color w:val="auto"/>
          <w:highlight w:val="none"/>
        </w:rPr>
      </w:pPr>
      <w:r>
        <w:rPr>
          <w:rFonts w:hint="eastAsia"/>
          <w:color w:val="auto"/>
          <w:highlight w:val="none"/>
        </w:rPr>
        <w:br w:type="page"/>
      </w:r>
    </w:p>
    <w:p w14:paraId="438D9BA8">
      <w:pPr>
        <w:pStyle w:val="2"/>
        <w:spacing w:before="0" w:after="0" w:line="240" w:lineRule="auto"/>
        <w:jc w:val="center"/>
        <w:rPr>
          <w:color w:val="auto"/>
          <w:highlight w:val="none"/>
        </w:rPr>
      </w:pPr>
      <w:bookmarkStart w:id="32" w:name="_Toc18262"/>
      <w:r>
        <w:rPr>
          <w:rFonts w:hint="eastAsia"/>
          <w:color w:val="auto"/>
          <w:highlight w:val="none"/>
        </w:rPr>
        <w:t>第四章  评审程序、评审方法和评审标准</w:t>
      </w:r>
      <w:bookmarkEnd w:id="32"/>
    </w:p>
    <w:p w14:paraId="12B2B9EE">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4664ABE6">
      <w:pPr>
        <w:spacing w:line="360" w:lineRule="auto"/>
        <w:ind w:firstLine="482" w:firstLineChars="200"/>
        <w:rPr>
          <w:rFonts w:ascii="黑体" w:hAnsi="黑体" w:eastAsia="黑体" w:cs="宋体"/>
          <w:b/>
          <w:bCs/>
          <w:color w:val="auto"/>
          <w:sz w:val="24"/>
          <w:highlight w:val="none"/>
        </w:rPr>
      </w:pPr>
    </w:p>
    <w:p w14:paraId="7446586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154EBDD5">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4814CE4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cs="宋体"/>
          <w:color w:val="auto"/>
          <w:highlight w:val="none"/>
        </w:rPr>
        <w:t>www.ccgp.gov.cn</w:t>
      </w:r>
      <w:r>
        <w:rPr>
          <w:rFonts w:cs="宋体"/>
          <w:color w:val="auto"/>
          <w:highlight w:val="none"/>
        </w:rPr>
        <w:fldChar w:fldCharType="end"/>
      </w:r>
      <w:r>
        <w:rPr>
          <w:rFonts w:ascii="宋体" w:hAnsi="宋体" w:cs="宋体"/>
          <w:color w:val="auto"/>
          <w:szCs w:val="21"/>
          <w:highlight w:val="none"/>
        </w:rPr>
        <w:t>）</w:t>
      </w:r>
    </w:p>
    <w:p w14:paraId="39CA169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（2）信用查询截止时点：</w:t>
      </w:r>
      <w:r>
        <w:rPr>
          <w:rFonts w:ascii="宋体" w:hAnsi="宋体" w:cs="宋体"/>
          <w:color w:val="auto"/>
          <w:szCs w:val="21"/>
          <w:highlight w:val="none"/>
        </w:rPr>
        <w:t>资格审查结束前</w:t>
      </w:r>
    </w:p>
    <w:p w14:paraId="3BF8E97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41E218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1E24FA9">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9B5505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4066B3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441F62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（2）响应文件的资格证明文件缺少任一项“供应商须知前附表”资格证明文件规定的“必须提供”的文件资料的；</w:t>
      </w:r>
    </w:p>
    <w:p w14:paraId="126E63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4EFCC2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1A650A3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0134B78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3D353B67">
      <w:pPr>
        <w:spacing w:line="360" w:lineRule="auto"/>
        <w:ind w:firstLine="420" w:firstLineChars="200"/>
        <w:rPr>
          <w:rFonts w:ascii="宋体" w:hAnsi="宋体" w:cs="宋体"/>
          <w:color w:val="auto"/>
          <w:szCs w:val="21"/>
          <w:highlight w:val="none"/>
        </w:rPr>
      </w:pPr>
      <w:bookmarkStart w:id="33"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33"/>
    <w:p w14:paraId="1E93C2D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748C4BA">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Pr>
          <w:rFonts w:hint="eastAsia" w:ascii="宋体" w:hAnsi="宋体" w:cs="宋体"/>
          <w:color w:val="auto"/>
          <w:spacing w:val="-6"/>
          <w:szCs w:val="21"/>
          <w:highlight w:val="none"/>
        </w:rPr>
        <w:t>。供应商为自然人的，必须由本人签字并附其身份证明。</w:t>
      </w:r>
    </w:p>
    <w:p w14:paraId="4571B841">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6D8491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E3585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5CB49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8D25C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3876F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5B960F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DD8D9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6C2ABD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149B64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48F447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2C764A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0A7063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61C45C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5）商务条款中标“▲”的条款发生负偏离或者允许负偏离的条款数超过“供应商须知前附表”规定项数的；</w:t>
      </w:r>
    </w:p>
    <w:p w14:paraId="1B8280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0736DE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721AF2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3138BB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197D1E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440F9BE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1）技术要求中标“▲”的条款发生负偏离或允许负偏离的条款数超过“供应商须知前附表”规定项数的；</w:t>
      </w:r>
    </w:p>
    <w:p w14:paraId="6A3FB0E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64D1266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34"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34"/>
    </w:p>
    <w:p w14:paraId="35EFE4F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38B874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竞争性磋商文件明确不允许分包，响应文件拟分包的；</w:t>
      </w:r>
    </w:p>
    <w:p w14:paraId="3E65F73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24CF22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71462D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3816D0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报价商务技术文件中规定的“竞标报价表”；</w:t>
      </w:r>
    </w:p>
    <w:p w14:paraId="7E8FE1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7267A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3224B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bookmarkStart w:id="35" w:name="_Hlk42596405"/>
      <w:r>
        <w:rPr>
          <w:rFonts w:hint="eastAsia" w:ascii="宋体" w:hAnsi="宋体" w:cs="宋体"/>
          <w:color w:val="auto"/>
          <w:szCs w:val="21"/>
          <w:highlight w:val="none"/>
        </w:rPr>
        <w:t xml:space="preserve"> </w:t>
      </w:r>
      <w:bookmarkEnd w:id="35"/>
    </w:p>
    <w:p w14:paraId="754C2E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60C13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70D8A06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36B6AC0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94E3146">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14:paraId="0F86659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667D8A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对磋商文件作出的实质性变动是磋商文件的有效组成部分，由磋商小组及时以电子磋商记录形式同时通知所有参加磋商的供应商。</w:t>
      </w:r>
    </w:p>
    <w:p w14:paraId="74BDAE2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325B7A4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191E148E">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6</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2C561928">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D38DA26">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3E488B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磋商文件能够详细列明采购标的的技术、服务要求的，磋商结束后，由磋商小组要求所有继续参加磋商的供应商在规定时间内以电子文件形式提交最后报价，除本章第3.7、</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5928B2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459FF4C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w:t>
      </w:r>
      <w:r>
        <w:rPr>
          <w:rFonts w:hint="eastAsia"/>
          <w:color w:val="auto"/>
          <w:highlight w:val="none"/>
        </w:rPr>
        <w:t>7</w:t>
      </w:r>
      <w:r>
        <w:rPr>
          <w:color w:val="auto"/>
          <w:highlight w:val="none"/>
        </w:rPr>
        <w:t>条情形的，</w:t>
      </w:r>
      <w:r>
        <w:rPr>
          <w:rFonts w:hint="eastAsia" w:ascii="宋体" w:hAnsi="宋体" w:cs="宋体"/>
          <w:color w:val="auto"/>
          <w:szCs w:val="21"/>
          <w:highlight w:val="none"/>
        </w:rPr>
        <w:t>提交最后报价的供应商可以为2家。</w:t>
      </w:r>
    </w:p>
    <w:p w14:paraId="4555D98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4BC373B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47D9FB9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磋商小组收齐某一分标最后报价后或达到规定时间后统一开启，磋商小组对最后报价进行有效性、完整性和响应程度的审查。</w:t>
      </w:r>
    </w:p>
    <w:p w14:paraId="03CECA8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21B0581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经供应商确认修正后的最后报价作为评审及签订合同的依据。</w:t>
      </w:r>
    </w:p>
    <w:p w14:paraId="014573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9</w:t>
      </w:r>
      <w:r>
        <w:rPr>
          <w:rFonts w:hint="eastAsia" w:ascii="宋体" w:hAnsi="宋体" w:cs="宋体"/>
          <w:color w:val="auto"/>
          <w:szCs w:val="21"/>
          <w:highlight w:val="none"/>
        </w:rPr>
        <w:t>供应商出现最后报价按无效响应处理或者响应文件按无效响应处理时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7A30E8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.10</w:t>
      </w:r>
      <w:r>
        <w:rPr>
          <w:rFonts w:hint="eastAsia" w:ascii="宋体" w:hAnsi="宋体" w:cs="宋体"/>
          <w:color w:val="auto"/>
          <w:szCs w:val="21"/>
          <w:highlight w:val="none"/>
        </w:rPr>
        <w:t>最后报价结束后，磋商小组不得再与供应商进行任何形式的商谈。</w:t>
      </w:r>
    </w:p>
    <w:p w14:paraId="3316260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10DC05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4C49BE5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4E204C6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4D3932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D6903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F0B7E9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评标价为供应商的最后报价进行政策性扣除后的价格，评标价只是作为评审时使用。最终成交供应商的成交金额等于最后报价（如有修正，以确认修正后的最后报价为准）。</w:t>
      </w:r>
    </w:p>
    <w:p w14:paraId="565F2F05">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hint="eastAsia" w:ascii="宋体" w:hAnsi="宋体" w:cs="宋体"/>
          <w:color w:val="auto"/>
          <w:szCs w:val="21"/>
          <w:highlight w:val="none"/>
        </w:rPr>
        <w:t>3.7、</w:t>
      </w:r>
      <w:r>
        <w:rPr>
          <w:rFonts w:ascii="宋体" w:hAnsi="宋体" w:cs="宋体"/>
          <w:color w:val="auto"/>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4A007CD1">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7D736C7">
      <w:pPr>
        <w:rPr>
          <w:rFonts w:ascii="宋体" w:hAnsi="宋体"/>
          <w:b/>
          <w:color w:val="auto"/>
          <w:sz w:val="32"/>
          <w:szCs w:val="32"/>
          <w:highlight w:val="none"/>
        </w:rPr>
      </w:pPr>
      <w:r>
        <w:rPr>
          <w:rFonts w:ascii="宋体" w:hAnsi="宋体"/>
          <w:b/>
          <w:color w:val="auto"/>
          <w:sz w:val="32"/>
          <w:szCs w:val="32"/>
          <w:highlight w:val="none"/>
        </w:rPr>
        <w:br w:type="page"/>
      </w:r>
    </w:p>
    <w:p w14:paraId="6D6643A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tbl>
      <w:tblPr>
        <w:tblStyle w:val="23"/>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280"/>
        <w:gridCol w:w="805"/>
        <w:gridCol w:w="1463"/>
        <w:gridCol w:w="5625"/>
      </w:tblGrid>
      <w:tr w14:paraId="40E1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noWrap/>
            <w:vAlign w:val="center"/>
          </w:tcPr>
          <w:p w14:paraId="4427CFD8">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80" w:type="dxa"/>
            <w:noWrap/>
            <w:vAlign w:val="center"/>
          </w:tcPr>
          <w:p w14:paraId="532F89B9">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805" w:type="dxa"/>
            <w:noWrap/>
            <w:vAlign w:val="center"/>
          </w:tcPr>
          <w:p w14:paraId="3C5FED33">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7088" w:type="dxa"/>
            <w:gridSpan w:val="2"/>
            <w:noWrap/>
            <w:vAlign w:val="center"/>
          </w:tcPr>
          <w:p w14:paraId="6F89B5C2">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2BAF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noWrap/>
            <w:vAlign w:val="center"/>
          </w:tcPr>
          <w:p w14:paraId="45857D0B">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280" w:type="dxa"/>
            <w:noWrap/>
            <w:vAlign w:val="center"/>
          </w:tcPr>
          <w:p w14:paraId="2CFC9113">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tc>
        <w:tc>
          <w:tcPr>
            <w:tcW w:w="805" w:type="dxa"/>
            <w:noWrap/>
            <w:vAlign w:val="center"/>
          </w:tcPr>
          <w:p w14:paraId="046CFAA4">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7088" w:type="dxa"/>
            <w:gridSpan w:val="2"/>
            <w:noWrap/>
            <w:vAlign w:val="center"/>
          </w:tcPr>
          <w:p w14:paraId="12D621E1">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（1）按照磋商文件规定，须经过修正或因落实政府采购政策进行价格调整的，以修正或调整后的价格计算磋商基准价和磋商报价。</w:t>
            </w:r>
          </w:p>
          <w:p w14:paraId="6C028028">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（2）价格分采用低价优先法计算，即通过资格和符合性审查且最终报价最低的为评审基准价，评审价等于评审基准价的，其价格分为满分。其他供应商的价格分统一按照下列公式计算：</w:t>
            </w:r>
          </w:p>
          <w:p w14:paraId="578DE6C9">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价格分=评审基准价/某供应商最终报价×</w:t>
            </w:r>
            <w:r>
              <w:rPr>
                <w:rFonts w:hint="eastAsia" w:ascii="宋体" w:hAnsi="宋体" w:eastAsia="宋体" w:cs="宋体"/>
                <w:bCs/>
                <w:color w:val="auto"/>
                <w:sz w:val="21"/>
                <w:szCs w:val="21"/>
                <w:highlight w:val="none"/>
                <w:lang w:val="en-US" w:eastAsia="zh-CN"/>
              </w:rPr>
              <w:t>3</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p>
          <w:p w14:paraId="2ECDCD97">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说明：</w:t>
            </w:r>
          </w:p>
          <w:p w14:paraId="1149ADEF">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1、评审基准价、供应商评审价为供应商的磋商报价进行政策性扣除后的价格，评审价只是作为评审时使用。供应商的最终成交金额等于磋商报价（如有修正，以确认修正后的磋商报价为准）。</w:t>
            </w:r>
          </w:p>
          <w:p w14:paraId="750CCCCE">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2、政府采购政策使用规则</w:t>
            </w:r>
          </w:p>
          <w:p w14:paraId="3913FAD0">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供应商评审价是在供应商磋商报价基础上，按照下列方法作价格扣除后的价格（如有）：</w:t>
            </w:r>
          </w:p>
          <w:p w14:paraId="1E3264A3">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 小型或微型企业：按照《政府采购促进中小企业发展管理办法》（财库〔2020〕46号）和《广西壮族自治区财政厅关于贯彻落实政府采购支持中小企业发展政策的通知》(桂财采〔2022〕31号)规定，对符合本办法规定的小型企业和微型企业报价给予</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%的扣除，用扣除后的价格参加评审。供应商参加政府采购活动，应当出具本办法规定的《中小企业声明函》。</w:t>
            </w:r>
          </w:p>
          <w:p w14:paraId="5A9B3CC2">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 监狱企业：按照《关于政府采购支持监狱企业发展有关问题的通知》(财库〔2014〕68号)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0E4ACCC3">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 残疾人福利性单位：按照《关于促进残疾人就业政府采购政策的通知》（财库〔2017〕141号）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w:t>
            </w:r>
          </w:p>
          <w:p w14:paraId="63993F3F">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④ 价格扣除计算</w:t>
            </w:r>
          </w:p>
          <w:p w14:paraId="09464A1E">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供应商同时为小型或微型企业、监狱企业、残疾人福利性单位任两种或以上情况的，评审中只享受一次价格</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0%的扣除，不重复进行价格扣除，扣除后的价格为评标报价，即评审报价=磋商报价×（1-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w:t>
            </w:r>
          </w:p>
          <w:p w14:paraId="615F38D0">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⑤大中型企业和小微企业组成联合体，且联合体协议中约定小微企业的合同份额占到合同总金额30%以上的，联合体磋商报价给予4%的扣除，扣除后的价格为评审报价，即评审报价=磋商报价×（1-4%）。除上述情况外，评审报价=磋商报价。</w:t>
            </w:r>
          </w:p>
          <w:p w14:paraId="09966320">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注：价格扣除适用于未预留份额专门面向中小企业采购的采购项目以及预留份额项目中的非预留部分采购包，对于专门面向中小企业采购的采购项目不享受价格扣除政策。</w:t>
            </w:r>
          </w:p>
          <w:p w14:paraId="54274AF1">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⑥以联合体形式参加政府采购活动，联合体各方均为中小企业的，联合体视同中小企业，其中，联合体各方均为小微企业的，联合体视同小微企业，价格扣除比例或者价格分加分比例对小型企业和微型企业同等对待，不作区分。</w:t>
            </w:r>
          </w:p>
          <w:p w14:paraId="288CB97B">
            <w:pPr>
              <w:keepNext w:val="0"/>
              <w:keepLines w:val="0"/>
              <w:pageBreakBefore w:val="0"/>
              <w:widowControl w:val="0"/>
              <w:kinsoku/>
              <w:wordWrap/>
              <w:overflowPunct/>
              <w:topLinePunct w:val="0"/>
              <w:autoSpaceDE/>
              <w:autoSpaceDN/>
              <w:bidi w:val="0"/>
              <w:snapToGrid/>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⑦供应商未出具相关证明文件或经磋商小组评定不符合政策文件规定的，不得享受相关中小企业扶持政策。</w:t>
            </w:r>
          </w:p>
        </w:tc>
      </w:tr>
      <w:tr w14:paraId="2E62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vMerge w:val="restart"/>
            <w:noWrap/>
            <w:vAlign w:val="center"/>
          </w:tcPr>
          <w:p w14:paraId="02DC0947">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280" w:type="dxa"/>
            <w:vMerge w:val="restart"/>
            <w:noWrap/>
            <w:vAlign w:val="center"/>
          </w:tcPr>
          <w:p w14:paraId="56BFD32F">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技术分</w:t>
            </w:r>
          </w:p>
        </w:tc>
        <w:tc>
          <w:tcPr>
            <w:tcW w:w="805" w:type="dxa"/>
            <w:vMerge w:val="restart"/>
            <w:noWrap/>
            <w:vAlign w:val="center"/>
          </w:tcPr>
          <w:p w14:paraId="2082459E">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分</w:t>
            </w:r>
          </w:p>
        </w:tc>
        <w:tc>
          <w:tcPr>
            <w:tcW w:w="1463" w:type="dxa"/>
            <w:noWrap/>
            <w:vAlign w:val="center"/>
          </w:tcPr>
          <w:p w14:paraId="4EF37FE3">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2.1对</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文件服务需求的响应</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eastAsia="宋体" w:cs="宋体"/>
                <w:bCs/>
                <w:color w:val="auto"/>
                <w:sz w:val="21"/>
                <w:szCs w:val="21"/>
                <w:highlight w:val="none"/>
                <w:lang w:val="en-US" w:eastAsia="zh-CN"/>
              </w:rPr>
              <w:t>18</w:t>
            </w:r>
            <w:r>
              <w:rPr>
                <w:rFonts w:hint="eastAsia" w:ascii="宋体" w:hAnsi="宋体" w:eastAsia="宋体" w:cs="宋体"/>
                <w:bCs/>
                <w:color w:val="auto"/>
                <w:sz w:val="21"/>
                <w:szCs w:val="21"/>
                <w:highlight w:val="none"/>
              </w:rPr>
              <w:t>分）</w:t>
            </w:r>
          </w:p>
        </w:tc>
        <w:tc>
          <w:tcPr>
            <w:tcW w:w="5625" w:type="dxa"/>
            <w:noWrap/>
            <w:vAlign w:val="center"/>
          </w:tcPr>
          <w:p w14:paraId="58F77533">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资格审查及符合性审查合格的供应商得基本分</w:t>
            </w:r>
            <w:r>
              <w:rPr>
                <w:rFonts w:hint="eastAsia" w:ascii="宋体" w:hAnsi="宋体" w:eastAsia="宋体" w:cs="宋体"/>
                <w:color w:val="auto"/>
                <w:kern w:val="2"/>
                <w:sz w:val="21"/>
                <w:szCs w:val="21"/>
                <w:highlight w:val="none"/>
                <w:lang w:val="en-US" w:eastAsia="zh-CN"/>
              </w:rPr>
              <w:t>18</w:t>
            </w:r>
            <w:r>
              <w:rPr>
                <w:rFonts w:hint="eastAsia" w:ascii="宋体" w:hAnsi="宋体" w:eastAsia="宋体" w:cs="宋体"/>
                <w:color w:val="auto"/>
                <w:kern w:val="2"/>
                <w:sz w:val="21"/>
                <w:szCs w:val="21"/>
                <w:highlight w:val="none"/>
              </w:rPr>
              <w:t>分；不符合</w:t>
            </w:r>
            <w:r>
              <w:rPr>
                <w:rFonts w:hint="eastAsia" w:ascii="宋体" w:hAnsi="宋体" w:eastAsia="宋体" w:cs="宋体"/>
                <w:color w:val="auto"/>
                <w:sz w:val="21"/>
                <w:szCs w:val="21"/>
                <w:highlight w:val="none"/>
              </w:rPr>
              <w:t>服务需求</w:t>
            </w:r>
            <w:r>
              <w:rPr>
                <w:rFonts w:hint="eastAsia" w:ascii="宋体" w:hAnsi="宋体" w:eastAsia="宋体" w:cs="宋体"/>
                <w:color w:val="auto"/>
                <w:kern w:val="2"/>
                <w:sz w:val="21"/>
                <w:szCs w:val="21"/>
                <w:highlight w:val="none"/>
              </w:rPr>
              <w:t>中标注“▲”条款(实质性要求)的</w:t>
            </w:r>
            <w:r>
              <w:rPr>
                <w:rFonts w:hint="eastAsia" w:ascii="宋体" w:hAnsi="宋体" w:eastAsia="宋体" w:cs="宋体"/>
                <w:color w:val="auto"/>
                <w:kern w:val="2"/>
                <w:sz w:val="21"/>
                <w:szCs w:val="21"/>
                <w:highlight w:val="none"/>
                <w:lang w:val="en-US" w:eastAsia="zh-CN"/>
              </w:rPr>
              <w:t>竞标</w:t>
            </w:r>
            <w:r>
              <w:rPr>
                <w:rFonts w:hint="eastAsia" w:ascii="宋体" w:hAnsi="宋体" w:eastAsia="宋体" w:cs="宋体"/>
                <w:color w:val="auto"/>
                <w:kern w:val="2"/>
                <w:sz w:val="21"/>
                <w:szCs w:val="21"/>
                <w:highlight w:val="none"/>
              </w:rPr>
              <w:t>无效；不符合</w:t>
            </w:r>
            <w:r>
              <w:rPr>
                <w:rFonts w:hint="eastAsia" w:ascii="宋体" w:hAnsi="宋体" w:eastAsia="宋体" w:cs="宋体"/>
                <w:color w:val="auto"/>
                <w:sz w:val="21"/>
                <w:szCs w:val="21"/>
                <w:highlight w:val="none"/>
              </w:rPr>
              <w:t>服务需求</w:t>
            </w:r>
            <w:r>
              <w:rPr>
                <w:rFonts w:hint="eastAsia" w:ascii="宋体" w:hAnsi="宋体" w:eastAsia="宋体" w:cs="宋体"/>
                <w:color w:val="auto"/>
                <w:kern w:val="2"/>
                <w:sz w:val="21"/>
                <w:szCs w:val="21"/>
                <w:highlight w:val="none"/>
              </w:rPr>
              <w:t>中标注“</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”条款（重要参数）的每项扣</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分，扣完为止。</w:t>
            </w:r>
          </w:p>
        </w:tc>
      </w:tr>
      <w:tr w14:paraId="05EA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vMerge w:val="continue"/>
            <w:noWrap/>
            <w:vAlign w:val="center"/>
          </w:tcPr>
          <w:p w14:paraId="293FF8B1">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1280" w:type="dxa"/>
            <w:vMerge w:val="continue"/>
            <w:noWrap/>
            <w:vAlign w:val="center"/>
          </w:tcPr>
          <w:p w14:paraId="27F0B7B3">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805" w:type="dxa"/>
            <w:vMerge w:val="continue"/>
            <w:noWrap/>
            <w:vAlign w:val="center"/>
          </w:tcPr>
          <w:p w14:paraId="08857D20">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1463" w:type="dxa"/>
            <w:noWrap/>
            <w:vAlign w:val="center"/>
          </w:tcPr>
          <w:p w14:paraId="031309BD">
            <w:pPr>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2.2系统整体设计方案（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5625" w:type="dxa"/>
            <w:noWrap/>
            <w:vAlign w:val="center"/>
          </w:tcPr>
          <w:p w14:paraId="04E54816">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根据竞标人提供的系统整体设计方案、可视化装备监控方案、设计图纸等内容进行评审。</w:t>
            </w:r>
          </w:p>
          <w:p w14:paraId="1F8D33DA">
            <w:pPr>
              <w:pStyle w:val="31"/>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一档（0分）：未提供方案或方案过于简单而技术措施不具备合理性、可行性、针对性、科学合理性</w:t>
            </w:r>
            <w:r>
              <w:rPr>
                <w:rFonts w:hint="eastAsia" w:ascii="宋体" w:hAnsi="宋体" w:eastAsia="宋体" w:cs="宋体"/>
                <w:color w:val="auto"/>
                <w:sz w:val="21"/>
                <w:szCs w:val="21"/>
                <w:highlight w:val="none"/>
              </w:rPr>
              <w:t>无法满足项目基本需求；或者表述内容有冗余而不清晰</w:t>
            </w:r>
            <w:r>
              <w:rPr>
                <w:rFonts w:hint="eastAsia" w:ascii="宋体" w:hAnsi="宋体" w:eastAsia="宋体" w:cs="宋体"/>
                <w:color w:val="auto"/>
                <w:kern w:val="2"/>
                <w:sz w:val="21"/>
                <w:szCs w:val="21"/>
                <w:highlight w:val="none"/>
              </w:rPr>
              <w:t>。</w:t>
            </w:r>
          </w:p>
          <w:p w14:paraId="60F2A20D">
            <w:pPr>
              <w:pStyle w:val="31"/>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二档（</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分）：方案详细合理，技术措施的可行性贴合本项目实际需求，对本项目的技术重点、难点有了解和认识，制定出了具有严密性的作业流程，</w:t>
            </w:r>
            <w:r>
              <w:rPr>
                <w:rFonts w:hint="eastAsia" w:ascii="宋体" w:hAnsi="宋体" w:eastAsia="宋体" w:cs="宋体"/>
                <w:color w:val="auto"/>
                <w:sz w:val="21"/>
                <w:szCs w:val="21"/>
                <w:highlight w:val="none"/>
              </w:rPr>
              <w:t>基本满足采购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的要求</w:t>
            </w:r>
            <w:r>
              <w:rPr>
                <w:rFonts w:hint="eastAsia" w:ascii="宋体" w:hAnsi="宋体" w:eastAsia="宋体" w:cs="宋体"/>
                <w:color w:val="auto"/>
                <w:kern w:val="2"/>
                <w:sz w:val="21"/>
                <w:szCs w:val="21"/>
                <w:highlight w:val="none"/>
              </w:rPr>
              <w:t>。</w:t>
            </w:r>
          </w:p>
          <w:p w14:paraId="1D32EB77">
            <w:pPr>
              <w:pStyle w:val="31"/>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三档（</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分）：方案详细合理、目标明确，对采购</w:t>
            </w:r>
            <w:r>
              <w:rPr>
                <w:rFonts w:hint="eastAsia" w:ascii="宋体" w:hAnsi="宋体" w:cs="宋体"/>
                <w:color w:val="auto"/>
                <w:kern w:val="2"/>
                <w:sz w:val="21"/>
                <w:szCs w:val="21"/>
                <w:highlight w:val="none"/>
                <w:lang w:val="en-US" w:eastAsia="zh-CN"/>
              </w:rPr>
              <w:t>人</w:t>
            </w:r>
            <w:r>
              <w:rPr>
                <w:rFonts w:hint="eastAsia" w:ascii="宋体" w:hAnsi="宋体" w:eastAsia="宋体" w:cs="宋体"/>
                <w:color w:val="auto"/>
                <w:kern w:val="2"/>
                <w:sz w:val="21"/>
                <w:szCs w:val="21"/>
                <w:highlight w:val="none"/>
              </w:rPr>
              <w:t>实际需求具有了解，针对本项目的技术重点、难点提出的质量控制、进度控制方案详细合理，具有针对性，科学合理性，制定的作业流程能满足项目需求，具有可行性。</w:t>
            </w:r>
          </w:p>
          <w:p w14:paraId="5F8CB229">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能够准确理解本项目的建设背景、目标、范围；能够把握本项目的技术重点、难点；制订明确的作业流程，详细制订技术方案，所用技术能够完全满足项目需求；提出了专业、可行的质量控制、进度控制的目标、方法、措施；科学合理，内容严谨，完全满足国家规范和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的实际使用需求；产品之间配置协调，能够提出有利于项目进展的意见和建议，具有前瞻性。</w:t>
            </w:r>
          </w:p>
        </w:tc>
      </w:tr>
      <w:tr w14:paraId="129B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vMerge w:val="continue"/>
            <w:noWrap/>
            <w:vAlign w:val="center"/>
          </w:tcPr>
          <w:p w14:paraId="3DC0B1D3">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1280" w:type="dxa"/>
            <w:vMerge w:val="continue"/>
            <w:noWrap/>
            <w:vAlign w:val="center"/>
          </w:tcPr>
          <w:p w14:paraId="313CBB64">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805" w:type="dxa"/>
            <w:vMerge w:val="continue"/>
            <w:noWrap/>
            <w:vAlign w:val="center"/>
          </w:tcPr>
          <w:p w14:paraId="79365A2D">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1463" w:type="dxa"/>
            <w:noWrap/>
            <w:vAlign w:val="center"/>
          </w:tcPr>
          <w:p w14:paraId="0F4FBEAC">
            <w:pPr>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2.3系统整体工艺方案（9分）</w:t>
            </w:r>
          </w:p>
        </w:tc>
        <w:tc>
          <w:tcPr>
            <w:tcW w:w="5625" w:type="dxa"/>
            <w:noWrap/>
            <w:vAlign w:val="center"/>
          </w:tcPr>
          <w:p w14:paraId="2E1A2CE9">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根据竞标人提供的工艺方案(包括但不限于：①方案说明、②流程说明、③方案效果图、④质量控制方案、⑤交叉污染控制方案等)进行评审。</w:t>
            </w:r>
          </w:p>
          <w:p w14:paraId="3BE49E03">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一档（0分）：未提供方案或方案过于简单而技术措施不具备合理性、可行性、针对性、科学合理性无法满足项目基本需求；或者表述内容有冗余而不清晰。</w:t>
            </w:r>
          </w:p>
          <w:p w14:paraId="556135A9">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二档（3分）：工艺方案至少包含上述3项内容，详细合理、实用、具备安全性，满足采购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的要求。</w:t>
            </w:r>
          </w:p>
          <w:p w14:paraId="5FB579E4">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三档（6分）：工艺方案至少包含上述4项内容，具有针对性，完整、详细合理、实用、具备科学性、安全性，满足采购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的要求。</w:t>
            </w:r>
          </w:p>
          <w:p w14:paraId="7CA1A639">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四档（9分）：工艺方案包含不限于上述5项内容，具有针对性，详细完善、科学合理，内容严谨，具备科学性、专业性、先进性、实用性、安全性，优于采购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的要求。</w:t>
            </w:r>
          </w:p>
        </w:tc>
      </w:tr>
      <w:tr w14:paraId="5A2A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vMerge w:val="continue"/>
            <w:noWrap/>
            <w:vAlign w:val="center"/>
          </w:tcPr>
          <w:p w14:paraId="128F4B7B">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1280" w:type="dxa"/>
            <w:vMerge w:val="continue"/>
            <w:noWrap/>
            <w:vAlign w:val="center"/>
          </w:tcPr>
          <w:p w14:paraId="73D0AB8B">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805" w:type="dxa"/>
            <w:vMerge w:val="continue"/>
            <w:noWrap/>
            <w:vAlign w:val="center"/>
          </w:tcPr>
          <w:p w14:paraId="0C3C6B1A">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1463" w:type="dxa"/>
            <w:noWrap/>
            <w:vAlign w:val="center"/>
          </w:tcPr>
          <w:p w14:paraId="482BE1A3">
            <w:pPr>
              <w:pStyle w:val="31"/>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2.4项目实施方案</w:t>
            </w:r>
          </w:p>
          <w:p w14:paraId="6D40C0E8">
            <w:pPr>
              <w:pStyle w:val="31"/>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5625" w:type="dxa"/>
            <w:noWrap/>
            <w:vAlign w:val="center"/>
          </w:tcPr>
          <w:p w14:paraId="1E061746">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根据项目实施方案科学性、针对性、前瞻性、保障措施得力，对于实施中难点的理解和实施重点的把握，是否制定了切实可行的应急方案，考虑交货、安装、调试、安装环境准备、项目验收等对采购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的有利性，以及能否保证项目顺利实施等情况进行综合评定。</w:t>
            </w:r>
          </w:p>
          <w:p w14:paraId="24352C7B">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 (0分)：实施方案过于简单而并未针对采购文件基本要求进行实质性的细化，或方案没有从项目具体需求出发，表述内容对满足本项目基本需求无整体保障性，无法满足项目的实施。</w:t>
            </w:r>
          </w:p>
          <w:p w14:paraId="71720BE5">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分)：实施方案仅对采购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提出的要求进行了部分细化，对项目实施目标、实施过程、实现思路有基本描述，但各项措施缺乏针对性，提供的内容对采购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使用需求响应的具体措施缺乏充分的合理性，实现方式仅能满足项目基本需求。</w:t>
            </w:r>
          </w:p>
          <w:p w14:paraId="0CCADB37">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分)：实施方案基本满足项目实施要求，对项目实施目标、实施过程、实现思路设计进行了全面细化，各项措施针对采购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需求提出，考虑到了项目实际需求、设置合理。</w:t>
            </w:r>
          </w:p>
          <w:p w14:paraId="2B7D8F8F">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四档 (</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实施方案详细，对项目实施目标、实施过程、实现思路有详细的阐述。能够提供科学合理的项目实施流程，符合本项目切实可行的项目实施计划，以及项目的分工安排计划。整体方案能够体现出竞标人对本项目的理解和对同类项目有实施经验。对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、采购项目的特点均有针对性。</w:t>
            </w:r>
          </w:p>
        </w:tc>
      </w:tr>
      <w:tr w14:paraId="4BA5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vMerge w:val="restart"/>
            <w:noWrap/>
            <w:vAlign w:val="center"/>
          </w:tcPr>
          <w:p w14:paraId="0FACDC62">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280" w:type="dxa"/>
            <w:vMerge w:val="restart"/>
            <w:noWrap/>
            <w:vAlign w:val="center"/>
          </w:tcPr>
          <w:p w14:paraId="0010ADC8">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w:t>
            </w:r>
          </w:p>
        </w:tc>
        <w:tc>
          <w:tcPr>
            <w:tcW w:w="805" w:type="dxa"/>
            <w:vMerge w:val="restart"/>
            <w:noWrap/>
            <w:vAlign w:val="center"/>
          </w:tcPr>
          <w:p w14:paraId="5F149D98">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c>
          <w:tcPr>
            <w:tcW w:w="1463" w:type="dxa"/>
            <w:noWrap/>
            <w:vAlign w:val="center"/>
          </w:tcPr>
          <w:p w14:paraId="42B5B99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3.1信誉、业绩分</w:t>
            </w:r>
          </w:p>
          <w:p w14:paraId="534C0323">
            <w:pPr>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625" w:type="dxa"/>
            <w:noWrap/>
            <w:vAlign w:val="center"/>
          </w:tcPr>
          <w:p w14:paraId="2682DE24">
            <w:pPr>
              <w:keepNext w:val="0"/>
              <w:keepLines w:val="0"/>
              <w:pageBreakBefore w:val="0"/>
              <w:widowControl w:val="0"/>
              <w:numPr>
                <w:ilvl w:val="0"/>
                <w:numId w:val="1"/>
              </w:numPr>
              <w:kinsoku/>
              <w:wordWrap/>
              <w:overflowPunct/>
              <w:topLinePunct w:val="0"/>
              <w:autoSpaceDE/>
              <w:autoSpaceDN/>
              <w:bidi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竞标人</w:t>
            </w:r>
            <w:r>
              <w:rPr>
                <w:rFonts w:hint="eastAsia" w:ascii="宋体" w:hAnsi="宋体" w:eastAsia="宋体" w:cs="宋体"/>
                <w:color w:val="auto"/>
                <w:sz w:val="21"/>
                <w:szCs w:val="21"/>
                <w:highlight w:val="none"/>
              </w:rPr>
              <w:t>或所投货物生产厂家具有下列证书（需提供有效证书复印件、网上查询网址及查询截图，并加盖</w:t>
            </w:r>
            <w:r>
              <w:rPr>
                <w:rFonts w:hint="eastAsia" w:ascii="宋体" w:hAnsi="宋体" w:eastAsia="宋体" w:cs="宋体"/>
                <w:color w:val="auto"/>
                <w:sz w:val="21"/>
                <w:szCs w:val="21"/>
                <w:highlight w:val="none"/>
                <w:lang w:val="en-US" w:eastAsia="zh-CN"/>
              </w:rPr>
              <w:t>竞标人</w:t>
            </w:r>
            <w:r>
              <w:rPr>
                <w:rFonts w:hint="eastAsia" w:ascii="宋体" w:hAnsi="宋体" w:eastAsia="宋体" w:cs="宋体"/>
                <w:color w:val="auto"/>
                <w:sz w:val="21"/>
                <w:szCs w:val="21"/>
                <w:highlight w:val="none"/>
              </w:rPr>
              <w:t>公章，原件备查）：</w:t>
            </w:r>
          </w:p>
          <w:p w14:paraId="5806F3A8">
            <w:pPr>
              <w:keepNext w:val="0"/>
              <w:keepLines w:val="0"/>
              <w:pageBreakBefore w:val="0"/>
              <w:widowControl w:val="0"/>
              <w:kinsoku/>
              <w:wordWrap/>
              <w:overflowPunct/>
              <w:topLinePunct w:val="0"/>
              <w:autoSpaceDE/>
              <w:autoSpaceDN/>
              <w:bidi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（1）具有《质量管理体系认证证书》，得1分。</w:t>
            </w:r>
          </w:p>
          <w:p w14:paraId="633A0184">
            <w:pPr>
              <w:keepNext w:val="0"/>
              <w:keepLines w:val="0"/>
              <w:pageBreakBefore w:val="0"/>
              <w:widowControl w:val="0"/>
              <w:kinsoku/>
              <w:wordWrap/>
              <w:overflowPunct/>
              <w:topLinePunct w:val="0"/>
              <w:autoSpaceDE/>
              <w:autoSpaceDN/>
              <w:bidi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（2）具有《环境管理体系认证证书》，得1分。</w:t>
            </w:r>
          </w:p>
          <w:p w14:paraId="101B902F">
            <w:pPr>
              <w:keepNext w:val="0"/>
              <w:keepLines w:val="0"/>
              <w:pageBreakBefore w:val="0"/>
              <w:widowControl w:val="0"/>
              <w:kinsoku/>
              <w:wordWrap/>
              <w:overflowPunct/>
              <w:topLinePunct w:val="0"/>
              <w:autoSpaceDE/>
              <w:autoSpaceDN/>
              <w:bidi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（3）具有《职业健康安全管理体系认证证书》，得1分。</w:t>
            </w:r>
          </w:p>
          <w:p w14:paraId="5C3EE8FD">
            <w:pPr>
              <w:keepNext w:val="0"/>
              <w:keepLines w:val="0"/>
              <w:pageBreakBefore w:val="0"/>
              <w:widowControl w:val="0"/>
              <w:kinsoku/>
              <w:wordWrap/>
              <w:overflowPunct/>
              <w:topLinePunct w:val="0"/>
              <w:autoSpaceDE/>
              <w:autoSpaceDN/>
              <w:bidi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（4）具有《信息安全管理体系认证证书》，得1分。</w:t>
            </w:r>
          </w:p>
          <w:p w14:paraId="0ED376A1">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（5）具有CMMI软件成熟度三级（或以上）证书，得1分。</w:t>
            </w:r>
          </w:p>
          <w:p w14:paraId="4C32CE4D">
            <w:pPr>
              <w:keepNext w:val="0"/>
              <w:keepLines w:val="0"/>
              <w:pageBreakBefore w:val="0"/>
              <w:widowControl w:val="0"/>
              <w:kinsoku/>
              <w:wordWrap/>
              <w:overflowPunct/>
              <w:topLinePunct w:val="0"/>
              <w:autoSpaceDE/>
              <w:autoSpaceDN/>
              <w:bidi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2、2022年1月1日至</w:t>
            </w:r>
            <w:r>
              <w:rPr>
                <w:rFonts w:hint="eastAsia" w:ascii="宋体" w:hAnsi="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rPr>
              <w:t>截止时间止，可提供</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产品销售业绩的（业绩可以是供应商的，也可以是制造商或者其他代理商），每提供1项业绩得1分，满分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7921F192">
            <w:pPr>
              <w:pStyle w:val="10"/>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注：提供合同或中标通知书或验收报告或其他有第三方出具（或参与出具）证明的复印件。</w:t>
            </w:r>
          </w:p>
        </w:tc>
      </w:tr>
      <w:tr w14:paraId="097A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vMerge w:val="continue"/>
            <w:noWrap/>
            <w:vAlign w:val="center"/>
          </w:tcPr>
          <w:p w14:paraId="34751B4F">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1280" w:type="dxa"/>
            <w:vMerge w:val="continue"/>
            <w:noWrap/>
            <w:vAlign w:val="center"/>
          </w:tcPr>
          <w:p w14:paraId="11ACF773">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805" w:type="dxa"/>
            <w:vMerge w:val="continue"/>
            <w:noWrap/>
            <w:vAlign w:val="center"/>
          </w:tcPr>
          <w:p w14:paraId="12698F54">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lang w:val="en-US" w:eastAsia="zh-CN"/>
              </w:rPr>
            </w:pPr>
          </w:p>
        </w:tc>
        <w:tc>
          <w:tcPr>
            <w:tcW w:w="1463" w:type="dxa"/>
            <w:noWrap/>
            <w:vAlign w:val="top"/>
          </w:tcPr>
          <w:p w14:paraId="6F205C6F">
            <w:pPr>
              <w:pStyle w:val="31"/>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3.2制造商授权</w:t>
            </w:r>
          </w:p>
          <w:p w14:paraId="4DA292C8">
            <w:pPr>
              <w:pStyle w:val="31"/>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（满分2分）</w:t>
            </w:r>
          </w:p>
        </w:tc>
        <w:tc>
          <w:tcPr>
            <w:tcW w:w="5625" w:type="dxa"/>
            <w:noWrap/>
            <w:vAlign w:val="center"/>
          </w:tcPr>
          <w:p w14:paraId="1B087A66">
            <w:pPr>
              <w:pStyle w:val="31"/>
              <w:keepNext w:val="0"/>
              <w:keepLines w:val="0"/>
              <w:pageBreakBefore w:val="0"/>
              <w:widowControl w:val="0"/>
              <w:kinsoku/>
              <w:wordWrap/>
              <w:overflowPunct/>
              <w:topLinePunct w:val="0"/>
              <w:autoSpaceDE/>
              <w:autoSpaceDN/>
              <w:bidi w:val="0"/>
              <w:spacing w:line="360" w:lineRule="exact"/>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kern w:val="2"/>
                <w:sz w:val="21"/>
                <w:szCs w:val="21"/>
                <w:highlight w:val="none"/>
              </w:rPr>
              <w:t>产品的制造商授权书及售后服务承诺书的得2分。</w:t>
            </w:r>
          </w:p>
        </w:tc>
      </w:tr>
      <w:tr w14:paraId="5F43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vMerge w:val="continue"/>
            <w:noWrap/>
            <w:vAlign w:val="center"/>
          </w:tcPr>
          <w:p w14:paraId="1DDA6063">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1280" w:type="dxa"/>
            <w:vMerge w:val="continue"/>
            <w:noWrap/>
            <w:vAlign w:val="center"/>
          </w:tcPr>
          <w:p w14:paraId="58F0B296">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805" w:type="dxa"/>
            <w:vMerge w:val="continue"/>
            <w:noWrap/>
            <w:vAlign w:val="center"/>
          </w:tcPr>
          <w:p w14:paraId="25DD747B">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1463" w:type="dxa"/>
            <w:noWrap/>
            <w:vAlign w:val="center"/>
          </w:tcPr>
          <w:p w14:paraId="3C6F6F46">
            <w:pPr>
              <w:keepNext w:val="0"/>
              <w:keepLines w:val="0"/>
              <w:pageBreakBefore w:val="0"/>
              <w:widowControl w:val="0"/>
              <w:kinsoku/>
              <w:wordWrap/>
              <w:overflowPunct/>
              <w:topLinePunct w:val="0"/>
              <w:autoSpaceDE/>
              <w:autoSpaceDN/>
              <w:bidi w:val="0"/>
              <w:snapToGrid w:val="0"/>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3.3售后服务分</w:t>
            </w:r>
          </w:p>
          <w:p w14:paraId="127D6C97">
            <w:pPr>
              <w:keepNext w:val="0"/>
              <w:keepLines w:val="0"/>
              <w:pageBreakBefore w:val="0"/>
              <w:widowControl w:val="0"/>
              <w:kinsoku/>
              <w:wordWrap/>
              <w:overflowPunct/>
              <w:topLinePunct w:val="0"/>
              <w:autoSpaceDE/>
              <w:autoSpaceDN/>
              <w:bidi w:val="0"/>
              <w:snapToGrid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（满分9分）</w:t>
            </w:r>
          </w:p>
        </w:tc>
        <w:tc>
          <w:tcPr>
            <w:tcW w:w="5625" w:type="dxa"/>
            <w:noWrap/>
            <w:vAlign w:val="center"/>
          </w:tcPr>
          <w:p w14:paraId="65B9014D">
            <w:pPr>
              <w:pStyle w:val="13"/>
              <w:keepNext w:val="0"/>
              <w:keepLines w:val="0"/>
              <w:pageBreakBefore w:val="0"/>
              <w:widowControl w:val="0"/>
              <w:kinsoku/>
              <w:wordWrap/>
              <w:overflowPunct/>
              <w:topLinePunct w:val="0"/>
              <w:autoSpaceDE/>
              <w:autoSpaceDN/>
              <w:bidi w:val="0"/>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竞标人的售后服务方案，包括安装要求及方案、样机调试效果、实现功能要求及后续追加性能的解决方案、材质、结构以及设备特定的技术要求、保修期、保修期内和保修期外保修维修养护具体措施、安全保障措施、服务响应时间、服务质量保障、服务项目流程设计、承诺响应时间、应急处理方案、驻场人员、技术人员资质水平等内容，进行综合评定并打分：</w:t>
            </w:r>
          </w:p>
          <w:p w14:paraId="25814F2C">
            <w:pPr>
              <w:pStyle w:val="13"/>
              <w:keepNext w:val="0"/>
              <w:keepLines w:val="0"/>
              <w:pageBreakBefore w:val="0"/>
              <w:widowControl w:val="0"/>
              <w:kinsoku/>
              <w:wordWrap/>
              <w:overflowPunct/>
              <w:topLinePunct w:val="0"/>
              <w:autoSpaceDE/>
              <w:autoSpaceDN/>
              <w:bidi w:val="0"/>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一档（0分）：售后服务方案并未针对采购文件基本要求进行实质性的细化，或服务承诺没有从项目具体需求出发，表述内容对满足本项目基本需求无整体保障性。</w:t>
            </w:r>
          </w:p>
          <w:p w14:paraId="39AF442D">
            <w:pPr>
              <w:pStyle w:val="13"/>
              <w:keepNext w:val="0"/>
              <w:keepLines w:val="0"/>
              <w:pageBreakBefore w:val="0"/>
              <w:widowControl w:val="0"/>
              <w:kinsoku/>
              <w:wordWrap/>
              <w:overflowPunct/>
              <w:topLinePunct w:val="0"/>
              <w:autoSpaceDE/>
              <w:autoSpaceDN/>
              <w:bidi w:val="0"/>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二档（3分）：仅对采购</w:t>
            </w:r>
            <w:r>
              <w:rPr>
                <w:rFonts w:hint="eastAsia" w:hAnsi="宋体" w:cs="宋体"/>
                <w:color w:val="auto"/>
                <w:sz w:val="21"/>
                <w:szCs w:val="21"/>
                <w:highlight w:val="none"/>
                <w:lang w:val="en-US" w:eastAsia="zh-CN"/>
              </w:rPr>
              <w:t>人</w:t>
            </w:r>
            <w:r>
              <w:rPr>
                <w:rFonts w:hint="eastAsia" w:ascii="宋体" w:hAnsi="宋体" w:eastAsia="宋体" w:cs="宋体"/>
                <w:color w:val="auto"/>
                <w:sz w:val="21"/>
                <w:szCs w:val="21"/>
                <w:highlight w:val="none"/>
              </w:rPr>
              <w:t>提出的要求进行了部分细化，售后服务承诺书中各项措施缺乏针对性，提供的内容对采购</w:t>
            </w:r>
            <w:r>
              <w:rPr>
                <w:rFonts w:hint="eastAsia" w:hAnsi="宋体" w:cs="宋体"/>
                <w:color w:val="auto"/>
                <w:sz w:val="21"/>
                <w:szCs w:val="21"/>
                <w:highlight w:val="none"/>
                <w:lang w:val="en-US" w:eastAsia="zh-CN"/>
              </w:rPr>
              <w:t>人</w:t>
            </w:r>
            <w:r>
              <w:rPr>
                <w:rFonts w:hint="eastAsia" w:ascii="宋体" w:hAnsi="宋体" w:eastAsia="宋体" w:cs="宋体"/>
                <w:color w:val="auto"/>
                <w:sz w:val="21"/>
                <w:szCs w:val="21"/>
                <w:highlight w:val="none"/>
              </w:rPr>
              <w:t>使用需求响应的具体措施缺乏充分的合理性，效率响应性承诺或实现方式仅能满足项目基本需求。</w:t>
            </w:r>
          </w:p>
          <w:p w14:paraId="064924A6">
            <w:pPr>
              <w:pStyle w:val="13"/>
              <w:keepNext w:val="0"/>
              <w:keepLines w:val="0"/>
              <w:pageBreakBefore w:val="0"/>
              <w:widowControl w:val="0"/>
              <w:kinsoku/>
              <w:wordWrap/>
              <w:overflowPunct/>
              <w:topLinePunct w:val="0"/>
              <w:autoSpaceDE/>
              <w:autoSpaceDN/>
              <w:bidi w:val="0"/>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三档（6分）：售后服务方案具体细致，在满足二档的基础上，对采购文件的基本要求进行了全面细化，各项措施针对采购</w:t>
            </w:r>
            <w:r>
              <w:rPr>
                <w:rFonts w:hint="eastAsia" w:hAnsi="宋体" w:cs="宋体"/>
                <w:color w:val="auto"/>
                <w:sz w:val="21"/>
                <w:szCs w:val="21"/>
                <w:highlight w:val="none"/>
                <w:lang w:val="en-US" w:eastAsia="zh-CN"/>
              </w:rPr>
              <w:t>人</w:t>
            </w:r>
            <w:r>
              <w:rPr>
                <w:rFonts w:hint="eastAsia" w:ascii="宋体" w:hAnsi="宋体" w:eastAsia="宋体" w:cs="宋体"/>
                <w:color w:val="auto"/>
                <w:sz w:val="21"/>
                <w:szCs w:val="21"/>
                <w:highlight w:val="none"/>
              </w:rPr>
              <w:t>需求提出，考虑到了项目实际需求、设置合理。</w:t>
            </w:r>
          </w:p>
          <w:p w14:paraId="01A019CC">
            <w:pPr>
              <w:pStyle w:val="13"/>
              <w:keepNext w:val="0"/>
              <w:keepLines w:val="0"/>
              <w:pageBreakBefore w:val="0"/>
              <w:widowControl w:val="0"/>
              <w:kinsoku/>
              <w:wordWrap/>
              <w:overflowPunct/>
              <w:topLinePunct w:val="0"/>
              <w:autoSpaceDE/>
              <w:autoSpaceDN/>
              <w:bidi w:val="0"/>
              <w:snapToGrid w:val="0"/>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四档（9分）：在满足三档要求的情况下，售后服务方案周密详尽，售后服务承诺书条款对采购</w:t>
            </w:r>
            <w:r>
              <w:rPr>
                <w:rFonts w:hint="eastAsia" w:hAnsi="宋体" w:cs="宋体"/>
                <w:color w:val="auto"/>
                <w:sz w:val="21"/>
                <w:szCs w:val="21"/>
                <w:highlight w:val="none"/>
                <w:lang w:val="en-US" w:eastAsia="zh-CN"/>
              </w:rPr>
              <w:t>人</w:t>
            </w:r>
            <w:r>
              <w:rPr>
                <w:rFonts w:hint="eastAsia" w:ascii="宋体" w:hAnsi="宋体" w:eastAsia="宋体" w:cs="宋体"/>
                <w:color w:val="auto"/>
                <w:sz w:val="21"/>
                <w:szCs w:val="21"/>
                <w:highlight w:val="none"/>
              </w:rPr>
              <w:t>、采购项目的特点均有针对性，服务宗旨明确、服务方案的设计充分合理、响应机制充分满足使用需求，后续跟踪服务具体到位。</w:t>
            </w:r>
          </w:p>
        </w:tc>
      </w:tr>
      <w:tr w14:paraId="00CE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0" w:type="dxa"/>
            <w:vMerge w:val="continue"/>
            <w:noWrap/>
            <w:vAlign w:val="center"/>
          </w:tcPr>
          <w:p w14:paraId="01BA18B9">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1280" w:type="dxa"/>
            <w:vMerge w:val="continue"/>
            <w:noWrap/>
            <w:vAlign w:val="center"/>
          </w:tcPr>
          <w:p w14:paraId="2DE2E56E">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805" w:type="dxa"/>
            <w:vMerge w:val="continue"/>
            <w:noWrap/>
            <w:vAlign w:val="center"/>
          </w:tcPr>
          <w:p w14:paraId="12EB2D7F">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eastAsia="宋体" w:cs="宋体"/>
                <w:b/>
                <w:color w:val="auto"/>
                <w:sz w:val="21"/>
                <w:szCs w:val="21"/>
                <w:highlight w:val="none"/>
              </w:rPr>
            </w:pPr>
          </w:p>
        </w:tc>
        <w:tc>
          <w:tcPr>
            <w:tcW w:w="1463" w:type="dxa"/>
            <w:noWrap/>
            <w:vAlign w:val="center"/>
          </w:tcPr>
          <w:p w14:paraId="02D84FE2">
            <w:pPr>
              <w:keepNext w:val="0"/>
              <w:keepLines w:val="0"/>
              <w:pageBreakBefore w:val="0"/>
              <w:widowControl w:val="0"/>
              <w:kinsoku/>
              <w:wordWrap/>
              <w:overflowPunct/>
              <w:topLinePunct w:val="0"/>
              <w:autoSpaceDE/>
              <w:autoSpaceDN/>
              <w:bidi w:val="0"/>
              <w:snapToGrid w:val="0"/>
              <w:spacing w:line="36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3.4质保分（满分4分）</w:t>
            </w:r>
          </w:p>
        </w:tc>
        <w:tc>
          <w:tcPr>
            <w:tcW w:w="5625" w:type="dxa"/>
            <w:noWrap/>
            <w:vAlign w:val="center"/>
          </w:tcPr>
          <w:p w14:paraId="37BCB404">
            <w:pPr>
              <w:pStyle w:val="13"/>
              <w:keepNext w:val="0"/>
              <w:keepLines w:val="0"/>
              <w:pageBreakBefore w:val="0"/>
              <w:widowControl w:val="0"/>
              <w:kinsoku/>
              <w:wordWrap/>
              <w:overflowPunct/>
              <w:topLinePunct w:val="0"/>
              <w:autoSpaceDE/>
              <w:autoSpaceDN/>
              <w:bidi w:val="0"/>
              <w:snapToGrid w:val="0"/>
              <w:spacing w:line="360" w:lineRule="exact"/>
              <w:jc w:val="left"/>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在满足磋商文件质保期的要求下，每延长1年质保期得2分，满分4分。</w:t>
            </w:r>
          </w:p>
        </w:tc>
      </w:tr>
      <w:tr w14:paraId="3A69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03" w:type="dxa"/>
            <w:gridSpan w:val="5"/>
            <w:noWrap/>
            <w:vAlign w:val="center"/>
          </w:tcPr>
          <w:p w14:paraId="091614CA">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总得分=1+2+3。（价格分+技术分+商务分=100分）</w:t>
            </w:r>
          </w:p>
        </w:tc>
      </w:tr>
    </w:tbl>
    <w:p w14:paraId="4F07B824">
      <w:pPr>
        <w:keepNext w:val="0"/>
        <w:keepLines w:val="0"/>
        <w:pageBreakBefore w:val="0"/>
        <w:kinsoku/>
        <w:wordWrap/>
        <w:overflowPunct/>
        <w:topLinePunct w:val="0"/>
        <w:bidi w:val="0"/>
        <w:spacing w:line="360" w:lineRule="exact"/>
        <w:ind w:firstLine="420" w:firstLineChars="200"/>
        <w:rPr>
          <w:rFonts w:hint="eastAsia" w:asciiTheme="minorEastAsia" w:hAnsiTheme="minorEastAsia" w:eastAsiaTheme="minorEastAsia" w:cstheme="minorEastAsia"/>
          <w:bCs/>
          <w:color w:val="auto"/>
          <w:sz w:val="21"/>
          <w:szCs w:val="21"/>
          <w:highlight w:val="none"/>
        </w:rPr>
      </w:pPr>
    </w:p>
    <w:p w14:paraId="3D90F87F">
      <w:pPr>
        <w:keepNext w:val="0"/>
        <w:keepLines w:val="0"/>
        <w:pageBreakBefore w:val="0"/>
        <w:kinsoku/>
        <w:wordWrap/>
        <w:overflowPunct/>
        <w:topLinePunct w:val="0"/>
        <w:bidi w:val="0"/>
        <w:spacing w:line="360" w:lineRule="exact"/>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6.评审依据：磋商小组将以磋商响应文件为评审依据，对供应商的报价、技术、商务等方面内容按百分制打分。（计分方法按四舍五入取至百分位）</w:t>
      </w:r>
    </w:p>
    <w:p w14:paraId="3EBFECDC">
      <w:pPr>
        <w:pStyle w:val="13"/>
        <w:keepNext w:val="0"/>
        <w:keepLines w:val="0"/>
        <w:pageBreakBefore w:val="0"/>
        <w:kinsoku/>
        <w:wordWrap/>
        <w:overflowPunct/>
        <w:topLinePunct w:val="0"/>
        <w:bidi w:val="0"/>
        <w:spacing w:line="360" w:lineRule="exact"/>
        <w:ind w:firstLine="499" w:firstLineChars="23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7.由磋商小组根据综合评分情况，按照评审得分由高到低顺序推荐3名及以上成交候选供应商，并编写评审报告。符合本章第</w:t>
      </w:r>
      <w:r>
        <w:rPr>
          <w:rFonts w:hint="eastAsia" w:asciiTheme="minorEastAsia" w:hAnsiTheme="minorEastAsia" w:eastAsiaTheme="minorEastAsia" w:cstheme="minorEastAsia"/>
          <w:color w:val="auto"/>
          <w:sz w:val="21"/>
          <w:szCs w:val="21"/>
          <w:highlight w:val="none"/>
        </w:rPr>
        <w:t>3.7、4.3</w:t>
      </w:r>
      <w:r>
        <w:rPr>
          <w:rFonts w:hint="eastAsia" w:asciiTheme="minorEastAsia" w:hAnsiTheme="minorEastAsia" w:eastAsiaTheme="minorEastAsia" w:cstheme="minorEastAsia"/>
          <w:bCs/>
          <w:color w:val="auto"/>
          <w:sz w:val="21"/>
          <w:szCs w:val="21"/>
          <w:highlight w:val="none"/>
        </w:rPr>
        <w:t>条情形的，可以推荐2家成交候选供应商。评审得分相同的，按照最后报价（不计算价格折扣）由低到高的顺序推荐。评审得分且最后报价（不计算价格折扣）相同的，按照技术指标优劣顺序推荐（</w:t>
      </w:r>
      <w:r>
        <w:rPr>
          <w:rFonts w:hint="eastAsia" w:asciiTheme="minorEastAsia" w:hAnsiTheme="minorEastAsia" w:eastAsiaTheme="minorEastAsia" w:cstheme="minorEastAsia"/>
          <w:color w:val="auto"/>
          <w:sz w:val="21"/>
          <w:szCs w:val="21"/>
          <w:highlight w:val="none"/>
        </w:rPr>
        <w:t>按综合评分中</w:t>
      </w:r>
      <w:r>
        <w:rPr>
          <w:rFonts w:hint="eastAsia" w:ascii="宋体" w:hAnsi="宋体" w:eastAsia="宋体" w:cs="宋体"/>
          <w:b w:val="0"/>
          <w:bCs/>
          <w:color w:val="auto"/>
          <w:sz w:val="21"/>
          <w:szCs w:val="21"/>
          <w:highlight w:val="none"/>
        </w:rPr>
        <w:t>技术分</w:t>
      </w:r>
      <w:r>
        <w:rPr>
          <w:rFonts w:hint="eastAsia" w:asciiTheme="minorEastAsia" w:hAnsiTheme="minorEastAsia" w:eastAsiaTheme="minorEastAsia" w:cstheme="minorEastAsia"/>
          <w:color w:val="auto"/>
          <w:sz w:val="21"/>
          <w:szCs w:val="21"/>
          <w:highlight w:val="none"/>
        </w:rPr>
        <w:t>得分高低依次确定</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3E0019A7">
      <w:pPr>
        <w:keepNext w:val="0"/>
        <w:keepLines w:val="0"/>
        <w:pageBreakBefore w:val="0"/>
        <w:kinsoku/>
        <w:wordWrap/>
        <w:overflowPunct/>
        <w:topLinePunct w:val="0"/>
        <w:bidi w:val="0"/>
        <w:spacing w:line="360" w:lineRule="exact"/>
        <w:ind w:firstLine="420" w:firstLineChars="200"/>
        <w:rPr>
          <w:rFonts w:hint="eastAsia" w:asciiTheme="minorEastAsia" w:hAnsiTheme="minorEastAsia" w:eastAsiaTheme="minorEastAsia" w:cstheme="minorEastAsia"/>
          <w:snapToGrid w:val="0"/>
          <w:color w:val="auto"/>
          <w:kern w:val="0"/>
          <w:sz w:val="21"/>
          <w:szCs w:val="21"/>
          <w:highlight w:val="none"/>
        </w:rPr>
      </w:pPr>
    </w:p>
    <w:p w14:paraId="2A3F334D">
      <w:pPr>
        <w:pStyle w:val="15"/>
        <w:keepNext w:val="0"/>
        <w:keepLines w:val="0"/>
        <w:pageBreakBefore w:val="0"/>
        <w:kinsoku/>
        <w:wordWrap/>
        <w:overflowPunct/>
        <w:topLinePunct w:val="0"/>
        <w:bidi w:val="0"/>
        <w:spacing w:line="360" w:lineRule="exact"/>
        <w:rPr>
          <w:rFonts w:hint="eastAsia" w:asciiTheme="minorEastAsia" w:hAnsiTheme="minorEastAsia" w:eastAsiaTheme="minorEastAsia" w:cstheme="minorEastAsia"/>
          <w:color w:val="auto"/>
          <w:sz w:val="21"/>
          <w:szCs w:val="21"/>
          <w:highlight w:val="none"/>
        </w:rPr>
      </w:pPr>
    </w:p>
    <w:p w14:paraId="4F118D13">
      <w:pPr>
        <w:keepNext w:val="0"/>
        <w:keepLines w:val="0"/>
        <w:pageBreakBefore w:val="0"/>
        <w:kinsoku/>
        <w:wordWrap/>
        <w:overflowPunct/>
        <w:topLinePunct w:val="0"/>
        <w:bidi w:val="0"/>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11C52729">
      <w:pPr>
        <w:rPr>
          <w:color w:val="auto"/>
          <w:highlight w:val="none"/>
        </w:rPr>
      </w:pPr>
    </w:p>
    <w:p w14:paraId="6FF06FFC">
      <w:pPr>
        <w:pStyle w:val="2"/>
        <w:jc w:val="center"/>
        <w:rPr>
          <w:color w:val="auto"/>
          <w:highlight w:val="none"/>
        </w:rPr>
      </w:pPr>
    </w:p>
    <w:p w14:paraId="17F1C6B8">
      <w:pPr>
        <w:pStyle w:val="2"/>
        <w:jc w:val="center"/>
        <w:rPr>
          <w:color w:val="auto"/>
          <w:highlight w:val="none"/>
        </w:rPr>
      </w:pPr>
    </w:p>
    <w:p w14:paraId="0A1A49C7">
      <w:pPr>
        <w:pStyle w:val="2"/>
        <w:jc w:val="center"/>
        <w:rPr>
          <w:color w:val="auto"/>
          <w:highlight w:val="none"/>
        </w:rPr>
      </w:pPr>
    </w:p>
    <w:p w14:paraId="241CACF9">
      <w:pPr>
        <w:pStyle w:val="2"/>
        <w:jc w:val="center"/>
        <w:rPr>
          <w:color w:val="auto"/>
          <w:highlight w:val="none"/>
        </w:rPr>
      </w:pPr>
    </w:p>
    <w:p w14:paraId="38D3C70E">
      <w:pPr>
        <w:pStyle w:val="2"/>
        <w:jc w:val="center"/>
        <w:rPr>
          <w:color w:val="auto"/>
          <w:highlight w:val="none"/>
        </w:rPr>
      </w:pPr>
      <w:bookmarkStart w:id="36" w:name="_Toc31132"/>
      <w:r>
        <w:rPr>
          <w:rFonts w:hint="eastAsia"/>
          <w:color w:val="auto"/>
          <w:highlight w:val="none"/>
        </w:rPr>
        <w:t>第五章 响应文件格式</w:t>
      </w:r>
      <w:bookmarkEnd w:id="36"/>
    </w:p>
    <w:p w14:paraId="04131A35">
      <w:pPr>
        <w:spacing w:line="240" w:lineRule="atLeast"/>
        <w:rPr>
          <w:rFonts w:ascii="宋体" w:hAnsi="宋体"/>
          <w:b/>
          <w:color w:val="auto"/>
          <w:sz w:val="32"/>
          <w:szCs w:val="32"/>
          <w:highlight w:val="none"/>
        </w:rPr>
      </w:pPr>
    </w:p>
    <w:p w14:paraId="7EBD3B4F">
      <w:pPr>
        <w:spacing w:line="240" w:lineRule="atLeast"/>
        <w:rPr>
          <w:rFonts w:ascii="宋体" w:hAnsi="宋体"/>
          <w:b/>
          <w:color w:val="auto"/>
          <w:sz w:val="32"/>
          <w:szCs w:val="32"/>
          <w:highlight w:val="none"/>
        </w:rPr>
      </w:pPr>
    </w:p>
    <w:p w14:paraId="6465518D">
      <w:pPr>
        <w:spacing w:line="240" w:lineRule="atLeast"/>
        <w:rPr>
          <w:rFonts w:ascii="宋体" w:hAnsi="宋体"/>
          <w:b/>
          <w:color w:val="auto"/>
          <w:sz w:val="32"/>
          <w:szCs w:val="32"/>
          <w:highlight w:val="none"/>
        </w:rPr>
      </w:pPr>
    </w:p>
    <w:p w14:paraId="3957D9B0">
      <w:pPr>
        <w:spacing w:line="240" w:lineRule="atLeast"/>
        <w:rPr>
          <w:rFonts w:ascii="宋体" w:hAnsi="宋体"/>
          <w:b/>
          <w:color w:val="auto"/>
          <w:sz w:val="32"/>
          <w:szCs w:val="32"/>
          <w:highlight w:val="none"/>
        </w:rPr>
      </w:pPr>
    </w:p>
    <w:p w14:paraId="62C661CB">
      <w:pPr>
        <w:spacing w:line="240" w:lineRule="atLeast"/>
        <w:rPr>
          <w:rFonts w:ascii="宋体" w:hAnsi="宋体"/>
          <w:b/>
          <w:color w:val="auto"/>
          <w:sz w:val="32"/>
          <w:szCs w:val="32"/>
          <w:highlight w:val="none"/>
        </w:rPr>
      </w:pPr>
    </w:p>
    <w:p w14:paraId="3C389DFF">
      <w:pPr>
        <w:spacing w:line="240" w:lineRule="atLeast"/>
        <w:rPr>
          <w:rFonts w:ascii="宋体" w:hAnsi="宋体"/>
          <w:b/>
          <w:color w:val="auto"/>
          <w:sz w:val="32"/>
          <w:szCs w:val="32"/>
          <w:highlight w:val="none"/>
        </w:rPr>
      </w:pPr>
    </w:p>
    <w:p w14:paraId="66D4EF0C">
      <w:pPr>
        <w:spacing w:line="240" w:lineRule="atLeast"/>
        <w:rPr>
          <w:rFonts w:ascii="宋体" w:hAnsi="宋体"/>
          <w:b/>
          <w:color w:val="auto"/>
          <w:sz w:val="32"/>
          <w:szCs w:val="32"/>
          <w:highlight w:val="none"/>
        </w:rPr>
      </w:pPr>
    </w:p>
    <w:p w14:paraId="31BAF7B7">
      <w:pPr>
        <w:spacing w:line="240" w:lineRule="atLeast"/>
        <w:rPr>
          <w:rFonts w:ascii="宋体" w:hAnsi="宋体"/>
          <w:b/>
          <w:color w:val="auto"/>
          <w:sz w:val="32"/>
          <w:szCs w:val="32"/>
          <w:highlight w:val="none"/>
        </w:rPr>
      </w:pPr>
    </w:p>
    <w:p w14:paraId="24D27E88">
      <w:pPr>
        <w:spacing w:line="240" w:lineRule="atLeast"/>
        <w:rPr>
          <w:rFonts w:ascii="宋体" w:hAnsi="宋体"/>
          <w:b/>
          <w:color w:val="auto"/>
          <w:sz w:val="32"/>
          <w:szCs w:val="32"/>
          <w:highlight w:val="none"/>
        </w:rPr>
      </w:pPr>
    </w:p>
    <w:p w14:paraId="56A5952A">
      <w:pPr>
        <w:spacing w:line="240" w:lineRule="atLeast"/>
        <w:rPr>
          <w:rFonts w:ascii="仿宋_GB2312" w:hAnsi="仿宋_GB2312" w:eastAsia="仿宋_GB2312" w:cs="仿宋_GB2312"/>
          <w:bCs/>
          <w:color w:val="auto"/>
          <w:sz w:val="32"/>
          <w:szCs w:val="32"/>
          <w:highlight w:val="none"/>
        </w:rPr>
      </w:pPr>
    </w:p>
    <w:p w14:paraId="0B9B8364">
      <w:pPr>
        <w:rPr>
          <w:b/>
          <w:color w:val="auto"/>
          <w:sz w:val="32"/>
          <w:szCs w:val="32"/>
          <w:highlight w:val="none"/>
        </w:rPr>
      </w:pPr>
      <w:bookmarkStart w:id="37" w:name="_Toc44229899"/>
      <w:bookmarkStart w:id="38" w:name="_Toc35611516"/>
      <w:bookmarkStart w:id="39" w:name="_Toc31728084"/>
      <w:bookmarkStart w:id="40" w:name="_Toc35611438"/>
      <w:bookmarkStart w:id="41" w:name="_Toc71365925"/>
      <w:bookmarkStart w:id="42" w:name="_Toc31723070"/>
    </w:p>
    <w:p w14:paraId="4EF943F3">
      <w:pPr>
        <w:rPr>
          <w:b/>
          <w:color w:val="auto"/>
          <w:sz w:val="32"/>
          <w:szCs w:val="32"/>
          <w:highlight w:val="none"/>
        </w:rPr>
      </w:pPr>
    </w:p>
    <w:p w14:paraId="25232B1D">
      <w:pPr>
        <w:rPr>
          <w:b/>
          <w:color w:val="auto"/>
          <w:sz w:val="32"/>
          <w:szCs w:val="32"/>
          <w:highlight w:val="none"/>
        </w:rPr>
      </w:pPr>
      <w:r>
        <w:rPr>
          <w:rFonts w:hint="eastAsia"/>
          <w:b/>
          <w:color w:val="auto"/>
          <w:sz w:val="32"/>
          <w:szCs w:val="32"/>
          <w:highlight w:val="none"/>
        </w:rPr>
        <w:t>一、资格证明文件格式</w:t>
      </w:r>
      <w:bookmarkEnd w:id="37"/>
      <w:bookmarkEnd w:id="38"/>
      <w:bookmarkEnd w:id="39"/>
      <w:bookmarkEnd w:id="40"/>
      <w:bookmarkEnd w:id="41"/>
      <w:bookmarkEnd w:id="42"/>
    </w:p>
    <w:p w14:paraId="6FDD39EF">
      <w:pPr>
        <w:snapToGrid w:val="0"/>
        <w:spacing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225326C6">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5394DDA">
      <w:pPr>
        <w:snapToGrid w:val="0"/>
        <w:spacing w:beforeLines="50" w:after="50"/>
        <w:rPr>
          <w:rFonts w:ascii="宋体" w:hAnsi="宋体"/>
          <w:color w:val="auto"/>
          <w:sz w:val="24"/>
          <w:szCs w:val="20"/>
          <w:highlight w:val="none"/>
        </w:rPr>
      </w:pPr>
    </w:p>
    <w:p w14:paraId="73E42B12">
      <w:pPr>
        <w:snapToGrid w:val="0"/>
        <w:spacing w:beforeLines="50" w:after="50"/>
        <w:jc w:val="center"/>
        <w:rPr>
          <w:rFonts w:ascii="方正小标宋简体" w:hAnsi="方正小标宋简体" w:eastAsia="方正小标宋简体" w:cs="方正小标宋简体"/>
          <w:bCs/>
          <w:color w:val="auto"/>
          <w:sz w:val="84"/>
          <w:szCs w:val="84"/>
          <w:highlight w:val="none"/>
        </w:rPr>
      </w:pPr>
      <w:r>
        <w:rPr>
          <w:rFonts w:hint="eastAsia" w:ascii="方正小标宋简体" w:hAnsi="方正小标宋简体" w:eastAsia="方正小标宋简体" w:cs="方正小标宋简体"/>
          <w:bCs/>
          <w:color w:val="auto"/>
          <w:sz w:val="84"/>
          <w:szCs w:val="84"/>
          <w:highlight w:val="none"/>
        </w:rPr>
        <w:t>响  应  文  件</w:t>
      </w:r>
    </w:p>
    <w:p w14:paraId="5C8E0A3B">
      <w:pPr>
        <w:snapToGrid w:val="0"/>
        <w:spacing w:beforeLines="50" w:after="50"/>
        <w:jc w:val="center"/>
        <w:rPr>
          <w:rFonts w:ascii="方正小标宋简体" w:hAnsi="方正小标宋简体" w:eastAsia="方正小标宋简体" w:cs="方正小标宋简体"/>
          <w:bCs/>
          <w:color w:val="auto"/>
          <w:sz w:val="44"/>
          <w:szCs w:val="44"/>
          <w:highlight w:val="none"/>
        </w:rPr>
      </w:pPr>
    </w:p>
    <w:p w14:paraId="16EF6336">
      <w:pPr>
        <w:snapToGrid w:val="0"/>
        <w:spacing w:beforeLines="50" w:after="50"/>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资  格  证  明  文  件</w:t>
      </w:r>
    </w:p>
    <w:p w14:paraId="3B4D21E0">
      <w:pPr>
        <w:snapToGrid w:val="0"/>
        <w:spacing w:beforeLines="50" w:after="50"/>
        <w:rPr>
          <w:rFonts w:ascii="宋体" w:hAnsi="宋体"/>
          <w:bCs/>
          <w:color w:val="auto"/>
          <w:sz w:val="24"/>
          <w:szCs w:val="20"/>
          <w:highlight w:val="none"/>
        </w:rPr>
      </w:pPr>
    </w:p>
    <w:p w14:paraId="1A2D751B">
      <w:pPr>
        <w:snapToGrid w:val="0"/>
        <w:spacing w:beforeLines="50" w:after="50"/>
        <w:rPr>
          <w:rFonts w:ascii="宋体" w:hAnsi="宋体"/>
          <w:bCs/>
          <w:color w:val="auto"/>
          <w:sz w:val="24"/>
          <w:szCs w:val="20"/>
          <w:highlight w:val="none"/>
        </w:rPr>
      </w:pPr>
    </w:p>
    <w:p w14:paraId="537B5286">
      <w:pPr>
        <w:snapToGrid w:val="0"/>
        <w:spacing w:beforeLines="50" w:after="50"/>
        <w:rPr>
          <w:rFonts w:ascii="宋体" w:hAnsi="宋体"/>
          <w:bCs/>
          <w:color w:val="auto"/>
          <w:sz w:val="24"/>
          <w:szCs w:val="20"/>
          <w:highlight w:val="none"/>
        </w:rPr>
      </w:pPr>
    </w:p>
    <w:p w14:paraId="59EF5999">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0A6D2E4">
      <w:pPr>
        <w:snapToGrid w:val="0"/>
        <w:spacing w:beforeLines="50" w:after="50"/>
        <w:ind w:firstLine="720" w:firstLineChars="225"/>
        <w:rPr>
          <w:rFonts w:ascii="宋体" w:hAnsi="宋体" w:cs="仿宋_GB2312"/>
          <w:bCs/>
          <w:color w:val="auto"/>
          <w:sz w:val="32"/>
          <w:szCs w:val="32"/>
          <w:highlight w:val="none"/>
        </w:rPr>
      </w:pPr>
    </w:p>
    <w:p w14:paraId="4FB1A5B8">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7AA30DD">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2272784">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445D6AAB">
      <w:pPr>
        <w:snapToGrid w:val="0"/>
        <w:spacing w:beforeLines="50" w:after="50"/>
        <w:ind w:firstLine="720" w:firstLineChars="225"/>
        <w:rPr>
          <w:rFonts w:ascii="宋体" w:hAnsi="宋体" w:cs="仿宋_GB2312"/>
          <w:bCs/>
          <w:color w:val="auto"/>
          <w:sz w:val="32"/>
          <w:szCs w:val="32"/>
          <w:highlight w:val="none"/>
        </w:rPr>
      </w:pPr>
    </w:p>
    <w:p w14:paraId="3377AF19">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B7A8904">
      <w:pPr>
        <w:pStyle w:val="6"/>
        <w:snapToGrid w:val="0"/>
        <w:spacing w:before="50" w:after="50"/>
        <w:ind w:firstLine="720" w:firstLineChars="225"/>
        <w:rPr>
          <w:rFonts w:ascii="宋体" w:hAnsi="宋体" w:cs="仿宋_GB2312"/>
          <w:bCs/>
          <w:color w:val="auto"/>
          <w:sz w:val="32"/>
          <w:szCs w:val="32"/>
          <w:highlight w:val="none"/>
        </w:rPr>
      </w:pPr>
    </w:p>
    <w:p w14:paraId="25163BAE">
      <w:pPr>
        <w:pStyle w:val="6"/>
        <w:snapToGrid w:val="0"/>
        <w:spacing w:before="50" w:after="50"/>
        <w:ind w:firstLine="720" w:firstLineChars="225"/>
        <w:rPr>
          <w:rFonts w:ascii="宋体" w:hAnsi="宋体" w:cs="仿宋_GB2312"/>
          <w:bCs/>
          <w:color w:val="auto"/>
          <w:sz w:val="32"/>
          <w:szCs w:val="32"/>
          <w:highlight w:val="none"/>
        </w:rPr>
      </w:pPr>
    </w:p>
    <w:p w14:paraId="544ABE10">
      <w:pPr>
        <w:pStyle w:val="6"/>
        <w:snapToGrid w:val="0"/>
        <w:spacing w:before="50" w:after="50"/>
        <w:ind w:firstLine="1280" w:firstLineChars="400"/>
        <w:rPr>
          <w:rFonts w:ascii="宋体" w:hAnsi="宋体" w:cs="仿宋_GB2312"/>
          <w:bCs/>
          <w:color w:val="auto"/>
          <w:sz w:val="32"/>
          <w:szCs w:val="32"/>
          <w:highlight w:val="none"/>
        </w:rPr>
      </w:pPr>
    </w:p>
    <w:p w14:paraId="025CB04A">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551698F">
      <w:pPr>
        <w:snapToGrid w:val="0"/>
        <w:spacing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3219BB64">
      <w:pPr>
        <w:snapToGrid w:val="0"/>
        <w:spacing w:line="360" w:lineRule="auto"/>
        <w:rPr>
          <w:rFonts w:asciiTheme="minorEastAsia" w:hAnsiTheme="minorEastAsia" w:eastAsiaTheme="minorEastAsia" w:cstheme="minorEastAsia"/>
          <w:color w:val="auto"/>
          <w:szCs w:val="21"/>
          <w:highlight w:val="none"/>
        </w:rPr>
      </w:pPr>
    </w:p>
    <w:p w14:paraId="3BFFE98E">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color w:val="auto"/>
          <w:kern w:val="0"/>
          <w:sz w:val="24"/>
          <w:highlight w:val="none"/>
        </w:rPr>
        <w:t>……………………………………………………………………………………（页码）</w:t>
      </w:r>
    </w:p>
    <w:p w14:paraId="2D74806D">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2、供应商依法缴纳税收的相关材料</w:t>
      </w:r>
      <w:r>
        <w:rPr>
          <w:rFonts w:hint="eastAsia" w:ascii="宋体" w:hAnsi="宋体" w:cs="宋体"/>
          <w:color w:val="auto"/>
          <w:kern w:val="0"/>
          <w:sz w:val="24"/>
          <w:highlight w:val="none"/>
        </w:rPr>
        <w:t>………………………………………………（页码）</w:t>
      </w:r>
    </w:p>
    <w:p w14:paraId="66DE5DBB">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3、供应商依法缴纳社会保障资金的相关材料</w:t>
      </w:r>
      <w:r>
        <w:rPr>
          <w:rFonts w:hint="eastAsia" w:ascii="宋体" w:hAnsi="宋体" w:cs="宋体"/>
          <w:color w:val="auto"/>
          <w:kern w:val="0"/>
          <w:sz w:val="24"/>
          <w:highlight w:val="none"/>
        </w:rPr>
        <w:t>……………………………………（页码）</w:t>
      </w:r>
    </w:p>
    <w:p w14:paraId="0CCCE0AC">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4、供应商财务状况报告</w:t>
      </w:r>
      <w:r>
        <w:rPr>
          <w:rFonts w:hint="eastAsia" w:ascii="宋体" w:hAnsi="宋体" w:cs="宋体"/>
          <w:color w:val="auto"/>
          <w:kern w:val="0"/>
          <w:sz w:val="24"/>
          <w:highlight w:val="none"/>
        </w:rPr>
        <w:t>……………………………………………………………（页码）</w:t>
      </w:r>
    </w:p>
    <w:p w14:paraId="4F3E3976">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5、供应商直接控股、管理关系信息表</w:t>
      </w:r>
      <w:r>
        <w:rPr>
          <w:rFonts w:hint="eastAsia" w:ascii="宋体" w:hAnsi="宋体" w:cs="宋体"/>
          <w:color w:val="auto"/>
          <w:kern w:val="0"/>
          <w:sz w:val="24"/>
          <w:highlight w:val="none"/>
        </w:rPr>
        <w:t>……………………………………………（页码）</w:t>
      </w:r>
    </w:p>
    <w:p w14:paraId="4C257776">
      <w:pPr>
        <w:snapToGrid w:val="0"/>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6、竞标声明</w:t>
      </w:r>
      <w:r>
        <w:rPr>
          <w:rFonts w:hint="eastAsia" w:ascii="宋体" w:hAnsi="宋体" w:cs="宋体"/>
          <w:color w:val="auto"/>
          <w:kern w:val="0"/>
          <w:sz w:val="24"/>
          <w:highlight w:val="none"/>
        </w:rPr>
        <w:t>…………………………………………………………………………（页码）</w:t>
      </w:r>
    </w:p>
    <w:p w14:paraId="0611F81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7、中小企业声明函…………………………………………………………………（页码）</w:t>
      </w:r>
    </w:p>
    <w:p w14:paraId="286C497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Theme="minorEastAsia" w:hAnsiTheme="minorEastAsia" w:eastAsiaTheme="minorEastAsia" w:cstheme="minorEastAsia"/>
          <w:color w:val="auto"/>
          <w:sz w:val="24"/>
          <w:highlight w:val="none"/>
        </w:rPr>
        <w:t>除磋商文件规定必须提供以外，供应商认为需要提供的其他证明材料</w:t>
      </w:r>
      <w:r>
        <w:rPr>
          <w:rFonts w:hint="eastAsia" w:ascii="宋体" w:hAnsi="宋体" w:cs="宋体"/>
          <w:color w:val="auto"/>
          <w:kern w:val="0"/>
          <w:sz w:val="24"/>
          <w:highlight w:val="none"/>
        </w:rPr>
        <w:t>……………………………………………（页码）</w:t>
      </w:r>
    </w:p>
    <w:p w14:paraId="1C5EB610">
      <w:pPr>
        <w:pStyle w:val="10"/>
        <w:rPr>
          <w:b/>
          <w:bCs/>
          <w:color w:val="auto"/>
          <w:highlight w:val="none"/>
        </w:rPr>
      </w:pPr>
    </w:p>
    <w:p w14:paraId="77F6EA46">
      <w:pPr>
        <w:spacing w:line="360" w:lineRule="auto"/>
        <w:rPr>
          <w:rFonts w:ascii="宋体" w:hAnsi="宋体" w:cs="宋体"/>
          <w:b/>
          <w:bCs/>
          <w:color w:val="auto"/>
          <w:sz w:val="24"/>
          <w:highlight w:val="none"/>
        </w:rPr>
      </w:pPr>
    </w:p>
    <w:p w14:paraId="7EA54DD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45F1C9FA">
      <w:pPr>
        <w:snapToGrid w:val="0"/>
        <w:spacing w:beforeLines="50" w:after="50" w:line="360" w:lineRule="auto"/>
        <w:ind w:firstLine="645"/>
        <w:rPr>
          <w:rFonts w:ascii="宋体" w:hAnsi="宋体"/>
          <w:color w:val="auto"/>
          <w:sz w:val="32"/>
          <w:szCs w:val="32"/>
          <w:highlight w:val="none"/>
        </w:rPr>
      </w:pPr>
    </w:p>
    <w:p w14:paraId="783C971E">
      <w:pPr>
        <w:snapToGrid w:val="0"/>
        <w:spacing w:beforeLines="50" w:after="50"/>
        <w:rPr>
          <w:rFonts w:ascii="宋体" w:hAnsi="宋体"/>
          <w:color w:val="auto"/>
          <w:szCs w:val="21"/>
          <w:highlight w:val="none"/>
        </w:rPr>
      </w:pPr>
      <w:r>
        <w:rPr>
          <w:rFonts w:ascii="宋体" w:hAnsi="宋体"/>
          <w:color w:val="auto"/>
          <w:sz w:val="24"/>
          <w:szCs w:val="20"/>
          <w:highlight w:val="none"/>
        </w:rPr>
        <w:t xml:space="preserve"> </w:t>
      </w:r>
    </w:p>
    <w:p w14:paraId="6D5981DB">
      <w:pPr>
        <w:spacing w:line="300" w:lineRule="auto"/>
        <w:rPr>
          <w:rFonts w:ascii="宋体" w:hAnsi="宋体"/>
          <w:color w:val="auto"/>
          <w:szCs w:val="21"/>
          <w:highlight w:val="none"/>
        </w:rPr>
      </w:pPr>
    </w:p>
    <w:p w14:paraId="23CA97D8">
      <w:pPr>
        <w:spacing w:line="300" w:lineRule="auto"/>
        <w:rPr>
          <w:rFonts w:ascii="宋体" w:hAnsi="宋体"/>
          <w:color w:val="auto"/>
          <w:szCs w:val="21"/>
          <w:highlight w:val="none"/>
        </w:rPr>
      </w:pPr>
    </w:p>
    <w:p w14:paraId="11ACEAC7">
      <w:pPr>
        <w:spacing w:line="300" w:lineRule="auto"/>
        <w:rPr>
          <w:rFonts w:ascii="宋体" w:hAnsi="宋体"/>
          <w:color w:val="auto"/>
          <w:szCs w:val="21"/>
          <w:highlight w:val="none"/>
        </w:rPr>
      </w:pPr>
    </w:p>
    <w:p w14:paraId="142ACE82">
      <w:pPr>
        <w:spacing w:line="300" w:lineRule="auto"/>
        <w:rPr>
          <w:rFonts w:ascii="宋体" w:hAnsi="宋体"/>
          <w:color w:val="auto"/>
          <w:szCs w:val="21"/>
          <w:highlight w:val="none"/>
        </w:rPr>
      </w:pPr>
    </w:p>
    <w:p w14:paraId="7C43BDAF">
      <w:pPr>
        <w:spacing w:line="300" w:lineRule="auto"/>
        <w:rPr>
          <w:rFonts w:ascii="宋体" w:hAnsi="宋体"/>
          <w:color w:val="auto"/>
          <w:szCs w:val="21"/>
          <w:highlight w:val="none"/>
        </w:rPr>
      </w:pPr>
    </w:p>
    <w:p w14:paraId="166016FE">
      <w:pPr>
        <w:spacing w:line="300" w:lineRule="auto"/>
        <w:rPr>
          <w:rFonts w:ascii="宋体" w:hAnsi="宋体"/>
          <w:color w:val="auto"/>
          <w:szCs w:val="21"/>
          <w:highlight w:val="none"/>
        </w:rPr>
      </w:pPr>
    </w:p>
    <w:p w14:paraId="3529321A">
      <w:pPr>
        <w:spacing w:line="300" w:lineRule="auto"/>
        <w:rPr>
          <w:rFonts w:ascii="宋体" w:hAnsi="宋体"/>
          <w:color w:val="auto"/>
          <w:szCs w:val="21"/>
          <w:highlight w:val="none"/>
        </w:rPr>
      </w:pPr>
    </w:p>
    <w:p w14:paraId="7AFB6DA6">
      <w:pPr>
        <w:spacing w:line="300" w:lineRule="auto"/>
        <w:rPr>
          <w:rFonts w:ascii="宋体" w:hAnsi="宋体"/>
          <w:color w:val="auto"/>
          <w:szCs w:val="21"/>
          <w:highlight w:val="none"/>
        </w:rPr>
      </w:pPr>
    </w:p>
    <w:p w14:paraId="49FC9794">
      <w:pPr>
        <w:spacing w:line="300" w:lineRule="auto"/>
        <w:rPr>
          <w:rFonts w:ascii="宋体" w:hAnsi="宋体"/>
          <w:color w:val="auto"/>
          <w:szCs w:val="21"/>
          <w:highlight w:val="none"/>
        </w:rPr>
      </w:pPr>
    </w:p>
    <w:p w14:paraId="37C042D5">
      <w:pPr>
        <w:spacing w:line="300" w:lineRule="auto"/>
        <w:rPr>
          <w:rFonts w:ascii="宋体" w:hAnsi="宋体"/>
          <w:color w:val="auto"/>
          <w:szCs w:val="21"/>
          <w:highlight w:val="none"/>
        </w:rPr>
      </w:pPr>
    </w:p>
    <w:p w14:paraId="7B3466D5">
      <w:pPr>
        <w:numPr>
          <w:ilvl w:val="0"/>
          <w:numId w:val="2"/>
        </w:numPr>
        <w:spacing w:line="320" w:lineRule="exact"/>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供应商为法人或者其他组织的，证明文件为其营业执照复印件（如营业执照或者事业单位法人证书或者执业许可证等）；供应商为自然人的，证明文件为其身份证复印件。</w:t>
      </w:r>
    </w:p>
    <w:p w14:paraId="21FEA7CE">
      <w:pPr>
        <w:spacing w:line="320" w:lineRule="exact"/>
        <w:ind w:left="160"/>
        <w:jc w:val="left"/>
        <w:rPr>
          <w:rFonts w:ascii="宋体" w:hAnsi="宋体"/>
          <w:b/>
          <w:color w:val="auto"/>
          <w:sz w:val="32"/>
          <w:szCs w:val="32"/>
          <w:highlight w:val="none"/>
        </w:rPr>
      </w:pPr>
    </w:p>
    <w:p w14:paraId="5E5D411E">
      <w:pPr>
        <w:spacing w:line="360" w:lineRule="auto"/>
        <w:ind w:firstLine="602" w:firstLineChars="200"/>
        <w:rPr>
          <w:rFonts w:ascii="宋体" w:hAnsi="宋体" w:cs="宋体"/>
          <w:b/>
          <w:color w:val="auto"/>
          <w:kern w:val="0"/>
          <w:sz w:val="30"/>
          <w:szCs w:val="30"/>
          <w:highlight w:val="none"/>
        </w:rPr>
      </w:pPr>
    </w:p>
    <w:p w14:paraId="30CB957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47EEBB5">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E35E88D">
      <w:pPr>
        <w:spacing w:line="320" w:lineRule="exact"/>
        <w:ind w:left="160"/>
        <w:jc w:val="left"/>
        <w:rPr>
          <w:rFonts w:ascii="宋体" w:hAnsi="宋体"/>
          <w:b/>
          <w:color w:val="auto"/>
          <w:sz w:val="32"/>
          <w:szCs w:val="32"/>
          <w:highlight w:val="none"/>
        </w:rPr>
      </w:pPr>
    </w:p>
    <w:p w14:paraId="7A41AE2D">
      <w:pPr>
        <w:spacing w:line="320" w:lineRule="exact"/>
        <w:ind w:left="160"/>
        <w:jc w:val="left"/>
        <w:rPr>
          <w:rFonts w:ascii="宋体" w:hAnsi="宋体"/>
          <w:b/>
          <w:color w:val="auto"/>
          <w:sz w:val="32"/>
          <w:szCs w:val="32"/>
          <w:highlight w:val="none"/>
        </w:rPr>
      </w:pPr>
    </w:p>
    <w:p w14:paraId="11B87189">
      <w:pPr>
        <w:spacing w:line="320" w:lineRule="exact"/>
        <w:ind w:left="160"/>
        <w:jc w:val="left"/>
        <w:rPr>
          <w:rFonts w:ascii="宋体" w:hAnsi="宋体"/>
          <w:b/>
          <w:color w:val="auto"/>
          <w:sz w:val="32"/>
          <w:szCs w:val="32"/>
          <w:highlight w:val="none"/>
        </w:rPr>
      </w:pPr>
      <w:r>
        <w:rPr>
          <w:rFonts w:hint="eastAsia" w:ascii="宋体" w:hAnsi="宋体"/>
          <w:b/>
          <w:color w:val="auto"/>
          <w:sz w:val="32"/>
          <w:szCs w:val="32"/>
          <w:highlight w:val="none"/>
        </w:rPr>
        <w:t>2、供应商依法缴纳税收的相关材料</w:t>
      </w:r>
    </w:p>
    <w:p w14:paraId="2019F534">
      <w:pPr>
        <w:pStyle w:val="10"/>
        <w:rPr>
          <w:color w:val="auto"/>
          <w:highlight w:val="none"/>
        </w:rPr>
      </w:pPr>
    </w:p>
    <w:p w14:paraId="147E8B1A">
      <w:pPr>
        <w:spacing w:line="360" w:lineRule="auto"/>
        <w:ind w:firstLine="602" w:firstLineChars="200"/>
        <w:rPr>
          <w:rFonts w:ascii="宋体" w:hAnsi="宋体" w:cs="宋体"/>
          <w:b/>
          <w:color w:val="auto"/>
          <w:kern w:val="0"/>
          <w:sz w:val="30"/>
          <w:szCs w:val="30"/>
          <w:highlight w:val="none"/>
        </w:rPr>
      </w:pPr>
    </w:p>
    <w:p w14:paraId="62FAA4B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D999765">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CA33E49">
      <w:pPr>
        <w:rPr>
          <w:color w:val="auto"/>
          <w:highlight w:val="none"/>
        </w:rPr>
      </w:pPr>
    </w:p>
    <w:p w14:paraId="5C0078EE">
      <w:pPr>
        <w:rPr>
          <w:color w:val="auto"/>
          <w:highlight w:val="none"/>
        </w:rPr>
      </w:pPr>
    </w:p>
    <w:p w14:paraId="106521BF">
      <w:pPr>
        <w:pStyle w:val="10"/>
        <w:rPr>
          <w:color w:val="auto"/>
          <w:highlight w:val="none"/>
        </w:rPr>
      </w:pPr>
    </w:p>
    <w:p w14:paraId="3B3F07EA">
      <w:pPr>
        <w:spacing w:line="320" w:lineRule="exact"/>
        <w:jc w:val="left"/>
        <w:rPr>
          <w:rFonts w:ascii="宋体" w:hAnsi="宋体"/>
          <w:b/>
          <w:color w:val="auto"/>
          <w:sz w:val="32"/>
          <w:szCs w:val="32"/>
          <w:highlight w:val="none"/>
        </w:rPr>
      </w:pPr>
      <w:r>
        <w:rPr>
          <w:rFonts w:hint="eastAsia" w:ascii="宋体" w:hAnsi="宋体"/>
          <w:b/>
          <w:color w:val="auto"/>
          <w:sz w:val="32"/>
          <w:szCs w:val="32"/>
          <w:highlight w:val="none"/>
        </w:rPr>
        <w:t>3、供应商依法缴纳社会保障资金的相关材料</w:t>
      </w:r>
    </w:p>
    <w:p w14:paraId="0209FB6D">
      <w:pPr>
        <w:spacing w:line="320" w:lineRule="exact"/>
        <w:jc w:val="left"/>
        <w:rPr>
          <w:rFonts w:ascii="宋体" w:hAnsi="宋体"/>
          <w:b/>
          <w:color w:val="auto"/>
          <w:sz w:val="32"/>
          <w:szCs w:val="32"/>
          <w:highlight w:val="none"/>
        </w:rPr>
      </w:pPr>
    </w:p>
    <w:p w14:paraId="4E059EBE">
      <w:pPr>
        <w:spacing w:line="320" w:lineRule="exact"/>
        <w:jc w:val="left"/>
        <w:rPr>
          <w:rFonts w:ascii="宋体" w:hAnsi="宋体"/>
          <w:b/>
          <w:color w:val="auto"/>
          <w:sz w:val="32"/>
          <w:szCs w:val="32"/>
          <w:highlight w:val="none"/>
        </w:rPr>
      </w:pPr>
    </w:p>
    <w:p w14:paraId="62171D18">
      <w:pPr>
        <w:spacing w:line="360" w:lineRule="auto"/>
        <w:ind w:firstLine="602" w:firstLineChars="200"/>
        <w:rPr>
          <w:rFonts w:ascii="宋体" w:hAnsi="宋体" w:cs="宋体"/>
          <w:b/>
          <w:color w:val="auto"/>
          <w:kern w:val="0"/>
          <w:sz w:val="30"/>
          <w:szCs w:val="30"/>
          <w:highlight w:val="none"/>
        </w:rPr>
      </w:pPr>
    </w:p>
    <w:p w14:paraId="2B69193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95C2ED">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93D2FC2">
      <w:pPr>
        <w:pStyle w:val="10"/>
        <w:rPr>
          <w:color w:val="auto"/>
          <w:highlight w:val="none"/>
        </w:rPr>
      </w:pPr>
    </w:p>
    <w:p w14:paraId="4DD0BD64">
      <w:pPr>
        <w:spacing w:line="320" w:lineRule="exact"/>
        <w:jc w:val="left"/>
        <w:rPr>
          <w:rFonts w:ascii="宋体" w:hAnsi="宋体"/>
          <w:b/>
          <w:color w:val="auto"/>
          <w:sz w:val="32"/>
          <w:szCs w:val="32"/>
          <w:highlight w:val="none"/>
        </w:rPr>
      </w:pPr>
    </w:p>
    <w:p w14:paraId="7CCE9374">
      <w:pPr>
        <w:spacing w:line="320" w:lineRule="exact"/>
        <w:jc w:val="left"/>
        <w:rPr>
          <w:rFonts w:ascii="宋体" w:hAnsi="宋体"/>
          <w:b/>
          <w:color w:val="auto"/>
          <w:sz w:val="32"/>
          <w:szCs w:val="32"/>
          <w:highlight w:val="none"/>
        </w:rPr>
      </w:pPr>
      <w:r>
        <w:rPr>
          <w:rFonts w:hint="eastAsia" w:ascii="宋体" w:hAnsi="宋体"/>
          <w:b/>
          <w:color w:val="auto"/>
          <w:sz w:val="32"/>
          <w:szCs w:val="32"/>
          <w:highlight w:val="none"/>
        </w:rPr>
        <w:t>4、供应商财务状况报告</w:t>
      </w:r>
    </w:p>
    <w:p w14:paraId="6B83B3B3">
      <w:pPr>
        <w:pStyle w:val="10"/>
        <w:rPr>
          <w:color w:val="auto"/>
          <w:highlight w:val="none"/>
        </w:rPr>
      </w:pPr>
    </w:p>
    <w:p w14:paraId="1975F18E">
      <w:pPr>
        <w:spacing w:line="360" w:lineRule="auto"/>
        <w:ind w:firstLine="602" w:firstLineChars="200"/>
        <w:rPr>
          <w:rFonts w:ascii="宋体" w:hAnsi="宋体" w:cs="宋体"/>
          <w:b/>
          <w:color w:val="auto"/>
          <w:kern w:val="0"/>
          <w:sz w:val="30"/>
          <w:szCs w:val="30"/>
          <w:highlight w:val="none"/>
        </w:rPr>
      </w:pPr>
    </w:p>
    <w:p w14:paraId="5CDE61F0">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0FF73F4">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0551F08">
      <w:pPr>
        <w:rPr>
          <w:color w:val="auto"/>
          <w:highlight w:val="none"/>
        </w:rPr>
      </w:pPr>
    </w:p>
    <w:p w14:paraId="31592ACB">
      <w:pPr>
        <w:rPr>
          <w:color w:val="auto"/>
          <w:highlight w:val="none"/>
        </w:rPr>
      </w:pPr>
    </w:p>
    <w:p w14:paraId="2845CECD">
      <w:pPr>
        <w:wordWrap w:val="0"/>
        <w:spacing w:beforeLines="50" w:after="50" w:line="320" w:lineRule="exact"/>
        <w:ind w:right="482" w:firstLine="210" w:firstLineChars="100"/>
        <w:contextualSpacing/>
        <w:jc w:val="center"/>
        <w:rPr>
          <w:rFonts w:ascii="宋体" w:hAnsi="宋体"/>
          <w:color w:val="auto"/>
          <w:szCs w:val="21"/>
          <w:highlight w:val="none"/>
        </w:rPr>
      </w:pPr>
    </w:p>
    <w:p w14:paraId="3CF27D4A">
      <w:pPr>
        <w:rPr>
          <w:rFonts w:ascii="宋体" w:hAnsi="宋体"/>
          <w:b/>
          <w:color w:val="auto"/>
          <w:sz w:val="32"/>
          <w:szCs w:val="32"/>
          <w:highlight w:val="none"/>
        </w:rPr>
      </w:pPr>
      <w:r>
        <w:rPr>
          <w:rFonts w:hint="eastAsia" w:ascii="宋体" w:hAnsi="宋体"/>
          <w:b/>
          <w:color w:val="auto"/>
          <w:sz w:val="32"/>
          <w:szCs w:val="32"/>
          <w:highlight w:val="none"/>
        </w:rPr>
        <w:br w:type="page"/>
      </w:r>
    </w:p>
    <w:p w14:paraId="65D8276D">
      <w:pPr>
        <w:spacing w:line="320" w:lineRule="exact"/>
        <w:jc w:val="left"/>
        <w:rPr>
          <w:rFonts w:ascii="宋体" w:hAnsi="宋体"/>
          <w:b/>
          <w:color w:val="auto"/>
          <w:sz w:val="32"/>
          <w:szCs w:val="32"/>
          <w:highlight w:val="none"/>
        </w:rPr>
      </w:pPr>
      <w:r>
        <w:rPr>
          <w:rFonts w:hint="eastAsia" w:ascii="宋体" w:hAnsi="宋体"/>
          <w:b/>
          <w:color w:val="auto"/>
          <w:sz w:val="32"/>
          <w:szCs w:val="32"/>
          <w:highlight w:val="none"/>
        </w:rPr>
        <w:t>5、供应商直接控股、管理关系信息表</w:t>
      </w:r>
    </w:p>
    <w:p w14:paraId="4E3E1B70">
      <w:pPr>
        <w:snapToGrid w:val="0"/>
        <w:spacing w:beforeLines="50" w:after="50" w:line="360" w:lineRule="auto"/>
        <w:jc w:val="center"/>
        <w:rPr>
          <w:rFonts w:ascii="宋体" w:hAnsi="宋体"/>
          <w:b/>
          <w:color w:val="auto"/>
          <w:sz w:val="24"/>
          <w:highlight w:val="none"/>
        </w:rPr>
      </w:pPr>
    </w:p>
    <w:p w14:paraId="43946D3B">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F677F24">
      <w:pPr>
        <w:spacing w:line="360" w:lineRule="auto"/>
        <w:contextualSpacing/>
        <w:jc w:val="center"/>
        <w:rPr>
          <w:rFonts w:ascii="宋体" w:hAnsi="宋体"/>
          <w:b/>
          <w:color w:val="auto"/>
          <w:sz w:val="24"/>
          <w:highlight w:val="none"/>
        </w:rPr>
      </w:pPr>
    </w:p>
    <w:tbl>
      <w:tblPr>
        <w:tblStyle w:val="2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A9A1F8C">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4393A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CC212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E247A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66C6C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5F934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C131FC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3A85B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C2461F">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E1BE8">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962F85">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20B53">
            <w:pPr>
              <w:widowControl/>
              <w:spacing w:line="360" w:lineRule="auto"/>
              <w:contextualSpacing/>
              <w:jc w:val="center"/>
              <w:rPr>
                <w:rFonts w:ascii="宋体" w:hAnsi="宋体" w:cs="宋体"/>
                <w:color w:val="auto"/>
                <w:kern w:val="0"/>
                <w:sz w:val="24"/>
                <w:highlight w:val="none"/>
              </w:rPr>
            </w:pPr>
          </w:p>
        </w:tc>
      </w:tr>
      <w:tr w14:paraId="04183A5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5AC38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6A31D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B7E120">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8F3D14">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AA3C05">
            <w:pPr>
              <w:widowControl/>
              <w:spacing w:line="360" w:lineRule="auto"/>
              <w:contextualSpacing/>
              <w:jc w:val="center"/>
              <w:rPr>
                <w:rFonts w:ascii="宋体" w:hAnsi="宋体" w:cs="宋体"/>
                <w:color w:val="auto"/>
                <w:kern w:val="0"/>
                <w:sz w:val="24"/>
                <w:highlight w:val="none"/>
              </w:rPr>
            </w:pPr>
          </w:p>
        </w:tc>
      </w:tr>
      <w:tr w14:paraId="0F55DBB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27AC0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8BC1A0">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32CEEB">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C3A938">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9D678C">
            <w:pPr>
              <w:widowControl/>
              <w:spacing w:line="360" w:lineRule="auto"/>
              <w:contextualSpacing/>
              <w:jc w:val="center"/>
              <w:rPr>
                <w:rFonts w:ascii="宋体" w:hAnsi="宋体" w:cs="宋体"/>
                <w:color w:val="auto"/>
                <w:kern w:val="0"/>
                <w:sz w:val="24"/>
                <w:highlight w:val="none"/>
              </w:rPr>
            </w:pPr>
          </w:p>
        </w:tc>
      </w:tr>
      <w:tr w14:paraId="200ACF0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A3613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BAF03D">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BFC42B">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C1F387">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23B3F9">
            <w:pPr>
              <w:widowControl/>
              <w:spacing w:line="360" w:lineRule="auto"/>
              <w:contextualSpacing/>
              <w:jc w:val="center"/>
              <w:rPr>
                <w:rFonts w:ascii="宋体" w:hAnsi="宋体" w:cs="宋体"/>
                <w:color w:val="auto"/>
                <w:kern w:val="0"/>
                <w:sz w:val="24"/>
                <w:highlight w:val="none"/>
              </w:rPr>
            </w:pPr>
          </w:p>
        </w:tc>
      </w:tr>
    </w:tbl>
    <w:p w14:paraId="6BBA1092">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113E6C5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57F14C5">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D2478F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6A11665E">
      <w:pPr>
        <w:snapToGrid w:val="0"/>
        <w:spacing w:line="360" w:lineRule="auto"/>
        <w:jc w:val="left"/>
        <w:rPr>
          <w:rFonts w:ascii="宋体" w:hAnsi="宋体" w:cs="宋体"/>
          <w:color w:val="auto"/>
          <w:sz w:val="24"/>
          <w:highlight w:val="none"/>
        </w:rPr>
      </w:pPr>
    </w:p>
    <w:p w14:paraId="7B41066C">
      <w:pPr>
        <w:snapToGrid w:val="0"/>
        <w:spacing w:line="360" w:lineRule="auto"/>
        <w:jc w:val="left"/>
        <w:rPr>
          <w:rFonts w:ascii="宋体" w:hAnsi="宋体" w:cs="宋体"/>
          <w:color w:val="auto"/>
          <w:sz w:val="24"/>
          <w:highlight w:val="none"/>
        </w:rPr>
      </w:pPr>
    </w:p>
    <w:p w14:paraId="258E743D">
      <w:pPr>
        <w:snapToGrid w:val="0"/>
        <w:spacing w:line="360" w:lineRule="auto"/>
        <w:jc w:val="left"/>
        <w:rPr>
          <w:rFonts w:ascii="宋体" w:hAnsi="宋体" w:cs="宋体"/>
          <w:color w:val="auto"/>
          <w:sz w:val="24"/>
          <w:highlight w:val="none"/>
        </w:rPr>
      </w:pPr>
    </w:p>
    <w:p w14:paraId="0426A4D2">
      <w:pPr>
        <w:snapToGrid w:val="0"/>
        <w:spacing w:beforeLines="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1A926D50">
      <w:pPr>
        <w:snapToGrid w:val="0"/>
        <w:spacing w:beforeLines="50" w:after="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548FCC31">
      <w:pPr>
        <w:snapToGrid w:val="0"/>
        <w:spacing w:beforeLines="50" w:after="50" w:line="360" w:lineRule="auto"/>
        <w:ind w:right="480" w:firstLine="5280" w:firstLineChars="2200"/>
        <w:rPr>
          <w:rFonts w:ascii="宋体" w:hAnsi="宋体" w:cs="宋体"/>
          <w:color w:val="auto"/>
          <w:sz w:val="28"/>
          <w:szCs w:val="28"/>
          <w:highlight w:val="none"/>
        </w:rPr>
      </w:pPr>
      <w:r>
        <w:rPr>
          <w:rFonts w:hint="eastAsia" w:ascii="宋体" w:hAnsi="宋体" w:cs="宋体"/>
          <w:color w:val="auto"/>
          <w:sz w:val="24"/>
          <w:highlight w:val="none"/>
        </w:rPr>
        <w:t>年    月    日</w:t>
      </w:r>
    </w:p>
    <w:p w14:paraId="16CA05CD">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52006DD5">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A59C51E">
      <w:pPr>
        <w:snapToGrid w:val="0"/>
        <w:spacing w:line="360" w:lineRule="auto"/>
        <w:jc w:val="center"/>
        <w:rPr>
          <w:rFonts w:ascii="宋体" w:hAnsi="宋体"/>
          <w:b/>
          <w:color w:val="auto"/>
          <w:sz w:val="24"/>
          <w:highlight w:val="none"/>
        </w:rPr>
      </w:pPr>
    </w:p>
    <w:tbl>
      <w:tblPr>
        <w:tblStyle w:val="2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F7031F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FD5AC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7EE58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16106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BED04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ABD18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7F017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123B5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5D574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9B09DF">
            <w:pPr>
              <w:widowControl/>
              <w:spacing w:line="360" w:lineRule="auto"/>
              <w:contextualSpacing/>
              <w:jc w:val="center"/>
              <w:rPr>
                <w:rFonts w:ascii="宋体" w:hAnsi="宋体" w:cs="宋体"/>
                <w:color w:val="auto"/>
                <w:kern w:val="0"/>
                <w:sz w:val="24"/>
                <w:highlight w:val="none"/>
              </w:rPr>
            </w:pPr>
          </w:p>
        </w:tc>
      </w:tr>
      <w:tr w14:paraId="06CF88A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DFE1E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E716B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14AD5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15EB47">
            <w:pPr>
              <w:widowControl/>
              <w:spacing w:line="360" w:lineRule="auto"/>
              <w:contextualSpacing/>
              <w:jc w:val="center"/>
              <w:rPr>
                <w:rFonts w:ascii="宋体" w:hAnsi="宋体" w:cs="宋体"/>
                <w:color w:val="auto"/>
                <w:kern w:val="0"/>
                <w:sz w:val="24"/>
                <w:highlight w:val="none"/>
              </w:rPr>
            </w:pPr>
          </w:p>
        </w:tc>
      </w:tr>
      <w:tr w14:paraId="2128D0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B1172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5F8CA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7E0C6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E1FF9E">
            <w:pPr>
              <w:widowControl/>
              <w:spacing w:line="360" w:lineRule="auto"/>
              <w:contextualSpacing/>
              <w:jc w:val="center"/>
              <w:rPr>
                <w:rFonts w:ascii="宋体" w:hAnsi="宋体" w:cs="宋体"/>
                <w:color w:val="auto"/>
                <w:kern w:val="0"/>
                <w:sz w:val="24"/>
                <w:highlight w:val="none"/>
              </w:rPr>
            </w:pPr>
          </w:p>
        </w:tc>
      </w:tr>
      <w:tr w14:paraId="5AF7CE6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02F36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B95BD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E79E5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D641E2">
            <w:pPr>
              <w:widowControl/>
              <w:spacing w:line="360" w:lineRule="auto"/>
              <w:contextualSpacing/>
              <w:jc w:val="center"/>
              <w:rPr>
                <w:rFonts w:ascii="宋体" w:hAnsi="宋体" w:cs="宋体"/>
                <w:color w:val="auto"/>
                <w:kern w:val="0"/>
                <w:sz w:val="24"/>
                <w:highlight w:val="none"/>
              </w:rPr>
            </w:pPr>
          </w:p>
        </w:tc>
      </w:tr>
    </w:tbl>
    <w:p w14:paraId="5821BBE4">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1C16877B">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F8A7479">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787FFE6">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5C4F4A99">
      <w:pPr>
        <w:spacing w:line="360" w:lineRule="auto"/>
        <w:contextualSpacing/>
        <w:jc w:val="left"/>
        <w:rPr>
          <w:rFonts w:ascii="宋体" w:hAnsi="宋体"/>
          <w:color w:val="auto"/>
          <w:sz w:val="24"/>
          <w:highlight w:val="none"/>
        </w:rPr>
      </w:pPr>
    </w:p>
    <w:p w14:paraId="4BA7D617">
      <w:pPr>
        <w:spacing w:line="360" w:lineRule="auto"/>
        <w:contextualSpacing/>
        <w:jc w:val="left"/>
        <w:rPr>
          <w:rFonts w:ascii="宋体" w:hAnsi="宋体"/>
          <w:color w:val="auto"/>
          <w:sz w:val="24"/>
          <w:highlight w:val="none"/>
        </w:rPr>
      </w:pPr>
    </w:p>
    <w:p w14:paraId="26307ACF">
      <w:pPr>
        <w:spacing w:line="360" w:lineRule="auto"/>
        <w:contextualSpacing/>
        <w:jc w:val="left"/>
        <w:rPr>
          <w:color w:val="auto"/>
          <w:sz w:val="24"/>
          <w:highlight w:val="none"/>
        </w:rPr>
      </w:pPr>
    </w:p>
    <w:p w14:paraId="131091E7">
      <w:pPr>
        <w:spacing w:line="360" w:lineRule="auto"/>
        <w:contextualSpacing/>
        <w:jc w:val="left"/>
        <w:rPr>
          <w:color w:val="auto"/>
          <w:sz w:val="24"/>
          <w:highlight w:val="none"/>
        </w:rPr>
      </w:pPr>
    </w:p>
    <w:p w14:paraId="7ADF2BC0">
      <w:pPr>
        <w:spacing w:line="360" w:lineRule="auto"/>
        <w:contextualSpacing/>
        <w:jc w:val="left"/>
        <w:rPr>
          <w:color w:val="auto"/>
          <w:sz w:val="24"/>
          <w:highlight w:val="none"/>
        </w:rPr>
      </w:pPr>
    </w:p>
    <w:p w14:paraId="63F7B840">
      <w:pPr>
        <w:spacing w:line="360" w:lineRule="auto"/>
        <w:contextualSpacing/>
        <w:jc w:val="left"/>
        <w:rPr>
          <w:rFonts w:ascii="宋体" w:hAnsi="宋体"/>
          <w:color w:val="auto"/>
          <w:sz w:val="24"/>
          <w:highlight w:val="none"/>
        </w:rPr>
      </w:pPr>
    </w:p>
    <w:p w14:paraId="0EDD2580">
      <w:pPr>
        <w:spacing w:line="360" w:lineRule="auto"/>
        <w:ind w:right="480" w:firstLine="3360" w:firstLineChars="1400"/>
        <w:contextualSpacing/>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528BAB7E">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s="宋体"/>
          <w:color w:val="auto"/>
          <w:sz w:val="24"/>
          <w:highlight w:val="none"/>
        </w:rPr>
        <w:t>电子签章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2944487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461009A6">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6、竞标声明</w:t>
      </w:r>
    </w:p>
    <w:p w14:paraId="11601E69">
      <w:pPr>
        <w:spacing w:line="320" w:lineRule="exact"/>
        <w:jc w:val="center"/>
        <w:rPr>
          <w:rFonts w:ascii="宋体" w:hAnsi="宋体"/>
          <w:color w:val="auto"/>
          <w:sz w:val="24"/>
          <w:szCs w:val="20"/>
          <w:highlight w:val="none"/>
        </w:rPr>
      </w:pPr>
    </w:p>
    <w:p w14:paraId="217C149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4572F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6ECBC9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1969281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3BB7B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70A18F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AB3EEC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58C289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83182A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085E183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6903906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96194D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7E9569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6CD7F8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A2A45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085754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61571D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1300D9A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79E6B6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7F508D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417EF2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2ADDAC9">
      <w:pPr>
        <w:pStyle w:val="13"/>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7600437D">
      <w:pPr>
        <w:pStyle w:val="13"/>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9B6E706">
      <w:pPr>
        <w:pStyle w:val="12"/>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2B6D7312">
      <w:pPr>
        <w:pStyle w:val="12"/>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E16E687">
      <w:pPr>
        <w:pStyle w:val="12"/>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76A1D571">
      <w:pPr>
        <w:pStyle w:val="12"/>
        <w:tabs>
          <w:tab w:val="left" w:pos="939"/>
        </w:tabs>
        <w:spacing w:line="360" w:lineRule="auto"/>
        <w:ind w:left="0" w:leftChars="0" w:firstLine="482" w:firstLineChars="200"/>
        <w:rPr>
          <w:rFonts w:ascii="宋体" w:hAnsi="宋体" w:cs="宋体"/>
          <w:b/>
          <w:color w:val="auto"/>
          <w:sz w:val="24"/>
          <w:highlight w:val="none"/>
        </w:rPr>
      </w:pPr>
      <w:r>
        <w:rPr>
          <w:rFonts w:hint="eastAsia" w:ascii="宋体" w:hAnsi="宋体" w:cs="宋体"/>
          <w:b/>
          <w:color w:val="auto"/>
          <w:sz w:val="24"/>
          <w:highlight w:val="none"/>
        </w:rPr>
        <w:t>注：如为联合体竞标，盖章处须加盖联合体各方公章并由联合体各方法定代表人签署，否则其响应文件按无效响应处理。</w:t>
      </w:r>
    </w:p>
    <w:p w14:paraId="4E43514C">
      <w:pPr>
        <w:pStyle w:val="12"/>
        <w:tabs>
          <w:tab w:val="left" w:pos="939"/>
        </w:tabs>
        <w:spacing w:line="360" w:lineRule="auto"/>
        <w:ind w:left="0" w:leftChars="0" w:firstLine="480" w:firstLineChars="200"/>
        <w:rPr>
          <w:rFonts w:ascii="宋体" w:hAnsi="宋体" w:cs="宋体"/>
          <w:color w:val="auto"/>
          <w:sz w:val="24"/>
          <w:highlight w:val="none"/>
        </w:rPr>
      </w:pPr>
    </w:p>
    <w:p w14:paraId="22AB5D14">
      <w:pPr>
        <w:spacing w:line="360" w:lineRule="auto"/>
        <w:ind w:firstLine="4320" w:firstLineChars="1800"/>
        <w:contextualSpacing/>
        <w:rPr>
          <w:color w:val="auto"/>
          <w:sz w:val="24"/>
          <w:highlight w:val="none"/>
        </w:rPr>
      </w:pPr>
      <w:r>
        <w:rPr>
          <w:rFonts w:hint="eastAsia"/>
          <w:color w:val="auto"/>
          <w:sz w:val="24"/>
          <w:highlight w:val="none"/>
        </w:rPr>
        <w:t>法定代表人（签字或者盖章）：</w:t>
      </w:r>
      <w:r>
        <w:rPr>
          <w:rFonts w:hint="eastAsia"/>
          <w:color w:val="auto"/>
          <w:sz w:val="24"/>
          <w:highlight w:val="none"/>
          <w:u w:val="single"/>
        </w:rPr>
        <w:t xml:space="preserve">                             </w:t>
      </w:r>
      <w:r>
        <w:rPr>
          <w:rFonts w:hint="eastAsia"/>
          <w:color w:val="auto"/>
          <w:sz w:val="24"/>
          <w:highlight w:val="none"/>
        </w:rPr>
        <w:t xml:space="preserve">                                     </w:t>
      </w:r>
    </w:p>
    <w:p w14:paraId="5784A3B5">
      <w:pPr>
        <w:spacing w:line="360" w:lineRule="auto"/>
        <w:ind w:firstLine="4320" w:firstLineChars="1800"/>
        <w:contextualSpacing/>
        <w:rPr>
          <w:rFonts w:ascii="宋体" w:hAnsi="宋体" w:cs="宋体"/>
          <w:color w:val="auto"/>
          <w:sz w:val="24"/>
          <w:highlight w:val="none"/>
          <w:u w:val="single"/>
        </w:rPr>
      </w:pPr>
      <w:r>
        <w:rPr>
          <w:rFonts w:hint="eastAsia"/>
          <w:color w:val="auto"/>
          <w:sz w:val="24"/>
          <w:highlight w:val="none"/>
        </w:rPr>
        <w:t>供应商（</w:t>
      </w:r>
      <w:r>
        <w:rPr>
          <w:rFonts w:hint="eastAsia" w:ascii="宋体" w:hAnsi="宋体" w:cs="宋体"/>
          <w:color w:val="auto"/>
          <w:sz w:val="24"/>
          <w:highlight w:val="none"/>
        </w:rPr>
        <w:t>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61222BC0">
      <w:pPr>
        <w:spacing w:line="360" w:lineRule="auto"/>
        <w:ind w:right="480" w:firstLine="240" w:firstLineChars="100"/>
        <w:contextualSpacing/>
        <w:jc w:val="center"/>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57E33F0C">
      <w:pPr>
        <w:pStyle w:val="6"/>
        <w:overflowPunct w:val="0"/>
        <w:spacing w:line="520" w:lineRule="exact"/>
        <w:ind w:right="480" w:firstLine="321" w:firstLineChars="100"/>
        <w:contextualSpacing/>
        <w:jc w:val="center"/>
        <w:rPr>
          <w:rFonts w:ascii="宋体" w:hAnsi="宋体"/>
          <w:b/>
          <w:bCs/>
          <w:color w:val="auto"/>
          <w:sz w:val="32"/>
          <w:szCs w:val="32"/>
          <w:highlight w:val="none"/>
        </w:rPr>
      </w:pPr>
    </w:p>
    <w:p w14:paraId="221024B4">
      <w:pPr>
        <w:snapToGrid w:val="0"/>
        <w:spacing w:beforeLines="50" w:after="50" w:line="360" w:lineRule="auto"/>
        <w:ind w:right="480"/>
        <w:rPr>
          <w:rFonts w:ascii="宋体" w:hAnsi="宋体"/>
          <w:b/>
          <w:bCs/>
          <w:color w:val="auto"/>
          <w:sz w:val="32"/>
          <w:szCs w:val="32"/>
          <w:highlight w:val="none"/>
        </w:rPr>
      </w:pPr>
    </w:p>
    <w:p w14:paraId="51EE545F">
      <w:pPr>
        <w:snapToGrid w:val="0"/>
        <w:spacing w:beforeLines="50" w:after="50" w:line="360" w:lineRule="auto"/>
        <w:ind w:right="480"/>
        <w:rPr>
          <w:rFonts w:ascii="宋体" w:hAnsi="宋体"/>
          <w:b/>
          <w:bCs/>
          <w:color w:val="auto"/>
          <w:sz w:val="32"/>
          <w:szCs w:val="32"/>
          <w:highlight w:val="none"/>
        </w:rPr>
      </w:pPr>
    </w:p>
    <w:p w14:paraId="11E4DC9F">
      <w:pPr>
        <w:rPr>
          <w:rFonts w:ascii="宋体" w:hAnsi="宋体"/>
          <w:b/>
          <w:bCs/>
          <w:color w:val="auto"/>
          <w:sz w:val="32"/>
          <w:szCs w:val="32"/>
          <w:highlight w:val="none"/>
        </w:rPr>
      </w:pPr>
      <w:r>
        <w:rPr>
          <w:rFonts w:ascii="宋体" w:hAnsi="宋体"/>
          <w:b/>
          <w:bCs/>
          <w:color w:val="auto"/>
          <w:sz w:val="32"/>
          <w:szCs w:val="32"/>
          <w:highlight w:val="none"/>
        </w:rPr>
        <w:br w:type="page"/>
      </w:r>
    </w:p>
    <w:p w14:paraId="6642103E">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7、中小企业声明函（服务）</w:t>
      </w:r>
    </w:p>
    <w:p w14:paraId="6F06937A">
      <w:pPr>
        <w:spacing w:before="2" w:line="500" w:lineRule="exact"/>
        <w:ind w:firstLine="708" w:firstLineChars="294"/>
        <w:rPr>
          <w:rFonts w:ascii="宋体" w:hAnsi="宋体" w:cs="宋体"/>
          <w:b/>
          <w:bCs/>
          <w:color w:val="auto"/>
          <w:sz w:val="24"/>
          <w:highlight w:val="none"/>
        </w:rPr>
      </w:pPr>
    </w:p>
    <w:p w14:paraId="2F21E9FF">
      <w:pPr>
        <w:pStyle w:val="10"/>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462F3CCD">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1D65D03">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F78C957">
      <w:pPr>
        <w:pStyle w:val="10"/>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6F5E6FFE">
      <w:pPr>
        <w:pStyle w:val="10"/>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w:t>
      </w:r>
      <w:r>
        <w:rPr>
          <w:rFonts w:hint="eastAsia" w:ascii="宋体" w:hAnsi="宋体"/>
          <w:color w:val="auto"/>
          <w:sz w:val="24"/>
          <w:highlight w:val="none"/>
        </w:rPr>
        <w:t>中</w:t>
      </w:r>
      <w:r>
        <w:rPr>
          <w:rFonts w:ascii="宋体" w:hAnsi="宋体"/>
          <w:color w:val="auto"/>
          <w:sz w:val="24"/>
          <w:highlight w:val="none"/>
        </w:rPr>
        <w:t>企业的分支机构，不存在控股股东为大企业的情形，也不存在与大企业的负责人为同一人的情形。</w:t>
      </w:r>
    </w:p>
    <w:p w14:paraId="7F5134E7">
      <w:pPr>
        <w:pStyle w:val="10"/>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68C859F2">
      <w:pPr>
        <w:pStyle w:val="10"/>
        <w:spacing w:before="56" w:line="500" w:lineRule="exact"/>
        <w:ind w:right="1808" w:firstLine="705" w:firstLineChars="294"/>
        <w:rPr>
          <w:rFonts w:ascii="宋体" w:hAnsi="宋体"/>
          <w:color w:val="auto"/>
          <w:sz w:val="24"/>
          <w:highlight w:val="none"/>
        </w:rPr>
      </w:pPr>
    </w:p>
    <w:p w14:paraId="789B5B0D">
      <w:pPr>
        <w:pStyle w:val="10"/>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37A2E8D4">
      <w:pPr>
        <w:pStyle w:val="10"/>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0CB08D81">
      <w:pPr>
        <w:spacing w:line="520" w:lineRule="exact"/>
        <w:jc w:val="left"/>
        <w:rPr>
          <w:rFonts w:ascii="宋体" w:hAnsi="宋体"/>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B11AA04">
      <w:pPr>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741C8964">
      <w:pPr>
        <w:pStyle w:val="13"/>
        <w:jc w:val="left"/>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w:t>
      </w:r>
    </w:p>
    <w:p w14:paraId="1FA938AA">
      <w:pPr>
        <w:jc w:val="center"/>
        <w:rPr>
          <w:rFonts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3F98054C">
      <w:pPr>
        <w:ind w:left="1871"/>
        <w:rPr>
          <w:rFonts w:ascii="宋体" w:hAnsi="宋体" w:cs="Arial Unicode MS"/>
          <w:color w:val="auto"/>
          <w:szCs w:val="21"/>
          <w:highlight w:val="none"/>
        </w:rPr>
      </w:pPr>
    </w:p>
    <w:tbl>
      <w:tblPr>
        <w:tblStyle w:val="23"/>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3EF31865">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EACAD22">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32AF6F65">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087A5B92">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1D260168">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34594F69">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133BF0A1">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微型</w:t>
            </w:r>
          </w:p>
        </w:tc>
      </w:tr>
      <w:tr w14:paraId="08B8DA5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504C9812">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63F7D9F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86833D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F06239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3CDE8FF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5B8E042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5470511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BB3B591">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0A48E31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23F6AD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DD6180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FB23F3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06E295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00C4C84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AC04C52">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8FB92B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DBCE34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2F5138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28746F8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0C6477A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38C117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C6CC5CB">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7466A8E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B0F651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DEC0E1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57AE868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0738E20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387A8E5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E7456BE">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8F313E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EF3636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583BB8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0F1078C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04A7243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43782CB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739264D">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20189A7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545242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F0689D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4C1404C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4EAC988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4D09F99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43C151F">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AEA420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10FFB9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9516C4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092205E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7F833F6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381CB69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27630E">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4B17223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D6B942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9C1608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08BAA08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13B5C29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4F38BDD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866DC51">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248AA2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B6CD9F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D09157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46CF9F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34FA05A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291A144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6CBFD1F">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1EA212E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385335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B433BD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E1703F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B35964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3E600DF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05C1D1">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0C91B3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D0965E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D75699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3DCE525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26DFBCE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6D386D5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790880C">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60C638B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214103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A93E3C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09FEB4A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078EE51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61990C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3DB91FD">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B11CA6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4BD1BD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CD8FCD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232CB2D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3526F2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94E101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E25793F">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2B1AAC0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704785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3B5F52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9BF3D8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EBC765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15847E3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A3481B4">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8F26D1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E8E11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DF4FFF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5788EC5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F9C96B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0E4229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5344706">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6C71CD2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19F2DB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D4ED59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B78BD6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392E21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13ED51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844CFC6">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84C51F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94F52A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D88526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28C8626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1018EC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621A1F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120D2C5">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3FE0D83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476BD3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10632B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499667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50BD4A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1F5B6E9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1C065B8">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D8AA02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3DA3B7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480D1F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78DFC6A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E131F9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3AC01DB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8066CA9">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43D1321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739843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1D6E3C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69262C0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3323D8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2C8E92A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AC7647D">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79BFC4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BB0825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D5F0A2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36376AE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0A7BD93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FC750D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F31BB8A">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5AA653A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B11FCF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596557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DBA736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D3D1DD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8C4FDA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C089403">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66EC69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465A38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1F02A6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4374102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4139372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54BC637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F175EFF">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3EAB755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E4B9AA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F3DBBA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5C2CB85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2EFA77F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2388C9C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D341D5">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B08B88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27133D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9FC63C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79B481B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6D5D6AC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w:t>
            </w:r>
          </w:p>
        </w:tc>
      </w:tr>
      <w:tr w14:paraId="3FEA341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26685EE">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72C51A8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7BECD6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29F043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2E0F9B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17AD787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6F0CB76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DA277AD">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A505CE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37D3AC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A68629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42B36F5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5795830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4E92620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4B37222">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6200052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7CEF83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12808D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495DE3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8F2442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03EE058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49F4B86">
            <w:pPr>
              <w:widowControl/>
              <w:jc w:val="left"/>
              <w:rPr>
                <w:rFonts w:hint="eastAsia"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CDABE0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D44BB3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BAD744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328E2D8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5FC01F9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58F9B253">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11B50D01">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10D9865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2BEF5D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08B376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222F1A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3BB34E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731E9D32">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169B65F">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05167941">
      <w:pPr>
        <w:spacing w:line="360" w:lineRule="auto"/>
        <w:contextualSpacing/>
        <w:rPr>
          <w:rFonts w:ascii="仿宋_GB2312" w:hAnsi="仿宋_GB2312" w:eastAsia="仿宋_GB2312" w:cs="仿宋_GB2312"/>
          <w:color w:val="auto"/>
          <w:sz w:val="32"/>
          <w:szCs w:val="32"/>
          <w:highlight w:val="none"/>
        </w:rPr>
      </w:pPr>
    </w:p>
    <w:p w14:paraId="5ED6C96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DAD40C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162E5771">
      <w:pPr>
        <w:spacing w:line="360" w:lineRule="auto"/>
        <w:contextualSpacing/>
        <w:rPr>
          <w:rFonts w:ascii="宋体" w:hAnsi="宋体" w:cs="仿宋_GB2312"/>
          <w:color w:val="auto"/>
          <w:sz w:val="24"/>
          <w:highlight w:val="none"/>
        </w:rPr>
      </w:pPr>
    </w:p>
    <w:p w14:paraId="4CFEF94B">
      <w:pPr>
        <w:spacing w:line="360" w:lineRule="auto"/>
        <w:contextualSpacing/>
        <w:rPr>
          <w:rFonts w:ascii="宋体" w:hAnsi="宋体" w:cs="仿宋_GB2312"/>
          <w:color w:val="auto"/>
          <w:sz w:val="24"/>
          <w:highlight w:val="none"/>
        </w:rPr>
      </w:pPr>
    </w:p>
    <w:p w14:paraId="56C9F6E7">
      <w:pPr>
        <w:spacing w:line="360" w:lineRule="auto"/>
        <w:contextualSpacing/>
        <w:rPr>
          <w:rFonts w:ascii="宋体" w:hAnsi="宋体" w:cs="仿宋_GB2312"/>
          <w:color w:val="auto"/>
          <w:sz w:val="24"/>
          <w:highlight w:val="none"/>
        </w:rPr>
      </w:pPr>
    </w:p>
    <w:p w14:paraId="4F1D436E">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4EEE5A95">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26E199A5">
      <w:pPr>
        <w:spacing w:line="360" w:lineRule="auto"/>
        <w:contextualSpacing/>
        <w:rPr>
          <w:rFonts w:ascii="宋体" w:hAnsi="宋体" w:cs="仿宋_GB2312"/>
          <w:color w:val="auto"/>
          <w:sz w:val="24"/>
          <w:highlight w:val="none"/>
        </w:rPr>
      </w:pPr>
    </w:p>
    <w:p w14:paraId="088F2843">
      <w:pPr>
        <w:spacing w:line="360" w:lineRule="auto"/>
        <w:contextualSpacing/>
        <w:rPr>
          <w:rFonts w:ascii="宋体" w:hAnsi="宋体" w:cs="仿宋_GB2312"/>
          <w:color w:val="auto"/>
          <w:sz w:val="24"/>
          <w:highlight w:val="none"/>
        </w:rPr>
      </w:pPr>
    </w:p>
    <w:p w14:paraId="6FFEE8A2">
      <w:pPr>
        <w:spacing w:line="360" w:lineRule="auto"/>
        <w:contextualSpacing/>
        <w:rPr>
          <w:rFonts w:ascii="宋体" w:hAnsi="宋体" w:cs="仿宋_GB2312"/>
          <w:color w:val="auto"/>
          <w:sz w:val="24"/>
          <w:highlight w:val="none"/>
        </w:rPr>
      </w:pPr>
    </w:p>
    <w:p w14:paraId="47FDAD1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7680E8A">
      <w:pPr>
        <w:pStyle w:val="21"/>
        <w:ind w:firstLine="210"/>
        <w:rPr>
          <w:color w:val="auto"/>
          <w:highlight w:val="none"/>
        </w:rPr>
      </w:pPr>
    </w:p>
    <w:p w14:paraId="06E79AAA">
      <w:pPr>
        <w:pStyle w:val="21"/>
        <w:ind w:firstLine="210"/>
        <w:rPr>
          <w:color w:val="auto"/>
          <w:highlight w:val="none"/>
        </w:rPr>
      </w:pPr>
    </w:p>
    <w:p w14:paraId="691E09E4">
      <w:pPr>
        <w:pStyle w:val="21"/>
        <w:ind w:firstLine="210"/>
        <w:rPr>
          <w:color w:val="auto"/>
          <w:highlight w:val="none"/>
        </w:rPr>
      </w:pPr>
    </w:p>
    <w:p w14:paraId="175AB69C">
      <w:pPr>
        <w:pStyle w:val="21"/>
        <w:ind w:firstLine="210"/>
        <w:rPr>
          <w:color w:val="auto"/>
          <w:highlight w:val="none"/>
        </w:rPr>
      </w:pPr>
    </w:p>
    <w:p w14:paraId="38FB0AC9">
      <w:pPr>
        <w:spacing w:line="320" w:lineRule="exact"/>
        <w:jc w:val="left"/>
        <w:rPr>
          <w:rFonts w:ascii="宋体" w:hAnsi="宋体"/>
          <w:b/>
          <w:color w:val="auto"/>
          <w:sz w:val="32"/>
          <w:szCs w:val="32"/>
          <w:highlight w:val="none"/>
        </w:rPr>
      </w:pPr>
      <w:r>
        <w:rPr>
          <w:rFonts w:hint="eastAsia" w:ascii="宋体" w:hAnsi="宋体"/>
          <w:b/>
          <w:color w:val="auto"/>
          <w:sz w:val="32"/>
          <w:szCs w:val="32"/>
          <w:highlight w:val="none"/>
        </w:rPr>
        <w:t>8、除磋商文件规定必须提供以外，供应商认为需要提供的其他证明材料（自行提供）</w:t>
      </w:r>
      <w:r>
        <w:rPr>
          <w:rFonts w:hint="eastAsia" w:ascii="宋体" w:hAnsi="宋体"/>
          <w:b/>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报价商务技术文件格式</w:t>
      </w:r>
    </w:p>
    <w:p w14:paraId="6C0C0E9E">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1.报价商务技术文件封面格式</w:t>
      </w:r>
    </w:p>
    <w:p w14:paraId="1B393BB3">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2B7BA236">
      <w:pPr>
        <w:snapToGrid w:val="0"/>
        <w:spacing w:beforeLines="50" w:after="50"/>
        <w:rPr>
          <w:rFonts w:ascii="宋体" w:hAnsi="宋体"/>
          <w:color w:val="auto"/>
          <w:sz w:val="24"/>
          <w:szCs w:val="20"/>
          <w:highlight w:val="none"/>
        </w:rPr>
      </w:pPr>
    </w:p>
    <w:p w14:paraId="67BA14C6">
      <w:pPr>
        <w:snapToGrid w:val="0"/>
        <w:spacing w:beforeLines="50" w:after="50"/>
        <w:jc w:val="center"/>
        <w:rPr>
          <w:rFonts w:ascii="方正小标宋简体" w:hAnsi="方正小标宋简体" w:eastAsia="方正小标宋简体" w:cs="方正小标宋简体"/>
          <w:bCs/>
          <w:color w:val="auto"/>
          <w:sz w:val="84"/>
          <w:szCs w:val="84"/>
          <w:highlight w:val="none"/>
        </w:rPr>
      </w:pPr>
      <w:r>
        <w:rPr>
          <w:rFonts w:hint="eastAsia" w:ascii="方正小标宋简体" w:hAnsi="方正小标宋简体" w:eastAsia="方正小标宋简体" w:cs="方正小标宋简体"/>
          <w:bCs/>
          <w:color w:val="auto"/>
          <w:sz w:val="84"/>
          <w:szCs w:val="84"/>
          <w:highlight w:val="none"/>
        </w:rPr>
        <w:t>响  应  文  件</w:t>
      </w:r>
    </w:p>
    <w:p w14:paraId="39D8BE72">
      <w:pPr>
        <w:snapToGrid w:val="0"/>
        <w:spacing w:beforeLines="50" w:after="50"/>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报  价  商  务  技  术  文  件</w:t>
      </w:r>
    </w:p>
    <w:p w14:paraId="485EC059">
      <w:pPr>
        <w:snapToGrid w:val="0"/>
        <w:spacing w:beforeLines="50" w:after="50"/>
        <w:rPr>
          <w:rFonts w:ascii="宋体" w:hAnsi="宋体"/>
          <w:bCs/>
          <w:color w:val="auto"/>
          <w:sz w:val="24"/>
          <w:szCs w:val="20"/>
          <w:highlight w:val="none"/>
        </w:rPr>
      </w:pPr>
    </w:p>
    <w:p w14:paraId="037033D9">
      <w:pPr>
        <w:snapToGrid w:val="0"/>
        <w:spacing w:beforeLines="50" w:after="50"/>
        <w:rPr>
          <w:rFonts w:ascii="宋体" w:hAnsi="宋体"/>
          <w:bCs/>
          <w:color w:val="auto"/>
          <w:sz w:val="24"/>
          <w:szCs w:val="20"/>
          <w:highlight w:val="none"/>
        </w:rPr>
      </w:pPr>
    </w:p>
    <w:p w14:paraId="09F79930">
      <w:pPr>
        <w:snapToGrid w:val="0"/>
        <w:spacing w:beforeLines="50" w:after="50"/>
        <w:rPr>
          <w:rFonts w:ascii="宋体" w:hAnsi="宋体"/>
          <w:bCs/>
          <w:color w:val="auto"/>
          <w:sz w:val="24"/>
          <w:szCs w:val="20"/>
          <w:highlight w:val="none"/>
        </w:rPr>
      </w:pPr>
    </w:p>
    <w:p w14:paraId="422C044A">
      <w:pPr>
        <w:snapToGrid w:val="0"/>
        <w:spacing w:beforeLines="50" w:after="50"/>
        <w:rPr>
          <w:rFonts w:ascii="宋体" w:hAnsi="宋体"/>
          <w:bCs/>
          <w:color w:val="auto"/>
          <w:sz w:val="24"/>
          <w:szCs w:val="20"/>
          <w:highlight w:val="none"/>
        </w:rPr>
      </w:pPr>
    </w:p>
    <w:p w14:paraId="19FDF3D0">
      <w:pPr>
        <w:snapToGrid w:val="0"/>
        <w:spacing w:beforeLines="50" w:after="50"/>
        <w:rPr>
          <w:rFonts w:ascii="宋体" w:hAnsi="宋体"/>
          <w:bCs/>
          <w:color w:val="auto"/>
          <w:sz w:val="24"/>
          <w:szCs w:val="20"/>
          <w:highlight w:val="none"/>
        </w:rPr>
      </w:pPr>
    </w:p>
    <w:p w14:paraId="5E7CC1FD">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FF340DB">
      <w:pPr>
        <w:snapToGrid w:val="0"/>
        <w:spacing w:beforeLines="50" w:after="50"/>
        <w:ind w:firstLine="720" w:firstLineChars="225"/>
        <w:rPr>
          <w:rFonts w:ascii="宋体" w:hAnsi="宋体" w:cs="仿宋_GB2312"/>
          <w:bCs/>
          <w:color w:val="auto"/>
          <w:sz w:val="32"/>
          <w:szCs w:val="32"/>
          <w:highlight w:val="none"/>
        </w:rPr>
      </w:pPr>
    </w:p>
    <w:p w14:paraId="1A793F1C">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87F73FE">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4A641DC">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0EF7490F">
      <w:pPr>
        <w:snapToGrid w:val="0"/>
        <w:spacing w:beforeLines="50" w:after="50"/>
        <w:ind w:firstLine="720" w:firstLineChars="225"/>
        <w:rPr>
          <w:rFonts w:ascii="宋体" w:hAnsi="宋体" w:cs="仿宋_GB2312"/>
          <w:bCs/>
          <w:color w:val="auto"/>
          <w:sz w:val="32"/>
          <w:szCs w:val="32"/>
          <w:highlight w:val="none"/>
        </w:rPr>
      </w:pPr>
    </w:p>
    <w:p w14:paraId="3493482D">
      <w:pPr>
        <w:pStyle w:val="6"/>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000E1B7">
      <w:pPr>
        <w:pStyle w:val="6"/>
        <w:snapToGrid w:val="0"/>
        <w:spacing w:before="50" w:after="50"/>
        <w:ind w:firstLine="720" w:firstLineChars="225"/>
        <w:rPr>
          <w:rFonts w:ascii="宋体" w:hAnsi="宋体" w:cs="仿宋_GB2312"/>
          <w:bCs/>
          <w:color w:val="auto"/>
          <w:sz w:val="32"/>
          <w:szCs w:val="32"/>
          <w:highlight w:val="none"/>
        </w:rPr>
      </w:pPr>
    </w:p>
    <w:p w14:paraId="0A99951E">
      <w:pPr>
        <w:pStyle w:val="6"/>
        <w:snapToGrid w:val="0"/>
        <w:spacing w:before="50" w:after="50"/>
        <w:ind w:firstLine="720" w:firstLineChars="225"/>
        <w:rPr>
          <w:rFonts w:ascii="宋体" w:hAnsi="宋体" w:cs="仿宋_GB2312"/>
          <w:bCs/>
          <w:color w:val="auto"/>
          <w:sz w:val="32"/>
          <w:szCs w:val="32"/>
          <w:highlight w:val="none"/>
        </w:rPr>
      </w:pPr>
    </w:p>
    <w:p w14:paraId="1FE6AE18">
      <w:pPr>
        <w:pStyle w:val="6"/>
        <w:snapToGrid w:val="0"/>
        <w:spacing w:before="50" w:after="50"/>
        <w:ind w:firstLine="1280" w:firstLineChars="400"/>
        <w:rPr>
          <w:rFonts w:ascii="宋体" w:hAnsi="宋体" w:cs="仿宋_GB2312"/>
          <w:bCs/>
          <w:color w:val="auto"/>
          <w:sz w:val="32"/>
          <w:szCs w:val="32"/>
          <w:highlight w:val="none"/>
        </w:rPr>
      </w:pPr>
    </w:p>
    <w:p w14:paraId="602A1AC1">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72EC0BF">
      <w:pPr>
        <w:snapToGrid w:val="0"/>
        <w:spacing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2.报价商务技术文件目录</w:t>
      </w:r>
    </w:p>
    <w:p w14:paraId="35A0148F">
      <w:pPr>
        <w:spacing w:line="360" w:lineRule="auto"/>
        <w:rPr>
          <w:rFonts w:asciiTheme="minorEastAsia" w:hAnsiTheme="minorEastAsia" w:eastAsiaTheme="minorEastAsia" w:cstheme="minorEastAsia"/>
          <w:color w:val="auto"/>
          <w:szCs w:val="21"/>
          <w:highlight w:val="none"/>
        </w:rPr>
      </w:pPr>
    </w:p>
    <w:p w14:paraId="15E419D7">
      <w:pPr>
        <w:spacing w:line="360" w:lineRule="auto"/>
        <w:rPr>
          <w:rFonts w:ascii="宋体" w:hAnsi="宋体" w:cs="宋体"/>
          <w:color w:val="auto"/>
          <w:kern w:val="0"/>
          <w:sz w:val="24"/>
          <w:highlight w:val="none"/>
        </w:rPr>
      </w:pPr>
      <w:r>
        <w:rPr>
          <w:rFonts w:hint="eastAsia" w:asciiTheme="minorEastAsia" w:hAnsiTheme="minorEastAsia" w:eastAsiaTheme="minorEastAsia" w:cstheme="minorEastAsia"/>
          <w:color w:val="auto"/>
          <w:sz w:val="24"/>
          <w:highlight w:val="none"/>
        </w:rPr>
        <w:t>1、无串通竞标行为的承诺函</w:t>
      </w:r>
      <w:r>
        <w:rPr>
          <w:rFonts w:hint="eastAsia" w:ascii="宋体" w:hAnsi="宋体" w:cs="宋体"/>
          <w:color w:val="auto"/>
          <w:kern w:val="0"/>
          <w:sz w:val="24"/>
          <w:highlight w:val="none"/>
        </w:rPr>
        <w:t>……………………………………………………（页码）</w:t>
      </w:r>
    </w:p>
    <w:p w14:paraId="144820E5">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2、竞标报价表</w:t>
      </w:r>
      <w:r>
        <w:rPr>
          <w:rFonts w:hint="eastAsia" w:ascii="宋体" w:hAnsi="宋体" w:cs="宋体"/>
          <w:color w:val="auto"/>
          <w:kern w:val="0"/>
          <w:sz w:val="24"/>
          <w:highlight w:val="none"/>
        </w:rPr>
        <w:t>……………………………………………………………………（页码）</w:t>
      </w:r>
    </w:p>
    <w:p w14:paraId="204189A5">
      <w:pPr>
        <w:snapToGrid w:val="0"/>
        <w:spacing w:line="360" w:lineRule="auto"/>
        <w:jc w:val="left"/>
        <w:rPr>
          <w:rFonts w:asciiTheme="minorEastAsia" w:hAnsiTheme="minorEastAsia" w:eastAsiaTheme="minorEastAsia" w:cstheme="minorEastAsia"/>
          <w:color w:val="auto"/>
          <w:sz w:val="24"/>
          <w:highlight w:val="none"/>
        </w:rPr>
      </w:pPr>
      <w:r>
        <w:rPr>
          <w:rFonts w:hint="eastAsia"/>
          <w:color w:val="auto"/>
          <w:sz w:val="24"/>
          <w:highlight w:val="none"/>
        </w:rPr>
        <w:t>3、</w:t>
      </w:r>
      <w:r>
        <w:rPr>
          <w:rFonts w:hint="eastAsia" w:asciiTheme="minorEastAsia" w:hAnsiTheme="minorEastAsia" w:eastAsiaTheme="minorEastAsia" w:cstheme="minorEastAsia"/>
          <w:color w:val="auto"/>
          <w:sz w:val="24"/>
          <w:highlight w:val="none"/>
        </w:rPr>
        <w:t>法定代表人身份证明及法定代表人有效身份证正反面复印件</w:t>
      </w:r>
      <w:r>
        <w:rPr>
          <w:rFonts w:hint="eastAsia" w:ascii="宋体" w:hAnsi="宋体" w:cs="宋体"/>
          <w:color w:val="auto"/>
          <w:kern w:val="0"/>
          <w:sz w:val="24"/>
          <w:highlight w:val="none"/>
        </w:rPr>
        <w:t>……………（页码）</w:t>
      </w:r>
    </w:p>
    <w:p w14:paraId="192CDDDF">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4、授权委托书及委托代理人有效身份证正反面复印件</w:t>
      </w:r>
      <w:r>
        <w:rPr>
          <w:rFonts w:hint="eastAsia" w:ascii="宋体" w:hAnsi="宋体" w:cs="宋体"/>
          <w:color w:val="auto"/>
          <w:kern w:val="0"/>
          <w:sz w:val="24"/>
          <w:highlight w:val="none"/>
        </w:rPr>
        <w:t>………………………（页码）</w:t>
      </w:r>
    </w:p>
    <w:p w14:paraId="6B4DE43E">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5、磋商保证金提交凭证</w:t>
      </w:r>
      <w:r>
        <w:rPr>
          <w:rFonts w:hint="eastAsia" w:ascii="宋体" w:hAnsi="宋体" w:cs="宋体"/>
          <w:color w:val="auto"/>
          <w:kern w:val="0"/>
          <w:sz w:val="24"/>
          <w:highlight w:val="none"/>
        </w:rPr>
        <w:t>…………………………………………………………（页码）</w:t>
      </w:r>
    </w:p>
    <w:p w14:paraId="5CC397D5">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6、商务要求偏离表</w:t>
      </w:r>
      <w:r>
        <w:rPr>
          <w:rFonts w:hint="eastAsia" w:ascii="宋体" w:hAnsi="宋体" w:cs="宋体"/>
          <w:color w:val="auto"/>
          <w:kern w:val="0"/>
          <w:sz w:val="24"/>
          <w:highlight w:val="none"/>
        </w:rPr>
        <w:t>………………………………………………………………（页码）</w:t>
      </w:r>
    </w:p>
    <w:p w14:paraId="22B5DEEF">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7、服务方案</w:t>
      </w:r>
      <w:r>
        <w:rPr>
          <w:rFonts w:hint="eastAsia" w:ascii="宋体" w:hAnsi="宋体" w:cs="宋体"/>
          <w:color w:val="auto"/>
          <w:kern w:val="0"/>
          <w:sz w:val="24"/>
          <w:highlight w:val="none"/>
        </w:rPr>
        <w:t>………………………………………………………………………（页码）</w:t>
      </w:r>
    </w:p>
    <w:p w14:paraId="26DB31D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8、技术要求偏离表</w:t>
      </w:r>
      <w:r>
        <w:rPr>
          <w:rFonts w:hint="eastAsia" w:ascii="宋体" w:hAnsi="宋体" w:cs="宋体"/>
          <w:color w:val="auto"/>
          <w:kern w:val="0"/>
          <w:sz w:val="24"/>
          <w:highlight w:val="none"/>
        </w:rPr>
        <w:t>………………………………………………………………（页码）</w:t>
      </w:r>
    </w:p>
    <w:p w14:paraId="2F1C13C9">
      <w:pPr>
        <w:pStyle w:val="10"/>
        <w:rPr>
          <w:b/>
          <w:bCs/>
          <w:color w:val="auto"/>
          <w:sz w:val="24"/>
          <w:highlight w:val="none"/>
        </w:rPr>
      </w:pPr>
      <w:r>
        <w:rPr>
          <w:rFonts w:hint="eastAsia" w:asciiTheme="minorEastAsia" w:hAnsiTheme="minorEastAsia" w:eastAsiaTheme="minorEastAsia" w:cstheme="minorEastAsia"/>
          <w:color w:val="auto"/>
          <w:sz w:val="24"/>
          <w:highlight w:val="none"/>
        </w:rPr>
        <w:t>9、项目实施人员一览表</w:t>
      </w:r>
      <w:r>
        <w:rPr>
          <w:rFonts w:hint="eastAsia" w:ascii="宋体" w:hAnsi="宋体" w:cs="宋体"/>
          <w:color w:val="auto"/>
          <w:kern w:val="0"/>
          <w:sz w:val="24"/>
          <w:highlight w:val="none"/>
        </w:rPr>
        <w:t>………………………………………………………（页码）</w:t>
      </w:r>
    </w:p>
    <w:p w14:paraId="2CBD7187">
      <w:pPr>
        <w:pStyle w:val="10"/>
        <w:rPr>
          <w:b/>
          <w:bCs/>
          <w:color w:val="auto"/>
          <w:sz w:val="24"/>
          <w:highlight w:val="none"/>
        </w:rPr>
      </w:pPr>
      <w:r>
        <w:rPr>
          <w:rFonts w:hint="eastAsia" w:asciiTheme="minorEastAsia" w:hAnsiTheme="minorEastAsia" w:eastAsiaTheme="minorEastAsia" w:cstheme="minorEastAsia"/>
          <w:color w:val="auto"/>
          <w:sz w:val="24"/>
          <w:highlight w:val="none"/>
        </w:rPr>
        <w:t>10、对应采购需求的技术要求、商务要求提供的其他文件资料</w:t>
      </w:r>
      <w:r>
        <w:rPr>
          <w:rFonts w:hint="eastAsia" w:ascii="宋体" w:hAnsi="宋体" w:cs="宋体"/>
          <w:color w:val="auto"/>
          <w:kern w:val="0"/>
          <w:sz w:val="24"/>
          <w:highlight w:val="none"/>
        </w:rPr>
        <w:t>……………………………………………………（页码）</w:t>
      </w:r>
    </w:p>
    <w:p w14:paraId="3E47C1D1">
      <w:pPr>
        <w:pStyle w:val="10"/>
        <w:rPr>
          <w:b/>
          <w:bCs/>
          <w:color w:val="auto"/>
          <w:sz w:val="24"/>
          <w:highlight w:val="none"/>
        </w:rPr>
      </w:pPr>
      <w:r>
        <w:rPr>
          <w:rFonts w:hint="eastAsia" w:asciiTheme="minorEastAsia" w:hAnsiTheme="minorEastAsia" w:eastAsiaTheme="minorEastAsia" w:cstheme="minorEastAsia"/>
          <w:color w:val="auto"/>
          <w:sz w:val="24"/>
          <w:highlight w:val="none"/>
        </w:rPr>
        <w:t>11、供应商认为需要提供的其他有关资料</w:t>
      </w:r>
      <w:r>
        <w:rPr>
          <w:rFonts w:hint="eastAsia" w:ascii="宋体" w:hAnsi="宋体" w:cs="宋体"/>
          <w:color w:val="auto"/>
          <w:kern w:val="0"/>
          <w:sz w:val="24"/>
          <w:highlight w:val="none"/>
        </w:rPr>
        <w:t>……………………………………（页码）</w:t>
      </w:r>
    </w:p>
    <w:p w14:paraId="01B56EB1">
      <w:pPr>
        <w:snapToGrid w:val="0"/>
        <w:spacing w:beforeLines="50" w:after="50" w:line="360" w:lineRule="auto"/>
        <w:ind w:firstLine="640" w:firstLineChars="200"/>
        <w:rPr>
          <w:rFonts w:ascii="宋体" w:hAnsi="宋体"/>
          <w:color w:val="auto"/>
          <w:sz w:val="32"/>
          <w:szCs w:val="32"/>
          <w:highlight w:val="none"/>
        </w:rPr>
      </w:pPr>
    </w:p>
    <w:p w14:paraId="3F9A9462">
      <w:pPr>
        <w:spacing w:line="400" w:lineRule="exact"/>
        <w:rPr>
          <w:rFonts w:ascii="仿宋_GB2312" w:hAnsi="仿宋_GB2312" w:eastAsia="仿宋_GB2312" w:cs="仿宋_GB2312"/>
          <w:color w:val="auto"/>
          <w:sz w:val="32"/>
          <w:szCs w:val="32"/>
          <w:highlight w:val="none"/>
        </w:rPr>
      </w:pPr>
    </w:p>
    <w:p w14:paraId="2F7F7119">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1、无串通竞标行为的承诺函</w:t>
      </w:r>
    </w:p>
    <w:p w14:paraId="7E9127AD">
      <w:pPr>
        <w:spacing w:line="360" w:lineRule="auto"/>
        <w:ind w:firstLine="640" w:firstLineChars="200"/>
        <w:contextualSpacing/>
        <w:rPr>
          <w:rFonts w:ascii="仿宋_GB2312" w:hAnsi="仿宋_GB2312" w:eastAsia="仿宋_GB2312" w:cs="仿宋_GB2312"/>
          <w:color w:val="auto"/>
          <w:sz w:val="32"/>
          <w:szCs w:val="32"/>
          <w:highlight w:val="none"/>
        </w:rPr>
      </w:pPr>
    </w:p>
    <w:p w14:paraId="6A801A45">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F94F1F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0C11E60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511759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BCC383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7AB49AB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55A4EBA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6B464B6">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2AD1DE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FDA6EB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FD030B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F8A00E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4D827CE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D7E936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B86294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397FAB6">
      <w:pPr>
        <w:spacing w:line="360" w:lineRule="auto"/>
        <w:ind w:firstLine="480" w:firstLineChars="200"/>
        <w:contextualSpacing/>
        <w:rPr>
          <w:rFonts w:ascii="宋体" w:hAnsi="宋体" w:cs="仿宋_GB2312"/>
          <w:color w:val="auto"/>
          <w:sz w:val="24"/>
          <w:highlight w:val="none"/>
        </w:rPr>
      </w:pPr>
    </w:p>
    <w:p w14:paraId="6F8999A6">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463464C">
      <w:pPr>
        <w:spacing w:line="360" w:lineRule="auto"/>
        <w:contextualSpacing/>
        <w:rPr>
          <w:rFonts w:ascii="宋体" w:hAnsi="宋体" w:cs="仿宋_GB2312"/>
          <w:color w:val="auto"/>
          <w:sz w:val="24"/>
          <w:highlight w:val="none"/>
        </w:rPr>
      </w:pPr>
    </w:p>
    <w:p w14:paraId="524E228C">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宋体"/>
          <w:color w:val="auto"/>
          <w:sz w:val="24"/>
          <w:highlight w:val="none"/>
        </w:rPr>
        <w:t>电子签章</w:t>
      </w:r>
      <w:r>
        <w:rPr>
          <w:rFonts w:hint="eastAsia" w:ascii="宋体" w:hAnsi="宋体" w:cs="仿宋_GB2312"/>
          <w:color w:val="auto"/>
          <w:sz w:val="24"/>
          <w:highlight w:val="none"/>
        </w:rPr>
        <w:t>）：</w:t>
      </w:r>
    </w:p>
    <w:p w14:paraId="29FA1E63">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386B342B">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2、竞  标  报  价  表</w:t>
      </w:r>
    </w:p>
    <w:p w14:paraId="7343EB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bCs/>
          <w:color w:val="auto"/>
          <w:sz w:val="32"/>
          <w:szCs w:val="32"/>
          <w:highlight w:val="none"/>
        </w:rPr>
      </w:pPr>
    </w:p>
    <w:p w14:paraId="31716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竞标报价表</w:t>
      </w:r>
    </w:p>
    <w:p w14:paraId="3D5F3FE0">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宋体" w:hAnsi="宋体" w:cs="仿宋_GB2312"/>
          <w:color w:val="auto"/>
          <w:sz w:val="24"/>
          <w:highlight w:val="none"/>
        </w:rPr>
      </w:pPr>
    </w:p>
    <w:p w14:paraId="4D706426">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none"/>
          <w:lang w:val="en-US" w:eastAsia="zh-CN"/>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0FB03E9">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64A27CC3">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bl>
      <w:tblPr>
        <w:tblStyle w:val="23"/>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71"/>
        <w:gridCol w:w="957"/>
        <w:gridCol w:w="1776"/>
        <w:gridCol w:w="1260"/>
        <w:gridCol w:w="1185"/>
        <w:gridCol w:w="1288"/>
        <w:gridCol w:w="957"/>
      </w:tblGrid>
      <w:tr w14:paraId="18C4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1DA4E2B">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项号</w:t>
            </w:r>
          </w:p>
        </w:tc>
        <w:tc>
          <w:tcPr>
            <w:tcW w:w="1671" w:type="dxa"/>
            <w:tcBorders>
              <w:top w:val="single" w:color="auto" w:sz="4" w:space="0"/>
              <w:left w:val="single" w:color="auto" w:sz="4" w:space="0"/>
              <w:bottom w:val="single" w:color="auto" w:sz="4" w:space="0"/>
              <w:right w:val="single" w:color="auto" w:sz="4" w:space="0"/>
            </w:tcBorders>
            <w:noWrap w:val="0"/>
            <w:vAlign w:val="center"/>
          </w:tcPr>
          <w:p w14:paraId="5492DF0E">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lang w:val="en-US" w:eastAsia="zh-CN"/>
              </w:rPr>
              <w:t>服务</w:t>
            </w:r>
            <w:r>
              <w:rPr>
                <w:rFonts w:hint="eastAsia" w:hAnsi="宋体" w:cs="宋体"/>
                <w:color w:val="auto"/>
                <w:kern w:val="2"/>
                <w:sz w:val="21"/>
                <w:highlight w:val="none"/>
              </w:rPr>
              <w:t>名称</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3C6A0513">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总数量</w:t>
            </w:r>
          </w:p>
          <w:p w14:paraId="333D9940">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①</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119451AC">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品牌、</w:t>
            </w:r>
          </w:p>
          <w:p w14:paraId="2B0CCEF7">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生产厂家及国别</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740BA4">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型号、规格</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D6E1F7E">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单价(元)</w:t>
            </w:r>
          </w:p>
          <w:p w14:paraId="579D5B48">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②</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508465F5">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单项合价</w:t>
            </w:r>
          </w:p>
          <w:p w14:paraId="5981100F">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（元）</w:t>
            </w:r>
          </w:p>
          <w:p w14:paraId="10B6F922">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13A828AC">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备注</w:t>
            </w:r>
          </w:p>
        </w:tc>
      </w:tr>
      <w:tr w14:paraId="1A56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EC48ED8">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71" w:type="dxa"/>
            <w:tcBorders>
              <w:top w:val="single" w:color="auto" w:sz="4" w:space="0"/>
              <w:left w:val="single" w:color="auto" w:sz="4" w:space="0"/>
              <w:bottom w:val="single" w:color="auto" w:sz="4" w:space="0"/>
              <w:right w:val="single" w:color="auto" w:sz="4" w:space="0"/>
            </w:tcBorders>
            <w:noWrap w:val="0"/>
            <w:vAlign w:val="center"/>
          </w:tcPr>
          <w:p w14:paraId="45425F00">
            <w:pPr>
              <w:jc w:val="center"/>
              <w:rPr>
                <w:rFonts w:hint="eastAsia" w:ascii="宋体" w:hAnsi="宋体" w:cs="宋体"/>
                <w:color w:val="auto"/>
                <w:szCs w:val="21"/>
                <w:highlight w:val="none"/>
              </w:rPr>
            </w:pPr>
            <w:r>
              <w:rPr>
                <w:rFonts w:hint="eastAsia" w:ascii="宋体" w:hAnsi="宋体" w:cs="宋体"/>
                <w:i w:val="0"/>
                <w:iCs w:val="0"/>
                <w:color w:val="auto"/>
                <w:kern w:val="0"/>
                <w:sz w:val="21"/>
                <w:szCs w:val="21"/>
                <w:highlight w:val="none"/>
                <w:u w:val="none"/>
                <w:lang w:val="en-US" w:eastAsia="zh-CN" w:bidi="ar"/>
              </w:rPr>
              <w:t>中药智能煎煮系统建设服务项目</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5BB1619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732FA83E">
            <w:p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C776B9">
            <w:pPr>
              <w:jc w:val="center"/>
              <w:rPr>
                <w:rFonts w:hint="eastAsia"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725E349">
            <w:pPr>
              <w:jc w:val="center"/>
              <w:rPr>
                <w:rFonts w:hint="eastAsia" w:ascii="宋体" w:hAnsi="宋体" w:cs="宋体"/>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06B5BEA8">
            <w:pPr>
              <w:jc w:val="center"/>
              <w:rPr>
                <w:rFonts w:hint="eastAsia" w:ascii="宋体" w:hAnsi="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0ABF69F">
            <w:pPr>
              <w:jc w:val="center"/>
              <w:rPr>
                <w:rFonts w:hint="eastAsia" w:ascii="宋体" w:hAnsi="宋体" w:cs="宋体"/>
                <w:color w:val="auto"/>
                <w:szCs w:val="21"/>
                <w:highlight w:val="none"/>
              </w:rPr>
            </w:pPr>
          </w:p>
        </w:tc>
      </w:tr>
      <w:tr w14:paraId="2ECA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258EE4D2">
            <w:pPr>
              <w:jc w:val="left"/>
              <w:rPr>
                <w:rFonts w:hint="eastAsia" w:ascii="宋体" w:hAnsi="宋体" w:cs="宋体"/>
                <w:color w:val="auto"/>
                <w:szCs w:val="21"/>
                <w:highlight w:val="none"/>
              </w:rPr>
            </w:pPr>
            <w:r>
              <w:rPr>
                <w:rFonts w:hint="eastAsia" w:ascii="宋体" w:hAnsi="宋体" w:cs="宋体"/>
                <w:color w:val="auto"/>
                <w:szCs w:val="21"/>
                <w:highlight w:val="none"/>
              </w:rPr>
              <w:t>报价合计（包含税费等所有费用）：（大写）人民币                 （</w:t>
            </w:r>
            <w:r>
              <w:rPr>
                <w:rFonts w:hint="default" w:ascii="Arial" w:hAnsi="Arial" w:cs="Arial"/>
                <w:color w:val="auto"/>
                <w:szCs w:val="21"/>
                <w:highlight w:val="none"/>
              </w:rPr>
              <w:t>¥</w:t>
            </w:r>
            <w:r>
              <w:rPr>
                <w:rFonts w:hint="eastAsia" w:ascii="宋体" w:hAnsi="宋体" w:cs="宋体"/>
                <w:color w:val="auto"/>
                <w:szCs w:val="21"/>
                <w:highlight w:val="none"/>
              </w:rPr>
              <w:t xml:space="preserve">                元）</w:t>
            </w:r>
          </w:p>
        </w:tc>
      </w:tr>
      <w:tr w14:paraId="60B7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1A35D9E1">
            <w:pPr>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7FA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436759E9">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提交</w:t>
            </w:r>
            <w:r>
              <w:rPr>
                <w:rFonts w:hint="eastAsia" w:ascii="宋体" w:hAnsi="宋体" w:cs="宋体"/>
                <w:bCs/>
                <w:color w:val="auto"/>
                <w:szCs w:val="21"/>
                <w:highlight w:val="none"/>
                <w:lang w:val="en-US" w:eastAsia="zh-CN"/>
              </w:rPr>
              <w:t>服务成果</w:t>
            </w:r>
            <w:r>
              <w:rPr>
                <w:rFonts w:hint="eastAsia" w:ascii="宋体" w:hAnsi="宋体" w:cs="宋体"/>
                <w:bCs/>
                <w:color w:val="auto"/>
                <w:szCs w:val="21"/>
                <w:highlight w:val="none"/>
              </w:rPr>
              <w:t>时间</w:t>
            </w:r>
            <w:r>
              <w:rPr>
                <w:rFonts w:hint="eastAsia" w:ascii="宋体" w:hAnsi="宋体" w:cs="宋体"/>
                <w:bCs/>
                <w:color w:val="auto"/>
                <w:szCs w:val="21"/>
                <w:highlight w:val="none"/>
                <w:lang w:eastAsia="zh-CN"/>
              </w:rPr>
              <w:t>：</w:t>
            </w:r>
          </w:p>
        </w:tc>
      </w:tr>
      <w:tr w14:paraId="7461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7969313D">
            <w:pPr>
              <w:rPr>
                <w:rFonts w:hint="eastAsia" w:ascii="宋体" w:hAnsi="宋体" w:cs="宋体"/>
                <w:color w:val="auto"/>
                <w:szCs w:val="21"/>
                <w:highlight w:val="none"/>
              </w:rPr>
            </w:pPr>
            <w:r>
              <w:rPr>
                <w:rFonts w:hint="eastAsia" w:ascii="宋体" w:hAnsi="宋体" w:cs="宋体"/>
                <w:color w:val="auto"/>
                <w:szCs w:val="21"/>
                <w:highlight w:val="none"/>
              </w:rPr>
              <w:t>优惠及其它：</w:t>
            </w:r>
          </w:p>
        </w:tc>
      </w:tr>
    </w:tbl>
    <w:p w14:paraId="0EB5D56B">
      <w:pPr>
        <w:pStyle w:val="4"/>
        <w:rPr>
          <w:color w:val="auto"/>
          <w:highlight w:val="none"/>
        </w:rPr>
      </w:pPr>
    </w:p>
    <w:p w14:paraId="4DB22425">
      <w:pPr>
        <w:keepNext w:val="0"/>
        <w:keepLines w:val="0"/>
        <w:pageBreakBefore w:val="0"/>
        <w:widowControl w:val="0"/>
        <w:kinsoku/>
        <w:wordWrap/>
        <w:overflowPunct/>
        <w:topLinePunct w:val="0"/>
        <w:autoSpaceDE/>
        <w:autoSpaceDN/>
        <w:bidi w:val="0"/>
        <w:adjustRightInd/>
        <w:spacing w:line="240" w:lineRule="auto"/>
        <w:contextualSpacing/>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Cs w:val="21"/>
          <w:highlight w:val="none"/>
          <w:lang w:val="zh-CN"/>
        </w:rPr>
        <w:t xml:space="preserve">注： </w:t>
      </w:r>
    </w:p>
    <w:p w14:paraId="797FE5AA">
      <w:pPr>
        <w:keepNext w:val="0"/>
        <w:keepLines w:val="0"/>
        <w:pageBreakBefore w:val="0"/>
        <w:widowControl w:val="0"/>
        <w:kinsoku/>
        <w:wordWrap/>
        <w:overflowPunct/>
        <w:topLinePunct w:val="0"/>
        <w:autoSpaceDE/>
        <w:autoSpaceDN/>
        <w:bidi w:val="0"/>
        <w:adjustRightInd/>
        <w:snapToGrid w:val="0"/>
        <w:spacing w:before="50" w:after="50" w:line="240" w:lineRule="auto"/>
        <w:ind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1、供应商需按本表格式填写，不得自行更改，也不得留空</w:t>
      </w:r>
      <w:r>
        <w:rPr>
          <w:rFonts w:hint="eastAsia" w:ascii="宋体" w:hAnsi="宋体" w:cs="宋体"/>
          <w:color w:val="auto"/>
          <w:kern w:val="0"/>
          <w:szCs w:val="21"/>
          <w:highlight w:val="none"/>
          <w:lang w:val="zh-CN"/>
        </w:rPr>
        <w:t>。</w:t>
      </w:r>
    </w:p>
    <w:p w14:paraId="516AD89C">
      <w:pPr>
        <w:keepNext w:val="0"/>
        <w:keepLines w:val="0"/>
        <w:pageBreakBefore w:val="0"/>
        <w:widowControl w:val="0"/>
        <w:kinsoku/>
        <w:wordWrap/>
        <w:overflowPunct/>
        <w:topLinePunct w:val="0"/>
        <w:autoSpaceDE/>
        <w:autoSpaceDN/>
        <w:bidi w:val="0"/>
        <w:adjustRightInd/>
        <w:snapToGrid w:val="0"/>
        <w:spacing w:before="50" w:after="50" w:line="240" w:lineRule="auto"/>
        <w:ind w:firstLine="420" w:firstLineChars="200"/>
        <w:jc w:val="left"/>
        <w:textAlignment w:val="auto"/>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Cs w:val="21"/>
          <w:highlight w:val="none"/>
          <w:lang w:val="zh-CN"/>
        </w:rPr>
        <w:t>否则其响应按无效响应处理。</w:t>
      </w:r>
    </w:p>
    <w:p w14:paraId="45D559B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3、特别提示：采购代理机构将对项目名称和项目编号，成交供应商名称、地址和成交金额，主要成交标的的名称、服务范围、服务要求、服务时间、服务标准等予以公示。</w:t>
      </w:r>
    </w:p>
    <w:p w14:paraId="31AAB39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、符合采购文件中列明的可享受中小企业扶持政策的供应商，请填写中小企业声明函。</w:t>
      </w:r>
    </w:p>
    <w:p w14:paraId="0B07ABD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供应商提供的中小企业声明函内容不实的，属于提供虚假材料谋取中标、成交，依照《中华人民共和国政府采购法》等国家有关规定追究相应责任。</w:t>
      </w:r>
    </w:p>
    <w:p w14:paraId="5CEE5ECA">
      <w:pPr>
        <w:spacing w:line="360" w:lineRule="auto"/>
        <w:contextualSpacing/>
        <w:jc w:val="left"/>
        <w:rPr>
          <w:rFonts w:hint="eastAsia" w:ascii="宋体" w:hAnsi="宋体" w:cs="仿宋_GB2312"/>
          <w:color w:val="auto"/>
          <w:sz w:val="24"/>
          <w:highlight w:val="none"/>
        </w:rPr>
      </w:pPr>
    </w:p>
    <w:p w14:paraId="5CEDF5FA">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5532865B">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宋体"/>
          <w:color w:val="auto"/>
          <w:sz w:val="24"/>
          <w:highlight w:val="none"/>
        </w:rPr>
        <w:t>电子签章</w:t>
      </w:r>
      <w:r>
        <w:rPr>
          <w:rFonts w:hint="eastAsia" w:ascii="宋体" w:hAnsi="宋体" w:cs="仿宋_GB2312"/>
          <w:color w:val="auto"/>
          <w:sz w:val="24"/>
          <w:highlight w:val="none"/>
        </w:rPr>
        <w:t xml:space="preserve">）：      </w:t>
      </w:r>
    </w:p>
    <w:p w14:paraId="46A0D30E">
      <w:pPr>
        <w:spacing w:line="360" w:lineRule="auto"/>
        <w:ind w:right="-817" w:rightChars="-389" w:firstLine="4080" w:firstLineChars="1700"/>
        <w:contextualSpacing/>
        <w:rPr>
          <w:rFonts w:ascii="宋体" w:hAnsi="宋体" w:cs="仿宋_GB2312"/>
          <w:b/>
          <w:color w:val="auto"/>
          <w:sz w:val="24"/>
          <w:highlight w:val="none"/>
        </w:rPr>
      </w:pPr>
      <w:r>
        <w:rPr>
          <w:rFonts w:hint="eastAsia" w:ascii="宋体" w:hAnsi="宋体" w:cs="仿宋_GB2312"/>
          <w:color w:val="auto"/>
          <w:sz w:val="24"/>
          <w:highlight w:val="none"/>
        </w:rPr>
        <w:t>日期：   年   月   日</w:t>
      </w:r>
    </w:p>
    <w:p w14:paraId="65AD67A8">
      <w:pPr>
        <w:rPr>
          <w:rFonts w:hint="eastAsia"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lang w:val="en-US" w:eastAsia="zh-CN"/>
        </w:rPr>
        <w:br w:type="page"/>
      </w:r>
    </w:p>
    <w:p w14:paraId="1F0DB6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最终</w:t>
      </w:r>
      <w:r>
        <w:rPr>
          <w:rFonts w:hint="eastAsia" w:ascii="方正小标宋简体" w:hAnsi="方正小标宋简体" w:eastAsia="方正小标宋简体" w:cs="方正小标宋简体"/>
          <w:bCs/>
          <w:color w:val="auto"/>
          <w:sz w:val="44"/>
          <w:szCs w:val="44"/>
          <w:highlight w:val="none"/>
        </w:rPr>
        <w:t>报价表</w:t>
      </w:r>
    </w:p>
    <w:p w14:paraId="7FE81E76">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宋体" w:hAnsi="宋体" w:eastAsia="宋体" w:cs="仿宋_GB2312"/>
          <w:color w:val="auto"/>
          <w:sz w:val="24"/>
          <w:highlight w:val="none"/>
        </w:rPr>
      </w:pPr>
    </w:p>
    <w:p w14:paraId="7244B7E3">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宋体" w:hAnsi="宋体" w:eastAsia="宋体" w:cs="仿宋_GB2312"/>
          <w:color w:val="auto"/>
          <w:sz w:val="24"/>
          <w:highlight w:val="none"/>
        </w:rPr>
      </w:pPr>
      <w:r>
        <w:rPr>
          <w:rFonts w:hint="eastAsia" w:ascii="宋体" w:hAnsi="宋体" w:eastAsia="宋体" w:cs="仿宋_GB2312"/>
          <w:color w:val="auto"/>
          <w:sz w:val="24"/>
          <w:highlight w:val="none"/>
        </w:rPr>
        <w:t>项目名称：</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u w:val="single"/>
          <w:lang w:val="en-US" w:eastAsia="zh-CN"/>
        </w:rPr>
        <w:t xml:space="preserve">         </w:t>
      </w:r>
      <w:r>
        <w:rPr>
          <w:rFonts w:hint="eastAsia" w:ascii="宋体" w:hAnsi="宋体" w:eastAsia="宋体" w:cs="仿宋_GB2312"/>
          <w:color w:val="auto"/>
          <w:sz w:val="24"/>
          <w:highlight w:val="none"/>
          <w:u w:val="none"/>
          <w:lang w:val="en-US" w:eastAsia="zh-CN"/>
        </w:rPr>
        <w:t xml:space="preserve">        </w:t>
      </w:r>
      <w:r>
        <w:rPr>
          <w:rFonts w:hint="eastAsia" w:ascii="宋体" w:hAnsi="宋体" w:eastAsia="宋体" w:cs="仿宋_GB2312"/>
          <w:color w:val="auto"/>
          <w:sz w:val="24"/>
          <w:highlight w:val="none"/>
        </w:rPr>
        <w:t>项目编号：</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67BA3101">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分标（如有）：</w:t>
      </w:r>
      <w:r>
        <w:rPr>
          <w:rFonts w:hint="eastAsia" w:ascii="宋体" w:hAnsi="宋体" w:eastAsia="宋体" w:cs="仿宋_GB2312"/>
          <w:color w:val="auto"/>
          <w:sz w:val="24"/>
          <w:highlight w:val="none"/>
          <w:u w:val="single"/>
        </w:rPr>
        <w:t xml:space="preserve">         </w:t>
      </w:r>
    </w:p>
    <w:p w14:paraId="37F8E818">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供应商名称：</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71E984D9">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仿宋_GB2312"/>
          <w:color w:val="auto"/>
          <w:sz w:val="24"/>
          <w:highlight w:val="none"/>
        </w:rPr>
      </w:pPr>
    </w:p>
    <w:tbl>
      <w:tblPr>
        <w:tblStyle w:val="23"/>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71"/>
        <w:gridCol w:w="957"/>
        <w:gridCol w:w="1776"/>
        <w:gridCol w:w="1260"/>
        <w:gridCol w:w="1185"/>
        <w:gridCol w:w="1288"/>
        <w:gridCol w:w="957"/>
      </w:tblGrid>
      <w:tr w14:paraId="6762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3A4854">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项号</w:t>
            </w:r>
          </w:p>
        </w:tc>
        <w:tc>
          <w:tcPr>
            <w:tcW w:w="1671" w:type="dxa"/>
            <w:tcBorders>
              <w:top w:val="single" w:color="auto" w:sz="4" w:space="0"/>
              <w:left w:val="single" w:color="auto" w:sz="4" w:space="0"/>
              <w:bottom w:val="single" w:color="auto" w:sz="4" w:space="0"/>
              <w:right w:val="single" w:color="auto" w:sz="4" w:space="0"/>
            </w:tcBorders>
            <w:noWrap w:val="0"/>
            <w:vAlign w:val="center"/>
          </w:tcPr>
          <w:p w14:paraId="200B7EEB">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lang w:val="en-US" w:eastAsia="zh-CN"/>
              </w:rPr>
              <w:t>服务</w:t>
            </w:r>
            <w:r>
              <w:rPr>
                <w:rFonts w:hint="eastAsia" w:hAnsi="宋体" w:cs="宋体"/>
                <w:color w:val="auto"/>
                <w:kern w:val="2"/>
                <w:sz w:val="21"/>
                <w:highlight w:val="none"/>
              </w:rPr>
              <w:t>名称</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8E7FE80">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总数量</w:t>
            </w:r>
          </w:p>
          <w:p w14:paraId="74A1C9D7">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①</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0FD26A0A">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品牌、</w:t>
            </w:r>
          </w:p>
          <w:p w14:paraId="1FFDF464">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生产厂家及国别</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E1E241">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型号、规格</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B90D535">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单价(元)</w:t>
            </w:r>
          </w:p>
          <w:p w14:paraId="074BF270">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②</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091A4395">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单项合价</w:t>
            </w:r>
          </w:p>
          <w:p w14:paraId="249C3DC5">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（元）</w:t>
            </w:r>
          </w:p>
          <w:p w14:paraId="283D279E">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2B849A0D">
            <w:pPr>
              <w:pStyle w:val="13"/>
              <w:snapToGrid w:val="0"/>
              <w:jc w:val="center"/>
              <w:rPr>
                <w:rFonts w:hint="eastAsia" w:hAnsi="宋体" w:cs="宋体"/>
                <w:color w:val="auto"/>
                <w:kern w:val="2"/>
                <w:sz w:val="21"/>
                <w:highlight w:val="none"/>
              </w:rPr>
            </w:pPr>
            <w:r>
              <w:rPr>
                <w:rFonts w:hint="eastAsia" w:hAnsi="宋体" w:cs="宋体"/>
                <w:color w:val="auto"/>
                <w:kern w:val="2"/>
                <w:sz w:val="21"/>
                <w:highlight w:val="none"/>
              </w:rPr>
              <w:t>备注</w:t>
            </w:r>
          </w:p>
        </w:tc>
      </w:tr>
      <w:tr w14:paraId="5B5C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5E358F">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71" w:type="dxa"/>
            <w:tcBorders>
              <w:top w:val="single" w:color="auto" w:sz="4" w:space="0"/>
              <w:left w:val="single" w:color="auto" w:sz="4" w:space="0"/>
              <w:bottom w:val="single" w:color="auto" w:sz="4" w:space="0"/>
              <w:right w:val="single" w:color="auto" w:sz="4" w:space="0"/>
            </w:tcBorders>
            <w:noWrap w:val="0"/>
            <w:vAlign w:val="center"/>
          </w:tcPr>
          <w:p w14:paraId="14B3C207">
            <w:pPr>
              <w:jc w:val="center"/>
              <w:rPr>
                <w:rFonts w:hint="eastAsia" w:ascii="宋体" w:hAnsi="宋体" w:cs="宋体"/>
                <w:color w:val="auto"/>
                <w:szCs w:val="21"/>
                <w:highlight w:val="none"/>
              </w:rPr>
            </w:pPr>
            <w:r>
              <w:rPr>
                <w:rFonts w:hint="eastAsia" w:ascii="宋体" w:hAnsi="宋体" w:cs="宋体"/>
                <w:i w:val="0"/>
                <w:iCs w:val="0"/>
                <w:color w:val="auto"/>
                <w:kern w:val="0"/>
                <w:sz w:val="21"/>
                <w:szCs w:val="21"/>
                <w:highlight w:val="none"/>
                <w:u w:val="none"/>
                <w:lang w:val="en-US" w:eastAsia="zh-CN" w:bidi="ar"/>
              </w:rPr>
              <w:t>中药智能煎煮系统建设服务项目</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69D0C5C">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66E3A7FD">
            <w:pPr>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4D76ED">
            <w:pPr>
              <w:jc w:val="center"/>
              <w:rPr>
                <w:rFonts w:hint="eastAsia"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7DDCF72">
            <w:pPr>
              <w:jc w:val="center"/>
              <w:rPr>
                <w:rFonts w:hint="eastAsia" w:ascii="宋体" w:hAnsi="宋体" w:cs="宋体"/>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noWrap w:val="0"/>
            <w:vAlign w:val="top"/>
          </w:tcPr>
          <w:p w14:paraId="5D78F011">
            <w:pPr>
              <w:jc w:val="center"/>
              <w:rPr>
                <w:rFonts w:hint="eastAsia" w:ascii="宋体" w:hAnsi="宋体" w:cs="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03C3313">
            <w:pPr>
              <w:jc w:val="center"/>
              <w:rPr>
                <w:rFonts w:hint="eastAsia" w:ascii="宋体" w:hAnsi="宋体" w:cs="宋体"/>
                <w:color w:val="auto"/>
                <w:szCs w:val="21"/>
                <w:highlight w:val="none"/>
              </w:rPr>
            </w:pPr>
          </w:p>
        </w:tc>
      </w:tr>
      <w:tr w14:paraId="55F3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27C71ABA">
            <w:pPr>
              <w:jc w:val="left"/>
              <w:rPr>
                <w:rFonts w:hint="eastAsia" w:ascii="宋体" w:hAnsi="宋体" w:cs="宋体"/>
                <w:color w:val="auto"/>
                <w:szCs w:val="21"/>
                <w:highlight w:val="none"/>
              </w:rPr>
            </w:pPr>
            <w:r>
              <w:rPr>
                <w:rFonts w:hint="eastAsia" w:ascii="宋体" w:hAnsi="宋体" w:cs="宋体"/>
                <w:color w:val="auto"/>
                <w:szCs w:val="21"/>
                <w:highlight w:val="none"/>
              </w:rPr>
              <w:t>报价合计（包含税费等所有费用）：（大写）人民币                 （</w:t>
            </w:r>
            <w:r>
              <w:rPr>
                <w:rFonts w:hint="default" w:ascii="Arial" w:hAnsi="Arial" w:cs="Arial"/>
                <w:color w:val="auto"/>
                <w:szCs w:val="21"/>
                <w:highlight w:val="none"/>
              </w:rPr>
              <w:t>¥</w:t>
            </w:r>
            <w:r>
              <w:rPr>
                <w:rFonts w:hint="eastAsia" w:ascii="宋体" w:hAnsi="宋体" w:cs="宋体"/>
                <w:color w:val="auto"/>
                <w:szCs w:val="21"/>
                <w:highlight w:val="none"/>
              </w:rPr>
              <w:t xml:space="preserve">                元）</w:t>
            </w:r>
          </w:p>
        </w:tc>
      </w:tr>
      <w:tr w14:paraId="7FE0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1425AB4">
            <w:pPr>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D2C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24BA86F5">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提交</w:t>
            </w:r>
            <w:r>
              <w:rPr>
                <w:rFonts w:hint="eastAsia" w:ascii="宋体" w:hAnsi="宋体" w:cs="宋体"/>
                <w:bCs/>
                <w:color w:val="auto"/>
                <w:szCs w:val="21"/>
                <w:highlight w:val="none"/>
                <w:lang w:val="en-US" w:eastAsia="zh-CN"/>
              </w:rPr>
              <w:t>服务成果</w:t>
            </w:r>
            <w:r>
              <w:rPr>
                <w:rFonts w:hint="eastAsia" w:ascii="宋体" w:hAnsi="宋体" w:cs="宋体"/>
                <w:bCs/>
                <w:color w:val="auto"/>
                <w:szCs w:val="21"/>
                <w:highlight w:val="none"/>
              </w:rPr>
              <w:t>时间</w:t>
            </w:r>
            <w:r>
              <w:rPr>
                <w:rFonts w:hint="eastAsia" w:ascii="宋体" w:hAnsi="宋体" w:cs="宋体"/>
                <w:bCs/>
                <w:color w:val="auto"/>
                <w:szCs w:val="21"/>
                <w:highlight w:val="none"/>
                <w:lang w:eastAsia="zh-CN"/>
              </w:rPr>
              <w:t>：</w:t>
            </w:r>
          </w:p>
        </w:tc>
      </w:tr>
      <w:tr w14:paraId="1E36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7F55B80B">
            <w:pPr>
              <w:rPr>
                <w:rFonts w:hint="eastAsia" w:ascii="宋体" w:hAnsi="宋体" w:cs="宋体"/>
                <w:color w:val="auto"/>
                <w:szCs w:val="21"/>
                <w:highlight w:val="none"/>
              </w:rPr>
            </w:pPr>
            <w:r>
              <w:rPr>
                <w:rFonts w:hint="eastAsia" w:ascii="宋体" w:hAnsi="宋体" w:cs="宋体"/>
                <w:color w:val="auto"/>
                <w:szCs w:val="21"/>
                <w:highlight w:val="none"/>
              </w:rPr>
              <w:t>优惠及其它：</w:t>
            </w:r>
          </w:p>
        </w:tc>
      </w:tr>
    </w:tbl>
    <w:p w14:paraId="35982B85">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仿宋_GB2312"/>
          <w:color w:val="auto"/>
          <w:sz w:val="24"/>
          <w:highlight w:val="none"/>
        </w:rPr>
      </w:pPr>
    </w:p>
    <w:p w14:paraId="20FE4DB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sz w:val="24"/>
          <w:highlight w:val="none"/>
        </w:rPr>
        <w:t xml:space="preserve"> </w:t>
      </w:r>
    </w:p>
    <w:p w14:paraId="61750922">
      <w:pPr>
        <w:spacing w:line="360" w:lineRule="auto"/>
        <w:contextualSpacing/>
        <w:jc w:val="left"/>
        <w:rPr>
          <w:rFonts w:hint="eastAsia" w:ascii="宋体" w:hAnsi="宋体" w:eastAsia="宋体" w:cs="仿宋_GB2312"/>
          <w:b/>
          <w:bCs/>
          <w:color w:val="auto"/>
          <w:sz w:val="24"/>
          <w:highlight w:val="none"/>
          <w:lang w:val="en-US" w:eastAsia="zh-CN"/>
        </w:rPr>
      </w:pPr>
      <w:r>
        <w:rPr>
          <w:rFonts w:hint="eastAsia" w:ascii="宋体" w:hAnsi="宋体" w:eastAsia="宋体" w:cs="仿宋_GB2312"/>
          <w:b/>
          <w:bCs/>
          <w:color w:val="auto"/>
          <w:sz w:val="24"/>
          <w:highlight w:val="none"/>
          <w:lang w:val="en-US" w:eastAsia="zh-CN"/>
        </w:rPr>
        <w:t>注：符合磋商资格的供应商必须在接到磋商通知后在规定时间内参加磋商，并以电子文件形式线上提交最后报价（《最终报价表》作为附件上传至广西政府采购云平台系统）。</w:t>
      </w:r>
    </w:p>
    <w:p w14:paraId="0DA994C3">
      <w:pPr>
        <w:spacing w:line="360" w:lineRule="auto"/>
        <w:ind w:right="-817" w:rightChars="-389" w:firstLine="2640" w:firstLineChars="1100"/>
        <w:contextualSpacing/>
        <w:rPr>
          <w:rFonts w:hint="eastAsia" w:ascii="宋体" w:hAnsi="宋体" w:eastAsia="宋体" w:cs="仿宋_GB2312"/>
          <w:color w:val="auto"/>
          <w:sz w:val="24"/>
          <w:highlight w:val="none"/>
        </w:rPr>
      </w:pPr>
    </w:p>
    <w:p w14:paraId="340691A8">
      <w:pPr>
        <w:spacing w:line="360" w:lineRule="auto"/>
        <w:ind w:right="-817" w:rightChars="-389" w:firstLine="2640" w:firstLineChars="1100"/>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法定代表人或者委托代理人（签字）：                    </w:t>
      </w:r>
    </w:p>
    <w:p w14:paraId="2242E3DD">
      <w:pPr>
        <w:spacing w:line="360" w:lineRule="auto"/>
        <w:ind w:right="-817" w:rightChars="-389" w:firstLine="2640" w:firstLineChars="1100"/>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供应商（</w:t>
      </w:r>
      <w:r>
        <w:rPr>
          <w:rFonts w:hint="eastAsia" w:ascii="宋体" w:hAnsi="宋体" w:eastAsia="宋体" w:cs="宋体"/>
          <w:color w:val="auto"/>
          <w:sz w:val="24"/>
          <w:highlight w:val="none"/>
        </w:rPr>
        <w:t>电子签章</w:t>
      </w:r>
      <w:r>
        <w:rPr>
          <w:rFonts w:hint="eastAsia" w:ascii="宋体" w:hAnsi="宋体" w:eastAsia="宋体" w:cs="仿宋_GB2312"/>
          <w:color w:val="auto"/>
          <w:sz w:val="24"/>
          <w:highlight w:val="none"/>
        </w:rPr>
        <w:t xml:space="preserve">）：      </w:t>
      </w:r>
    </w:p>
    <w:p w14:paraId="269E5AC4">
      <w:pPr>
        <w:spacing w:line="360" w:lineRule="auto"/>
        <w:ind w:right="-817" w:rightChars="-389" w:firstLine="4080" w:firstLineChars="1700"/>
        <w:contextualSpacing/>
        <w:rPr>
          <w:rFonts w:ascii="宋体" w:hAnsi="宋体" w:eastAsia="宋体" w:cs="仿宋_GB2312"/>
          <w:b/>
          <w:color w:val="auto"/>
          <w:sz w:val="24"/>
          <w:highlight w:val="none"/>
        </w:rPr>
      </w:pPr>
      <w:r>
        <w:rPr>
          <w:rFonts w:hint="eastAsia" w:ascii="宋体" w:hAnsi="宋体" w:eastAsia="宋体" w:cs="仿宋_GB2312"/>
          <w:color w:val="auto"/>
          <w:sz w:val="24"/>
          <w:highlight w:val="none"/>
        </w:rPr>
        <w:t>日期：   年   月   日</w:t>
      </w:r>
    </w:p>
    <w:p w14:paraId="55185BD1">
      <w:pPr>
        <w:rPr>
          <w:rFonts w:ascii="宋体" w:hAnsi="Courier New"/>
          <w:b/>
          <w:color w:val="auto"/>
          <w:sz w:val="32"/>
          <w:szCs w:val="32"/>
          <w:highlight w:val="none"/>
        </w:rPr>
      </w:pPr>
      <w:r>
        <w:rPr>
          <w:rFonts w:hint="eastAsia" w:ascii="宋体" w:hAnsi="Courier New"/>
          <w:b/>
          <w:color w:val="auto"/>
          <w:sz w:val="32"/>
          <w:szCs w:val="32"/>
          <w:highlight w:val="none"/>
        </w:rPr>
        <w:br w:type="page"/>
      </w:r>
    </w:p>
    <w:p w14:paraId="5A5B3DA5">
      <w:pPr>
        <w:spacing w:line="360" w:lineRule="auto"/>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3、法定代表人身份证明</w:t>
      </w:r>
    </w:p>
    <w:p w14:paraId="38B8E811">
      <w:pPr>
        <w:spacing w:line="360" w:lineRule="auto"/>
        <w:ind w:left="540"/>
        <w:contextualSpacing/>
        <w:rPr>
          <w:rFonts w:ascii="仿宋_GB2312" w:hAnsi="仿宋_GB2312" w:eastAsia="仿宋_GB2312" w:cs="仿宋_GB2312"/>
          <w:color w:val="auto"/>
          <w:sz w:val="32"/>
          <w:szCs w:val="32"/>
          <w:highlight w:val="none"/>
        </w:rPr>
      </w:pPr>
    </w:p>
    <w:p w14:paraId="4F6E41D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50F18371">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40EBA57">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5CC86067">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6C1121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47FBAE4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CBA7041">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5228FD0D">
      <w:pPr>
        <w:spacing w:line="360" w:lineRule="auto"/>
        <w:ind w:left="540"/>
        <w:contextualSpacing/>
        <w:rPr>
          <w:rFonts w:ascii="宋体" w:hAnsi="宋体" w:cs="仿宋_GB2312"/>
          <w:color w:val="auto"/>
          <w:sz w:val="24"/>
          <w:highlight w:val="none"/>
        </w:rPr>
      </w:pPr>
    </w:p>
    <w:p w14:paraId="2119DF8F">
      <w:pPr>
        <w:spacing w:line="360" w:lineRule="auto"/>
        <w:ind w:left="540"/>
        <w:contextualSpacing/>
        <w:rPr>
          <w:rFonts w:ascii="宋体" w:hAnsi="宋体" w:cs="仿宋_GB2312"/>
          <w:color w:val="auto"/>
          <w:sz w:val="24"/>
          <w:highlight w:val="none"/>
        </w:rPr>
      </w:pPr>
    </w:p>
    <w:p w14:paraId="346074E9">
      <w:pPr>
        <w:spacing w:line="360" w:lineRule="auto"/>
        <w:ind w:left="540"/>
        <w:contextualSpacing/>
        <w:rPr>
          <w:rFonts w:ascii="宋体" w:hAnsi="宋体" w:cs="仿宋_GB2312"/>
          <w:color w:val="auto"/>
          <w:sz w:val="24"/>
          <w:highlight w:val="none"/>
        </w:rPr>
      </w:pPr>
    </w:p>
    <w:p w14:paraId="6FE2174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DE1FD2C">
      <w:pPr>
        <w:spacing w:line="360" w:lineRule="auto"/>
        <w:ind w:left="540"/>
        <w:contextualSpacing/>
        <w:rPr>
          <w:rFonts w:ascii="宋体" w:hAnsi="宋体" w:cs="仿宋_GB2312"/>
          <w:color w:val="auto"/>
          <w:sz w:val="24"/>
          <w:highlight w:val="none"/>
        </w:rPr>
      </w:pPr>
    </w:p>
    <w:p w14:paraId="6033FFCF">
      <w:pPr>
        <w:spacing w:line="360" w:lineRule="auto"/>
        <w:ind w:left="540"/>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宋体"/>
          <w:color w:val="auto"/>
          <w:sz w:val="24"/>
          <w:highlight w:val="none"/>
        </w:rPr>
        <w:t>电子签章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p w14:paraId="3E962D43">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874520D">
      <w:pPr>
        <w:spacing w:line="360" w:lineRule="auto"/>
        <w:contextualSpacing/>
        <w:jc w:val="center"/>
        <w:rPr>
          <w:rFonts w:ascii="宋体" w:hAnsi="宋体" w:cs="仿宋_GB2312"/>
          <w:b/>
          <w:color w:val="auto"/>
          <w:sz w:val="24"/>
          <w:highlight w:val="none"/>
        </w:rPr>
      </w:pPr>
    </w:p>
    <w:p w14:paraId="19E55206">
      <w:pPr>
        <w:spacing w:line="360" w:lineRule="auto"/>
        <w:contextualSpacing/>
        <w:jc w:val="left"/>
        <w:rPr>
          <w:rFonts w:ascii="宋体" w:hAnsi="宋体" w:cs="仿宋_GB2312"/>
          <w:color w:val="auto"/>
          <w:sz w:val="24"/>
          <w:highlight w:val="none"/>
        </w:rPr>
      </w:pPr>
    </w:p>
    <w:p w14:paraId="3878B3B9">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3BC8BC2F">
      <w:pPr>
        <w:adjustRightInd w:val="0"/>
        <w:snapToGrid w:val="0"/>
        <w:spacing w:line="300" w:lineRule="auto"/>
        <w:jc w:val="left"/>
        <w:rPr>
          <w:rFonts w:ascii="宋体" w:hAnsi="宋体"/>
          <w:b/>
          <w:color w:val="auto"/>
          <w:szCs w:val="21"/>
          <w:highlight w:val="none"/>
        </w:rPr>
      </w:pPr>
    </w:p>
    <w:p w14:paraId="60ADA9AA">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5B36C61E">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4、授权委托书</w:t>
      </w:r>
    </w:p>
    <w:p w14:paraId="1938CBB1">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2AD36AAA">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703D8A02">
      <w:pPr>
        <w:spacing w:line="520" w:lineRule="exact"/>
        <w:rPr>
          <w:rFonts w:ascii="仿宋_GB2312" w:hAnsi="仿宋_GB2312" w:eastAsia="仿宋_GB2312" w:cs="仿宋_GB2312"/>
          <w:color w:val="auto"/>
          <w:sz w:val="32"/>
          <w:szCs w:val="32"/>
          <w:highlight w:val="none"/>
        </w:rPr>
      </w:pPr>
    </w:p>
    <w:p w14:paraId="3A69D570">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344704CB">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2B6DF097">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78363D06">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本授权书自签署之日起生效，在撤销授权的书面通知有</w:t>
      </w:r>
      <w:r>
        <w:rPr>
          <w:rFonts w:ascii="宋体" w:hAnsi="宋体" w:cs="仿宋_GB2312"/>
          <w:color w:val="auto"/>
          <w:sz w:val="24"/>
          <w:highlight w:val="none"/>
        </w:rPr>
        <w:t>效送达贵单位</w:t>
      </w:r>
      <w:r>
        <w:rPr>
          <w:rFonts w:hint="eastAsia" w:ascii="宋体" w:hAnsi="宋体" w:cs="仿宋_GB2312"/>
          <w:color w:val="auto"/>
          <w:sz w:val="24"/>
          <w:highlight w:val="none"/>
        </w:rPr>
        <w:t>以前，本授权书一直有效。委托代理人在授权书有效期内签署的所有文件不因授权的撤销而失效。</w:t>
      </w:r>
    </w:p>
    <w:p w14:paraId="690E66B4">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DD9E13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附：法定代表人身份证明及委托代理人有效身份证正反面复印件</w:t>
      </w:r>
    </w:p>
    <w:p w14:paraId="421811F6">
      <w:pPr>
        <w:spacing w:line="360" w:lineRule="auto"/>
        <w:rPr>
          <w:rFonts w:ascii="宋体" w:hAnsi="宋体" w:cs="仿宋_GB2312"/>
          <w:color w:val="auto"/>
          <w:sz w:val="24"/>
          <w:highlight w:val="none"/>
        </w:rPr>
      </w:pPr>
    </w:p>
    <w:p w14:paraId="2306A546">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法定代表人（签字或者盖章）：                    </w:t>
      </w:r>
    </w:p>
    <w:p w14:paraId="7917E22E">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75AAB63">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1AD66136">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w:t>
      </w:r>
      <w:r>
        <w:rPr>
          <w:rFonts w:hint="eastAsia" w:ascii="宋体" w:hAnsi="宋体" w:cs="宋体"/>
          <w:color w:val="auto"/>
          <w:sz w:val="24"/>
          <w:highlight w:val="none"/>
        </w:rPr>
        <w:t>电子签章</w:t>
      </w:r>
      <w:r>
        <w:rPr>
          <w:rFonts w:hint="eastAsia" w:ascii="宋体" w:hAnsi="宋体" w:cs="仿宋_GB2312"/>
          <w:color w:val="auto"/>
          <w:sz w:val="24"/>
          <w:highlight w:val="none"/>
        </w:rPr>
        <w:t xml:space="preserve">）：                      </w:t>
      </w:r>
    </w:p>
    <w:p w14:paraId="32636FDD">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74717C71">
      <w:pPr>
        <w:spacing w:line="360" w:lineRule="auto"/>
        <w:rPr>
          <w:rFonts w:ascii="宋体" w:hAnsi="宋体" w:cs="仿宋_GB2312"/>
          <w:color w:val="auto"/>
          <w:sz w:val="24"/>
          <w:highlight w:val="none"/>
        </w:rPr>
      </w:pPr>
    </w:p>
    <w:p w14:paraId="5E3BE4FE">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color w:val="auto"/>
          <w:sz w:val="24"/>
          <w:highlight w:val="none"/>
        </w:rPr>
        <w:t>否则其响应文件按无效响应处理。</w:t>
      </w:r>
    </w:p>
    <w:p w14:paraId="712721D6">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43" w:name="_Hlk65853109"/>
      <w:bookmarkStart w:id="44" w:name="_Hlk65853542"/>
      <w:r>
        <w:rPr>
          <w:rFonts w:hint="eastAsia" w:ascii="宋体" w:hAnsi="宋体" w:cs="仿宋_GB2312"/>
          <w:color w:val="auto"/>
          <w:sz w:val="24"/>
          <w:highlight w:val="none"/>
        </w:rPr>
        <w:t>法人、其他组织竞标时“我方”是指“我单位”，自然人竞标时“我方”是指“本人”。</w:t>
      </w:r>
      <w:bookmarkEnd w:id="43"/>
    </w:p>
    <w:bookmarkEnd w:id="44"/>
    <w:p w14:paraId="7488DA7A">
      <w:pPr>
        <w:spacing w:line="360" w:lineRule="auto"/>
        <w:ind w:firstLine="420" w:firstLineChars="200"/>
        <w:jc w:val="left"/>
        <w:rPr>
          <w:rFonts w:ascii="仿宋_GB2312" w:hAnsi="仿宋_GB2312" w:eastAsia="仿宋_GB2312" w:cs="仿宋_GB2312"/>
          <w:color w:val="auto"/>
          <w:szCs w:val="21"/>
          <w:highlight w:val="none"/>
        </w:rPr>
      </w:pPr>
    </w:p>
    <w:p w14:paraId="48CAEFEA">
      <w:pP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5、磋商保证金提交凭证</w:t>
      </w:r>
    </w:p>
    <w:p w14:paraId="0CDB82A4">
      <w:pPr>
        <w:spacing w:line="360" w:lineRule="auto"/>
        <w:ind w:firstLine="602" w:firstLineChars="200"/>
        <w:rPr>
          <w:rFonts w:ascii="宋体" w:hAnsi="宋体" w:cs="宋体"/>
          <w:b/>
          <w:color w:val="auto"/>
          <w:kern w:val="0"/>
          <w:sz w:val="30"/>
          <w:szCs w:val="30"/>
          <w:highlight w:val="none"/>
        </w:rPr>
      </w:pPr>
    </w:p>
    <w:p w14:paraId="595A472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E7D4075">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11939D9">
      <w:pPr>
        <w:spacing w:line="500" w:lineRule="exact"/>
        <w:jc w:val="center"/>
        <w:rPr>
          <w:rFonts w:ascii="方正小标宋简体" w:hAnsi="方正小标宋简体" w:eastAsia="方正小标宋简体" w:cs="方正小标宋简体"/>
          <w:bCs/>
          <w:color w:val="auto"/>
          <w:sz w:val="44"/>
          <w:szCs w:val="44"/>
          <w:highlight w:val="none"/>
        </w:rPr>
      </w:pPr>
    </w:p>
    <w:p w14:paraId="299B5671">
      <w:pPr>
        <w:spacing w:line="500" w:lineRule="exact"/>
        <w:jc w:val="center"/>
        <w:rPr>
          <w:rFonts w:ascii="方正小标宋简体" w:hAnsi="方正小标宋简体" w:eastAsia="方正小标宋简体" w:cs="方正小标宋简体"/>
          <w:bCs/>
          <w:color w:val="auto"/>
          <w:sz w:val="44"/>
          <w:szCs w:val="44"/>
          <w:highlight w:val="none"/>
        </w:rPr>
      </w:pPr>
    </w:p>
    <w:p w14:paraId="08C51304">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6、商务要求偏离表</w:t>
      </w:r>
    </w:p>
    <w:p w14:paraId="4098EB58">
      <w:pPr>
        <w:spacing w:line="360" w:lineRule="auto"/>
        <w:contextualSpacing/>
        <w:jc w:val="left"/>
        <w:rPr>
          <w:rFonts w:ascii="宋体" w:hAnsi="宋体"/>
          <w:color w:val="auto"/>
          <w:sz w:val="24"/>
          <w:highlight w:val="none"/>
        </w:rPr>
      </w:pPr>
    </w:p>
    <w:p w14:paraId="00346C77">
      <w:pPr>
        <w:pStyle w:val="13"/>
        <w:spacing w:line="360" w:lineRule="auto"/>
        <w:contextualSpacing/>
        <w:rPr>
          <w:rFonts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p w14:paraId="34CB5635">
      <w:pPr>
        <w:spacing w:line="360" w:lineRule="auto"/>
        <w:contextualSpacing/>
        <w:jc w:val="left"/>
        <w:rPr>
          <w:rFonts w:ascii="宋体" w:hAnsi="宋体" w:cs="仿宋_GB2312"/>
          <w:color w:val="auto"/>
          <w:sz w:val="24"/>
          <w:highlight w:val="none"/>
          <w:u w:val="single"/>
        </w:rPr>
      </w:pPr>
    </w:p>
    <w:tbl>
      <w:tblPr>
        <w:tblStyle w:val="2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EFA2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246B858">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9E36A47">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7FCA8AAA">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3DEC7EC5">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r>
      <w:tr w14:paraId="0A4A6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32C3D819">
            <w:pPr>
              <w:tabs>
                <w:tab w:val="left" w:pos="180"/>
                <w:tab w:val="left" w:pos="1620"/>
              </w:tabs>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一、合同签订期</w:t>
            </w:r>
          </w:p>
        </w:tc>
        <w:tc>
          <w:tcPr>
            <w:tcW w:w="2668" w:type="dxa"/>
            <w:tcBorders>
              <w:top w:val="single" w:color="auto" w:sz="4" w:space="0"/>
              <w:left w:val="single" w:color="auto" w:sz="4" w:space="0"/>
              <w:bottom w:val="single" w:color="auto" w:sz="4" w:space="0"/>
              <w:right w:val="single" w:color="auto" w:sz="4" w:space="0"/>
            </w:tcBorders>
            <w:vAlign w:val="center"/>
          </w:tcPr>
          <w:p w14:paraId="61435976">
            <w:pPr>
              <w:spacing w:line="360" w:lineRule="auto"/>
              <w:contextualSpacing/>
              <w:jc w:val="center"/>
              <w:rPr>
                <w:rFonts w:ascii="宋体" w:hAnsi="宋体" w:cs="仿宋_GB2312"/>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06182FD">
            <w:pPr>
              <w:spacing w:line="360" w:lineRule="auto"/>
              <w:contextualSpacing/>
              <w:jc w:val="center"/>
              <w:rPr>
                <w:rFonts w:ascii="宋体" w:hAnsi="宋体" w:cs="仿宋_GB2312"/>
                <w:color w:val="auto"/>
                <w:sz w:val="24"/>
                <w:szCs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7623B1A4">
            <w:pPr>
              <w:spacing w:line="360" w:lineRule="auto"/>
              <w:contextualSpacing/>
              <w:jc w:val="center"/>
              <w:rPr>
                <w:rFonts w:ascii="宋体" w:hAnsi="宋体" w:cs="仿宋_GB2312"/>
                <w:color w:val="auto"/>
                <w:sz w:val="24"/>
                <w:szCs w:val="24"/>
                <w:highlight w:val="none"/>
              </w:rPr>
            </w:pPr>
          </w:p>
        </w:tc>
      </w:tr>
      <w:tr w14:paraId="712C3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FAE31C1">
            <w:pPr>
              <w:tabs>
                <w:tab w:val="left" w:pos="180"/>
                <w:tab w:val="left" w:pos="1620"/>
              </w:tabs>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二、提交服务成果时间</w:t>
            </w:r>
          </w:p>
        </w:tc>
        <w:tc>
          <w:tcPr>
            <w:tcW w:w="2668" w:type="dxa"/>
            <w:tcBorders>
              <w:top w:val="single" w:color="auto" w:sz="4" w:space="0"/>
              <w:left w:val="single" w:color="auto" w:sz="4" w:space="0"/>
              <w:bottom w:val="single" w:color="auto" w:sz="4" w:space="0"/>
              <w:right w:val="single" w:color="auto" w:sz="4" w:space="0"/>
            </w:tcBorders>
            <w:vAlign w:val="center"/>
          </w:tcPr>
          <w:p w14:paraId="1BF9F272">
            <w:pPr>
              <w:spacing w:line="360" w:lineRule="auto"/>
              <w:contextualSpacing/>
              <w:jc w:val="center"/>
              <w:rPr>
                <w:rFonts w:ascii="宋体" w:hAnsi="宋体" w:cs="仿宋_GB2312"/>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9BDBEFD">
            <w:pPr>
              <w:spacing w:line="360" w:lineRule="auto"/>
              <w:ind w:left="43"/>
              <w:contextualSpacing/>
              <w:jc w:val="center"/>
              <w:rPr>
                <w:rFonts w:ascii="宋体" w:hAnsi="宋体" w:cs="仿宋_GB2312"/>
                <w:color w:val="auto"/>
                <w:sz w:val="24"/>
                <w:szCs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0FB804A">
            <w:pPr>
              <w:spacing w:line="360" w:lineRule="auto"/>
              <w:ind w:left="43"/>
              <w:contextualSpacing/>
              <w:jc w:val="center"/>
              <w:rPr>
                <w:rFonts w:ascii="宋体" w:hAnsi="宋体" w:cs="仿宋_GB2312"/>
                <w:color w:val="auto"/>
                <w:sz w:val="24"/>
                <w:szCs w:val="24"/>
                <w:highlight w:val="none"/>
              </w:rPr>
            </w:pPr>
          </w:p>
        </w:tc>
      </w:tr>
      <w:tr w14:paraId="55F51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291C37CB">
            <w:pPr>
              <w:tabs>
                <w:tab w:val="left" w:pos="180"/>
                <w:tab w:val="left" w:pos="1620"/>
              </w:tabs>
              <w:spacing w:line="360" w:lineRule="exact"/>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三、服务地点</w:t>
            </w:r>
          </w:p>
        </w:tc>
        <w:tc>
          <w:tcPr>
            <w:tcW w:w="2668" w:type="dxa"/>
            <w:tcBorders>
              <w:top w:val="single" w:color="auto" w:sz="4" w:space="0"/>
              <w:left w:val="single" w:color="auto" w:sz="4" w:space="0"/>
              <w:bottom w:val="single" w:color="auto" w:sz="4" w:space="0"/>
              <w:right w:val="single" w:color="auto" w:sz="4" w:space="0"/>
            </w:tcBorders>
            <w:vAlign w:val="center"/>
          </w:tcPr>
          <w:p w14:paraId="62FF2828">
            <w:pPr>
              <w:spacing w:line="360" w:lineRule="auto"/>
              <w:contextualSpacing/>
              <w:jc w:val="center"/>
              <w:rPr>
                <w:rFonts w:ascii="宋体" w:hAnsi="宋体" w:cs="仿宋_GB2312"/>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FE3415F">
            <w:pPr>
              <w:spacing w:line="360" w:lineRule="auto"/>
              <w:contextualSpacing/>
              <w:jc w:val="center"/>
              <w:rPr>
                <w:rFonts w:ascii="宋体" w:hAnsi="宋体" w:cs="仿宋_GB2312"/>
                <w:color w:val="auto"/>
                <w:sz w:val="24"/>
                <w:szCs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578E4F9">
            <w:pPr>
              <w:spacing w:line="360" w:lineRule="auto"/>
              <w:contextualSpacing/>
              <w:jc w:val="center"/>
              <w:rPr>
                <w:rFonts w:ascii="宋体" w:hAnsi="宋体" w:cs="仿宋_GB2312"/>
                <w:color w:val="auto"/>
                <w:sz w:val="24"/>
                <w:szCs w:val="24"/>
                <w:highlight w:val="none"/>
              </w:rPr>
            </w:pPr>
          </w:p>
        </w:tc>
      </w:tr>
      <w:tr w14:paraId="6C421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7A1997F">
            <w:pPr>
              <w:tabs>
                <w:tab w:val="left" w:pos="180"/>
                <w:tab w:val="left" w:pos="1620"/>
              </w:tabs>
              <w:spacing w:line="380" w:lineRule="exact"/>
              <w:jc w:val="center"/>
              <w:rPr>
                <w:rFonts w:ascii="宋体" w:hAnsi="宋体" w:cs="仿宋"/>
                <w:color w:val="auto"/>
                <w:sz w:val="24"/>
                <w:szCs w:val="24"/>
                <w:highlight w:val="none"/>
              </w:rPr>
            </w:pPr>
            <w:r>
              <w:rPr>
                <w:rFonts w:hint="eastAsia" w:ascii="宋体" w:hAnsi="宋体" w:cs="宋体"/>
                <w:b/>
                <w:bCs/>
                <w:color w:val="auto"/>
                <w:sz w:val="24"/>
                <w:szCs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67864F4A">
            <w:pPr>
              <w:spacing w:line="360" w:lineRule="auto"/>
              <w:contextualSpacing/>
              <w:jc w:val="center"/>
              <w:rPr>
                <w:rFonts w:ascii="宋体" w:hAnsi="宋体" w:cs="仿宋_GB2312"/>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D7A2C72">
            <w:pPr>
              <w:spacing w:line="360" w:lineRule="auto"/>
              <w:contextualSpacing/>
              <w:jc w:val="center"/>
              <w:rPr>
                <w:rFonts w:ascii="宋体" w:hAnsi="宋体" w:cs="仿宋_GB2312"/>
                <w:color w:val="auto"/>
                <w:sz w:val="24"/>
                <w:szCs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2C6B742B">
            <w:pPr>
              <w:spacing w:line="360" w:lineRule="auto"/>
              <w:contextualSpacing/>
              <w:jc w:val="center"/>
              <w:rPr>
                <w:rFonts w:ascii="宋体" w:hAnsi="宋体" w:cs="仿宋_GB2312"/>
                <w:color w:val="auto"/>
                <w:sz w:val="24"/>
                <w:szCs w:val="24"/>
                <w:highlight w:val="none"/>
              </w:rPr>
            </w:pPr>
          </w:p>
        </w:tc>
      </w:tr>
    </w:tbl>
    <w:p w14:paraId="1D76D8CF">
      <w:pPr>
        <w:pStyle w:val="9"/>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2568780C">
      <w:pPr>
        <w:pStyle w:val="9"/>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291A8FA8">
      <w:pPr>
        <w:spacing w:line="360" w:lineRule="auto"/>
        <w:contextualSpacing/>
        <w:jc w:val="left"/>
        <w:rPr>
          <w:rFonts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1B7B925D">
      <w:pPr>
        <w:spacing w:line="360" w:lineRule="auto"/>
        <w:ind w:right="-817" w:rightChars="-389"/>
        <w:contextualSpacing/>
        <w:rPr>
          <w:rFonts w:ascii="宋体" w:hAnsi="宋体" w:cs="仿宋_GB2312"/>
          <w:color w:val="auto"/>
          <w:sz w:val="24"/>
          <w:highlight w:val="none"/>
        </w:rPr>
      </w:pPr>
    </w:p>
    <w:p w14:paraId="336795BB">
      <w:pPr>
        <w:spacing w:line="360" w:lineRule="auto"/>
        <w:ind w:right="-817" w:rightChars="-389" w:firstLine="960" w:firstLineChars="4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3CB40947">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宋体"/>
          <w:color w:val="auto"/>
          <w:sz w:val="24"/>
          <w:highlight w:val="none"/>
        </w:rPr>
        <w:t>电子签章</w:t>
      </w:r>
      <w:r>
        <w:rPr>
          <w:rFonts w:hint="eastAsia" w:ascii="宋体" w:hAnsi="宋体" w:cs="仿宋_GB2312"/>
          <w:color w:val="auto"/>
          <w:sz w:val="24"/>
          <w:highlight w:val="none"/>
        </w:rPr>
        <w:t xml:space="preserve">）：      </w:t>
      </w:r>
    </w:p>
    <w:p w14:paraId="76D89BF8">
      <w:pPr>
        <w:spacing w:line="360" w:lineRule="auto"/>
        <w:ind w:right="-817" w:rightChars="-389" w:firstLine="4080" w:firstLineChars="17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2C49EBE9">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1B93B021">
      <w:pPr>
        <w:adjustRightInd w:val="0"/>
        <w:snapToGrid w:val="0"/>
        <w:spacing w:line="300" w:lineRule="auto"/>
        <w:jc w:val="left"/>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7、服务方案</w:t>
      </w:r>
      <w:r>
        <w:rPr>
          <w:rFonts w:hint="eastAsia" w:ascii="方正小标宋简体" w:hAnsi="方正小标宋简体" w:eastAsia="方正小标宋简体" w:cs="方正小标宋简体"/>
          <w:bCs/>
          <w:color w:val="auto"/>
          <w:sz w:val="32"/>
          <w:szCs w:val="32"/>
          <w:highlight w:val="none"/>
        </w:rPr>
        <w:t>（竞标人自行编制）</w:t>
      </w:r>
    </w:p>
    <w:p w14:paraId="64900BC6">
      <w:pPr>
        <w:spacing w:line="360" w:lineRule="auto"/>
        <w:ind w:firstLine="602" w:firstLineChars="200"/>
        <w:rPr>
          <w:rFonts w:ascii="宋体" w:hAnsi="宋体" w:cs="宋体"/>
          <w:b/>
          <w:color w:val="auto"/>
          <w:kern w:val="0"/>
          <w:sz w:val="30"/>
          <w:szCs w:val="30"/>
          <w:highlight w:val="none"/>
        </w:rPr>
      </w:pPr>
    </w:p>
    <w:p w14:paraId="16653827">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175F420">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D458CC4">
      <w:pPr>
        <w:autoSpaceDE w:val="0"/>
        <w:autoSpaceDN w:val="0"/>
        <w:spacing w:line="360" w:lineRule="auto"/>
        <w:rPr>
          <w:rFonts w:ascii="宋体" w:hAnsi="宋体" w:cs="宋体"/>
          <w:b/>
          <w:color w:val="auto"/>
          <w:szCs w:val="21"/>
          <w:highlight w:val="none"/>
        </w:rPr>
      </w:pPr>
    </w:p>
    <w:p w14:paraId="3159ED83">
      <w:pPr>
        <w:autoSpaceDE w:val="0"/>
        <w:autoSpaceDN w:val="0"/>
        <w:spacing w:line="360" w:lineRule="auto"/>
        <w:rPr>
          <w:rFonts w:ascii="宋体" w:hAnsi="宋体" w:cs="宋体"/>
          <w:b/>
          <w:color w:val="auto"/>
          <w:szCs w:val="21"/>
          <w:highlight w:val="none"/>
        </w:rPr>
      </w:pPr>
      <w:r>
        <w:rPr>
          <w:rFonts w:hint="eastAsia" w:ascii="宋体" w:hAnsi="宋体" w:cs="宋体"/>
          <w:b/>
          <w:color w:val="auto"/>
          <w:szCs w:val="21"/>
          <w:highlight w:val="none"/>
        </w:rPr>
        <w:t>附表A:售后服务机构情况表</w:t>
      </w:r>
      <w:r>
        <w:rPr>
          <w:rFonts w:hint="eastAsia" w:ascii="宋体" w:hAnsi="宋体" w:cs="宋体"/>
          <w:color w:val="auto"/>
          <w:szCs w:val="21"/>
          <w:highlight w:val="none"/>
        </w:rPr>
        <w:t>（按此格式自制）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EF1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C0CC2CA">
            <w:pPr>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340" w:type="dxa"/>
            <w:vAlign w:val="center"/>
          </w:tcPr>
          <w:p w14:paraId="370507D5">
            <w:pPr>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机构名称</w:t>
            </w:r>
          </w:p>
        </w:tc>
        <w:tc>
          <w:tcPr>
            <w:tcW w:w="1095" w:type="dxa"/>
            <w:vAlign w:val="center"/>
          </w:tcPr>
          <w:p w14:paraId="0F8309D7">
            <w:pPr>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机构性质</w:t>
            </w:r>
          </w:p>
        </w:tc>
        <w:tc>
          <w:tcPr>
            <w:tcW w:w="1245" w:type="dxa"/>
            <w:vAlign w:val="center"/>
          </w:tcPr>
          <w:p w14:paraId="7B1F5028">
            <w:pPr>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注册地址</w:t>
            </w:r>
          </w:p>
        </w:tc>
        <w:tc>
          <w:tcPr>
            <w:tcW w:w="1980" w:type="dxa"/>
            <w:vAlign w:val="center"/>
          </w:tcPr>
          <w:p w14:paraId="77052114">
            <w:pPr>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货物技术人员数量</w:t>
            </w:r>
          </w:p>
        </w:tc>
        <w:tc>
          <w:tcPr>
            <w:tcW w:w="1260" w:type="dxa"/>
            <w:vAlign w:val="center"/>
          </w:tcPr>
          <w:p w14:paraId="42AA7AB4">
            <w:pPr>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联系电话</w:t>
            </w:r>
          </w:p>
        </w:tc>
      </w:tr>
      <w:tr w14:paraId="04A7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vAlign w:val="center"/>
          </w:tcPr>
          <w:p w14:paraId="4A8EDE6A">
            <w:pPr>
              <w:autoSpaceDE w:val="0"/>
              <w:autoSpaceDN w:val="0"/>
              <w:spacing w:line="360" w:lineRule="auto"/>
              <w:jc w:val="center"/>
              <w:rPr>
                <w:rFonts w:ascii="宋体" w:hAnsi="宋体" w:cs="宋体"/>
                <w:color w:val="auto"/>
                <w:szCs w:val="21"/>
                <w:highlight w:val="none"/>
              </w:rPr>
            </w:pPr>
          </w:p>
        </w:tc>
        <w:tc>
          <w:tcPr>
            <w:tcW w:w="2340" w:type="dxa"/>
            <w:vAlign w:val="center"/>
          </w:tcPr>
          <w:p w14:paraId="52454192">
            <w:pPr>
              <w:autoSpaceDE w:val="0"/>
              <w:autoSpaceDN w:val="0"/>
              <w:spacing w:line="360" w:lineRule="auto"/>
              <w:jc w:val="center"/>
              <w:rPr>
                <w:rFonts w:ascii="宋体" w:hAnsi="宋体" w:cs="宋体"/>
                <w:color w:val="auto"/>
                <w:szCs w:val="21"/>
                <w:highlight w:val="none"/>
              </w:rPr>
            </w:pPr>
          </w:p>
        </w:tc>
        <w:tc>
          <w:tcPr>
            <w:tcW w:w="1095" w:type="dxa"/>
            <w:vAlign w:val="center"/>
          </w:tcPr>
          <w:p w14:paraId="69FA3025">
            <w:pPr>
              <w:autoSpaceDE w:val="0"/>
              <w:autoSpaceDN w:val="0"/>
              <w:spacing w:line="360" w:lineRule="auto"/>
              <w:jc w:val="center"/>
              <w:rPr>
                <w:rFonts w:ascii="宋体" w:hAnsi="宋体" w:cs="宋体"/>
                <w:color w:val="auto"/>
                <w:szCs w:val="21"/>
                <w:highlight w:val="none"/>
              </w:rPr>
            </w:pPr>
          </w:p>
        </w:tc>
        <w:tc>
          <w:tcPr>
            <w:tcW w:w="1245" w:type="dxa"/>
            <w:vAlign w:val="center"/>
          </w:tcPr>
          <w:p w14:paraId="4FB58F34">
            <w:pPr>
              <w:autoSpaceDE w:val="0"/>
              <w:autoSpaceDN w:val="0"/>
              <w:spacing w:line="360" w:lineRule="auto"/>
              <w:jc w:val="center"/>
              <w:rPr>
                <w:rFonts w:ascii="宋体" w:hAnsi="宋体" w:cs="宋体"/>
                <w:color w:val="auto"/>
                <w:szCs w:val="21"/>
                <w:highlight w:val="none"/>
              </w:rPr>
            </w:pPr>
          </w:p>
        </w:tc>
        <w:tc>
          <w:tcPr>
            <w:tcW w:w="1980" w:type="dxa"/>
            <w:vAlign w:val="center"/>
          </w:tcPr>
          <w:p w14:paraId="41B79FB8">
            <w:pPr>
              <w:autoSpaceDE w:val="0"/>
              <w:autoSpaceDN w:val="0"/>
              <w:spacing w:line="360" w:lineRule="auto"/>
              <w:jc w:val="center"/>
              <w:rPr>
                <w:rFonts w:ascii="宋体" w:hAnsi="宋体" w:cs="宋体"/>
                <w:color w:val="auto"/>
                <w:szCs w:val="21"/>
                <w:highlight w:val="none"/>
              </w:rPr>
            </w:pPr>
          </w:p>
        </w:tc>
        <w:tc>
          <w:tcPr>
            <w:tcW w:w="1260" w:type="dxa"/>
            <w:vAlign w:val="center"/>
          </w:tcPr>
          <w:p w14:paraId="612C29B7">
            <w:pPr>
              <w:autoSpaceDE w:val="0"/>
              <w:autoSpaceDN w:val="0"/>
              <w:spacing w:line="360" w:lineRule="auto"/>
              <w:jc w:val="center"/>
              <w:rPr>
                <w:rFonts w:ascii="宋体" w:hAnsi="宋体" w:cs="宋体"/>
                <w:color w:val="auto"/>
                <w:szCs w:val="21"/>
                <w:highlight w:val="none"/>
              </w:rPr>
            </w:pPr>
          </w:p>
        </w:tc>
      </w:tr>
      <w:tr w14:paraId="642D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53966B31">
            <w:pPr>
              <w:autoSpaceDE w:val="0"/>
              <w:autoSpaceDN w:val="0"/>
              <w:spacing w:line="360" w:lineRule="auto"/>
              <w:jc w:val="center"/>
              <w:rPr>
                <w:rFonts w:ascii="宋体" w:hAnsi="宋体" w:cs="宋体"/>
                <w:color w:val="auto"/>
                <w:szCs w:val="21"/>
                <w:highlight w:val="none"/>
              </w:rPr>
            </w:pPr>
          </w:p>
        </w:tc>
        <w:tc>
          <w:tcPr>
            <w:tcW w:w="2340" w:type="dxa"/>
            <w:vAlign w:val="center"/>
          </w:tcPr>
          <w:p w14:paraId="23C40B8C">
            <w:pPr>
              <w:autoSpaceDE w:val="0"/>
              <w:autoSpaceDN w:val="0"/>
              <w:spacing w:line="360" w:lineRule="auto"/>
              <w:jc w:val="center"/>
              <w:rPr>
                <w:rFonts w:ascii="宋体" w:hAnsi="宋体" w:cs="宋体"/>
                <w:color w:val="auto"/>
                <w:szCs w:val="21"/>
                <w:highlight w:val="none"/>
              </w:rPr>
            </w:pPr>
          </w:p>
        </w:tc>
        <w:tc>
          <w:tcPr>
            <w:tcW w:w="1095" w:type="dxa"/>
            <w:vAlign w:val="center"/>
          </w:tcPr>
          <w:p w14:paraId="01D4A261">
            <w:pPr>
              <w:autoSpaceDE w:val="0"/>
              <w:autoSpaceDN w:val="0"/>
              <w:spacing w:line="360" w:lineRule="auto"/>
              <w:jc w:val="center"/>
              <w:rPr>
                <w:rFonts w:ascii="宋体" w:hAnsi="宋体" w:cs="宋体"/>
                <w:color w:val="auto"/>
                <w:szCs w:val="21"/>
                <w:highlight w:val="none"/>
              </w:rPr>
            </w:pPr>
          </w:p>
        </w:tc>
        <w:tc>
          <w:tcPr>
            <w:tcW w:w="1245" w:type="dxa"/>
            <w:vAlign w:val="center"/>
          </w:tcPr>
          <w:p w14:paraId="54057354">
            <w:pPr>
              <w:autoSpaceDE w:val="0"/>
              <w:autoSpaceDN w:val="0"/>
              <w:spacing w:line="360" w:lineRule="auto"/>
              <w:jc w:val="center"/>
              <w:rPr>
                <w:rFonts w:ascii="宋体" w:hAnsi="宋体" w:cs="宋体"/>
                <w:color w:val="auto"/>
                <w:szCs w:val="21"/>
                <w:highlight w:val="none"/>
              </w:rPr>
            </w:pPr>
          </w:p>
        </w:tc>
        <w:tc>
          <w:tcPr>
            <w:tcW w:w="1980" w:type="dxa"/>
            <w:vAlign w:val="center"/>
          </w:tcPr>
          <w:p w14:paraId="38C95758">
            <w:pPr>
              <w:autoSpaceDE w:val="0"/>
              <w:autoSpaceDN w:val="0"/>
              <w:spacing w:line="360" w:lineRule="auto"/>
              <w:jc w:val="center"/>
              <w:rPr>
                <w:rFonts w:ascii="宋体" w:hAnsi="宋体" w:cs="宋体"/>
                <w:color w:val="auto"/>
                <w:szCs w:val="21"/>
                <w:highlight w:val="none"/>
              </w:rPr>
            </w:pPr>
          </w:p>
        </w:tc>
        <w:tc>
          <w:tcPr>
            <w:tcW w:w="1260" w:type="dxa"/>
            <w:vAlign w:val="center"/>
          </w:tcPr>
          <w:p w14:paraId="60DC542B">
            <w:pPr>
              <w:autoSpaceDE w:val="0"/>
              <w:autoSpaceDN w:val="0"/>
              <w:spacing w:line="360" w:lineRule="auto"/>
              <w:jc w:val="center"/>
              <w:rPr>
                <w:rFonts w:ascii="宋体" w:hAnsi="宋体" w:cs="宋体"/>
                <w:color w:val="auto"/>
                <w:szCs w:val="21"/>
                <w:highlight w:val="none"/>
              </w:rPr>
            </w:pPr>
          </w:p>
        </w:tc>
      </w:tr>
      <w:tr w14:paraId="76BB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5332AD12">
            <w:pPr>
              <w:autoSpaceDE w:val="0"/>
              <w:autoSpaceDN w:val="0"/>
              <w:spacing w:line="360" w:lineRule="auto"/>
              <w:jc w:val="center"/>
              <w:rPr>
                <w:rFonts w:ascii="宋体" w:hAnsi="宋体" w:cs="宋体"/>
                <w:color w:val="auto"/>
                <w:szCs w:val="21"/>
                <w:highlight w:val="none"/>
              </w:rPr>
            </w:pPr>
          </w:p>
        </w:tc>
        <w:tc>
          <w:tcPr>
            <w:tcW w:w="2340" w:type="dxa"/>
            <w:vAlign w:val="center"/>
          </w:tcPr>
          <w:p w14:paraId="740D8E41">
            <w:pPr>
              <w:autoSpaceDE w:val="0"/>
              <w:autoSpaceDN w:val="0"/>
              <w:spacing w:line="360" w:lineRule="auto"/>
              <w:jc w:val="center"/>
              <w:rPr>
                <w:rFonts w:ascii="宋体" w:hAnsi="宋体" w:cs="宋体"/>
                <w:color w:val="auto"/>
                <w:szCs w:val="21"/>
                <w:highlight w:val="none"/>
              </w:rPr>
            </w:pPr>
          </w:p>
        </w:tc>
        <w:tc>
          <w:tcPr>
            <w:tcW w:w="1095" w:type="dxa"/>
            <w:vAlign w:val="center"/>
          </w:tcPr>
          <w:p w14:paraId="1D2A3DF7">
            <w:pPr>
              <w:autoSpaceDE w:val="0"/>
              <w:autoSpaceDN w:val="0"/>
              <w:spacing w:line="360" w:lineRule="auto"/>
              <w:jc w:val="center"/>
              <w:rPr>
                <w:rFonts w:ascii="宋体" w:hAnsi="宋体" w:cs="宋体"/>
                <w:color w:val="auto"/>
                <w:szCs w:val="21"/>
                <w:highlight w:val="none"/>
              </w:rPr>
            </w:pPr>
          </w:p>
        </w:tc>
        <w:tc>
          <w:tcPr>
            <w:tcW w:w="1245" w:type="dxa"/>
            <w:vAlign w:val="center"/>
          </w:tcPr>
          <w:p w14:paraId="69F7CB06">
            <w:pPr>
              <w:autoSpaceDE w:val="0"/>
              <w:autoSpaceDN w:val="0"/>
              <w:spacing w:line="360" w:lineRule="auto"/>
              <w:jc w:val="center"/>
              <w:rPr>
                <w:rFonts w:ascii="宋体" w:hAnsi="宋体" w:cs="宋体"/>
                <w:color w:val="auto"/>
                <w:szCs w:val="21"/>
                <w:highlight w:val="none"/>
              </w:rPr>
            </w:pPr>
          </w:p>
        </w:tc>
        <w:tc>
          <w:tcPr>
            <w:tcW w:w="1980" w:type="dxa"/>
            <w:vAlign w:val="center"/>
          </w:tcPr>
          <w:p w14:paraId="40026415">
            <w:pPr>
              <w:autoSpaceDE w:val="0"/>
              <w:autoSpaceDN w:val="0"/>
              <w:spacing w:line="360" w:lineRule="auto"/>
              <w:jc w:val="center"/>
              <w:rPr>
                <w:rFonts w:ascii="宋体" w:hAnsi="宋体" w:cs="宋体"/>
                <w:color w:val="auto"/>
                <w:szCs w:val="21"/>
                <w:highlight w:val="none"/>
              </w:rPr>
            </w:pPr>
          </w:p>
        </w:tc>
        <w:tc>
          <w:tcPr>
            <w:tcW w:w="1260" w:type="dxa"/>
            <w:vAlign w:val="center"/>
          </w:tcPr>
          <w:p w14:paraId="506E6EEA">
            <w:pPr>
              <w:autoSpaceDE w:val="0"/>
              <w:autoSpaceDN w:val="0"/>
              <w:spacing w:line="360" w:lineRule="auto"/>
              <w:jc w:val="center"/>
              <w:rPr>
                <w:rFonts w:ascii="宋体" w:hAnsi="宋体" w:cs="宋体"/>
                <w:color w:val="auto"/>
                <w:szCs w:val="21"/>
                <w:highlight w:val="none"/>
              </w:rPr>
            </w:pPr>
          </w:p>
        </w:tc>
      </w:tr>
    </w:tbl>
    <w:p w14:paraId="575669BD">
      <w:pPr>
        <w:autoSpaceDE w:val="0"/>
        <w:autoSpaceDN w:val="0"/>
        <w:spacing w:line="360" w:lineRule="auto"/>
        <w:rPr>
          <w:rFonts w:ascii="宋体" w:hAnsi="宋体" w:cs="宋体"/>
          <w:color w:val="auto"/>
          <w:kern w:val="0"/>
          <w:szCs w:val="21"/>
          <w:highlight w:val="none"/>
        </w:rPr>
      </w:pPr>
      <w:r>
        <w:rPr>
          <w:rFonts w:hint="eastAsia" w:ascii="宋体" w:hAnsi="宋体" w:cs="宋体"/>
          <w:b/>
          <w:color w:val="auto"/>
          <w:szCs w:val="21"/>
          <w:highlight w:val="none"/>
        </w:rPr>
        <w:t>注：关于项目涉及的所有售后服务机构均在本表注明，包括供应商本单位和符合条件的第三方货物机构；</w:t>
      </w:r>
    </w:p>
    <w:p w14:paraId="1906BA20">
      <w:pPr>
        <w:autoSpaceDE w:val="0"/>
        <w:autoSpaceDN w:val="0"/>
        <w:spacing w:line="360" w:lineRule="auto"/>
        <w:rPr>
          <w:rFonts w:ascii="宋体" w:hAnsi="宋体" w:cs="宋体"/>
          <w:color w:val="auto"/>
          <w:kern w:val="0"/>
          <w:szCs w:val="21"/>
          <w:highlight w:val="none"/>
        </w:rPr>
      </w:pPr>
      <w:r>
        <w:rPr>
          <w:rFonts w:hint="eastAsia" w:ascii="宋体" w:hAnsi="宋体" w:cs="宋体"/>
          <w:b/>
          <w:color w:val="auto"/>
          <w:kern w:val="0"/>
          <w:szCs w:val="21"/>
          <w:highlight w:val="none"/>
        </w:rPr>
        <w:t>附表B：售后服务人员情况表</w:t>
      </w:r>
      <w:r>
        <w:rPr>
          <w:rFonts w:hint="eastAsia" w:ascii="宋体" w:hAnsi="宋体" w:cs="宋体"/>
          <w:color w:val="auto"/>
          <w:szCs w:val="21"/>
          <w:highlight w:val="none"/>
        </w:rPr>
        <w:t>（按此格式自制）</w:t>
      </w:r>
    </w:p>
    <w:tbl>
      <w:tblPr>
        <w:tblStyle w:val="23"/>
        <w:tblW w:w="10002" w:type="dxa"/>
        <w:jc w:val="center"/>
        <w:tblLayout w:type="fixed"/>
        <w:tblCellMar>
          <w:top w:w="0" w:type="dxa"/>
          <w:left w:w="108" w:type="dxa"/>
          <w:bottom w:w="0" w:type="dxa"/>
          <w:right w:w="108" w:type="dxa"/>
        </w:tblCellMar>
      </w:tblPr>
      <w:tblGrid>
        <w:gridCol w:w="646"/>
        <w:gridCol w:w="746"/>
        <w:gridCol w:w="787"/>
        <w:gridCol w:w="685"/>
        <w:gridCol w:w="705"/>
        <w:gridCol w:w="1002"/>
        <w:gridCol w:w="1080"/>
        <w:gridCol w:w="1080"/>
        <w:gridCol w:w="1098"/>
        <w:gridCol w:w="1062"/>
        <w:gridCol w:w="1111"/>
      </w:tblGrid>
      <w:tr w14:paraId="4661138C">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0A37A699">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5B88E390">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C762032">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685" w:type="dxa"/>
            <w:tcBorders>
              <w:top w:val="single" w:color="auto" w:sz="6" w:space="0"/>
              <w:left w:val="single" w:color="auto" w:sz="6" w:space="0"/>
              <w:bottom w:val="single" w:color="auto" w:sz="6" w:space="0"/>
              <w:right w:val="single" w:color="auto" w:sz="6" w:space="0"/>
            </w:tcBorders>
            <w:vAlign w:val="center"/>
          </w:tcPr>
          <w:p w14:paraId="68F89FF0">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705" w:type="dxa"/>
            <w:tcBorders>
              <w:top w:val="single" w:color="auto" w:sz="6" w:space="0"/>
              <w:left w:val="single" w:color="auto" w:sz="6" w:space="0"/>
              <w:bottom w:val="single" w:color="auto" w:sz="6" w:space="0"/>
              <w:right w:val="single" w:color="auto" w:sz="6" w:space="0"/>
            </w:tcBorders>
            <w:vAlign w:val="center"/>
          </w:tcPr>
          <w:p w14:paraId="36B8D9FD">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002" w:type="dxa"/>
            <w:tcBorders>
              <w:top w:val="single" w:color="auto" w:sz="6" w:space="0"/>
              <w:left w:val="single" w:color="auto" w:sz="6" w:space="0"/>
              <w:bottom w:val="single" w:color="auto" w:sz="6" w:space="0"/>
              <w:right w:val="single" w:color="auto" w:sz="6" w:space="0"/>
            </w:tcBorders>
            <w:vAlign w:val="center"/>
          </w:tcPr>
          <w:p w14:paraId="2DE3DF46">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08F05FE9">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0675D8F">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098" w:type="dxa"/>
            <w:tcBorders>
              <w:top w:val="single" w:color="auto" w:sz="6" w:space="0"/>
              <w:left w:val="single" w:color="auto" w:sz="6" w:space="0"/>
              <w:bottom w:val="single" w:color="auto" w:sz="6" w:space="0"/>
              <w:right w:val="single" w:color="auto" w:sz="6" w:space="0"/>
            </w:tcBorders>
            <w:vAlign w:val="center"/>
          </w:tcPr>
          <w:p w14:paraId="0DD76F69">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本项目中的职责</w:t>
            </w:r>
          </w:p>
        </w:tc>
        <w:tc>
          <w:tcPr>
            <w:tcW w:w="1062" w:type="dxa"/>
            <w:tcBorders>
              <w:top w:val="single" w:color="auto" w:sz="6" w:space="0"/>
              <w:left w:val="single" w:color="auto" w:sz="6" w:space="0"/>
              <w:bottom w:val="single" w:color="auto" w:sz="6" w:space="0"/>
              <w:right w:val="single" w:color="auto" w:sz="6" w:space="0"/>
            </w:tcBorders>
            <w:vAlign w:val="center"/>
          </w:tcPr>
          <w:p w14:paraId="12CA9C45">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AFB6504">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到达现场时间</w:t>
            </w:r>
          </w:p>
        </w:tc>
      </w:tr>
      <w:tr w14:paraId="08E96C48">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101E1C2E">
            <w:pPr>
              <w:autoSpaceDE w:val="0"/>
              <w:autoSpaceDN w:val="0"/>
              <w:spacing w:line="360" w:lineRule="auto"/>
              <w:jc w:val="center"/>
              <w:rPr>
                <w:rFonts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3A7F02A8">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vAlign w:val="center"/>
          </w:tcPr>
          <w:p w14:paraId="6FC6DF0B">
            <w:pPr>
              <w:autoSpaceDE w:val="0"/>
              <w:autoSpaceDN w:val="0"/>
              <w:spacing w:line="360" w:lineRule="auto"/>
              <w:rPr>
                <w:rFonts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1E609267">
            <w:pPr>
              <w:autoSpaceDE w:val="0"/>
              <w:autoSpaceDN w:val="0"/>
              <w:spacing w:line="360" w:lineRule="auto"/>
              <w:rPr>
                <w:rFonts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65A00CCC">
            <w:pPr>
              <w:autoSpaceDE w:val="0"/>
              <w:autoSpaceDN w:val="0"/>
              <w:spacing w:line="360" w:lineRule="auto"/>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423EA5D8">
            <w:pPr>
              <w:autoSpaceDE w:val="0"/>
              <w:autoSpaceDN w:val="0"/>
              <w:spacing w:line="360" w:lineRule="auto"/>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7D043EDA">
            <w:pPr>
              <w:autoSpaceDE w:val="0"/>
              <w:autoSpaceDN w:val="0"/>
              <w:spacing w:line="360" w:lineRule="auto"/>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8E936E9">
            <w:pPr>
              <w:autoSpaceDE w:val="0"/>
              <w:autoSpaceDN w:val="0"/>
              <w:spacing w:line="360" w:lineRule="auto"/>
              <w:rPr>
                <w:rFonts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682ED187">
            <w:pPr>
              <w:autoSpaceDE w:val="0"/>
              <w:autoSpaceDN w:val="0"/>
              <w:spacing w:line="360" w:lineRule="auto"/>
              <w:rPr>
                <w:rFonts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566DBA59">
            <w:pPr>
              <w:autoSpaceDE w:val="0"/>
              <w:autoSpaceDN w:val="0"/>
              <w:spacing w:line="360" w:lineRule="auto"/>
              <w:rPr>
                <w:rFonts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7D25F7AE">
            <w:pPr>
              <w:autoSpaceDE w:val="0"/>
              <w:autoSpaceDN w:val="0"/>
              <w:spacing w:line="360" w:lineRule="auto"/>
              <w:rPr>
                <w:rFonts w:ascii="宋体" w:hAnsi="宋体" w:cs="宋体"/>
                <w:color w:val="auto"/>
                <w:szCs w:val="21"/>
                <w:highlight w:val="none"/>
              </w:rPr>
            </w:pPr>
          </w:p>
        </w:tc>
      </w:tr>
      <w:tr w14:paraId="3413258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7F0C3B35">
            <w:pPr>
              <w:autoSpaceDE w:val="0"/>
              <w:autoSpaceDN w:val="0"/>
              <w:spacing w:line="360" w:lineRule="auto"/>
              <w:jc w:val="center"/>
              <w:rPr>
                <w:rFonts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5B0D1A74">
            <w:pPr>
              <w:autoSpaceDE w:val="0"/>
              <w:autoSpaceDN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vAlign w:val="center"/>
          </w:tcPr>
          <w:p w14:paraId="36C1EFC5">
            <w:pPr>
              <w:autoSpaceDE w:val="0"/>
              <w:autoSpaceDN w:val="0"/>
              <w:spacing w:line="360" w:lineRule="auto"/>
              <w:rPr>
                <w:rFonts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1C059AF4">
            <w:pPr>
              <w:autoSpaceDE w:val="0"/>
              <w:autoSpaceDN w:val="0"/>
              <w:spacing w:line="360" w:lineRule="auto"/>
              <w:rPr>
                <w:rFonts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522B8F28">
            <w:pPr>
              <w:autoSpaceDE w:val="0"/>
              <w:autoSpaceDN w:val="0"/>
              <w:spacing w:line="360" w:lineRule="auto"/>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62BAD059">
            <w:pPr>
              <w:autoSpaceDE w:val="0"/>
              <w:autoSpaceDN w:val="0"/>
              <w:spacing w:line="360" w:lineRule="auto"/>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12CE69B8">
            <w:pPr>
              <w:autoSpaceDE w:val="0"/>
              <w:autoSpaceDN w:val="0"/>
              <w:spacing w:line="360" w:lineRule="auto"/>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D3DA9B6">
            <w:pPr>
              <w:autoSpaceDE w:val="0"/>
              <w:autoSpaceDN w:val="0"/>
              <w:spacing w:line="360" w:lineRule="auto"/>
              <w:rPr>
                <w:rFonts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4B79355A">
            <w:pPr>
              <w:autoSpaceDE w:val="0"/>
              <w:autoSpaceDN w:val="0"/>
              <w:spacing w:line="360" w:lineRule="auto"/>
              <w:rPr>
                <w:rFonts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145F228A">
            <w:pPr>
              <w:autoSpaceDE w:val="0"/>
              <w:autoSpaceDN w:val="0"/>
              <w:spacing w:line="360" w:lineRule="auto"/>
              <w:rPr>
                <w:rFonts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12881C7F">
            <w:pPr>
              <w:autoSpaceDE w:val="0"/>
              <w:autoSpaceDN w:val="0"/>
              <w:spacing w:line="360" w:lineRule="auto"/>
              <w:rPr>
                <w:rFonts w:ascii="宋体" w:hAnsi="宋体" w:cs="宋体"/>
                <w:color w:val="auto"/>
                <w:szCs w:val="21"/>
                <w:highlight w:val="none"/>
              </w:rPr>
            </w:pPr>
          </w:p>
        </w:tc>
      </w:tr>
      <w:tr w14:paraId="53B9D4B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673DFC85">
            <w:pPr>
              <w:autoSpaceDE w:val="0"/>
              <w:autoSpaceDN w:val="0"/>
              <w:spacing w:line="360" w:lineRule="auto"/>
              <w:jc w:val="center"/>
              <w:rPr>
                <w:rFonts w:ascii="宋体" w:hAnsi="宋体" w:cs="宋体"/>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041CDD46">
            <w:pPr>
              <w:autoSpaceDE w:val="0"/>
              <w:autoSpaceDN w:val="0"/>
              <w:spacing w:line="360" w:lineRule="auto"/>
              <w:jc w:val="center"/>
              <w:rPr>
                <w:rFonts w:ascii="宋体" w:hAnsi="宋体" w:cs="宋体"/>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vAlign w:val="center"/>
          </w:tcPr>
          <w:p w14:paraId="7F2296AC">
            <w:pPr>
              <w:autoSpaceDE w:val="0"/>
              <w:autoSpaceDN w:val="0"/>
              <w:spacing w:line="360" w:lineRule="auto"/>
              <w:rPr>
                <w:rFonts w:ascii="宋体" w:hAnsi="宋体" w:cs="宋体"/>
                <w:color w:val="auto"/>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5A7F2362">
            <w:pPr>
              <w:autoSpaceDE w:val="0"/>
              <w:autoSpaceDN w:val="0"/>
              <w:spacing w:line="360" w:lineRule="auto"/>
              <w:rPr>
                <w:rFonts w:ascii="宋体" w:hAnsi="宋体" w:cs="宋体"/>
                <w:color w:val="auto"/>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509AAA2C">
            <w:pPr>
              <w:autoSpaceDE w:val="0"/>
              <w:autoSpaceDN w:val="0"/>
              <w:spacing w:line="360" w:lineRule="auto"/>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5C82FDA1">
            <w:pPr>
              <w:autoSpaceDE w:val="0"/>
              <w:autoSpaceDN w:val="0"/>
              <w:spacing w:line="360" w:lineRule="auto"/>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1C2E9940">
            <w:pPr>
              <w:autoSpaceDE w:val="0"/>
              <w:autoSpaceDN w:val="0"/>
              <w:spacing w:line="360" w:lineRule="auto"/>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7A2962E">
            <w:pPr>
              <w:autoSpaceDE w:val="0"/>
              <w:autoSpaceDN w:val="0"/>
              <w:spacing w:line="360" w:lineRule="auto"/>
              <w:rPr>
                <w:rFonts w:ascii="宋体" w:hAnsi="宋体" w:cs="宋体"/>
                <w:color w:val="auto"/>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177B2171">
            <w:pPr>
              <w:autoSpaceDE w:val="0"/>
              <w:autoSpaceDN w:val="0"/>
              <w:spacing w:line="360" w:lineRule="auto"/>
              <w:rPr>
                <w:rFonts w:ascii="宋体" w:hAnsi="宋体" w:cs="宋体"/>
                <w:color w:val="auto"/>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2F1F7578">
            <w:pPr>
              <w:autoSpaceDE w:val="0"/>
              <w:autoSpaceDN w:val="0"/>
              <w:spacing w:line="360" w:lineRule="auto"/>
              <w:rPr>
                <w:rFonts w:ascii="宋体" w:hAnsi="宋体" w:cs="宋体"/>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4614D7FD">
            <w:pPr>
              <w:autoSpaceDE w:val="0"/>
              <w:autoSpaceDN w:val="0"/>
              <w:spacing w:line="360" w:lineRule="auto"/>
              <w:rPr>
                <w:rFonts w:ascii="宋体" w:hAnsi="宋体" w:cs="宋体"/>
                <w:color w:val="auto"/>
                <w:szCs w:val="21"/>
                <w:highlight w:val="none"/>
              </w:rPr>
            </w:pPr>
          </w:p>
        </w:tc>
      </w:tr>
    </w:tbl>
    <w:p w14:paraId="0E9C23C4">
      <w:pPr>
        <w:pStyle w:val="22"/>
        <w:ind w:left="0" w:leftChars="0" w:firstLine="0" w:firstLineChars="0"/>
        <w:rPr>
          <w:rFonts w:ascii="宋体" w:hAnsi="宋体" w:cs="宋体"/>
          <w:color w:val="auto"/>
          <w:szCs w:val="21"/>
          <w:highlight w:val="none"/>
        </w:rPr>
      </w:pPr>
    </w:p>
    <w:p w14:paraId="4E11CDE4">
      <w:pPr>
        <w:pStyle w:val="22"/>
        <w:ind w:left="0" w:leftChars="0" w:firstLine="0" w:firstLineChars="0"/>
        <w:rPr>
          <w:rFonts w:ascii="宋体" w:hAnsi="宋体" w:cs="宋体"/>
          <w:b/>
          <w:color w:val="auto"/>
          <w:kern w:val="0"/>
          <w:szCs w:val="21"/>
          <w:highlight w:val="none"/>
        </w:rPr>
      </w:pPr>
      <w:r>
        <w:rPr>
          <w:rFonts w:hint="eastAsia" w:ascii="宋体" w:hAnsi="宋体" w:cs="宋体"/>
          <w:b/>
          <w:color w:val="auto"/>
          <w:kern w:val="0"/>
          <w:szCs w:val="21"/>
          <w:highlight w:val="none"/>
        </w:rPr>
        <w:t>附表C：质保期满后售后服务</w:t>
      </w:r>
      <w:r>
        <w:rPr>
          <w:rFonts w:hint="eastAsia" w:ascii="宋体" w:hAnsi="宋体" w:cs="宋体"/>
          <w:color w:val="auto"/>
          <w:szCs w:val="21"/>
          <w:highlight w:val="none"/>
        </w:rPr>
        <w:t>（按此格式自制）</w:t>
      </w:r>
    </w:p>
    <w:tbl>
      <w:tblPr>
        <w:tblStyle w:val="23"/>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458"/>
        <w:gridCol w:w="1293"/>
        <w:gridCol w:w="1023"/>
        <w:gridCol w:w="826"/>
        <w:gridCol w:w="813"/>
        <w:gridCol w:w="1399"/>
        <w:gridCol w:w="1108"/>
        <w:gridCol w:w="1222"/>
      </w:tblGrid>
      <w:tr w14:paraId="6009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177" w:type="dxa"/>
            <w:gridSpan w:val="5"/>
            <w:tcBorders>
              <w:top w:val="single" w:color="auto" w:sz="4" w:space="0"/>
              <w:left w:val="single" w:color="auto" w:sz="4" w:space="0"/>
              <w:bottom w:val="single" w:color="auto" w:sz="4" w:space="0"/>
              <w:right w:val="single" w:color="auto" w:sz="4" w:space="0"/>
            </w:tcBorders>
            <w:vAlign w:val="center"/>
          </w:tcPr>
          <w:p w14:paraId="7EF5EA67">
            <w:pPr>
              <w:spacing w:line="24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厂家信息</w:t>
            </w:r>
          </w:p>
        </w:tc>
        <w:tc>
          <w:tcPr>
            <w:tcW w:w="4542" w:type="dxa"/>
            <w:gridSpan w:val="4"/>
            <w:tcBorders>
              <w:top w:val="single" w:color="auto" w:sz="4" w:space="0"/>
              <w:left w:val="single" w:color="auto" w:sz="4" w:space="0"/>
              <w:bottom w:val="single" w:color="auto" w:sz="4" w:space="0"/>
              <w:right w:val="single" w:color="auto" w:sz="4" w:space="0"/>
            </w:tcBorders>
            <w:vAlign w:val="center"/>
          </w:tcPr>
          <w:p w14:paraId="61B056D6">
            <w:pPr>
              <w:widowControl/>
              <w:jc w:val="center"/>
              <w:textAlignment w:val="center"/>
              <w:rPr>
                <w:rFonts w:ascii="宋体" w:hAnsi="宋体" w:cs="宋体"/>
                <w:snapToGrid w:val="0"/>
                <w:color w:val="auto"/>
                <w:szCs w:val="21"/>
                <w:highlight w:val="none"/>
              </w:rPr>
            </w:pPr>
            <w:r>
              <w:rPr>
                <w:rFonts w:hint="eastAsia" w:ascii="宋体" w:hAnsi="宋体" w:cs="宋体"/>
                <w:snapToGrid w:val="0"/>
                <w:color w:val="auto"/>
                <w:szCs w:val="21"/>
                <w:highlight w:val="none"/>
              </w:rPr>
              <w:t>授权</w:t>
            </w:r>
            <w:r>
              <w:rPr>
                <w:rFonts w:hint="eastAsia" w:ascii="宋体" w:hAnsi="宋体" w:cs="宋体"/>
                <w:color w:val="auto"/>
                <w:szCs w:val="21"/>
                <w:highlight w:val="none"/>
              </w:rPr>
              <w:t>售后</w:t>
            </w:r>
            <w:r>
              <w:rPr>
                <w:rFonts w:hint="eastAsia" w:ascii="宋体" w:hAnsi="宋体" w:cs="宋体"/>
                <w:snapToGrid w:val="0"/>
                <w:color w:val="auto"/>
                <w:szCs w:val="21"/>
                <w:highlight w:val="none"/>
              </w:rPr>
              <w:t>代理商（如有）</w:t>
            </w:r>
          </w:p>
        </w:tc>
      </w:tr>
      <w:tr w14:paraId="2BA9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14:paraId="73E6EDF3">
            <w:pPr>
              <w:pStyle w:val="13"/>
              <w:wordWrap w:val="0"/>
              <w:snapToGrid w:val="0"/>
              <w:jc w:val="center"/>
              <w:rPr>
                <w:rFonts w:hAnsi="宋体" w:cs="宋体"/>
                <w:color w:val="auto"/>
                <w:spacing w:val="-20"/>
                <w:sz w:val="21"/>
                <w:highlight w:val="none"/>
              </w:rPr>
            </w:pPr>
            <w:r>
              <w:rPr>
                <w:rFonts w:hint="eastAsia" w:hAnsi="宋体" w:cs="宋体"/>
                <w:color w:val="auto"/>
                <w:spacing w:val="-20"/>
                <w:sz w:val="21"/>
                <w:highlight w:val="none"/>
              </w:rPr>
              <w:t>序号</w:t>
            </w:r>
          </w:p>
        </w:tc>
        <w:tc>
          <w:tcPr>
            <w:tcW w:w="1458" w:type="dxa"/>
            <w:tcBorders>
              <w:top w:val="single" w:color="auto" w:sz="4" w:space="0"/>
              <w:left w:val="single" w:color="auto" w:sz="4" w:space="0"/>
              <w:bottom w:val="single" w:color="auto" w:sz="4" w:space="0"/>
              <w:right w:val="single" w:color="auto" w:sz="4" w:space="0"/>
            </w:tcBorders>
            <w:vAlign w:val="center"/>
          </w:tcPr>
          <w:p w14:paraId="665622B4">
            <w:pPr>
              <w:wordWrap w:val="0"/>
              <w:topLinePunct/>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物品名称</w:t>
            </w:r>
          </w:p>
          <w:p w14:paraId="5CDA559B">
            <w:pPr>
              <w:wordWrap w:val="0"/>
              <w:topLinePunct/>
              <w:spacing w:line="240" w:lineRule="exact"/>
              <w:jc w:val="center"/>
              <w:rPr>
                <w:rFonts w:ascii="宋体" w:hAnsi="宋体" w:cs="宋体"/>
                <w:snapToGrid w:val="0"/>
                <w:color w:val="auto"/>
                <w:szCs w:val="21"/>
                <w:highlight w:val="none"/>
              </w:rPr>
            </w:pPr>
            <w:r>
              <w:rPr>
                <w:rFonts w:hint="eastAsia" w:ascii="宋体" w:hAnsi="宋体" w:cs="宋体"/>
                <w:color w:val="auto"/>
                <w:szCs w:val="21"/>
                <w:highlight w:val="none"/>
              </w:rPr>
              <w:t>（如为医疗器械，应填写药监注册或备案名称）</w:t>
            </w:r>
          </w:p>
        </w:tc>
        <w:tc>
          <w:tcPr>
            <w:tcW w:w="1293" w:type="dxa"/>
            <w:tcBorders>
              <w:top w:val="single" w:color="auto" w:sz="4" w:space="0"/>
              <w:left w:val="single" w:color="auto" w:sz="4" w:space="0"/>
              <w:bottom w:val="single" w:color="auto" w:sz="4" w:space="0"/>
              <w:right w:val="single" w:color="auto" w:sz="4" w:space="0"/>
            </w:tcBorders>
            <w:vAlign w:val="center"/>
          </w:tcPr>
          <w:p w14:paraId="7B54ADFE">
            <w:pPr>
              <w:spacing w:line="240" w:lineRule="exact"/>
              <w:jc w:val="center"/>
              <w:rPr>
                <w:rFonts w:ascii="宋体" w:hAnsi="宋体" w:cs="宋体"/>
                <w:snapToGrid w:val="0"/>
                <w:color w:val="auto"/>
                <w:szCs w:val="21"/>
                <w:highlight w:val="none"/>
              </w:rPr>
            </w:pPr>
            <w:r>
              <w:rPr>
                <w:rFonts w:hint="eastAsia" w:ascii="宋体" w:hAnsi="宋体" w:cs="宋体"/>
                <w:color w:val="auto"/>
                <w:szCs w:val="21"/>
                <w:highlight w:val="none"/>
              </w:rPr>
              <w:t>生产厂家名称</w:t>
            </w:r>
          </w:p>
        </w:tc>
        <w:tc>
          <w:tcPr>
            <w:tcW w:w="1023" w:type="dxa"/>
            <w:tcBorders>
              <w:top w:val="single" w:color="auto" w:sz="4" w:space="0"/>
              <w:left w:val="single" w:color="auto" w:sz="4" w:space="0"/>
              <w:bottom w:val="single" w:color="auto" w:sz="4" w:space="0"/>
              <w:right w:val="single" w:color="auto" w:sz="4" w:space="0"/>
            </w:tcBorders>
            <w:vAlign w:val="center"/>
          </w:tcPr>
          <w:p w14:paraId="0F7BEB0B">
            <w:pPr>
              <w:spacing w:line="240" w:lineRule="exact"/>
              <w:jc w:val="center"/>
              <w:rPr>
                <w:rFonts w:ascii="宋体" w:hAnsi="宋体" w:cs="宋体"/>
                <w:snapToGrid w:val="0"/>
                <w:color w:val="auto"/>
                <w:szCs w:val="21"/>
                <w:highlight w:val="none"/>
              </w:rPr>
            </w:pPr>
            <w:r>
              <w:rPr>
                <w:rFonts w:hint="eastAsia" w:ascii="宋体" w:hAnsi="宋体" w:cs="宋体"/>
                <w:color w:val="auto"/>
                <w:szCs w:val="21"/>
                <w:highlight w:val="none"/>
              </w:rPr>
              <w:t>厂家工程师</w:t>
            </w:r>
          </w:p>
        </w:tc>
        <w:tc>
          <w:tcPr>
            <w:tcW w:w="826" w:type="dxa"/>
            <w:tcBorders>
              <w:top w:val="single" w:color="auto" w:sz="4" w:space="0"/>
              <w:left w:val="single" w:color="auto" w:sz="4" w:space="0"/>
              <w:bottom w:val="single" w:color="auto" w:sz="4" w:space="0"/>
              <w:right w:val="single" w:color="auto" w:sz="4" w:space="0"/>
            </w:tcBorders>
            <w:vAlign w:val="center"/>
          </w:tcPr>
          <w:p w14:paraId="5A0E858C">
            <w:pPr>
              <w:spacing w:line="240" w:lineRule="exact"/>
              <w:jc w:val="center"/>
              <w:rPr>
                <w:rFonts w:ascii="宋体" w:hAnsi="宋体" w:cs="宋体"/>
                <w:snapToGrid w:val="0"/>
                <w:color w:val="auto"/>
                <w:szCs w:val="21"/>
                <w:highlight w:val="none"/>
              </w:rPr>
            </w:pPr>
            <w:r>
              <w:rPr>
                <w:rFonts w:hint="eastAsia" w:ascii="宋体" w:hAnsi="宋体" w:cs="宋体"/>
                <w:color w:val="auto"/>
                <w:szCs w:val="21"/>
                <w:highlight w:val="none"/>
              </w:rPr>
              <w:t>联系方式</w:t>
            </w:r>
          </w:p>
        </w:tc>
        <w:tc>
          <w:tcPr>
            <w:tcW w:w="813" w:type="dxa"/>
            <w:tcBorders>
              <w:top w:val="single" w:color="auto" w:sz="4" w:space="0"/>
              <w:left w:val="single" w:color="auto" w:sz="4" w:space="0"/>
              <w:bottom w:val="single" w:color="auto" w:sz="4" w:space="0"/>
              <w:right w:val="single" w:color="auto" w:sz="4" w:space="0"/>
            </w:tcBorders>
            <w:vAlign w:val="center"/>
          </w:tcPr>
          <w:p w14:paraId="75186745">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99" w:type="dxa"/>
            <w:tcBorders>
              <w:top w:val="single" w:color="auto" w:sz="4" w:space="0"/>
              <w:left w:val="single" w:color="auto" w:sz="4" w:space="0"/>
              <w:bottom w:val="single" w:color="auto" w:sz="4" w:space="0"/>
              <w:right w:val="single" w:color="auto" w:sz="4" w:space="0"/>
            </w:tcBorders>
            <w:vAlign w:val="center"/>
          </w:tcPr>
          <w:p w14:paraId="0D2A912C">
            <w:pPr>
              <w:pStyle w:val="13"/>
              <w:wordWrap w:val="0"/>
              <w:snapToGrid w:val="0"/>
              <w:jc w:val="center"/>
              <w:rPr>
                <w:rFonts w:hAnsi="宋体" w:cs="宋体"/>
                <w:snapToGrid w:val="0"/>
                <w:color w:val="auto"/>
                <w:sz w:val="21"/>
                <w:highlight w:val="none"/>
              </w:rPr>
            </w:pPr>
            <w:r>
              <w:rPr>
                <w:rFonts w:hint="eastAsia" w:hAnsi="宋体" w:cs="宋体"/>
                <w:color w:val="auto"/>
                <w:sz w:val="21"/>
                <w:highlight w:val="none"/>
              </w:rPr>
              <w:t>授权售后代理商名称（维修、配件供应及服务）</w:t>
            </w:r>
          </w:p>
        </w:tc>
        <w:tc>
          <w:tcPr>
            <w:tcW w:w="1108" w:type="dxa"/>
            <w:tcBorders>
              <w:top w:val="single" w:color="auto" w:sz="4" w:space="0"/>
              <w:left w:val="single" w:color="auto" w:sz="4" w:space="0"/>
              <w:bottom w:val="single" w:color="auto" w:sz="4" w:space="0"/>
              <w:right w:val="single" w:color="auto" w:sz="4" w:space="0"/>
            </w:tcBorders>
            <w:vAlign w:val="center"/>
          </w:tcPr>
          <w:p w14:paraId="2ECFD9AF">
            <w:pPr>
              <w:widowControl/>
              <w:jc w:val="center"/>
              <w:textAlignment w:val="center"/>
              <w:rPr>
                <w:rFonts w:ascii="宋体" w:hAnsi="宋体" w:cs="宋体"/>
                <w:snapToGrid w:val="0"/>
                <w:color w:val="auto"/>
                <w:szCs w:val="21"/>
                <w:highlight w:val="none"/>
              </w:rPr>
            </w:pPr>
            <w:r>
              <w:rPr>
                <w:rFonts w:hint="eastAsia" w:ascii="宋体" w:hAnsi="宋体" w:cs="宋体"/>
                <w:color w:val="auto"/>
                <w:kern w:val="0"/>
                <w:szCs w:val="21"/>
                <w:highlight w:val="none"/>
              </w:rPr>
              <w:t>代理商联系人</w:t>
            </w:r>
          </w:p>
        </w:tc>
        <w:tc>
          <w:tcPr>
            <w:tcW w:w="1222" w:type="dxa"/>
            <w:tcBorders>
              <w:top w:val="single" w:color="auto" w:sz="4" w:space="0"/>
              <w:left w:val="single" w:color="auto" w:sz="4" w:space="0"/>
              <w:bottom w:val="single" w:color="auto" w:sz="4" w:space="0"/>
              <w:right w:val="single" w:color="auto" w:sz="4" w:space="0"/>
            </w:tcBorders>
            <w:vAlign w:val="center"/>
          </w:tcPr>
          <w:p w14:paraId="3BBF3BDE">
            <w:pPr>
              <w:widowControl/>
              <w:jc w:val="center"/>
              <w:textAlignment w:val="center"/>
              <w:rPr>
                <w:rFonts w:ascii="宋体" w:hAnsi="宋体" w:cs="宋体"/>
                <w:snapToGrid w:val="0"/>
                <w:color w:val="auto"/>
                <w:szCs w:val="21"/>
                <w:highlight w:val="none"/>
              </w:rPr>
            </w:pPr>
            <w:r>
              <w:rPr>
                <w:rFonts w:hint="eastAsia" w:ascii="宋体" w:hAnsi="宋体" w:cs="宋体"/>
                <w:color w:val="auto"/>
                <w:kern w:val="0"/>
                <w:szCs w:val="21"/>
                <w:highlight w:val="none"/>
              </w:rPr>
              <w:t>联系方式</w:t>
            </w:r>
          </w:p>
        </w:tc>
      </w:tr>
      <w:tr w14:paraId="2CA5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restart"/>
            <w:tcBorders>
              <w:top w:val="single" w:color="auto" w:sz="4" w:space="0"/>
              <w:left w:val="single" w:color="auto" w:sz="4" w:space="0"/>
              <w:right w:val="single" w:color="auto" w:sz="4" w:space="0"/>
            </w:tcBorders>
          </w:tcPr>
          <w:p w14:paraId="47CC6D95">
            <w:pPr>
              <w:wordWrap w:val="0"/>
              <w:adjustRightInd w:val="0"/>
              <w:snapToGrid w:val="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w:t>
            </w:r>
          </w:p>
        </w:tc>
        <w:tc>
          <w:tcPr>
            <w:tcW w:w="1458" w:type="dxa"/>
            <w:vMerge w:val="restart"/>
            <w:tcBorders>
              <w:top w:val="single" w:color="auto" w:sz="4" w:space="0"/>
              <w:left w:val="single" w:color="auto" w:sz="4" w:space="0"/>
              <w:right w:val="single" w:color="auto" w:sz="4" w:space="0"/>
            </w:tcBorders>
          </w:tcPr>
          <w:p w14:paraId="2608475C">
            <w:pPr>
              <w:wordWrap w:val="0"/>
              <w:adjustRightInd w:val="0"/>
              <w:snapToGrid w:val="0"/>
              <w:rPr>
                <w:rFonts w:ascii="宋体" w:hAnsi="宋体" w:cs="宋体"/>
                <w:color w:val="auto"/>
                <w:szCs w:val="21"/>
                <w:highlight w:val="none"/>
              </w:rPr>
            </w:pPr>
          </w:p>
        </w:tc>
        <w:tc>
          <w:tcPr>
            <w:tcW w:w="1293" w:type="dxa"/>
            <w:vMerge w:val="restart"/>
            <w:tcBorders>
              <w:top w:val="single" w:color="auto" w:sz="4" w:space="0"/>
              <w:left w:val="single" w:color="auto" w:sz="4" w:space="0"/>
              <w:right w:val="single" w:color="auto" w:sz="4" w:space="0"/>
            </w:tcBorders>
          </w:tcPr>
          <w:p w14:paraId="00F1FD21">
            <w:pPr>
              <w:wordWrap w:val="0"/>
              <w:adjustRightInd w:val="0"/>
              <w:snapToGrid w:val="0"/>
              <w:rPr>
                <w:rFonts w:ascii="宋体" w:hAnsi="宋体" w:cs="宋体"/>
                <w:color w:val="auto"/>
                <w:szCs w:val="21"/>
                <w:highlight w:val="none"/>
              </w:rPr>
            </w:pPr>
          </w:p>
        </w:tc>
        <w:tc>
          <w:tcPr>
            <w:tcW w:w="1023" w:type="dxa"/>
            <w:vMerge w:val="restart"/>
            <w:tcBorders>
              <w:top w:val="single" w:color="auto" w:sz="4" w:space="0"/>
              <w:left w:val="single" w:color="auto" w:sz="4" w:space="0"/>
              <w:right w:val="single" w:color="auto" w:sz="4" w:space="0"/>
            </w:tcBorders>
          </w:tcPr>
          <w:p w14:paraId="3CEF5065">
            <w:pPr>
              <w:wordWrap w:val="0"/>
              <w:adjustRightInd w:val="0"/>
              <w:snapToGrid w:val="0"/>
              <w:rPr>
                <w:rFonts w:ascii="宋体" w:hAnsi="宋体" w:cs="宋体"/>
                <w:color w:val="auto"/>
                <w:szCs w:val="21"/>
                <w:highlight w:val="none"/>
              </w:rPr>
            </w:pPr>
          </w:p>
        </w:tc>
        <w:tc>
          <w:tcPr>
            <w:tcW w:w="826" w:type="dxa"/>
            <w:vMerge w:val="restart"/>
            <w:tcBorders>
              <w:top w:val="single" w:color="auto" w:sz="4" w:space="0"/>
              <w:left w:val="single" w:color="auto" w:sz="4" w:space="0"/>
              <w:right w:val="single" w:color="auto" w:sz="4" w:space="0"/>
            </w:tcBorders>
          </w:tcPr>
          <w:p w14:paraId="4BE74B85">
            <w:pPr>
              <w:wordWrap w:val="0"/>
              <w:adjustRightInd w:val="0"/>
              <w:snapToGrid w:val="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63C0CF98">
            <w:pPr>
              <w:wordWrap w:val="0"/>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1399" w:type="dxa"/>
            <w:tcBorders>
              <w:top w:val="single" w:color="auto" w:sz="4" w:space="0"/>
              <w:left w:val="single" w:color="auto" w:sz="4" w:space="0"/>
              <w:bottom w:val="single" w:color="auto" w:sz="4" w:space="0"/>
              <w:right w:val="single" w:color="auto" w:sz="4" w:space="0"/>
            </w:tcBorders>
          </w:tcPr>
          <w:p w14:paraId="75F6355E">
            <w:pPr>
              <w:wordWrap w:val="0"/>
              <w:adjustRightInd w:val="0"/>
              <w:snapToGrid w:val="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37632A7D">
            <w:pPr>
              <w:wordWrap w:val="0"/>
              <w:adjustRightInd w:val="0"/>
              <w:snapToGrid w:val="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790762C4">
            <w:pPr>
              <w:wordWrap w:val="0"/>
              <w:adjustRightInd w:val="0"/>
              <w:snapToGrid w:val="0"/>
              <w:rPr>
                <w:rFonts w:ascii="宋体" w:hAnsi="宋体" w:cs="宋体"/>
                <w:color w:val="auto"/>
                <w:szCs w:val="21"/>
                <w:highlight w:val="none"/>
              </w:rPr>
            </w:pPr>
          </w:p>
        </w:tc>
      </w:tr>
      <w:tr w14:paraId="0D11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tcPr>
          <w:p w14:paraId="06EE25FD">
            <w:pPr>
              <w:wordWrap w:val="0"/>
              <w:adjustRightInd w:val="0"/>
              <w:snapToGrid w:val="0"/>
              <w:jc w:val="center"/>
              <w:rPr>
                <w:rFonts w:ascii="宋体" w:hAnsi="宋体" w:cs="宋体"/>
                <w:snapToGrid w:val="0"/>
                <w:color w:val="auto"/>
                <w:szCs w:val="21"/>
                <w:highlight w:val="none"/>
              </w:rPr>
            </w:pPr>
          </w:p>
        </w:tc>
        <w:tc>
          <w:tcPr>
            <w:tcW w:w="1458" w:type="dxa"/>
            <w:vMerge w:val="continue"/>
            <w:tcBorders>
              <w:left w:val="single" w:color="auto" w:sz="4" w:space="0"/>
              <w:right w:val="single" w:color="auto" w:sz="4" w:space="0"/>
            </w:tcBorders>
          </w:tcPr>
          <w:p w14:paraId="296594D9">
            <w:pPr>
              <w:wordWrap w:val="0"/>
              <w:adjustRightInd w:val="0"/>
              <w:snapToGrid w:val="0"/>
              <w:rPr>
                <w:rFonts w:ascii="宋体" w:hAnsi="宋体" w:cs="宋体"/>
                <w:color w:val="auto"/>
                <w:szCs w:val="21"/>
                <w:highlight w:val="none"/>
              </w:rPr>
            </w:pPr>
          </w:p>
        </w:tc>
        <w:tc>
          <w:tcPr>
            <w:tcW w:w="1293" w:type="dxa"/>
            <w:vMerge w:val="continue"/>
            <w:tcBorders>
              <w:left w:val="single" w:color="auto" w:sz="4" w:space="0"/>
              <w:right w:val="single" w:color="auto" w:sz="4" w:space="0"/>
            </w:tcBorders>
          </w:tcPr>
          <w:p w14:paraId="329F1C93">
            <w:pPr>
              <w:wordWrap w:val="0"/>
              <w:adjustRightInd w:val="0"/>
              <w:snapToGrid w:val="0"/>
              <w:rPr>
                <w:rFonts w:ascii="宋体" w:hAnsi="宋体" w:cs="宋体"/>
                <w:color w:val="auto"/>
                <w:szCs w:val="21"/>
                <w:highlight w:val="none"/>
              </w:rPr>
            </w:pPr>
          </w:p>
        </w:tc>
        <w:tc>
          <w:tcPr>
            <w:tcW w:w="1023" w:type="dxa"/>
            <w:vMerge w:val="continue"/>
            <w:tcBorders>
              <w:left w:val="single" w:color="auto" w:sz="4" w:space="0"/>
              <w:right w:val="single" w:color="auto" w:sz="4" w:space="0"/>
            </w:tcBorders>
          </w:tcPr>
          <w:p w14:paraId="2CF726F5">
            <w:pPr>
              <w:wordWrap w:val="0"/>
              <w:adjustRightInd w:val="0"/>
              <w:snapToGrid w:val="0"/>
              <w:rPr>
                <w:rFonts w:ascii="宋体" w:hAnsi="宋体" w:cs="宋体"/>
                <w:color w:val="auto"/>
                <w:szCs w:val="21"/>
                <w:highlight w:val="none"/>
              </w:rPr>
            </w:pPr>
          </w:p>
        </w:tc>
        <w:tc>
          <w:tcPr>
            <w:tcW w:w="826" w:type="dxa"/>
            <w:vMerge w:val="continue"/>
            <w:tcBorders>
              <w:left w:val="single" w:color="auto" w:sz="4" w:space="0"/>
              <w:right w:val="single" w:color="auto" w:sz="4" w:space="0"/>
            </w:tcBorders>
          </w:tcPr>
          <w:p w14:paraId="5F410EF6">
            <w:pPr>
              <w:wordWrap w:val="0"/>
              <w:adjustRightInd w:val="0"/>
              <w:snapToGrid w:val="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1431F3B0">
            <w:pPr>
              <w:wordWrap w:val="0"/>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1399" w:type="dxa"/>
            <w:tcBorders>
              <w:top w:val="single" w:color="auto" w:sz="4" w:space="0"/>
              <w:left w:val="single" w:color="auto" w:sz="4" w:space="0"/>
              <w:bottom w:val="single" w:color="auto" w:sz="4" w:space="0"/>
              <w:right w:val="single" w:color="auto" w:sz="4" w:space="0"/>
            </w:tcBorders>
          </w:tcPr>
          <w:p w14:paraId="7EAC6CA1">
            <w:pPr>
              <w:wordWrap w:val="0"/>
              <w:adjustRightInd w:val="0"/>
              <w:snapToGrid w:val="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26915F5E">
            <w:pPr>
              <w:wordWrap w:val="0"/>
              <w:adjustRightInd w:val="0"/>
              <w:snapToGrid w:val="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4257734E">
            <w:pPr>
              <w:wordWrap w:val="0"/>
              <w:adjustRightInd w:val="0"/>
              <w:snapToGrid w:val="0"/>
              <w:rPr>
                <w:rFonts w:ascii="宋体" w:hAnsi="宋体" w:cs="宋体"/>
                <w:color w:val="auto"/>
                <w:szCs w:val="21"/>
                <w:highlight w:val="none"/>
              </w:rPr>
            </w:pPr>
          </w:p>
        </w:tc>
      </w:tr>
      <w:tr w14:paraId="7D9C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bottom w:val="single" w:color="auto" w:sz="4" w:space="0"/>
              <w:right w:val="single" w:color="auto" w:sz="4" w:space="0"/>
            </w:tcBorders>
          </w:tcPr>
          <w:p w14:paraId="1FCCE79A">
            <w:pPr>
              <w:wordWrap w:val="0"/>
              <w:adjustRightInd w:val="0"/>
              <w:snapToGrid w:val="0"/>
              <w:jc w:val="center"/>
              <w:rPr>
                <w:rFonts w:ascii="宋体" w:hAnsi="宋体" w:cs="宋体"/>
                <w:snapToGrid w:val="0"/>
                <w:color w:val="auto"/>
                <w:szCs w:val="21"/>
                <w:highlight w:val="none"/>
              </w:rPr>
            </w:pPr>
          </w:p>
        </w:tc>
        <w:tc>
          <w:tcPr>
            <w:tcW w:w="1458" w:type="dxa"/>
            <w:vMerge w:val="continue"/>
            <w:tcBorders>
              <w:left w:val="single" w:color="auto" w:sz="4" w:space="0"/>
              <w:bottom w:val="single" w:color="auto" w:sz="4" w:space="0"/>
              <w:right w:val="single" w:color="auto" w:sz="4" w:space="0"/>
            </w:tcBorders>
          </w:tcPr>
          <w:p w14:paraId="39CD40F8">
            <w:pPr>
              <w:wordWrap w:val="0"/>
              <w:adjustRightInd w:val="0"/>
              <w:snapToGrid w:val="0"/>
              <w:rPr>
                <w:rFonts w:ascii="宋体" w:hAnsi="宋体" w:cs="宋体"/>
                <w:color w:val="auto"/>
                <w:szCs w:val="21"/>
                <w:highlight w:val="none"/>
              </w:rPr>
            </w:pPr>
          </w:p>
        </w:tc>
        <w:tc>
          <w:tcPr>
            <w:tcW w:w="1293" w:type="dxa"/>
            <w:vMerge w:val="continue"/>
            <w:tcBorders>
              <w:left w:val="single" w:color="auto" w:sz="4" w:space="0"/>
              <w:bottom w:val="single" w:color="auto" w:sz="4" w:space="0"/>
              <w:right w:val="single" w:color="auto" w:sz="4" w:space="0"/>
            </w:tcBorders>
          </w:tcPr>
          <w:p w14:paraId="10949E31">
            <w:pPr>
              <w:wordWrap w:val="0"/>
              <w:adjustRightInd w:val="0"/>
              <w:snapToGrid w:val="0"/>
              <w:rPr>
                <w:rFonts w:ascii="宋体" w:hAnsi="宋体" w:cs="宋体"/>
                <w:color w:val="auto"/>
                <w:szCs w:val="21"/>
                <w:highlight w:val="none"/>
              </w:rPr>
            </w:pPr>
          </w:p>
        </w:tc>
        <w:tc>
          <w:tcPr>
            <w:tcW w:w="1023" w:type="dxa"/>
            <w:vMerge w:val="continue"/>
            <w:tcBorders>
              <w:left w:val="single" w:color="auto" w:sz="4" w:space="0"/>
              <w:bottom w:val="single" w:color="auto" w:sz="4" w:space="0"/>
              <w:right w:val="single" w:color="auto" w:sz="4" w:space="0"/>
            </w:tcBorders>
          </w:tcPr>
          <w:p w14:paraId="79B2D700">
            <w:pPr>
              <w:wordWrap w:val="0"/>
              <w:adjustRightInd w:val="0"/>
              <w:snapToGrid w:val="0"/>
              <w:rPr>
                <w:rFonts w:ascii="宋体" w:hAnsi="宋体" w:cs="宋体"/>
                <w:color w:val="auto"/>
                <w:szCs w:val="21"/>
                <w:highlight w:val="none"/>
              </w:rPr>
            </w:pPr>
          </w:p>
        </w:tc>
        <w:tc>
          <w:tcPr>
            <w:tcW w:w="826" w:type="dxa"/>
            <w:vMerge w:val="continue"/>
            <w:tcBorders>
              <w:left w:val="single" w:color="auto" w:sz="4" w:space="0"/>
              <w:bottom w:val="single" w:color="auto" w:sz="4" w:space="0"/>
              <w:right w:val="single" w:color="auto" w:sz="4" w:space="0"/>
            </w:tcBorders>
          </w:tcPr>
          <w:p w14:paraId="43C1B9B3">
            <w:pPr>
              <w:wordWrap w:val="0"/>
              <w:adjustRightInd w:val="0"/>
              <w:snapToGrid w:val="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35732593">
            <w:pPr>
              <w:tabs>
                <w:tab w:val="left" w:pos="320"/>
              </w:tabs>
              <w:wordWrap w:val="0"/>
              <w:adjustRightInd w:val="0"/>
              <w:snapToGrid w:val="0"/>
              <w:rPr>
                <w:rFonts w:ascii="宋体" w:hAnsi="宋体" w:cs="宋体"/>
                <w:color w:val="auto"/>
                <w:szCs w:val="21"/>
                <w:highlight w:val="none"/>
              </w:rPr>
            </w:pPr>
            <w:r>
              <w:rPr>
                <w:rFonts w:hint="eastAsia" w:ascii="宋体" w:hAnsi="宋体" w:cs="宋体"/>
                <w:color w:val="auto"/>
                <w:szCs w:val="21"/>
                <w:highlight w:val="none"/>
              </w:rPr>
              <w:t>...</w:t>
            </w:r>
          </w:p>
        </w:tc>
        <w:tc>
          <w:tcPr>
            <w:tcW w:w="1399" w:type="dxa"/>
            <w:tcBorders>
              <w:top w:val="single" w:color="auto" w:sz="4" w:space="0"/>
              <w:left w:val="single" w:color="auto" w:sz="4" w:space="0"/>
              <w:bottom w:val="single" w:color="auto" w:sz="4" w:space="0"/>
              <w:right w:val="single" w:color="auto" w:sz="4" w:space="0"/>
            </w:tcBorders>
          </w:tcPr>
          <w:p w14:paraId="4D20588E">
            <w:pPr>
              <w:wordWrap w:val="0"/>
              <w:adjustRightInd w:val="0"/>
              <w:snapToGrid w:val="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73119F3B">
            <w:pPr>
              <w:wordWrap w:val="0"/>
              <w:adjustRightInd w:val="0"/>
              <w:snapToGrid w:val="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0C62685D">
            <w:pPr>
              <w:wordWrap w:val="0"/>
              <w:adjustRightInd w:val="0"/>
              <w:snapToGrid w:val="0"/>
              <w:rPr>
                <w:rFonts w:ascii="宋体" w:hAnsi="宋体" w:cs="宋体"/>
                <w:color w:val="auto"/>
                <w:szCs w:val="21"/>
                <w:highlight w:val="none"/>
              </w:rPr>
            </w:pPr>
          </w:p>
        </w:tc>
      </w:tr>
      <w:tr w14:paraId="2ECC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restart"/>
            <w:tcBorders>
              <w:top w:val="single" w:color="auto" w:sz="4" w:space="0"/>
              <w:left w:val="single" w:color="auto" w:sz="4" w:space="0"/>
              <w:right w:val="single" w:color="auto" w:sz="4" w:space="0"/>
            </w:tcBorders>
          </w:tcPr>
          <w:p w14:paraId="58B11A76">
            <w:pPr>
              <w:wordWrap w:val="0"/>
              <w:adjustRightInd w:val="0"/>
              <w:snapToGrid w:val="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2</w:t>
            </w:r>
          </w:p>
        </w:tc>
        <w:tc>
          <w:tcPr>
            <w:tcW w:w="1458" w:type="dxa"/>
            <w:vMerge w:val="restart"/>
            <w:tcBorders>
              <w:top w:val="single" w:color="auto" w:sz="4" w:space="0"/>
              <w:left w:val="single" w:color="auto" w:sz="4" w:space="0"/>
              <w:right w:val="single" w:color="auto" w:sz="4" w:space="0"/>
            </w:tcBorders>
          </w:tcPr>
          <w:p w14:paraId="123D0A87">
            <w:pPr>
              <w:wordWrap w:val="0"/>
              <w:adjustRightInd w:val="0"/>
              <w:snapToGrid w:val="0"/>
              <w:rPr>
                <w:rFonts w:ascii="宋体" w:hAnsi="宋体" w:cs="宋体"/>
                <w:color w:val="auto"/>
                <w:szCs w:val="21"/>
                <w:highlight w:val="none"/>
              </w:rPr>
            </w:pPr>
          </w:p>
        </w:tc>
        <w:tc>
          <w:tcPr>
            <w:tcW w:w="1293" w:type="dxa"/>
            <w:vMerge w:val="restart"/>
            <w:tcBorders>
              <w:top w:val="single" w:color="auto" w:sz="4" w:space="0"/>
              <w:left w:val="single" w:color="auto" w:sz="4" w:space="0"/>
              <w:right w:val="single" w:color="auto" w:sz="4" w:space="0"/>
            </w:tcBorders>
          </w:tcPr>
          <w:p w14:paraId="6C7E99E0">
            <w:pPr>
              <w:wordWrap w:val="0"/>
              <w:adjustRightInd w:val="0"/>
              <w:snapToGrid w:val="0"/>
              <w:rPr>
                <w:rFonts w:ascii="宋体" w:hAnsi="宋体" w:cs="宋体"/>
                <w:color w:val="auto"/>
                <w:szCs w:val="21"/>
                <w:highlight w:val="none"/>
              </w:rPr>
            </w:pPr>
          </w:p>
        </w:tc>
        <w:tc>
          <w:tcPr>
            <w:tcW w:w="1023" w:type="dxa"/>
            <w:vMerge w:val="restart"/>
            <w:tcBorders>
              <w:top w:val="single" w:color="auto" w:sz="4" w:space="0"/>
              <w:left w:val="single" w:color="auto" w:sz="4" w:space="0"/>
              <w:right w:val="single" w:color="auto" w:sz="4" w:space="0"/>
            </w:tcBorders>
          </w:tcPr>
          <w:p w14:paraId="390EB961">
            <w:pPr>
              <w:wordWrap w:val="0"/>
              <w:adjustRightInd w:val="0"/>
              <w:snapToGrid w:val="0"/>
              <w:rPr>
                <w:rFonts w:ascii="宋体" w:hAnsi="宋体" w:cs="宋体"/>
                <w:color w:val="auto"/>
                <w:szCs w:val="21"/>
                <w:highlight w:val="none"/>
              </w:rPr>
            </w:pPr>
          </w:p>
        </w:tc>
        <w:tc>
          <w:tcPr>
            <w:tcW w:w="826" w:type="dxa"/>
            <w:vMerge w:val="restart"/>
            <w:tcBorders>
              <w:top w:val="single" w:color="auto" w:sz="4" w:space="0"/>
              <w:left w:val="single" w:color="auto" w:sz="4" w:space="0"/>
              <w:right w:val="single" w:color="auto" w:sz="4" w:space="0"/>
            </w:tcBorders>
          </w:tcPr>
          <w:p w14:paraId="207225C4">
            <w:pPr>
              <w:wordWrap w:val="0"/>
              <w:adjustRightInd w:val="0"/>
              <w:snapToGrid w:val="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4D6BD21A">
            <w:pPr>
              <w:wordWrap w:val="0"/>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1399" w:type="dxa"/>
            <w:tcBorders>
              <w:top w:val="single" w:color="auto" w:sz="4" w:space="0"/>
              <w:left w:val="single" w:color="auto" w:sz="4" w:space="0"/>
              <w:bottom w:val="single" w:color="auto" w:sz="4" w:space="0"/>
              <w:right w:val="single" w:color="auto" w:sz="4" w:space="0"/>
            </w:tcBorders>
          </w:tcPr>
          <w:p w14:paraId="1663BA6E">
            <w:pPr>
              <w:wordWrap w:val="0"/>
              <w:adjustRightInd w:val="0"/>
              <w:snapToGrid w:val="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2B2AE210">
            <w:pPr>
              <w:wordWrap w:val="0"/>
              <w:adjustRightInd w:val="0"/>
              <w:snapToGrid w:val="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59AC1717">
            <w:pPr>
              <w:wordWrap w:val="0"/>
              <w:adjustRightInd w:val="0"/>
              <w:snapToGrid w:val="0"/>
              <w:rPr>
                <w:rFonts w:ascii="宋体" w:hAnsi="宋体" w:cs="宋体"/>
                <w:color w:val="auto"/>
                <w:szCs w:val="21"/>
                <w:highlight w:val="none"/>
              </w:rPr>
            </w:pPr>
          </w:p>
        </w:tc>
      </w:tr>
      <w:tr w14:paraId="3139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tcPr>
          <w:p w14:paraId="661FB475">
            <w:pPr>
              <w:wordWrap w:val="0"/>
              <w:adjustRightInd w:val="0"/>
              <w:snapToGrid w:val="0"/>
              <w:jc w:val="center"/>
              <w:rPr>
                <w:rFonts w:ascii="宋体" w:hAnsi="宋体" w:cs="宋体"/>
                <w:snapToGrid w:val="0"/>
                <w:color w:val="auto"/>
                <w:szCs w:val="21"/>
                <w:highlight w:val="none"/>
              </w:rPr>
            </w:pPr>
          </w:p>
        </w:tc>
        <w:tc>
          <w:tcPr>
            <w:tcW w:w="1458" w:type="dxa"/>
            <w:vMerge w:val="continue"/>
            <w:tcBorders>
              <w:left w:val="single" w:color="auto" w:sz="4" w:space="0"/>
              <w:right w:val="single" w:color="auto" w:sz="4" w:space="0"/>
            </w:tcBorders>
          </w:tcPr>
          <w:p w14:paraId="1292EE1A">
            <w:pPr>
              <w:wordWrap w:val="0"/>
              <w:adjustRightInd w:val="0"/>
              <w:snapToGrid w:val="0"/>
              <w:rPr>
                <w:rFonts w:ascii="宋体" w:hAnsi="宋体" w:cs="宋体"/>
                <w:color w:val="auto"/>
                <w:szCs w:val="21"/>
                <w:highlight w:val="none"/>
              </w:rPr>
            </w:pPr>
          </w:p>
        </w:tc>
        <w:tc>
          <w:tcPr>
            <w:tcW w:w="1293" w:type="dxa"/>
            <w:vMerge w:val="continue"/>
            <w:tcBorders>
              <w:left w:val="single" w:color="auto" w:sz="4" w:space="0"/>
              <w:right w:val="single" w:color="auto" w:sz="4" w:space="0"/>
            </w:tcBorders>
          </w:tcPr>
          <w:p w14:paraId="66E62C76">
            <w:pPr>
              <w:wordWrap w:val="0"/>
              <w:adjustRightInd w:val="0"/>
              <w:snapToGrid w:val="0"/>
              <w:rPr>
                <w:rFonts w:ascii="宋体" w:hAnsi="宋体" w:cs="宋体"/>
                <w:color w:val="auto"/>
                <w:szCs w:val="21"/>
                <w:highlight w:val="none"/>
              </w:rPr>
            </w:pPr>
          </w:p>
        </w:tc>
        <w:tc>
          <w:tcPr>
            <w:tcW w:w="1023" w:type="dxa"/>
            <w:vMerge w:val="continue"/>
            <w:tcBorders>
              <w:left w:val="single" w:color="auto" w:sz="4" w:space="0"/>
              <w:right w:val="single" w:color="auto" w:sz="4" w:space="0"/>
            </w:tcBorders>
          </w:tcPr>
          <w:p w14:paraId="60B74D96">
            <w:pPr>
              <w:wordWrap w:val="0"/>
              <w:adjustRightInd w:val="0"/>
              <w:snapToGrid w:val="0"/>
              <w:rPr>
                <w:rFonts w:ascii="宋体" w:hAnsi="宋体" w:cs="宋体"/>
                <w:color w:val="auto"/>
                <w:szCs w:val="21"/>
                <w:highlight w:val="none"/>
              </w:rPr>
            </w:pPr>
          </w:p>
        </w:tc>
        <w:tc>
          <w:tcPr>
            <w:tcW w:w="826" w:type="dxa"/>
            <w:vMerge w:val="continue"/>
            <w:tcBorders>
              <w:left w:val="single" w:color="auto" w:sz="4" w:space="0"/>
              <w:right w:val="single" w:color="auto" w:sz="4" w:space="0"/>
            </w:tcBorders>
          </w:tcPr>
          <w:p w14:paraId="1A539C96">
            <w:pPr>
              <w:wordWrap w:val="0"/>
              <w:adjustRightInd w:val="0"/>
              <w:snapToGrid w:val="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4CCC2CD5">
            <w:pPr>
              <w:wordWrap w:val="0"/>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1399" w:type="dxa"/>
            <w:tcBorders>
              <w:top w:val="single" w:color="auto" w:sz="4" w:space="0"/>
              <w:left w:val="single" w:color="auto" w:sz="4" w:space="0"/>
              <w:bottom w:val="single" w:color="auto" w:sz="4" w:space="0"/>
              <w:right w:val="single" w:color="auto" w:sz="4" w:space="0"/>
            </w:tcBorders>
          </w:tcPr>
          <w:p w14:paraId="57372B18">
            <w:pPr>
              <w:wordWrap w:val="0"/>
              <w:adjustRightInd w:val="0"/>
              <w:snapToGrid w:val="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5C172964">
            <w:pPr>
              <w:wordWrap w:val="0"/>
              <w:adjustRightInd w:val="0"/>
              <w:snapToGrid w:val="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6D6F23AB">
            <w:pPr>
              <w:wordWrap w:val="0"/>
              <w:adjustRightInd w:val="0"/>
              <w:snapToGrid w:val="0"/>
              <w:rPr>
                <w:rFonts w:ascii="宋体" w:hAnsi="宋体" w:cs="宋体"/>
                <w:color w:val="auto"/>
                <w:szCs w:val="21"/>
                <w:highlight w:val="none"/>
              </w:rPr>
            </w:pPr>
          </w:p>
        </w:tc>
      </w:tr>
      <w:tr w14:paraId="70D4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tcPr>
          <w:p w14:paraId="59144171">
            <w:pPr>
              <w:wordWrap w:val="0"/>
              <w:adjustRightInd w:val="0"/>
              <w:snapToGrid w:val="0"/>
              <w:rPr>
                <w:rFonts w:ascii="宋体" w:hAnsi="宋体" w:cs="宋体"/>
                <w:snapToGrid w:val="0"/>
                <w:color w:val="auto"/>
                <w:szCs w:val="21"/>
                <w:highlight w:val="none"/>
              </w:rPr>
            </w:pPr>
          </w:p>
        </w:tc>
        <w:tc>
          <w:tcPr>
            <w:tcW w:w="1458" w:type="dxa"/>
            <w:vMerge w:val="continue"/>
            <w:tcBorders>
              <w:left w:val="single" w:color="auto" w:sz="4" w:space="0"/>
              <w:right w:val="single" w:color="auto" w:sz="4" w:space="0"/>
            </w:tcBorders>
          </w:tcPr>
          <w:p w14:paraId="28D29947">
            <w:pPr>
              <w:wordWrap w:val="0"/>
              <w:adjustRightInd w:val="0"/>
              <w:snapToGrid w:val="0"/>
              <w:rPr>
                <w:rFonts w:ascii="宋体" w:hAnsi="宋体" w:cs="宋体"/>
                <w:color w:val="auto"/>
                <w:szCs w:val="21"/>
                <w:highlight w:val="none"/>
              </w:rPr>
            </w:pPr>
          </w:p>
        </w:tc>
        <w:tc>
          <w:tcPr>
            <w:tcW w:w="1293" w:type="dxa"/>
            <w:vMerge w:val="continue"/>
            <w:tcBorders>
              <w:left w:val="single" w:color="auto" w:sz="4" w:space="0"/>
              <w:right w:val="single" w:color="auto" w:sz="4" w:space="0"/>
            </w:tcBorders>
          </w:tcPr>
          <w:p w14:paraId="09189FF4">
            <w:pPr>
              <w:wordWrap w:val="0"/>
              <w:adjustRightInd w:val="0"/>
              <w:snapToGrid w:val="0"/>
              <w:rPr>
                <w:rFonts w:ascii="宋体" w:hAnsi="宋体" w:cs="宋体"/>
                <w:color w:val="auto"/>
                <w:szCs w:val="21"/>
                <w:highlight w:val="none"/>
              </w:rPr>
            </w:pPr>
          </w:p>
        </w:tc>
        <w:tc>
          <w:tcPr>
            <w:tcW w:w="1023" w:type="dxa"/>
            <w:vMerge w:val="continue"/>
            <w:tcBorders>
              <w:left w:val="single" w:color="auto" w:sz="4" w:space="0"/>
              <w:right w:val="single" w:color="auto" w:sz="4" w:space="0"/>
            </w:tcBorders>
          </w:tcPr>
          <w:p w14:paraId="0D5A89BC">
            <w:pPr>
              <w:wordWrap w:val="0"/>
              <w:adjustRightInd w:val="0"/>
              <w:snapToGrid w:val="0"/>
              <w:rPr>
                <w:rFonts w:ascii="宋体" w:hAnsi="宋体" w:cs="宋体"/>
                <w:color w:val="auto"/>
                <w:szCs w:val="21"/>
                <w:highlight w:val="none"/>
              </w:rPr>
            </w:pPr>
          </w:p>
        </w:tc>
        <w:tc>
          <w:tcPr>
            <w:tcW w:w="826" w:type="dxa"/>
            <w:vMerge w:val="continue"/>
            <w:tcBorders>
              <w:left w:val="single" w:color="auto" w:sz="4" w:space="0"/>
              <w:right w:val="single" w:color="auto" w:sz="4" w:space="0"/>
            </w:tcBorders>
          </w:tcPr>
          <w:p w14:paraId="60A8800E">
            <w:pPr>
              <w:wordWrap w:val="0"/>
              <w:adjustRightInd w:val="0"/>
              <w:snapToGrid w:val="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3D7814CD">
            <w:pPr>
              <w:wordWrap w:val="0"/>
              <w:adjustRightInd w:val="0"/>
              <w:snapToGrid w:val="0"/>
              <w:rPr>
                <w:rFonts w:ascii="宋体" w:hAnsi="宋体" w:cs="宋体"/>
                <w:color w:val="auto"/>
                <w:szCs w:val="21"/>
                <w:highlight w:val="none"/>
              </w:rPr>
            </w:pPr>
            <w:r>
              <w:rPr>
                <w:rFonts w:hint="eastAsia" w:ascii="宋体" w:hAnsi="宋体" w:cs="宋体"/>
                <w:color w:val="auto"/>
                <w:szCs w:val="21"/>
                <w:highlight w:val="none"/>
              </w:rPr>
              <w:t>...</w:t>
            </w:r>
          </w:p>
        </w:tc>
        <w:tc>
          <w:tcPr>
            <w:tcW w:w="1399" w:type="dxa"/>
            <w:tcBorders>
              <w:top w:val="single" w:color="auto" w:sz="4" w:space="0"/>
              <w:left w:val="single" w:color="auto" w:sz="4" w:space="0"/>
              <w:bottom w:val="single" w:color="auto" w:sz="4" w:space="0"/>
              <w:right w:val="single" w:color="auto" w:sz="4" w:space="0"/>
            </w:tcBorders>
          </w:tcPr>
          <w:p w14:paraId="603A801B">
            <w:pPr>
              <w:wordWrap w:val="0"/>
              <w:adjustRightInd w:val="0"/>
              <w:snapToGrid w:val="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77DCF574">
            <w:pPr>
              <w:wordWrap w:val="0"/>
              <w:adjustRightInd w:val="0"/>
              <w:snapToGrid w:val="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7606C1BC">
            <w:pPr>
              <w:wordWrap w:val="0"/>
              <w:adjustRightInd w:val="0"/>
              <w:snapToGrid w:val="0"/>
              <w:rPr>
                <w:rFonts w:ascii="宋体" w:hAnsi="宋体" w:cs="宋体"/>
                <w:color w:val="auto"/>
                <w:szCs w:val="21"/>
                <w:highlight w:val="none"/>
              </w:rPr>
            </w:pPr>
          </w:p>
        </w:tc>
      </w:tr>
      <w:tr w14:paraId="48EB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77" w:type="dxa"/>
            <w:tcBorders>
              <w:left w:val="single" w:color="auto" w:sz="4" w:space="0"/>
              <w:bottom w:val="single" w:color="auto" w:sz="4" w:space="0"/>
              <w:right w:val="single" w:color="auto" w:sz="4" w:space="0"/>
            </w:tcBorders>
          </w:tcPr>
          <w:p w14:paraId="78146CC9">
            <w:pPr>
              <w:wordWrap w:val="0"/>
              <w:adjustRightInd w:val="0"/>
              <w:snapToGrid w:val="0"/>
              <w:rPr>
                <w:rFonts w:ascii="宋体" w:hAnsi="宋体" w:cs="宋体"/>
                <w:snapToGrid w:val="0"/>
                <w:color w:val="auto"/>
                <w:szCs w:val="21"/>
                <w:highlight w:val="none"/>
              </w:rPr>
            </w:pPr>
            <w:r>
              <w:rPr>
                <w:rFonts w:hint="eastAsia" w:ascii="宋体" w:hAnsi="宋体" w:cs="宋体"/>
                <w:snapToGrid w:val="0"/>
                <w:color w:val="auto"/>
                <w:szCs w:val="21"/>
                <w:highlight w:val="none"/>
              </w:rPr>
              <w:t>...</w:t>
            </w:r>
          </w:p>
        </w:tc>
        <w:tc>
          <w:tcPr>
            <w:tcW w:w="1458" w:type="dxa"/>
            <w:tcBorders>
              <w:left w:val="single" w:color="auto" w:sz="4" w:space="0"/>
              <w:bottom w:val="single" w:color="auto" w:sz="4" w:space="0"/>
              <w:right w:val="single" w:color="auto" w:sz="4" w:space="0"/>
            </w:tcBorders>
          </w:tcPr>
          <w:p w14:paraId="46E8EBB1">
            <w:pPr>
              <w:wordWrap w:val="0"/>
              <w:adjustRightInd w:val="0"/>
              <w:snapToGrid w:val="0"/>
              <w:rPr>
                <w:rFonts w:ascii="宋体" w:hAnsi="宋体" w:cs="宋体"/>
                <w:color w:val="auto"/>
                <w:szCs w:val="21"/>
                <w:highlight w:val="none"/>
              </w:rPr>
            </w:pPr>
          </w:p>
        </w:tc>
        <w:tc>
          <w:tcPr>
            <w:tcW w:w="1293" w:type="dxa"/>
            <w:tcBorders>
              <w:left w:val="single" w:color="auto" w:sz="4" w:space="0"/>
              <w:bottom w:val="single" w:color="auto" w:sz="4" w:space="0"/>
              <w:right w:val="single" w:color="auto" w:sz="4" w:space="0"/>
            </w:tcBorders>
          </w:tcPr>
          <w:p w14:paraId="0D5F663D">
            <w:pPr>
              <w:wordWrap w:val="0"/>
              <w:adjustRightInd w:val="0"/>
              <w:snapToGrid w:val="0"/>
              <w:rPr>
                <w:rFonts w:ascii="宋体" w:hAnsi="宋体" w:cs="宋体"/>
                <w:color w:val="auto"/>
                <w:szCs w:val="21"/>
                <w:highlight w:val="none"/>
              </w:rPr>
            </w:pPr>
          </w:p>
        </w:tc>
        <w:tc>
          <w:tcPr>
            <w:tcW w:w="1023" w:type="dxa"/>
            <w:tcBorders>
              <w:left w:val="single" w:color="auto" w:sz="4" w:space="0"/>
              <w:bottom w:val="single" w:color="auto" w:sz="4" w:space="0"/>
              <w:right w:val="single" w:color="auto" w:sz="4" w:space="0"/>
            </w:tcBorders>
          </w:tcPr>
          <w:p w14:paraId="63A3F3B6">
            <w:pPr>
              <w:wordWrap w:val="0"/>
              <w:adjustRightInd w:val="0"/>
              <w:snapToGrid w:val="0"/>
              <w:rPr>
                <w:rFonts w:ascii="宋体" w:hAnsi="宋体" w:cs="宋体"/>
                <w:color w:val="auto"/>
                <w:szCs w:val="21"/>
                <w:highlight w:val="none"/>
              </w:rPr>
            </w:pPr>
          </w:p>
        </w:tc>
        <w:tc>
          <w:tcPr>
            <w:tcW w:w="826" w:type="dxa"/>
            <w:tcBorders>
              <w:left w:val="single" w:color="auto" w:sz="4" w:space="0"/>
              <w:bottom w:val="single" w:color="auto" w:sz="4" w:space="0"/>
              <w:right w:val="single" w:color="auto" w:sz="4" w:space="0"/>
            </w:tcBorders>
          </w:tcPr>
          <w:p w14:paraId="4A6306EE">
            <w:pPr>
              <w:wordWrap w:val="0"/>
              <w:adjustRightInd w:val="0"/>
              <w:snapToGrid w:val="0"/>
              <w:rPr>
                <w:rFonts w:ascii="宋体" w:hAnsi="宋体" w:cs="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6BB2011F">
            <w:pPr>
              <w:wordWrap w:val="0"/>
              <w:adjustRightInd w:val="0"/>
              <w:snapToGrid w:val="0"/>
              <w:rPr>
                <w:rFonts w:ascii="宋体" w:hAnsi="宋体" w:cs="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tcPr>
          <w:p w14:paraId="3F829369">
            <w:pPr>
              <w:wordWrap w:val="0"/>
              <w:adjustRightInd w:val="0"/>
              <w:snapToGrid w:val="0"/>
              <w:rPr>
                <w:rFonts w:ascii="宋体" w:hAnsi="宋体" w:cs="宋体"/>
                <w:color w:val="auto"/>
                <w:szCs w:val="21"/>
                <w:highlight w:val="none"/>
              </w:rPr>
            </w:pPr>
          </w:p>
        </w:tc>
        <w:tc>
          <w:tcPr>
            <w:tcW w:w="1108" w:type="dxa"/>
            <w:tcBorders>
              <w:top w:val="single" w:color="auto" w:sz="4" w:space="0"/>
              <w:left w:val="single" w:color="auto" w:sz="4" w:space="0"/>
              <w:bottom w:val="single" w:color="auto" w:sz="4" w:space="0"/>
              <w:right w:val="single" w:color="auto" w:sz="4" w:space="0"/>
            </w:tcBorders>
          </w:tcPr>
          <w:p w14:paraId="6D083FF8">
            <w:pPr>
              <w:wordWrap w:val="0"/>
              <w:adjustRightInd w:val="0"/>
              <w:snapToGrid w:val="0"/>
              <w:rPr>
                <w:rFonts w:ascii="宋体" w:hAnsi="宋体" w:cs="宋体"/>
                <w:color w:val="auto"/>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5E3B144D">
            <w:pPr>
              <w:wordWrap w:val="0"/>
              <w:adjustRightInd w:val="0"/>
              <w:snapToGrid w:val="0"/>
              <w:rPr>
                <w:rFonts w:ascii="宋体" w:hAnsi="宋体" w:cs="宋体"/>
                <w:color w:val="auto"/>
                <w:szCs w:val="21"/>
                <w:highlight w:val="none"/>
              </w:rPr>
            </w:pPr>
          </w:p>
        </w:tc>
      </w:tr>
    </w:tbl>
    <w:p w14:paraId="5AB73815">
      <w:pPr>
        <w:pStyle w:val="22"/>
        <w:ind w:left="0" w:leftChars="0"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填表说明：1.若为厂家直接售后，则无需填写授权售后代理商；</w:t>
      </w:r>
    </w:p>
    <w:p w14:paraId="448F3A77">
      <w:pPr>
        <w:pStyle w:val="22"/>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2.所报授权售后代理商为设备维修、配件供应、质保期满后维保服务采购的重要依据；</w:t>
      </w:r>
    </w:p>
    <w:p w14:paraId="26727471">
      <w:pPr>
        <w:pStyle w:val="22"/>
        <w:ind w:firstLine="630" w:firstLineChars="300"/>
        <w:rPr>
          <w:color w:val="auto"/>
          <w:highlight w:val="none"/>
        </w:rPr>
      </w:pPr>
      <w:r>
        <w:rPr>
          <w:rFonts w:hint="eastAsia" w:ascii="宋体" w:hAnsi="宋体" w:cs="宋体"/>
          <w:color w:val="auto"/>
          <w:kern w:val="0"/>
          <w:szCs w:val="21"/>
          <w:highlight w:val="none"/>
        </w:rPr>
        <w:t>3.若售后代理商更换，请及时联系采购</w:t>
      </w:r>
      <w:r>
        <w:rPr>
          <w:rFonts w:hint="eastAsia" w:ascii="宋体" w:hAnsi="宋体" w:cs="宋体"/>
          <w:color w:val="auto"/>
          <w:kern w:val="0"/>
          <w:szCs w:val="21"/>
          <w:highlight w:val="none"/>
          <w:lang w:val="en-US" w:eastAsia="zh-CN"/>
        </w:rPr>
        <w:t>人</w:t>
      </w:r>
      <w:r>
        <w:rPr>
          <w:rFonts w:hint="eastAsia" w:ascii="宋体" w:hAnsi="宋体" w:cs="宋体"/>
          <w:color w:val="auto"/>
          <w:kern w:val="0"/>
          <w:szCs w:val="21"/>
          <w:highlight w:val="none"/>
        </w:rPr>
        <w:t>进行修改，提供更正说明。</w:t>
      </w:r>
    </w:p>
    <w:p w14:paraId="46E79217">
      <w:pPr>
        <w:spacing w:line="500" w:lineRule="exact"/>
        <w:rPr>
          <w:rFonts w:ascii="宋体" w:hAnsi="宋体" w:cs="宋体"/>
          <w:color w:val="auto"/>
          <w:sz w:val="32"/>
          <w:szCs w:val="32"/>
          <w:highlight w:val="none"/>
        </w:rPr>
      </w:pPr>
    </w:p>
    <w:p w14:paraId="1BE2C4D1">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832CAE1">
      <w:pPr>
        <w:pStyle w:val="10"/>
        <w:rPr>
          <w:color w:val="auto"/>
          <w:highlight w:val="none"/>
        </w:rPr>
      </w:pPr>
      <w:r>
        <w:rPr>
          <w:rFonts w:hint="eastAsia" w:ascii="宋体" w:hAnsi="宋体" w:cs="宋体"/>
          <w:color w:val="auto"/>
          <w:kern w:val="0"/>
          <w:sz w:val="24"/>
          <w:highlight w:val="none"/>
          <w:lang w:val="zh-CN"/>
        </w:rPr>
        <w:t>日期：  年  月   日</w:t>
      </w:r>
      <w:r>
        <w:rPr>
          <w:rFonts w:hint="eastAsia" w:ascii="宋体" w:hAnsi="宋体" w:cs="宋体"/>
          <w:b/>
          <w:color w:val="auto"/>
          <w:sz w:val="30"/>
          <w:szCs w:val="30"/>
          <w:highlight w:val="none"/>
        </w:rPr>
        <w:br w:type="page"/>
      </w:r>
    </w:p>
    <w:p w14:paraId="6F92BB36">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8、技术要求偏离表</w:t>
      </w:r>
    </w:p>
    <w:p w14:paraId="0CEBBB86">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451A629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32B365F0">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2"/>
        <w:gridCol w:w="992"/>
        <w:gridCol w:w="3292"/>
        <w:gridCol w:w="2962"/>
        <w:gridCol w:w="1616"/>
      </w:tblGrid>
      <w:tr w14:paraId="3A354D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481B68E2">
            <w:pPr>
              <w:pStyle w:val="11"/>
              <w:spacing w:line="360" w:lineRule="auto"/>
              <w:ind w:firstLine="0" w:firstLineChars="0"/>
              <w:contextualSpacing/>
              <w:jc w:val="center"/>
              <w:rPr>
                <w:rFonts w:ascii="宋体" w:hAnsi="宋体" w:eastAsia="宋体" w:cs="仿宋_GB2312"/>
                <w:color w:val="auto"/>
                <w:kern w:val="2"/>
                <w:sz w:val="24"/>
                <w:szCs w:val="24"/>
                <w:highlight w:val="none"/>
              </w:rPr>
            </w:pPr>
            <w:bookmarkStart w:id="45" w:name="_Toc173211900"/>
            <w:bookmarkStart w:id="46" w:name="_Toc297193185"/>
            <w:bookmarkStart w:id="47" w:name="_Toc383699906"/>
            <w:bookmarkStart w:id="48" w:name="_Toc373333689"/>
            <w:bookmarkStart w:id="49" w:name="_Toc295404981"/>
            <w:bookmarkStart w:id="50" w:name="_Toc254970588"/>
            <w:bookmarkStart w:id="51" w:name="_Toc254970729"/>
            <w:bookmarkStart w:id="52" w:name="_Toc173066401"/>
            <w:bookmarkStart w:id="53" w:name="_Toc301781611"/>
            <w:r>
              <w:rPr>
                <w:rFonts w:hint="eastAsia" w:ascii="宋体" w:hAnsi="宋体" w:eastAsia="宋体" w:cs="仿宋_GB2312"/>
                <w:color w:val="auto"/>
                <w:kern w:val="2"/>
                <w:sz w:val="24"/>
                <w:szCs w:val="24"/>
                <w:highlight w:val="none"/>
              </w:rPr>
              <w:t>序号</w:t>
            </w:r>
            <w:bookmarkEnd w:id="45"/>
            <w:bookmarkEnd w:id="46"/>
            <w:bookmarkEnd w:id="47"/>
            <w:bookmarkEnd w:id="48"/>
            <w:bookmarkEnd w:id="49"/>
            <w:bookmarkEnd w:id="50"/>
            <w:bookmarkEnd w:id="51"/>
            <w:bookmarkEnd w:id="52"/>
            <w:bookmarkEnd w:id="53"/>
          </w:p>
        </w:tc>
        <w:tc>
          <w:tcPr>
            <w:tcW w:w="992" w:type="dxa"/>
            <w:tcBorders>
              <w:right w:val="single" w:color="auto" w:sz="4" w:space="0"/>
            </w:tcBorders>
            <w:vAlign w:val="center"/>
          </w:tcPr>
          <w:p w14:paraId="0E096800">
            <w:pPr>
              <w:pStyle w:val="11"/>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292" w:type="dxa"/>
            <w:tcBorders>
              <w:left w:val="single" w:color="auto" w:sz="4" w:space="0"/>
            </w:tcBorders>
            <w:vAlign w:val="center"/>
          </w:tcPr>
          <w:p w14:paraId="2B1AF289">
            <w:pPr>
              <w:pStyle w:val="11"/>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962" w:type="dxa"/>
            <w:vAlign w:val="center"/>
          </w:tcPr>
          <w:p w14:paraId="20996214">
            <w:pPr>
              <w:pStyle w:val="11"/>
              <w:spacing w:line="360" w:lineRule="auto"/>
              <w:ind w:firstLine="0" w:firstLineChars="0"/>
              <w:contextualSpacing/>
              <w:jc w:val="center"/>
              <w:rPr>
                <w:rFonts w:ascii="宋体" w:hAnsi="宋体" w:eastAsia="宋体" w:cs="仿宋_GB2312"/>
                <w:color w:val="auto"/>
                <w:kern w:val="2"/>
                <w:sz w:val="24"/>
                <w:szCs w:val="24"/>
                <w:highlight w:val="none"/>
              </w:rPr>
            </w:pPr>
            <w:bookmarkStart w:id="54" w:name="_Toc383699908"/>
            <w:bookmarkStart w:id="55" w:name="_Toc254970731"/>
            <w:bookmarkStart w:id="56" w:name="_Toc173211902"/>
            <w:bookmarkStart w:id="57" w:name="_Toc297193187"/>
            <w:bookmarkStart w:id="58" w:name="_Toc173066403"/>
            <w:bookmarkStart w:id="59" w:name="_Toc373333691"/>
            <w:bookmarkStart w:id="60" w:name="_Toc254970590"/>
            <w:bookmarkStart w:id="61" w:name="_Toc295404983"/>
            <w:bookmarkStart w:id="62" w:name="_Toc301781613"/>
            <w:r>
              <w:rPr>
                <w:rFonts w:hint="eastAsia" w:ascii="宋体" w:hAnsi="宋体" w:eastAsia="宋体" w:cs="仿宋_GB2312"/>
                <w:color w:val="auto"/>
                <w:kern w:val="2"/>
                <w:sz w:val="24"/>
                <w:szCs w:val="24"/>
                <w:highlight w:val="none"/>
              </w:rPr>
              <w:t>竞标响应</w:t>
            </w:r>
            <w:bookmarkEnd w:id="54"/>
            <w:bookmarkEnd w:id="55"/>
            <w:bookmarkEnd w:id="56"/>
            <w:bookmarkEnd w:id="57"/>
            <w:bookmarkEnd w:id="58"/>
            <w:bookmarkEnd w:id="59"/>
            <w:bookmarkEnd w:id="60"/>
            <w:bookmarkEnd w:id="61"/>
            <w:bookmarkEnd w:id="62"/>
          </w:p>
        </w:tc>
        <w:tc>
          <w:tcPr>
            <w:tcW w:w="1616" w:type="dxa"/>
            <w:vAlign w:val="center"/>
          </w:tcPr>
          <w:p w14:paraId="4CDC3BFE">
            <w:pPr>
              <w:pStyle w:val="11"/>
              <w:spacing w:line="360" w:lineRule="auto"/>
              <w:ind w:firstLine="0" w:firstLineChars="0"/>
              <w:contextualSpacing/>
              <w:jc w:val="center"/>
              <w:rPr>
                <w:rFonts w:ascii="宋体" w:hAnsi="宋体" w:eastAsia="宋体" w:cs="仿宋_GB2312"/>
                <w:color w:val="auto"/>
                <w:kern w:val="2"/>
                <w:sz w:val="24"/>
                <w:szCs w:val="24"/>
                <w:highlight w:val="none"/>
              </w:rPr>
            </w:pPr>
            <w:bookmarkStart w:id="63" w:name="_Toc297193188"/>
            <w:bookmarkStart w:id="64" w:name="_Toc295404984"/>
            <w:bookmarkStart w:id="65" w:name="_Toc254970732"/>
            <w:bookmarkStart w:id="66" w:name="_Toc173066404"/>
            <w:bookmarkStart w:id="67" w:name="_Toc383699909"/>
            <w:bookmarkStart w:id="68" w:name="_Toc301781614"/>
            <w:bookmarkStart w:id="69" w:name="_Toc254970591"/>
            <w:bookmarkStart w:id="70" w:name="_Toc373333692"/>
            <w:bookmarkStart w:id="71" w:name="_Toc173211903"/>
            <w:r>
              <w:rPr>
                <w:rFonts w:hint="eastAsia" w:ascii="宋体" w:hAnsi="宋体" w:eastAsia="宋体" w:cs="仿宋_GB2312"/>
                <w:color w:val="auto"/>
                <w:kern w:val="2"/>
                <w:sz w:val="24"/>
                <w:szCs w:val="24"/>
                <w:highlight w:val="none"/>
              </w:rPr>
              <w:t>偏离</w:t>
            </w:r>
            <w:bookmarkEnd w:id="63"/>
            <w:bookmarkEnd w:id="64"/>
            <w:bookmarkEnd w:id="65"/>
            <w:bookmarkEnd w:id="66"/>
            <w:bookmarkEnd w:id="67"/>
            <w:bookmarkEnd w:id="68"/>
            <w:bookmarkEnd w:id="69"/>
            <w:bookmarkEnd w:id="70"/>
            <w:bookmarkEnd w:id="71"/>
            <w:bookmarkStart w:id="72" w:name="_Toc373333693"/>
            <w:bookmarkStart w:id="73" w:name="_Toc383699910"/>
            <w:bookmarkStart w:id="74" w:name="_Toc173066405"/>
            <w:bookmarkStart w:id="75" w:name="_Toc173211904"/>
            <w:bookmarkStart w:id="76" w:name="_Toc254970733"/>
            <w:bookmarkStart w:id="77" w:name="_Toc254970592"/>
            <w:bookmarkStart w:id="78" w:name="_Toc301781615"/>
            <w:bookmarkStart w:id="79" w:name="_Toc295404985"/>
            <w:bookmarkStart w:id="80" w:name="_Toc297193189"/>
            <w:r>
              <w:rPr>
                <w:rFonts w:hint="eastAsia" w:ascii="宋体" w:hAnsi="宋体" w:eastAsia="宋体" w:cs="仿宋_GB2312"/>
                <w:color w:val="auto"/>
                <w:kern w:val="2"/>
                <w:sz w:val="24"/>
                <w:szCs w:val="24"/>
                <w:highlight w:val="none"/>
              </w:rPr>
              <w:t>说明</w:t>
            </w:r>
            <w:bookmarkEnd w:id="72"/>
            <w:bookmarkEnd w:id="73"/>
            <w:bookmarkEnd w:id="74"/>
            <w:bookmarkEnd w:id="75"/>
            <w:bookmarkEnd w:id="76"/>
            <w:bookmarkEnd w:id="77"/>
            <w:bookmarkEnd w:id="78"/>
            <w:bookmarkEnd w:id="79"/>
            <w:bookmarkEnd w:id="80"/>
          </w:p>
        </w:tc>
      </w:tr>
      <w:tr w14:paraId="376325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46EC1C87">
            <w:pPr>
              <w:pStyle w:val="11"/>
              <w:spacing w:line="360" w:lineRule="auto"/>
              <w:ind w:firstLine="0" w:firstLineChars="0"/>
              <w:contextualSpacing/>
              <w:jc w:val="center"/>
              <w:rPr>
                <w:rFonts w:ascii="宋体" w:hAnsi="宋体" w:eastAsia="宋体" w:cs="仿宋_GB2312"/>
                <w:color w:val="auto"/>
                <w:kern w:val="2"/>
                <w:sz w:val="24"/>
                <w:szCs w:val="24"/>
                <w:highlight w:val="none"/>
              </w:rPr>
            </w:pPr>
            <w:bookmarkStart w:id="81" w:name="_Toc254970593"/>
            <w:bookmarkStart w:id="82" w:name="_Toc295404986"/>
            <w:bookmarkStart w:id="83" w:name="_Toc301781616"/>
            <w:bookmarkStart w:id="84" w:name="_Toc297193190"/>
            <w:bookmarkStart w:id="85" w:name="_Toc173211905"/>
            <w:bookmarkStart w:id="86" w:name="_Toc383699911"/>
            <w:bookmarkStart w:id="87" w:name="_Toc373333694"/>
            <w:bookmarkStart w:id="88" w:name="_Toc254970734"/>
            <w:bookmarkStart w:id="89" w:name="_Toc173066406"/>
            <w:r>
              <w:rPr>
                <w:rFonts w:hint="eastAsia" w:ascii="宋体" w:hAnsi="宋体" w:eastAsia="宋体" w:cs="仿宋_GB2312"/>
                <w:color w:val="auto"/>
                <w:kern w:val="2"/>
                <w:sz w:val="24"/>
                <w:szCs w:val="24"/>
                <w:highlight w:val="none"/>
              </w:rPr>
              <w:t>1</w:t>
            </w:r>
            <w:bookmarkEnd w:id="81"/>
            <w:bookmarkEnd w:id="82"/>
            <w:bookmarkEnd w:id="83"/>
            <w:bookmarkEnd w:id="84"/>
            <w:bookmarkEnd w:id="85"/>
            <w:bookmarkEnd w:id="86"/>
            <w:bookmarkEnd w:id="87"/>
            <w:bookmarkEnd w:id="88"/>
            <w:bookmarkEnd w:id="89"/>
          </w:p>
        </w:tc>
        <w:tc>
          <w:tcPr>
            <w:tcW w:w="992" w:type="dxa"/>
            <w:tcBorders>
              <w:right w:val="single" w:color="auto" w:sz="4" w:space="0"/>
            </w:tcBorders>
            <w:vAlign w:val="center"/>
          </w:tcPr>
          <w:p w14:paraId="7C9938BA">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14:paraId="5337915B">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14:paraId="7459D6D9">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vAlign w:val="center"/>
          </w:tcPr>
          <w:p w14:paraId="40F5D3A1">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r>
      <w:tr w14:paraId="5683BC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498F5F66">
            <w:pPr>
              <w:pStyle w:val="11"/>
              <w:spacing w:line="360" w:lineRule="auto"/>
              <w:ind w:firstLine="0" w:firstLineChars="0"/>
              <w:contextualSpacing/>
              <w:jc w:val="center"/>
              <w:rPr>
                <w:rFonts w:ascii="宋体" w:hAnsi="宋体" w:eastAsia="宋体" w:cs="仿宋_GB2312"/>
                <w:color w:val="auto"/>
                <w:kern w:val="2"/>
                <w:sz w:val="24"/>
                <w:szCs w:val="24"/>
                <w:highlight w:val="none"/>
              </w:rPr>
            </w:pPr>
            <w:bookmarkStart w:id="90" w:name="_Toc173066407"/>
            <w:bookmarkStart w:id="91" w:name="_Toc301781617"/>
            <w:bookmarkStart w:id="92" w:name="_Toc295404987"/>
            <w:bookmarkStart w:id="93" w:name="_Toc297193191"/>
            <w:bookmarkStart w:id="94" w:name="_Toc254970735"/>
            <w:bookmarkStart w:id="95" w:name="_Toc383699912"/>
            <w:bookmarkStart w:id="96" w:name="_Toc173211906"/>
            <w:bookmarkStart w:id="97" w:name="_Toc373333695"/>
            <w:bookmarkStart w:id="98" w:name="_Toc254970594"/>
            <w:r>
              <w:rPr>
                <w:rFonts w:hint="eastAsia" w:ascii="宋体" w:hAnsi="宋体" w:eastAsia="宋体" w:cs="仿宋_GB2312"/>
                <w:color w:val="auto"/>
                <w:kern w:val="2"/>
                <w:sz w:val="24"/>
                <w:szCs w:val="24"/>
                <w:highlight w:val="none"/>
              </w:rPr>
              <w:t>2</w:t>
            </w:r>
            <w:bookmarkEnd w:id="90"/>
            <w:bookmarkEnd w:id="91"/>
            <w:bookmarkEnd w:id="92"/>
            <w:bookmarkEnd w:id="93"/>
            <w:bookmarkEnd w:id="94"/>
            <w:bookmarkEnd w:id="95"/>
            <w:bookmarkEnd w:id="96"/>
            <w:bookmarkEnd w:id="97"/>
            <w:bookmarkEnd w:id="98"/>
          </w:p>
        </w:tc>
        <w:tc>
          <w:tcPr>
            <w:tcW w:w="992" w:type="dxa"/>
            <w:tcBorders>
              <w:right w:val="single" w:color="auto" w:sz="4" w:space="0"/>
            </w:tcBorders>
            <w:vAlign w:val="center"/>
          </w:tcPr>
          <w:p w14:paraId="42DE3687">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14:paraId="5B31C022">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14:paraId="5FF5B82A">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vAlign w:val="center"/>
          </w:tcPr>
          <w:p w14:paraId="6825D4CB">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r>
      <w:tr w14:paraId="5CCF6E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42B59947">
            <w:pPr>
              <w:pStyle w:val="11"/>
              <w:spacing w:line="360" w:lineRule="auto"/>
              <w:ind w:firstLine="0" w:firstLineChars="0"/>
              <w:contextualSpacing/>
              <w:jc w:val="center"/>
              <w:rPr>
                <w:rFonts w:ascii="宋体" w:hAnsi="宋体" w:eastAsia="宋体" w:cs="仿宋_GB2312"/>
                <w:color w:val="auto"/>
                <w:kern w:val="2"/>
                <w:sz w:val="24"/>
                <w:szCs w:val="24"/>
                <w:highlight w:val="none"/>
              </w:rPr>
            </w:pPr>
            <w:bookmarkStart w:id="99" w:name="_Toc297193192"/>
            <w:bookmarkStart w:id="100" w:name="_Toc383699913"/>
            <w:bookmarkStart w:id="101" w:name="_Toc295404988"/>
            <w:bookmarkStart w:id="102" w:name="_Toc301781618"/>
            <w:bookmarkStart w:id="103" w:name="_Toc173066408"/>
            <w:bookmarkStart w:id="104" w:name="_Toc254970595"/>
            <w:bookmarkStart w:id="105" w:name="_Toc173211907"/>
            <w:bookmarkStart w:id="106" w:name="_Toc373333696"/>
            <w:bookmarkStart w:id="107" w:name="_Toc254970736"/>
            <w:r>
              <w:rPr>
                <w:rFonts w:hint="eastAsia" w:ascii="宋体" w:hAnsi="宋体" w:eastAsia="宋体" w:cs="仿宋_GB2312"/>
                <w:color w:val="auto"/>
                <w:kern w:val="2"/>
                <w:sz w:val="24"/>
                <w:szCs w:val="24"/>
                <w:highlight w:val="none"/>
              </w:rPr>
              <w:t>3</w:t>
            </w:r>
            <w:bookmarkEnd w:id="99"/>
            <w:bookmarkEnd w:id="100"/>
            <w:bookmarkEnd w:id="101"/>
            <w:bookmarkEnd w:id="102"/>
            <w:bookmarkEnd w:id="103"/>
            <w:bookmarkEnd w:id="104"/>
            <w:bookmarkEnd w:id="105"/>
            <w:bookmarkEnd w:id="106"/>
            <w:bookmarkEnd w:id="107"/>
          </w:p>
        </w:tc>
        <w:tc>
          <w:tcPr>
            <w:tcW w:w="992" w:type="dxa"/>
            <w:tcBorders>
              <w:right w:val="single" w:color="auto" w:sz="4" w:space="0"/>
            </w:tcBorders>
            <w:vAlign w:val="center"/>
          </w:tcPr>
          <w:p w14:paraId="79AE7A59">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14:paraId="66701EC9">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14:paraId="31935072">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vAlign w:val="center"/>
          </w:tcPr>
          <w:p w14:paraId="2E3AD880">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r>
      <w:tr w14:paraId="3272C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2AF2F60B">
            <w:pPr>
              <w:pStyle w:val="11"/>
              <w:spacing w:line="360" w:lineRule="auto"/>
              <w:ind w:firstLine="0" w:firstLineChars="0"/>
              <w:contextualSpacing/>
              <w:jc w:val="center"/>
              <w:rPr>
                <w:rFonts w:ascii="宋体" w:hAnsi="宋体" w:eastAsia="宋体" w:cs="仿宋_GB2312"/>
                <w:color w:val="auto"/>
                <w:kern w:val="2"/>
                <w:sz w:val="24"/>
                <w:szCs w:val="24"/>
                <w:highlight w:val="none"/>
              </w:rPr>
            </w:pPr>
            <w:bookmarkStart w:id="108" w:name="_Toc373333697"/>
            <w:bookmarkStart w:id="109" w:name="_Toc295404989"/>
            <w:bookmarkStart w:id="110" w:name="_Toc383699914"/>
            <w:bookmarkStart w:id="111" w:name="_Toc254970737"/>
            <w:bookmarkStart w:id="112" w:name="_Toc297193193"/>
            <w:bookmarkStart w:id="113" w:name="_Toc301781619"/>
            <w:bookmarkStart w:id="114" w:name="_Toc173066409"/>
            <w:bookmarkStart w:id="115" w:name="_Toc254970596"/>
            <w:bookmarkStart w:id="116" w:name="_Toc173211908"/>
            <w:r>
              <w:rPr>
                <w:rFonts w:hint="eastAsia" w:ascii="宋体" w:hAnsi="宋体" w:eastAsia="宋体" w:cs="仿宋_GB2312"/>
                <w:color w:val="auto"/>
                <w:kern w:val="2"/>
                <w:sz w:val="24"/>
                <w:szCs w:val="24"/>
                <w:highlight w:val="none"/>
              </w:rPr>
              <w:t>4</w:t>
            </w:r>
            <w:bookmarkEnd w:id="108"/>
            <w:bookmarkEnd w:id="109"/>
            <w:bookmarkEnd w:id="110"/>
            <w:bookmarkEnd w:id="111"/>
            <w:bookmarkEnd w:id="112"/>
            <w:bookmarkEnd w:id="113"/>
            <w:bookmarkEnd w:id="114"/>
            <w:bookmarkEnd w:id="115"/>
            <w:bookmarkEnd w:id="116"/>
          </w:p>
        </w:tc>
        <w:tc>
          <w:tcPr>
            <w:tcW w:w="992" w:type="dxa"/>
            <w:tcBorders>
              <w:right w:val="single" w:color="auto" w:sz="4" w:space="0"/>
            </w:tcBorders>
            <w:vAlign w:val="center"/>
          </w:tcPr>
          <w:p w14:paraId="7FA0CF13">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14:paraId="7C9A446B">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14:paraId="23D7EB78">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vAlign w:val="center"/>
          </w:tcPr>
          <w:p w14:paraId="0D0D748A">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r>
      <w:tr w14:paraId="3F7820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14:paraId="325AB9DA">
            <w:pPr>
              <w:pStyle w:val="11"/>
              <w:spacing w:line="360" w:lineRule="auto"/>
              <w:ind w:firstLine="0" w:firstLineChars="0"/>
              <w:contextualSpacing/>
              <w:jc w:val="center"/>
              <w:rPr>
                <w:rFonts w:ascii="宋体" w:hAnsi="宋体" w:eastAsia="宋体" w:cs="仿宋_GB2312"/>
                <w:color w:val="auto"/>
                <w:kern w:val="2"/>
                <w:sz w:val="24"/>
                <w:szCs w:val="24"/>
                <w:highlight w:val="none"/>
              </w:rPr>
            </w:pPr>
            <w:bookmarkStart w:id="117" w:name="_Toc173211909"/>
            <w:bookmarkStart w:id="118" w:name="_Toc301781620"/>
            <w:bookmarkStart w:id="119" w:name="_Toc383699915"/>
            <w:bookmarkStart w:id="120" w:name="_Toc295404990"/>
            <w:bookmarkStart w:id="121" w:name="_Toc373333698"/>
            <w:bookmarkStart w:id="122" w:name="_Toc254970738"/>
            <w:bookmarkStart w:id="123" w:name="_Toc254970597"/>
            <w:bookmarkStart w:id="124" w:name="_Toc173066410"/>
            <w:bookmarkStart w:id="125" w:name="_Toc297193194"/>
            <w:r>
              <w:rPr>
                <w:rFonts w:hint="eastAsia" w:ascii="宋体" w:hAnsi="宋体" w:eastAsia="宋体" w:cs="仿宋_GB2312"/>
                <w:color w:val="auto"/>
                <w:kern w:val="2"/>
                <w:sz w:val="24"/>
                <w:szCs w:val="24"/>
                <w:highlight w:val="none"/>
              </w:rPr>
              <w:t>5</w:t>
            </w:r>
            <w:bookmarkEnd w:id="117"/>
            <w:bookmarkEnd w:id="118"/>
            <w:bookmarkEnd w:id="119"/>
            <w:bookmarkEnd w:id="120"/>
            <w:bookmarkEnd w:id="121"/>
            <w:bookmarkEnd w:id="122"/>
            <w:bookmarkEnd w:id="123"/>
            <w:bookmarkEnd w:id="124"/>
            <w:bookmarkEnd w:id="125"/>
          </w:p>
        </w:tc>
        <w:tc>
          <w:tcPr>
            <w:tcW w:w="992" w:type="dxa"/>
            <w:tcBorders>
              <w:right w:val="single" w:color="auto" w:sz="4" w:space="0"/>
            </w:tcBorders>
            <w:vAlign w:val="center"/>
          </w:tcPr>
          <w:p w14:paraId="794C50C2">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14:paraId="3D2DB7C2">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14:paraId="07323FA6">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vAlign w:val="center"/>
          </w:tcPr>
          <w:p w14:paraId="6095762F">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r>
      <w:tr w14:paraId="576A46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2" w:type="dxa"/>
            <w:vAlign w:val="center"/>
          </w:tcPr>
          <w:p w14:paraId="6E96108B">
            <w:pPr>
              <w:pStyle w:val="11"/>
              <w:spacing w:line="360" w:lineRule="auto"/>
              <w:ind w:firstLine="0" w:firstLineChars="0"/>
              <w:contextualSpacing/>
              <w:jc w:val="center"/>
              <w:rPr>
                <w:rFonts w:ascii="宋体" w:hAnsi="宋体" w:eastAsia="宋体" w:cs="仿宋_GB2312"/>
                <w:color w:val="auto"/>
                <w:kern w:val="2"/>
                <w:sz w:val="24"/>
                <w:szCs w:val="24"/>
                <w:highlight w:val="none"/>
              </w:rPr>
            </w:pPr>
            <w:bookmarkStart w:id="126" w:name="_Toc373333699"/>
            <w:bookmarkStart w:id="127" w:name="_Toc254970602"/>
            <w:bookmarkStart w:id="128" w:name="_Toc254970743"/>
            <w:bookmarkStart w:id="129" w:name="_Toc301781621"/>
            <w:bookmarkStart w:id="130" w:name="_Toc383699916"/>
            <w:bookmarkStart w:id="131" w:name="_Toc173066415"/>
            <w:bookmarkStart w:id="132" w:name="_Toc297193195"/>
            <w:bookmarkStart w:id="133" w:name="_Toc173211914"/>
            <w:bookmarkStart w:id="134" w:name="_Toc295404991"/>
            <w:r>
              <w:rPr>
                <w:rFonts w:hint="eastAsia" w:ascii="宋体" w:hAnsi="宋体" w:eastAsia="宋体" w:cs="仿宋_GB2312"/>
                <w:color w:val="auto"/>
                <w:kern w:val="2"/>
                <w:sz w:val="24"/>
                <w:szCs w:val="24"/>
                <w:highlight w:val="none"/>
              </w:rPr>
              <w:t>…</w:t>
            </w:r>
            <w:bookmarkEnd w:id="126"/>
            <w:bookmarkEnd w:id="127"/>
            <w:bookmarkEnd w:id="128"/>
            <w:bookmarkEnd w:id="129"/>
            <w:bookmarkEnd w:id="130"/>
            <w:bookmarkEnd w:id="131"/>
            <w:bookmarkEnd w:id="132"/>
            <w:bookmarkEnd w:id="133"/>
            <w:bookmarkEnd w:id="134"/>
          </w:p>
        </w:tc>
        <w:tc>
          <w:tcPr>
            <w:tcW w:w="992" w:type="dxa"/>
            <w:tcBorders>
              <w:right w:val="single" w:color="auto" w:sz="4" w:space="0"/>
            </w:tcBorders>
            <w:vAlign w:val="center"/>
          </w:tcPr>
          <w:p w14:paraId="2D13BCCF">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14:paraId="3F515460">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14:paraId="725107C1">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tcBorders>
              <w:right w:val="single" w:color="auto" w:sz="4" w:space="0"/>
            </w:tcBorders>
            <w:vAlign w:val="center"/>
          </w:tcPr>
          <w:p w14:paraId="67B73592">
            <w:pPr>
              <w:pStyle w:val="11"/>
              <w:spacing w:line="360" w:lineRule="auto"/>
              <w:ind w:firstLine="0" w:firstLineChars="0"/>
              <w:contextualSpacing/>
              <w:jc w:val="center"/>
              <w:rPr>
                <w:rFonts w:ascii="宋体" w:hAnsi="宋体" w:eastAsia="宋体" w:cs="仿宋_GB2312"/>
                <w:color w:val="auto"/>
                <w:kern w:val="2"/>
                <w:sz w:val="24"/>
                <w:szCs w:val="24"/>
                <w:highlight w:val="none"/>
              </w:rPr>
            </w:pPr>
          </w:p>
        </w:tc>
      </w:tr>
    </w:tbl>
    <w:p w14:paraId="1C057782">
      <w:pPr>
        <w:adjustRightInd w:val="0"/>
        <w:spacing w:line="360" w:lineRule="auto"/>
        <w:contextualSpacing/>
        <w:rPr>
          <w:rFonts w:ascii="宋体" w:hAnsi="宋体" w:cs="仿宋_GB2312"/>
          <w:color w:val="auto"/>
          <w:sz w:val="24"/>
          <w:highlight w:val="none"/>
        </w:rPr>
      </w:pPr>
    </w:p>
    <w:p w14:paraId="65550A81">
      <w:pPr>
        <w:pStyle w:val="11"/>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281FCEF9">
      <w:pPr>
        <w:pStyle w:val="11"/>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14:paraId="65C6B8E7">
      <w:pPr>
        <w:pStyle w:val="11"/>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1F81B533">
      <w:pPr>
        <w:spacing w:line="360" w:lineRule="auto"/>
        <w:ind w:right="-817" w:rightChars="-389"/>
        <w:contextualSpacing/>
        <w:rPr>
          <w:rFonts w:ascii="宋体" w:hAnsi="宋体" w:cs="仿宋_GB2312"/>
          <w:color w:val="auto"/>
          <w:sz w:val="24"/>
          <w:highlight w:val="none"/>
        </w:rPr>
      </w:pPr>
    </w:p>
    <w:p w14:paraId="04B6DB4F">
      <w:pPr>
        <w:spacing w:line="360" w:lineRule="auto"/>
        <w:ind w:right="-817" w:rightChars="-389" w:firstLine="960" w:firstLineChars="4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7C247877">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宋体"/>
          <w:color w:val="auto"/>
          <w:sz w:val="24"/>
          <w:highlight w:val="none"/>
        </w:rPr>
        <w:t>电子签章</w:t>
      </w:r>
      <w:r>
        <w:rPr>
          <w:rFonts w:hint="eastAsia" w:ascii="宋体" w:hAnsi="宋体" w:cs="仿宋_GB2312"/>
          <w:color w:val="auto"/>
          <w:sz w:val="24"/>
          <w:highlight w:val="none"/>
        </w:rPr>
        <w:t xml:space="preserve">）：      </w:t>
      </w:r>
    </w:p>
    <w:p w14:paraId="3BEFFBB3">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282163C">
      <w:pPr>
        <w:snapToGrid w:val="0"/>
        <w:spacing w:beforeLines="50" w:after="50"/>
        <w:ind w:left="142"/>
        <w:jc w:val="left"/>
        <w:rPr>
          <w:rFonts w:ascii="宋体" w:hAnsi="宋体"/>
          <w:b/>
          <w:color w:val="auto"/>
          <w:sz w:val="24"/>
          <w:highlight w:val="none"/>
        </w:rPr>
      </w:pPr>
      <w:r>
        <w:rPr>
          <w:rFonts w:ascii="宋体" w:hAnsi="宋体" w:cs="仿宋_GB2312"/>
          <w:color w:val="auto"/>
          <w:sz w:val="24"/>
          <w:highlight w:val="none"/>
        </w:rPr>
        <w:br w:type="page"/>
      </w:r>
    </w:p>
    <w:p w14:paraId="1BBC029A">
      <w:pPr>
        <w:spacing w:line="360" w:lineRule="auto"/>
        <w:ind w:left="142"/>
        <w:contextualSpacing/>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9、项目实施人员一览表</w:t>
      </w:r>
    </w:p>
    <w:p w14:paraId="6F3828D5">
      <w:pPr>
        <w:pStyle w:val="13"/>
        <w:spacing w:line="360" w:lineRule="auto"/>
        <w:contextualSpacing/>
        <w:rPr>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23"/>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9"/>
        <w:gridCol w:w="2625"/>
        <w:gridCol w:w="1375"/>
        <w:gridCol w:w="1613"/>
        <w:gridCol w:w="1762"/>
      </w:tblGrid>
      <w:tr w14:paraId="2ED8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72C987">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939" w:type="dxa"/>
            <w:vAlign w:val="center"/>
          </w:tcPr>
          <w:p w14:paraId="41C8800B">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2625" w:type="dxa"/>
            <w:vAlign w:val="center"/>
          </w:tcPr>
          <w:p w14:paraId="607D12D5">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375" w:type="dxa"/>
            <w:vAlign w:val="center"/>
          </w:tcPr>
          <w:p w14:paraId="2A58139F">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13" w:type="dxa"/>
            <w:vAlign w:val="center"/>
          </w:tcPr>
          <w:p w14:paraId="273A3268">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4A1B20B4">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762" w:type="dxa"/>
            <w:vAlign w:val="center"/>
          </w:tcPr>
          <w:p w14:paraId="06146FDD">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7555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A5EC94">
            <w:pPr>
              <w:spacing w:line="360" w:lineRule="auto"/>
              <w:contextualSpacing/>
              <w:jc w:val="center"/>
              <w:rPr>
                <w:rFonts w:ascii="宋体" w:hAnsi="宋体"/>
                <w:color w:val="auto"/>
                <w:sz w:val="24"/>
                <w:szCs w:val="20"/>
                <w:highlight w:val="none"/>
              </w:rPr>
            </w:pPr>
          </w:p>
        </w:tc>
        <w:tc>
          <w:tcPr>
            <w:tcW w:w="939" w:type="dxa"/>
            <w:vAlign w:val="center"/>
          </w:tcPr>
          <w:p w14:paraId="6154BC66">
            <w:pPr>
              <w:spacing w:line="360" w:lineRule="auto"/>
              <w:contextualSpacing/>
              <w:jc w:val="center"/>
              <w:rPr>
                <w:rFonts w:ascii="宋体" w:hAnsi="宋体"/>
                <w:color w:val="auto"/>
                <w:sz w:val="24"/>
                <w:szCs w:val="20"/>
                <w:highlight w:val="none"/>
              </w:rPr>
            </w:pPr>
          </w:p>
        </w:tc>
        <w:tc>
          <w:tcPr>
            <w:tcW w:w="2625" w:type="dxa"/>
            <w:vAlign w:val="center"/>
          </w:tcPr>
          <w:p w14:paraId="472F40C6">
            <w:pPr>
              <w:spacing w:line="360" w:lineRule="auto"/>
              <w:contextualSpacing/>
              <w:jc w:val="center"/>
              <w:rPr>
                <w:rFonts w:ascii="宋体" w:hAnsi="宋体"/>
                <w:color w:val="auto"/>
                <w:sz w:val="24"/>
                <w:szCs w:val="20"/>
                <w:highlight w:val="none"/>
              </w:rPr>
            </w:pPr>
          </w:p>
        </w:tc>
        <w:tc>
          <w:tcPr>
            <w:tcW w:w="1375" w:type="dxa"/>
            <w:vAlign w:val="center"/>
          </w:tcPr>
          <w:p w14:paraId="0B4A4321">
            <w:pPr>
              <w:spacing w:line="360" w:lineRule="auto"/>
              <w:contextualSpacing/>
              <w:jc w:val="center"/>
              <w:rPr>
                <w:rFonts w:ascii="宋体" w:hAnsi="宋体"/>
                <w:color w:val="auto"/>
                <w:sz w:val="24"/>
                <w:szCs w:val="20"/>
                <w:highlight w:val="none"/>
              </w:rPr>
            </w:pPr>
          </w:p>
        </w:tc>
        <w:tc>
          <w:tcPr>
            <w:tcW w:w="1613" w:type="dxa"/>
            <w:vAlign w:val="center"/>
          </w:tcPr>
          <w:p w14:paraId="744F9FB8">
            <w:pPr>
              <w:spacing w:line="360" w:lineRule="auto"/>
              <w:contextualSpacing/>
              <w:jc w:val="center"/>
              <w:rPr>
                <w:rFonts w:ascii="宋体" w:hAnsi="宋体"/>
                <w:color w:val="auto"/>
                <w:sz w:val="24"/>
                <w:szCs w:val="20"/>
                <w:highlight w:val="none"/>
              </w:rPr>
            </w:pPr>
          </w:p>
        </w:tc>
        <w:tc>
          <w:tcPr>
            <w:tcW w:w="1762" w:type="dxa"/>
            <w:vAlign w:val="center"/>
          </w:tcPr>
          <w:p w14:paraId="43831128">
            <w:pPr>
              <w:spacing w:line="360" w:lineRule="auto"/>
              <w:contextualSpacing/>
              <w:jc w:val="center"/>
              <w:rPr>
                <w:rFonts w:ascii="宋体" w:hAnsi="宋体"/>
                <w:color w:val="auto"/>
                <w:sz w:val="24"/>
                <w:szCs w:val="20"/>
                <w:highlight w:val="none"/>
              </w:rPr>
            </w:pPr>
          </w:p>
        </w:tc>
      </w:tr>
      <w:tr w14:paraId="5692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25C416C">
            <w:pPr>
              <w:spacing w:line="360" w:lineRule="auto"/>
              <w:contextualSpacing/>
              <w:jc w:val="center"/>
              <w:rPr>
                <w:rFonts w:ascii="宋体" w:hAnsi="宋体"/>
                <w:color w:val="auto"/>
                <w:sz w:val="24"/>
                <w:szCs w:val="20"/>
                <w:highlight w:val="none"/>
              </w:rPr>
            </w:pPr>
          </w:p>
        </w:tc>
        <w:tc>
          <w:tcPr>
            <w:tcW w:w="939" w:type="dxa"/>
            <w:vAlign w:val="center"/>
          </w:tcPr>
          <w:p w14:paraId="409A2283">
            <w:pPr>
              <w:spacing w:line="360" w:lineRule="auto"/>
              <w:contextualSpacing/>
              <w:jc w:val="center"/>
              <w:rPr>
                <w:rFonts w:ascii="宋体" w:hAnsi="宋体"/>
                <w:color w:val="auto"/>
                <w:sz w:val="24"/>
                <w:szCs w:val="20"/>
                <w:highlight w:val="none"/>
              </w:rPr>
            </w:pPr>
          </w:p>
        </w:tc>
        <w:tc>
          <w:tcPr>
            <w:tcW w:w="2625" w:type="dxa"/>
            <w:vAlign w:val="center"/>
          </w:tcPr>
          <w:p w14:paraId="6389B7C9">
            <w:pPr>
              <w:spacing w:line="360" w:lineRule="auto"/>
              <w:contextualSpacing/>
              <w:jc w:val="center"/>
              <w:rPr>
                <w:rFonts w:ascii="宋体" w:hAnsi="宋体"/>
                <w:color w:val="auto"/>
                <w:sz w:val="24"/>
                <w:szCs w:val="20"/>
                <w:highlight w:val="none"/>
              </w:rPr>
            </w:pPr>
          </w:p>
        </w:tc>
        <w:tc>
          <w:tcPr>
            <w:tcW w:w="1375" w:type="dxa"/>
            <w:vAlign w:val="center"/>
          </w:tcPr>
          <w:p w14:paraId="24F043A7">
            <w:pPr>
              <w:spacing w:line="360" w:lineRule="auto"/>
              <w:contextualSpacing/>
              <w:jc w:val="center"/>
              <w:rPr>
                <w:rFonts w:ascii="宋体" w:hAnsi="宋体"/>
                <w:color w:val="auto"/>
                <w:sz w:val="24"/>
                <w:szCs w:val="20"/>
                <w:highlight w:val="none"/>
              </w:rPr>
            </w:pPr>
          </w:p>
        </w:tc>
        <w:tc>
          <w:tcPr>
            <w:tcW w:w="1613" w:type="dxa"/>
            <w:vAlign w:val="center"/>
          </w:tcPr>
          <w:p w14:paraId="2DAC13A7">
            <w:pPr>
              <w:spacing w:line="360" w:lineRule="auto"/>
              <w:contextualSpacing/>
              <w:jc w:val="center"/>
              <w:rPr>
                <w:rFonts w:ascii="宋体" w:hAnsi="宋体"/>
                <w:color w:val="auto"/>
                <w:sz w:val="24"/>
                <w:szCs w:val="20"/>
                <w:highlight w:val="none"/>
              </w:rPr>
            </w:pPr>
          </w:p>
        </w:tc>
        <w:tc>
          <w:tcPr>
            <w:tcW w:w="1762" w:type="dxa"/>
            <w:vAlign w:val="center"/>
          </w:tcPr>
          <w:p w14:paraId="6CF9F68F">
            <w:pPr>
              <w:spacing w:line="360" w:lineRule="auto"/>
              <w:contextualSpacing/>
              <w:jc w:val="center"/>
              <w:rPr>
                <w:rFonts w:ascii="宋体" w:hAnsi="宋体"/>
                <w:color w:val="auto"/>
                <w:sz w:val="24"/>
                <w:szCs w:val="20"/>
                <w:highlight w:val="none"/>
              </w:rPr>
            </w:pPr>
          </w:p>
        </w:tc>
      </w:tr>
      <w:tr w14:paraId="1F70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48F6F4">
            <w:pPr>
              <w:spacing w:line="360" w:lineRule="auto"/>
              <w:contextualSpacing/>
              <w:jc w:val="center"/>
              <w:rPr>
                <w:rFonts w:ascii="宋体" w:hAnsi="宋体"/>
                <w:color w:val="auto"/>
                <w:sz w:val="24"/>
                <w:szCs w:val="20"/>
                <w:highlight w:val="none"/>
              </w:rPr>
            </w:pPr>
          </w:p>
        </w:tc>
        <w:tc>
          <w:tcPr>
            <w:tcW w:w="939" w:type="dxa"/>
            <w:vAlign w:val="center"/>
          </w:tcPr>
          <w:p w14:paraId="59D45C1D">
            <w:pPr>
              <w:spacing w:line="360" w:lineRule="auto"/>
              <w:contextualSpacing/>
              <w:jc w:val="center"/>
              <w:rPr>
                <w:rFonts w:ascii="宋体" w:hAnsi="宋体"/>
                <w:color w:val="auto"/>
                <w:sz w:val="24"/>
                <w:szCs w:val="20"/>
                <w:highlight w:val="none"/>
              </w:rPr>
            </w:pPr>
          </w:p>
        </w:tc>
        <w:tc>
          <w:tcPr>
            <w:tcW w:w="2625" w:type="dxa"/>
            <w:vAlign w:val="center"/>
          </w:tcPr>
          <w:p w14:paraId="5CB1641A">
            <w:pPr>
              <w:spacing w:line="360" w:lineRule="auto"/>
              <w:contextualSpacing/>
              <w:jc w:val="center"/>
              <w:rPr>
                <w:rFonts w:ascii="宋体" w:hAnsi="宋体"/>
                <w:color w:val="auto"/>
                <w:sz w:val="24"/>
                <w:szCs w:val="20"/>
                <w:highlight w:val="none"/>
              </w:rPr>
            </w:pPr>
          </w:p>
        </w:tc>
        <w:tc>
          <w:tcPr>
            <w:tcW w:w="1375" w:type="dxa"/>
            <w:vAlign w:val="center"/>
          </w:tcPr>
          <w:p w14:paraId="4C55111F">
            <w:pPr>
              <w:spacing w:line="360" w:lineRule="auto"/>
              <w:contextualSpacing/>
              <w:jc w:val="center"/>
              <w:rPr>
                <w:rFonts w:ascii="宋体" w:hAnsi="宋体"/>
                <w:color w:val="auto"/>
                <w:sz w:val="24"/>
                <w:szCs w:val="20"/>
                <w:highlight w:val="none"/>
              </w:rPr>
            </w:pPr>
          </w:p>
        </w:tc>
        <w:tc>
          <w:tcPr>
            <w:tcW w:w="1613" w:type="dxa"/>
            <w:vAlign w:val="center"/>
          </w:tcPr>
          <w:p w14:paraId="50D49E1B">
            <w:pPr>
              <w:spacing w:line="360" w:lineRule="auto"/>
              <w:contextualSpacing/>
              <w:jc w:val="center"/>
              <w:rPr>
                <w:rFonts w:ascii="宋体" w:hAnsi="宋体"/>
                <w:color w:val="auto"/>
                <w:sz w:val="24"/>
                <w:szCs w:val="20"/>
                <w:highlight w:val="none"/>
              </w:rPr>
            </w:pPr>
          </w:p>
        </w:tc>
        <w:tc>
          <w:tcPr>
            <w:tcW w:w="1762" w:type="dxa"/>
            <w:vAlign w:val="center"/>
          </w:tcPr>
          <w:p w14:paraId="63D2B5AC">
            <w:pPr>
              <w:spacing w:line="360" w:lineRule="auto"/>
              <w:contextualSpacing/>
              <w:jc w:val="center"/>
              <w:rPr>
                <w:rFonts w:ascii="宋体" w:hAnsi="宋体"/>
                <w:color w:val="auto"/>
                <w:sz w:val="24"/>
                <w:szCs w:val="20"/>
                <w:highlight w:val="none"/>
              </w:rPr>
            </w:pPr>
          </w:p>
        </w:tc>
      </w:tr>
    </w:tbl>
    <w:p w14:paraId="20E195E8">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58E5D12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520A98EB">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供应商应当附本表所列证书的复印件并加盖供应商公章。</w:t>
      </w:r>
    </w:p>
    <w:p w14:paraId="3E612CEA">
      <w:pPr>
        <w:spacing w:line="360" w:lineRule="auto"/>
        <w:contextualSpacing/>
        <w:rPr>
          <w:rFonts w:ascii="宋体" w:hAnsi="宋体"/>
          <w:color w:val="auto"/>
          <w:sz w:val="24"/>
          <w:highlight w:val="none"/>
        </w:rPr>
      </w:pPr>
    </w:p>
    <w:p w14:paraId="2D7A3CFA">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361D4848">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供应商（</w:t>
      </w:r>
      <w:r>
        <w:rPr>
          <w:rFonts w:hint="eastAsia" w:ascii="宋体" w:hAnsi="宋体" w:cs="宋体"/>
          <w:color w:val="auto"/>
          <w:sz w:val="24"/>
          <w:highlight w:val="none"/>
        </w:rPr>
        <w:t>电子签章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198B8F79">
      <w:pPr>
        <w:snapToGrid w:val="0"/>
        <w:spacing w:before="50" w:afterLines="50"/>
        <w:jc w:val="left"/>
        <w:rPr>
          <w:rFonts w:ascii="宋体" w:hAnsi="宋体"/>
          <w:color w:val="auto"/>
          <w:sz w:val="24"/>
          <w:szCs w:val="20"/>
          <w:highlight w:val="none"/>
        </w:rPr>
      </w:pPr>
    </w:p>
    <w:p w14:paraId="69CA1B27">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5CED771D">
      <w:pPr>
        <w:spacing w:line="360" w:lineRule="auto"/>
        <w:ind w:left="142"/>
        <w:contextualSpacing/>
        <w:jc w:val="left"/>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10、对应采购需求的技术要求、商务要求提供的其他文件资料</w:t>
      </w:r>
    </w:p>
    <w:p w14:paraId="6A0E2207">
      <w:pPr>
        <w:spacing w:line="360" w:lineRule="auto"/>
        <w:ind w:left="142"/>
        <w:contextualSpacing/>
        <w:jc w:val="left"/>
        <w:rPr>
          <w:rFonts w:ascii="方正小标宋简体" w:hAnsi="方正小标宋简体" w:eastAsia="方正小标宋简体" w:cs="方正小标宋简体"/>
          <w:bCs/>
          <w:color w:val="auto"/>
          <w:sz w:val="44"/>
          <w:szCs w:val="44"/>
          <w:highlight w:val="none"/>
        </w:rPr>
      </w:pPr>
    </w:p>
    <w:p w14:paraId="4A40268C">
      <w:pPr>
        <w:spacing w:line="360" w:lineRule="auto"/>
        <w:ind w:left="142"/>
        <w:contextualSpacing/>
        <w:jc w:val="left"/>
        <w:rPr>
          <w:rFonts w:ascii="宋体" w:hAnsi="宋体"/>
          <w:color w:val="auto"/>
          <w:szCs w:val="21"/>
          <w:highlight w:val="none"/>
        </w:rPr>
      </w:pPr>
      <w:r>
        <w:rPr>
          <w:rFonts w:hint="eastAsia" w:ascii="方正小标宋简体" w:hAnsi="方正小标宋简体" w:eastAsia="方正小标宋简体" w:cs="方正小标宋简体"/>
          <w:bCs/>
          <w:color w:val="auto"/>
          <w:sz w:val="44"/>
          <w:szCs w:val="44"/>
          <w:highlight w:val="none"/>
        </w:rPr>
        <w:t>11、供应商认为需要提供的其他有关资料</w:t>
      </w: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其他文书、文件格式</w:t>
      </w:r>
    </w:p>
    <w:p w14:paraId="169A976C">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w:t>
      </w:r>
      <w:r>
        <w:rPr>
          <w:rFonts w:hint="eastAsia" w:ascii="方正小标宋简体" w:hAnsi="方正小标宋简体" w:eastAsia="方正小标宋简体" w:cs="方正小标宋简体"/>
          <w:color w:val="auto"/>
          <w:sz w:val="28"/>
          <w:szCs w:val="28"/>
          <w:highlight w:val="none"/>
        </w:rPr>
        <w:t>（格式）</w:t>
      </w:r>
    </w:p>
    <w:p w14:paraId="575F9B44">
      <w:pPr>
        <w:pStyle w:val="13"/>
        <w:spacing w:line="440" w:lineRule="exact"/>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1B2C0B19">
      <w:pPr>
        <w:pStyle w:val="13"/>
        <w:spacing w:line="440" w:lineRule="exact"/>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4D7DE9D">
      <w:pPr>
        <w:pStyle w:val="13"/>
        <w:spacing w:line="440" w:lineRule="exact"/>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3FB4B94">
      <w:pPr>
        <w:pStyle w:val="13"/>
        <w:spacing w:line="440" w:lineRule="exact"/>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B609516">
      <w:pPr>
        <w:pStyle w:val="13"/>
        <w:spacing w:line="440" w:lineRule="exact"/>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17A6A3DA">
      <w:pPr>
        <w:pStyle w:val="13"/>
        <w:spacing w:line="440" w:lineRule="exact"/>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AFA8083">
      <w:pPr>
        <w:pStyle w:val="13"/>
        <w:spacing w:line="440" w:lineRule="exact"/>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99722E7">
      <w:pPr>
        <w:pStyle w:val="13"/>
        <w:spacing w:line="440" w:lineRule="exact"/>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20E660D6">
      <w:pPr>
        <w:pStyle w:val="13"/>
        <w:spacing w:line="440" w:lineRule="exact"/>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7F6F6A9">
      <w:pPr>
        <w:pStyle w:val="13"/>
        <w:spacing w:line="440" w:lineRule="exact"/>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0A6DFAC">
      <w:pPr>
        <w:pStyle w:val="13"/>
        <w:spacing w:line="440" w:lineRule="exact"/>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84BD541">
      <w:pPr>
        <w:pStyle w:val="13"/>
        <w:spacing w:line="440" w:lineRule="exact"/>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0F3B0637">
      <w:pPr>
        <w:pStyle w:val="13"/>
        <w:spacing w:line="440" w:lineRule="exact"/>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4C3DA0EF">
      <w:pPr>
        <w:pStyle w:val="13"/>
        <w:spacing w:line="440" w:lineRule="exact"/>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5EACDCBD">
      <w:pPr>
        <w:pStyle w:val="13"/>
        <w:spacing w:line="440" w:lineRule="exact"/>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493948A0">
      <w:pPr>
        <w:pStyle w:val="13"/>
        <w:spacing w:line="440" w:lineRule="exact"/>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58B5772F">
      <w:pPr>
        <w:pStyle w:val="13"/>
        <w:spacing w:line="440" w:lineRule="exact"/>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A629AB6">
      <w:pPr>
        <w:pStyle w:val="13"/>
        <w:spacing w:line="440" w:lineRule="exact"/>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62A29C8B">
      <w:pPr>
        <w:pStyle w:val="13"/>
        <w:spacing w:line="440" w:lineRule="exact"/>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14516358">
      <w:pPr>
        <w:pStyle w:val="13"/>
        <w:spacing w:line="440" w:lineRule="exact"/>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723E7C6E">
      <w:pPr>
        <w:pStyle w:val="13"/>
        <w:spacing w:line="440" w:lineRule="exact"/>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099295C">
      <w:pPr>
        <w:pStyle w:val="13"/>
        <w:spacing w:line="440" w:lineRule="exact"/>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242B028E">
      <w:pPr>
        <w:pStyle w:val="13"/>
        <w:spacing w:line="440" w:lineRule="exact"/>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C572F15">
      <w:pPr>
        <w:pStyle w:val="13"/>
        <w:spacing w:line="440" w:lineRule="exact"/>
        <w:ind w:left="25" w:leftChars="12" w:firstLine="352" w:firstLineChars="147"/>
        <w:contextualSpacing/>
        <w:rPr>
          <w:rFonts w:hAnsi="宋体"/>
          <w:color w:val="auto"/>
          <w:sz w:val="24"/>
          <w:szCs w:val="24"/>
          <w:highlight w:val="none"/>
        </w:rPr>
      </w:pPr>
    </w:p>
    <w:p w14:paraId="577E2349">
      <w:pPr>
        <w:pStyle w:val="13"/>
        <w:spacing w:line="440" w:lineRule="exact"/>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3C0F716B">
      <w:pPr>
        <w:pStyle w:val="13"/>
        <w:spacing w:line="440" w:lineRule="exact"/>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18432D29">
      <w:pPr>
        <w:pStyle w:val="13"/>
        <w:spacing w:line="360" w:lineRule="auto"/>
        <w:contextualSpacing/>
        <w:rPr>
          <w:rFonts w:hint="eastAsia" w:hAnsi="宋体"/>
          <w:b/>
          <w:color w:val="auto"/>
          <w:sz w:val="24"/>
          <w:szCs w:val="24"/>
          <w:highlight w:val="none"/>
        </w:rPr>
      </w:pPr>
    </w:p>
    <w:p w14:paraId="1F40676B">
      <w:pPr>
        <w:pStyle w:val="13"/>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07A6B8EC">
      <w:pPr>
        <w:pStyle w:val="13"/>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D9CAB08">
      <w:pPr>
        <w:pStyle w:val="13"/>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E1AA77">
      <w:pPr>
        <w:pStyle w:val="13"/>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8F3EAE5">
      <w:pPr>
        <w:pStyle w:val="13"/>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22B77371">
      <w:pPr>
        <w:pStyle w:val="13"/>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009D53C">
      <w:pPr>
        <w:pStyle w:val="13"/>
        <w:snapToGrid w:val="0"/>
        <w:rPr>
          <w:b/>
          <w:color w:val="auto"/>
          <w:sz w:val="24"/>
          <w:szCs w:val="24"/>
          <w:highlight w:val="none"/>
        </w:rPr>
      </w:pPr>
    </w:p>
    <w:p w14:paraId="40FF9F6A">
      <w:pPr>
        <w:rPr>
          <w:color w:val="auto"/>
          <w:sz w:val="32"/>
          <w:szCs w:val="40"/>
          <w:highlight w:val="none"/>
        </w:rPr>
      </w:pPr>
    </w:p>
    <w:p w14:paraId="528F98F1">
      <w:pPr>
        <w:rPr>
          <w:color w:val="auto"/>
          <w:sz w:val="32"/>
          <w:szCs w:val="40"/>
          <w:highlight w:val="none"/>
        </w:rPr>
      </w:pPr>
    </w:p>
    <w:p w14:paraId="3A042D25">
      <w:pPr>
        <w:rPr>
          <w:color w:val="auto"/>
          <w:sz w:val="32"/>
          <w:szCs w:val="40"/>
          <w:highlight w:val="none"/>
        </w:rPr>
      </w:pPr>
    </w:p>
    <w:p w14:paraId="1456A5BE">
      <w:pPr>
        <w:rPr>
          <w:color w:val="auto"/>
          <w:sz w:val="32"/>
          <w:szCs w:val="40"/>
          <w:highlight w:val="none"/>
        </w:rPr>
      </w:pPr>
    </w:p>
    <w:p w14:paraId="0FA5D959">
      <w:pPr>
        <w:rPr>
          <w:color w:val="auto"/>
          <w:sz w:val="32"/>
          <w:szCs w:val="40"/>
          <w:highlight w:val="none"/>
        </w:rPr>
      </w:pPr>
    </w:p>
    <w:p w14:paraId="647250CA">
      <w:pPr>
        <w:rPr>
          <w:color w:val="auto"/>
          <w:sz w:val="32"/>
          <w:szCs w:val="40"/>
          <w:highlight w:val="none"/>
        </w:rPr>
      </w:pPr>
    </w:p>
    <w:p w14:paraId="0979332C">
      <w:pPr>
        <w:rPr>
          <w:color w:val="auto"/>
          <w:sz w:val="32"/>
          <w:szCs w:val="40"/>
          <w:highlight w:val="none"/>
        </w:rPr>
      </w:pPr>
    </w:p>
    <w:p w14:paraId="2990B3B6">
      <w:pPr>
        <w:rPr>
          <w:color w:val="auto"/>
          <w:sz w:val="32"/>
          <w:szCs w:val="40"/>
          <w:highlight w:val="none"/>
        </w:rPr>
      </w:pPr>
    </w:p>
    <w:p w14:paraId="1D59756C">
      <w:pPr>
        <w:rPr>
          <w:color w:val="auto"/>
          <w:sz w:val="32"/>
          <w:szCs w:val="40"/>
          <w:highlight w:val="none"/>
        </w:rPr>
      </w:pPr>
    </w:p>
    <w:p w14:paraId="4280975D">
      <w:pPr>
        <w:rPr>
          <w:color w:val="auto"/>
          <w:sz w:val="32"/>
          <w:szCs w:val="40"/>
          <w:highlight w:val="none"/>
        </w:rPr>
      </w:pPr>
    </w:p>
    <w:p w14:paraId="31F55A03">
      <w:pPr>
        <w:rPr>
          <w:color w:val="auto"/>
          <w:sz w:val="32"/>
          <w:szCs w:val="40"/>
          <w:highlight w:val="none"/>
        </w:rPr>
      </w:pPr>
    </w:p>
    <w:p w14:paraId="357FDDEA">
      <w:pPr>
        <w:rPr>
          <w:color w:val="auto"/>
          <w:sz w:val="32"/>
          <w:szCs w:val="40"/>
          <w:highlight w:val="none"/>
        </w:rPr>
      </w:pPr>
    </w:p>
    <w:p w14:paraId="576ADB0B">
      <w:pPr>
        <w:rPr>
          <w:color w:val="auto"/>
          <w:sz w:val="32"/>
          <w:szCs w:val="40"/>
          <w:highlight w:val="none"/>
        </w:rPr>
      </w:pPr>
    </w:p>
    <w:p w14:paraId="4F3D672F">
      <w:pPr>
        <w:spacing w:line="360" w:lineRule="auto"/>
        <w:jc w:val="center"/>
        <w:rPr>
          <w:rFonts w:ascii="方正小标宋简体" w:hAnsi="方正小标宋简体" w:eastAsia="方正小标宋简体" w:cs="方正小标宋简体"/>
          <w:color w:val="auto"/>
          <w:sz w:val="24"/>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w:t>
      </w:r>
      <w:r>
        <w:rPr>
          <w:rFonts w:hint="eastAsia" w:ascii="方正小标宋简体" w:hAnsi="方正小标宋简体" w:eastAsia="方正小标宋简体" w:cs="方正小标宋简体"/>
          <w:color w:val="auto"/>
          <w:sz w:val="28"/>
          <w:szCs w:val="28"/>
          <w:highlight w:val="none"/>
        </w:rPr>
        <w:t>（格式）</w:t>
      </w:r>
    </w:p>
    <w:p w14:paraId="0172C987">
      <w:pPr>
        <w:pStyle w:val="1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10FE8F6">
      <w:pPr>
        <w:pStyle w:val="13"/>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56B7EA3">
      <w:pPr>
        <w:pStyle w:val="1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2603ED9">
      <w:pPr>
        <w:pStyle w:val="13"/>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9FF5904">
      <w:pPr>
        <w:pStyle w:val="1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5D60718">
      <w:pPr>
        <w:pStyle w:val="13"/>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EE657A4">
      <w:pPr>
        <w:pStyle w:val="13"/>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64987D8">
      <w:pPr>
        <w:pStyle w:val="1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D8DE126">
      <w:pPr>
        <w:pStyle w:val="13"/>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2DDDFA9C">
      <w:pPr>
        <w:pStyle w:val="13"/>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6B1C405">
      <w:pPr>
        <w:pStyle w:val="1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0F0ED95">
      <w:pPr>
        <w:pStyle w:val="13"/>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10A6F26">
      <w:pPr>
        <w:pStyle w:val="13"/>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64F595A1">
      <w:pPr>
        <w:pStyle w:val="1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3FFCCEDC">
      <w:pPr>
        <w:pStyle w:val="13"/>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CEB5179">
      <w:pPr>
        <w:pStyle w:val="13"/>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A9C5841">
      <w:pPr>
        <w:pStyle w:val="13"/>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57800A6">
      <w:pPr>
        <w:pStyle w:val="1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44D5D19E">
      <w:pPr>
        <w:pStyle w:val="13"/>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5A9ADE2">
      <w:pPr>
        <w:pStyle w:val="13"/>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EE860B9">
      <w:pPr>
        <w:pStyle w:val="1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B371ED8">
      <w:pPr>
        <w:pStyle w:val="1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C34683B">
      <w:pPr>
        <w:pStyle w:val="13"/>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竞争性磋商文件公告：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B76E142">
      <w:pPr>
        <w:pStyle w:val="13"/>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B0EAF0E">
      <w:pPr>
        <w:pStyle w:val="1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1081E64E">
      <w:pPr>
        <w:pStyle w:val="13"/>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171222A8">
      <w:pPr>
        <w:pStyle w:val="13"/>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C4BF934">
      <w:pPr>
        <w:pStyle w:val="13"/>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A4F9C40">
      <w:pPr>
        <w:pStyle w:val="13"/>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B75420C">
      <w:pPr>
        <w:pStyle w:val="1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0472859">
      <w:pPr>
        <w:pStyle w:val="1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DF6D32D">
      <w:pPr>
        <w:pStyle w:val="13"/>
        <w:spacing w:line="360" w:lineRule="auto"/>
        <w:ind w:firstLine="480" w:firstLineChars="200"/>
        <w:rPr>
          <w:rFonts w:hAnsi="宋体"/>
          <w:color w:val="auto"/>
          <w:sz w:val="24"/>
          <w:szCs w:val="24"/>
          <w:highlight w:val="non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D3529BD">
      <w:pPr>
        <w:pStyle w:val="13"/>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8CB6DE8">
      <w:pPr>
        <w:pStyle w:val="13"/>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94A737F">
      <w:pPr>
        <w:pStyle w:val="13"/>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40A6841A">
      <w:pPr>
        <w:pStyle w:val="1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69EBA98">
      <w:pPr>
        <w:pStyle w:val="1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E8ACACF">
      <w:pPr>
        <w:pStyle w:val="13"/>
        <w:spacing w:line="360" w:lineRule="auto"/>
        <w:ind w:left="25" w:leftChars="12" w:firstLine="352" w:firstLineChars="147"/>
        <w:rPr>
          <w:rFonts w:hAnsi="宋体"/>
          <w:color w:val="auto"/>
          <w:sz w:val="24"/>
          <w:szCs w:val="24"/>
          <w:highlight w:val="none"/>
        </w:rPr>
      </w:pPr>
    </w:p>
    <w:p w14:paraId="3408B410">
      <w:pPr>
        <w:pStyle w:val="1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7CF0381C">
      <w:pPr>
        <w:pStyle w:val="13"/>
        <w:spacing w:line="360" w:lineRule="auto"/>
        <w:ind w:left="25" w:leftChars="12" w:firstLine="352" w:firstLineChars="147"/>
        <w:rPr>
          <w:rFonts w:hAnsi="宋体"/>
          <w:color w:val="auto"/>
          <w:sz w:val="24"/>
          <w:szCs w:val="24"/>
          <w:highlight w:val="none"/>
        </w:rPr>
      </w:pPr>
    </w:p>
    <w:p w14:paraId="53D51AE4">
      <w:pPr>
        <w:pStyle w:val="1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601FE336">
      <w:pPr>
        <w:pStyle w:val="13"/>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00016F87">
      <w:pPr>
        <w:pStyle w:val="13"/>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03DE739C">
      <w:pPr>
        <w:pStyle w:val="13"/>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6B4AC75">
      <w:pPr>
        <w:pStyle w:val="1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FDD9EA6">
      <w:pPr>
        <w:pStyle w:val="1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C40B120">
      <w:pPr>
        <w:pStyle w:val="1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2CF6153B">
      <w:pPr>
        <w:pStyle w:val="1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04059D9">
      <w:pPr>
        <w:pStyle w:val="1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5C911A9B">
      <w:pPr>
        <w:rPr>
          <w:rFonts w:hAnsi="宋体"/>
          <w:b/>
          <w:color w:val="auto"/>
          <w:sz w:val="24"/>
          <w:highlight w:val="none"/>
        </w:rPr>
      </w:pPr>
      <w:r>
        <w:rPr>
          <w:rFonts w:hint="eastAsia" w:hAnsi="宋体"/>
          <w:b/>
          <w:color w:val="auto"/>
          <w:sz w:val="24"/>
          <w:highlight w:val="none"/>
        </w:rPr>
        <w:br w:type="page"/>
      </w:r>
    </w:p>
    <w:p w14:paraId="32A21B67">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536A08D4">
      <w:pPr>
        <w:widowControl/>
        <w:shd w:val="clear" w:color="auto" w:fill="FFFFFF"/>
        <w:spacing w:line="480" w:lineRule="atLeast"/>
        <w:jc w:val="center"/>
        <w:rPr>
          <w:rFonts w:ascii="仿宋" w:hAnsi="仿宋" w:eastAsia="仿宋" w:cs="宋体"/>
          <w:color w:val="auto"/>
          <w:kern w:val="0"/>
          <w:sz w:val="32"/>
          <w:szCs w:val="32"/>
          <w:highlight w:val="none"/>
        </w:rPr>
      </w:pPr>
    </w:p>
    <w:p w14:paraId="1EBE45AB">
      <w:pPr>
        <w:widowControl/>
        <w:shd w:val="clear" w:color="auto" w:fill="FFFFFF"/>
        <w:snapToGrid w:val="0"/>
        <w:spacing w:line="320" w:lineRule="atLeast"/>
        <w:ind w:firstLine="48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根据政府采购项目（</w:t>
      </w:r>
      <w:r>
        <w:rPr>
          <w:rFonts w:hint="eastAsia" w:asciiTheme="minorEastAsia" w:hAnsiTheme="minorEastAsia" w:eastAsiaTheme="minorEastAsia" w:cstheme="minorEastAsia"/>
          <w:color w:val="auto"/>
          <w:kern w:val="0"/>
          <w:sz w:val="21"/>
          <w:szCs w:val="21"/>
          <w:highlight w:val="none"/>
          <w:u w:val="single"/>
        </w:rPr>
        <w:t>采购合同编号：</w:t>
      </w:r>
      <w:r>
        <w:rPr>
          <w:rFonts w:hint="eastAsia" w:asciiTheme="minorEastAsia" w:hAnsiTheme="minorEastAsia" w:eastAsiaTheme="minorEastAsia" w:cstheme="minorEastAsia"/>
          <w:color w:val="auto"/>
          <w:kern w:val="0"/>
          <w:sz w:val="21"/>
          <w:szCs w:val="21"/>
          <w:highlight w:val="none"/>
          <w:u w:val="single"/>
        </w:rPr>
        <w:softHyphen/>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）的约定，我单位对（</w:t>
      </w:r>
      <w:r>
        <w:rPr>
          <w:rFonts w:hint="eastAsia" w:asciiTheme="minorEastAsia" w:hAnsiTheme="minorEastAsia" w:eastAsiaTheme="minorEastAsia" w:cstheme="minorEastAsia"/>
          <w:color w:val="auto"/>
          <w:kern w:val="0"/>
          <w:sz w:val="21"/>
          <w:szCs w:val="21"/>
          <w:highlight w:val="none"/>
          <w:u w:val="single"/>
        </w:rPr>
        <w:t xml:space="preserve"> 项目名称 </w:t>
      </w:r>
      <w:r>
        <w:rPr>
          <w:rFonts w:hint="eastAsia" w:asciiTheme="minorEastAsia" w:hAnsiTheme="minorEastAsia" w:eastAsiaTheme="minorEastAsia" w:cstheme="minorEastAsia"/>
          <w:color w:val="auto"/>
          <w:kern w:val="0"/>
          <w:sz w:val="21"/>
          <w:szCs w:val="21"/>
          <w:highlight w:val="none"/>
        </w:rPr>
        <w:t>） 政府采购项目成交供应商（</w:t>
      </w:r>
      <w:r>
        <w:rPr>
          <w:rFonts w:hint="eastAsia" w:asciiTheme="minorEastAsia" w:hAnsiTheme="minorEastAsia" w:eastAsiaTheme="minorEastAsia" w:cstheme="minorEastAsia"/>
          <w:color w:val="auto"/>
          <w:kern w:val="0"/>
          <w:sz w:val="21"/>
          <w:szCs w:val="21"/>
          <w:highlight w:val="none"/>
          <w:u w:val="single"/>
        </w:rPr>
        <w:t xml:space="preserve"> 公司名称 </w:t>
      </w:r>
      <w:r>
        <w:rPr>
          <w:rFonts w:hint="eastAsia" w:asciiTheme="minorEastAsia" w:hAnsiTheme="minorEastAsia" w:eastAsiaTheme="minorEastAsia" w:cstheme="minorEastAsia"/>
          <w:color w:val="auto"/>
          <w:kern w:val="0"/>
          <w:sz w:val="21"/>
          <w:szCs w:val="21"/>
          <w:highlight w:val="none"/>
        </w:rPr>
        <w:t>） 提供的货物（或者工程、服务）进行了验收，验收情况如下：</w:t>
      </w:r>
    </w:p>
    <w:tbl>
      <w:tblPr>
        <w:tblStyle w:val="23"/>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29A76113">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56B3915">
            <w:pPr>
              <w:widowControl/>
              <w:snapToGrid w:val="0"/>
              <w:spacing w:before="100" w:beforeAutospacing="1" w:after="100" w:afterAutospacing="1" w:line="320" w:lineRule="atLeast"/>
              <w:ind w:firstLine="5"/>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5C3703D0">
            <w:pPr>
              <w:widowControl/>
              <w:snapToGrid w:val="0"/>
              <w:spacing w:before="100" w:beforeAutospacing="1" w:after="100" w:afterAutospacing="1" w:line="320" w:lineRule="atLeas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□自行验收 □委托验收</w:t>
            </w:r>
          </w:p>
        </w:tc>
      </w:tr>
      <w:tr w14:paraId="3FA1495E">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1E3D547E">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序号</w:t>
            </w:r>
          </w:p>
        </w:tc>
        <w:tc>
          <w:tcPr>
            <w:tcW w:w="2448" w:type="dxa"/>
            <w:gridSpan w:val="2"/>
            <w:tcBorders>
              <w:top w:val="nil"/>
              <w:left w:val="nil"/>
              <w:bottom w:val="single" w:color="auto" w:sz="8" w:space="0"/>
              <w:right w:val="single" w:color="auto" w:sz="8" w:space="0"/>
            </w:tcBorders>
            <w:vAlign w:val="center"/>
          </w:tcPr>
          <w:p w14:paraId="352F9D11">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名称</w:t>
            </w:r>
          </w:p>
        </w:tc>
        <w:tc>
          <w:tcPr>
            <w:tcW w:w="2902" w:type="dxa"/>
            <w:gridSpan w:val="3"/>
            <w:tcBorders>
              <w:top w:val="nil"/>
              <w:left w:val="nil"/>
              <w:bottom w:val="single" w:color="auto" w:sz="8" w:space="0"/>
              <w:right w:val="single" w:color="auto" w:sz="8" w:space="0"/>
            </w:tcBorders>
            <w:vAlign w:val="center"/>
          </w:tcPr>
          <w:p w14:paraId="7207BB6F">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05C0CF6">
            <w:pPr>
              <w:widowControl/>
              <w:snapToGrid w:val="0"/>
              <w:spacing w:before="100" w:beforeAutospacing="1" w:after="100" w:afterAutospacing="1" w:line="320" w:lineRule="atLeas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数量</w:t>
            </w:r>
          </w:p>
        </w:tc>
        <w:tc>
          <w:tcPr>
            <w:tcW w:w="1428" w:type="dxa"/>
            <w:tcBorders>
              <w:top w:val="nil"/>
              <w:left w:val="nil"/>
              <w:bottom w:val="single" w:color="auto" w:sz="8" w:space="0"/>
              <w:right w:val="single" w:color="auto" w:sz="8" w:space="0"/>
            </w:tcBorders>
            <w:vAlign w:val="center"/>
          </w:tcPr>
          <w:p w14:paraId="0BEFA63C">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金额</w:t>
            </w:r>
          </w:p>
        </w:tc>
      </w:tr>
      <w:tr w14:paraId="1DAB9BA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724F930">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2A9F29B7">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37341303">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863" w:type="dxa"/>
            <w:gridSpan w:val="2"/>
            <w:tcBorders>
              <w:top w:val="nil"/>
              <w:left w:val="nil"/>
              <w:bottom w:val="single" w:color="auto" w:sz="8" w:space="0"/>
              <w:right w:val="single" w:color="auto" w:sz="8" w:space="0"/>
            </w:tcBorders>
            <w:vAlign w:val="center"/>
          </w:tcPr>
          <w:p w14:paraId="0B15A186">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70FF6055">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r>
      <w:tr w14:paraId="0D3EE4E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A9FCEF3">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73FC91DB">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0664995A">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863" w:type="dxa"/>
            <w:gridSpan w:val="2"/>
            <w:tcBorders>
              <w:top w:val="nil"/>
              <w:left w:val="nil"/>
              <w:bottom w:val="single" w:color="auto" w:sz="8" w:space="0"/>
              <w:right w:val="single" w:color="auto" w:sz="8" w:space="0"/>
            </w:tcBorders>
            <w:vAlign w:val="center"/>
          </w:tcPr>
          <w:p w14:paraId="26CEB890">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39C79E3B">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r>
      <w:tr w14:paraId="521B314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5C4212F">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36F27471">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7AB25FAD">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863" w:type="dxa"/>
            <w:gridSpan w:val="2"/>
            <w:tcBorders>
              <w:top w:val="nil"/>
              <w:left w:val="nil"/>
              <w:bottom w:val="single" w:color="auto" w:sz="8" w:space="0"/>
              <w:right w:val="single" w:color="auto" w:sz="8" w:space="0"/>
            </w:tcBorders>
            <w:vAlign w:val="center"/>
          </w:tcPr>
          <w:p w14:paraId="54EF1294">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64B5ADEB">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r>
      <w:tr w14:paraId="2488746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E2BC6F2">
            <w:pPr>
              <w:widowControl/>
              <w:snapToGrid w:val="0"/>
              <w:spacing w:before="100" w:beforeAutospacing="1" w:after="100" w:afterAutospacing="1" w:line="320" w:lineRule="atLeast"/>
              <w:ind w:firstLine="5"/>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 计</w:t>
            </w:r>
          </w:p>
        </w:tc>
        <w:tc>
          <w:tcPr>
            <w:tcW w:w="863" w:type="dxa"/>
            <w:gridSpan w:val="2"/>
            <w:tcBorders>
              <w:top w:val="nil"/>
              <w:left w:val="nil"/>
              <w:bottom w:val="single" w:color="auto" w:sz="8" w:space="0"/>
              <w:right w:val="single" w:color="auto" w:sz="8" w:space="0"/>
            </w:tcBorders>
            <w:vAlign w:val="center"/>
          </w:tcPr>
          <w:p w14:paraId="43CFC432">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53C0725D">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r>
      <w:tr w14:paraId="2F24960C">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1826AAD3">
            <w:pPr>
              <w:widowControl/>
              <w:snapToGrid w:val="0"/>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合计大写金额：  仟  佰  拾  万  仟  佰  拾  元</w:t>
            </w:r>
          </w:p>
        </w:tc>
      </w:tr>
      <w:tr w14:paraId="1169D065">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51D1810">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1BAA69C8">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18D60DCF">
            <w:pPr>
              <w:widowControl/>
              <w:snapToGrid w:val="0"/>
              <w:spacing w:before="100" w:beforeAutospacing="1" w:after="100" w:afterAutospacing="1" w:line="320" w:lineRule="atLeast"/>
              <w:ind w:firstLine="46"/>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009832A7">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 w:val="21"/>
                <w:szCs w:val="21"/>
                <w:highlight w:val="none"/>
              </w:rPr>
            </w:pPr>
          </w:p>
        </w:tc>
      </w:tr>
      <w:tr w14:paraId="684EFF7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863A4F">
            <w:pPr>
              <w:widowControl/>
              <w:snapToGrid w:val="0"/>
              <w:spacing w:before="100" w:beforeAutospacing="1" w:after="100" w:afterAutospacing="1" w:line="320" w:lineRule="atLeas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8131CFA">
            <w:pPr>
              <w:widowControl/>
              <w:snapToGrid w:val="0"/>
              <w:spacing w:before="100" w:beforeAutospacing="1" w:after="100" w:afterAutospacing="1" w:line="320" w:lineRule="atLeas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61B157EC">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A3B162">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2894A044">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验收结论性意见：</w:t>
            </w:r>
          </w:p>
        </w:tc>
      </w:tr>
      <w:tr w14:paraId="0F8839F6">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207D629D">
            <w:pPr>
              <w:widowControl/>
              <w:jc w:val="left"/>
              <w:rPr>
                <w:rFonts w:hint="eastAsia" w:asciiTheme="minorEastAsia" w:hAnsiTheme="minorEastAsia" w:eastAsiaTheme="minorEastAsia" w:cstheme="minorEastAsia"/>
                <w:color w:val="auto"/>
                <w:kern w:val="0"/>
                <w:sz w:val="21"/>
                <w:szCs w:val="21"/>
                <w:highlight w:val="none"/>
              </w:rPr>
            </w:pPr>
          </w:p>
        </w:tc>
        <w:tc>
          <w:tcPr>
            <w:tcW w:w="6816" w:type="dxa"/>
            <w:gridSpan w:val="7"/>
            <w:tcBorders>
              <w:top w:val="nil"/>
              <w:left w:val="nil"/>
              <w:bottom w:val="single" w:color="auto" w:sz="8" w:space="0"/>
              <w:right w:val="single" w:color="auto" w:sz="8" w:space="0"/>
            </w:tcBorders>
            <w:vAlign w:val="center"/>
          </w:tcPr>
          <w:p w14:paraId="183916B5">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有异议的意见和说明理由：</w:t>
            </w:r>
          </w:p>
          <w:p w14:paraId="0239BA6C">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签字：</w:t>
            </w:r>
          </w:p>
        </w:tc>
      </w:tr>
      <w:tr w14:paraId="6516D065">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7BB036">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验收小组成员签字：</w:t>
            </w:r>
          </w:p>
        </w:tc>
      </w:tr>
      <w:tr w14:paraId="7DF48C3C">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0CEB7B">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监督人员或者其他相关人员签字：</w:t>
            </w:r>
          </w:p>
          <w:p w14:paraId="48B6F155">
            <w:pPr>
              <w:widowControl/>
              <w:spacing w:before="100" w:beforeAutospacing="1" w:after="100" w:afterAutospacing="1" w:line="320" w:lineRule="atLeast"/>
              <w:ind w:firstLine="74"/>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或者受邀机构的意见（盖章）：</w:t>
            </w:r>
          </w:p>
        </w:tc>
      </w:tr>
      <w:tr w14:paraId="56837F8F">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51190921">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成交供应商负责人签字或者盖章：</w:t>
            </w:r>
          </w:p>
          <w:p w14:paraId="40FD890C">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 w:val="21"/>
                <w:szCs w:val="21"/>
                <w:highlight w:val="none"/>
              </w:rPr>
            </w:pPr>
          </w:p>
          <w:p w14:paraId="7971C456">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联系电话：                </w:t>
            </w:r>
          </w:p>
          <w:p w14:paraId="55A3E7DF">
            <w:pPr>
              <w:widowControl/>
              <w:spacing w:before="100" w:beforeAutospacing="1" w:after="100" w:afterAutospacing="1" w:line="320" w:lineRule="atLeast"/>
              <w:ind w:firstLine="2730" w:firstLineChars="13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年  月  日</w:t>
            </w:r>
          </w:p>
        </w:tc>
        <w:tc>
          <w:tcPr>
            <w:tcW w:w="4293" w:type="dxa"/>
            <w:gridSpan w:val="4"/>
            <w:tcBorders>
              <w:top w:val="nil"/>
              <w:left w:val="single" w:color="auto" w:sz="4" w:space="0"/>
              <w:bottom w:val="single" w:color="auto" w:sz="8" w:space="0"/>
              <w:right w:val="single" w:color="auto" w:sz="8" w:space="0"/>
            </w:tcBorders>
            <w:vAlign w:val="center"/>
          </w:tcPr>
          <w:p w14:paraId="039F47CC">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采购人或者受托机构的意见（盖章）：</w:t>
            </w:r>
          </w:p>
          <w:p w14:paraId="062C46AB">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 w:val="21"/>
                <w:szCs w:val="21"/>
                <w:highlight w:val="none"/>
              </w:rPr>
            </w:pPr>
          </w:p>
          <w:p w14:paraId="119F5A5B">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联系电话：               </w:t>
            </w:r>
          </w:p>
          <w:p w14:paraId="667CB75E">
            <w:pPr>
              <w:widowControl/>
              <w:spacing w:before="100" w:beforeAutospacing="1" w:after="100" w:afterAutospacing="1" w:line="320" w:lineRule="atLeast"/>
              <w:ind w:firstLine="2310" w:firstLineChars="1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年  月  日</w:t>
            </w:r>
          </w:p>
        </w:tc>
      </w:tr>
    </w:tbl>
    <w:p w14:paraId="1D975230">
      <w:pPr>
        <w:jc w:val="center"/>
        <w:rPr>
          <w:rFonts w:ascii="宋体" w:hAnsi="宋体" w:cs="宋体"/>
          <w:b/>
          <w:bCs/>
          <w:color w:val="auto"/>
          <w:sz w:val="32"/>
          <w:szCs w:val="32"/>
          <w:highlight w:val="none"/>
        </w:rPr>
      </w:pPr>
      <w:r>
        <w:rPr>
          <w:rFonts w:hint="eastAsia" w:asciiTheme="minorEastAsia" w:hAnsiTheme="minorEastAsia" w:eastAsiaTheme="minorEastAsia" w:cstheme="minorEastAsia"/>
          <w:color w:val="auto"/>
          <w:sz w:val="21"/>
          <w:szCs w:val="21"/>
          <w:highlight w:val="none"/>
        </w:rPr>
        <w:br w:type="page"/>
      </w:r>
      <w:r>
        <w:rPr>
          <w:rFonts w:hint="eastAsia" w:ascii="宋体" w:hAnsi="宋体" w:cs="宋体"/>
          <w:b/>
          <w:bCs/>
          <w:color w:val="auto"/>
          <w:sz w:val="32"/>
          <w:szCs w:val="32"/>
          <w:highlight w:val="none"/>
        </w:rPr>
        <w:t>政府采购项目履约保证金退付意见书（参考）</w:t>
      </w:r>
    </w:p>
    <w:p w14:paraId="64A77270">
      <w:pPr>
        <w:jc w:val="center"/>
        <w:rPr>
          <w:rFonts w:ascii="黑体" w:hAnsi="黑体" w:eastAsia="黑体"/>
          <w:color w:val="auto"/>
          <w:sz w:val="36"/>
          <w:szCs w:val="36"/>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584E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442F06F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w:t>
            </w:r>
          </w:p>
          <w:p w14:paraId="020BA3C8">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w:t>
            </w:r>
          </w:p>
          <w:p w14:paraId="395422B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w:t>
            </w:r>
          </w:p>
          <w:p w14:paraId="51B4656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申</w:t>
            </w:r>
          </w:p>
          <w:p w14:paraId="5602FDE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请</w:t>
            </w:r>
          </w:p>
        </w:tc>
        <w:tc>
          <w:tcPr>
            <w:tcW w:w="8009" w:type="dxa"/>
            <w:vAlign w:val="center"/>
          </w:tcPr>
          <w:p w14:paraId="5475F55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项目编号：</w:t>
            </w:r>
          </w:p>
        </w:tc>
      </w:tr>
      <w:tr w14:paraId="1B77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AEE1F31">
            <w:pPr>
              <w:rPr>
                <w:rFonts w:hint="eastAsia" w:asciiTheme="minorEastAsia" w:hAnsiTheme="minorEastAsia" w:eastAsiaTheme="minorEastAsia" w:cstheme="minorEastAsia"/>
                <w:color w:val="auto"/>
                <w:sz w:val="21"/>
                <w:szCs w:val="21"/>
                <w:highlight w:val="none"/>
              </w:rPr>
            </w:pPr>
          </w:p>
        </w:tc>
        <w:tc>
          <w:tcPr>
            <w:tcW w:w="8009" w:type="dxa"/>
            <w:vAlign w:val="center"/>
          </w:tcPr>
          <w:p w14:paraId="1A3BC90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r>
      <w:tr w14:paraId="48BC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775FE4D5">
            <w:pPr>
              <w:rPr>
                <w:rFonts w:hint="eastAsia" w:asciiTheme="minorEastAsia" w:hAnsiTheme="minorEastAsia" w:eastAsiaTheme="minorEastAsia" w:cstheme="minorEastAsia"/>
                <w:color w:val="auto"/>
                <w:sz w:val="21"/>
                <w:szCs w:val="21"/>
                <w:highlight w:val="none"/>
              </w:rPr>
            </w:pPr>
          </w:p>
        </w:tc>
        <w:tc>
          <w:tcPr>
            <w:tcW w:w="8009" w:type="dxa"/>
          </w:tcPr>
          <w:p w14:paraId="449D786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3D9B624A">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该项目已于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日验收并交付使用。根据合同规定，该项目的履约保证金期限于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日已满，请将履约保证金</w:t>
            </w:r>
          </w:p>
          <w:p w14:paraId="64F1BF1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（大写）</w:t>
            </w:r>
            <w:r>
              <w:rPr>
                <w:rFonts w:hint="eastAsia" w:asciiTheme="minorEastAsia" w:hAnsiTheme="minorEastAsia" w:eastAsiaTheme="minorEastAsia" w:cstheme="minorEastAsia"/>
                <w:color w:val="auto"/>
                <w:sz w:val="21"/>
                <w:szCs w:val="21"/>
                <w:highlight w:val="none"/>
                <w:u w:val="single"/>
              </w:rPr>
              <w:t xml:space="preserve">人民币                            </w:t>
            </w:r>
            <w:r>
              <w:rPr>
                <w:rFonts w:hint="eastAsia" w:asciiTheme="minorEastAsia" w:hAnsiTheme="minorEastAsia" w:eastAsiaTheme="minorEastAsia" w:cstheme="minorEastAsia"/>
                <w:color w:val="auto"/>
                <w:sz w:val="21"/>
                <w:szCs w:val="21"/>
                <w:highlight w:val="none"/>
              </w:rPr>
              <w:t>（小写）¥</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退付到达以下账户。</w:t>
            </w:r>
          </w:p>
          <w:p w14:paraId="6A6EFCE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单位名称：</w:t>
            </w:r>
          </w:p>
          <w:p w14:paraId="3761892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4E37394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    号：</w:t>
            </w:r>
          </w:p>
          <w:p w14:paraId="53CF301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联系人及电话：</w:t>
            </w:r>
          </w:p>
          <w:p w14:paraId="2522F3AF">
            <w:pPr>
              <w:rPr>
                <w:rFonts w:hint="eastAsia" w:asciiTheme="minorEastAsia" w:hAnsiTheme="minorEastAsia" w:eastAsiaTheme="minorEastAsia" w:cstheme="minorEastAsia"/>
                <w:color w:val="auto"/>
                <w:sz w:val="21"/>
                <w:szCs w:val="21"/>
                <w:highlight w:val="none"/>
              </w:rPr>
            </w:pPr>
          </w:p>
          <w:p w14:paraId="23475FC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供应商签章：</w:t>
            </w:r>
          </w:p>
          <w:p w14:paraId="70379489">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年    月    日</w:t>
            </w:r>
          </w:p>
        </w:tc>
      </w:tr>
      <w:tr w14:paraId="5BCC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65B79A6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w:t>
            </w:r>
          </w:p>
          <w:p w14:paraId="5A8C384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购</w:t>
            </w:r>
          </w:p>
          <w:p w14:paraId="438B6BD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w:t>
            </w:r>
          </w:p>
          <w:p w14:paraId="573B481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位</w:t>
            </w:r>
          </w:p>
          <w:p w14:paraId="0E3A5E7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意</w:t>
            </w:r>
          </w:p>
          <w:p w14:paraId="4BB472F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w:t>
            </w:r>
          </w:p>
        </w:tc>
        <w:tc>
          <w:tcPr>
            <w:tcW w:w="8009" w:type="dxa"/>
          </w:tcPr>
          <w:p w14:paraId="5AC2062E">
            <w:pPr>
              <w:rPr>
                <w:rFonts w:hint="eastAsia" w:asciiTheme="minorEastAsia" w:hAnsiTheme="minorEastAsia" w:eastAsiaTheme="minorEastAsia" w:cstheme="minorEastAsia"/>
                <w:color w:val="auto"/>
                <w:sz w:val="21"/>
                <w:szCs w:val="21"/>
                <w:highlight w:val="none"/>
              </w:rPr>
            </w:pPr>
          </w:p>
          <w:p w14:paraId="4205D6E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退付意见：是否同意退付履约保证金及退付金额：</w:t>
            </w:r>
          </w:p>
          <w:p w14:paraId="1EC8BA6E">
            <w:pPr>
              <w:rPr>
                <w:rFonts w:hint="eastAsia" w:asciiTheme="minorEastAsia" w:hAnsiTheme="minorEastAsia" w:eastAsiaTheme="minorEastAsia" w:cstheme="minorEastAsia"/>
                <w:color w:val="auto"/>
                <w:sz w:val="21"/>
                <w:szCs w:val="21"/>
                <w:highlight w:val="none"/>
              </w:rPr>
            </w:pPr>
          </w:p>
          <w:p w14:paraId="797290EC">
            <w:pPr>
              <w:rPr>
                <w:rFonts w:hint="eastAsia" w:asciiTheme="minorEastAsia" w:hAnsiTheme="minorEastAsia" w:eastAsiaTheme="minorEastAsia" w:cstheme="minorEastAsia"/>
                <w:color w:val="auto"/>
                <w:sz w:val="21"/>
                <w:szCs w:val="21"/>
                <w:highlight w:val="none"/>
              </w:rPr>
            </w:pPr>
          </w:p>
          <w:p w14:paraId="16456BA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联系人及电话：                                </w:t>
            </w:r>
          </w:p>
          <w:p w14:paraId="7EEDFCED">
            <w:pPr>
              <w:rPr>
                <w:rFonts w:hint="eastAsia" w:asciiTheme="minorEastAsia" w:hAnsiTheme="minorEastAsia" w:eastAsiaTheme="minorEastAsia" w:cstheme="minorEastAsia"/>
                <w:color w:val="auto"/>
                <w:sz w:val="21"/>
                <w:szCs w:val="21"/>
                <w:highlight w:val="none"/>
              </w:rPr>
            </w:pPr>
          </w:p>
          <w:p w14:paraId="5A10F20D">
            <w:pPr>
              <w:ind w:firstLine="3990" w:firstLineChars="19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采购人签章：</w:t>
            </w:r>
          </w:p>
          <w:p w14:paraId="327B499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年    月    日</w:t>
            </w:r>
          </w:p>
        </w:tc>
      </w:tr>
      <w:tr w14:paraId="0236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5479F6B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c>
          <w:tcPr>
            <w:tcW w:w="8009" w:type="dxa"/>
          </w:tcPr>
          <w:p w14:paraId="5A8E13EE">
            <w:pPr>
              <w:rPr>
                <w:rFonts w:hint="eastAsia" w:asciiTheme="minorEastAsia" w:hAnsiTheme="minorEastAsia" w:eastAsiaTheme="minorEastAsia" w:cstheme="minorEastAsia"/>
                <w:color w:val="auto"/>
                <w:sz w:val="21"/>
                <w:szCs w:val="21"/>
                <w:highlight w:val="none"/>
              </w:rPr>
            </w:pPr>
          </w:p>
        </w:tc>
      </w:tr>
    </w:tbl>
    <w:p w14:paraId="6CF1CA8D">
      <w:pPr>
        <w:spacing w:after="120"/>
        <w:ind w:left="1" w:firstLine="2" w:firstLineChars="1"/>
        <w:rPr>
          <w:rFonts w:ascii="宋体"/>
          <w:b/>
          <w:bCs/>
          <w:color w:val="auto"/>
          <w:sz w:val="18"/>
          <w:szCs w:val="18"/>
          <w:highlight w:val="none"/>
        </w:rPr>
      </w:pPr>
    </w:p>
    <w:p w14:paraId="6A94666C">
      <w:pPr>
        <w:spacing w:after="120"/>
        <w:ind w:left="1" w:firstLine="2" w:firstLineChars="1"/>
        <w:rPr>
          <w:rFonts w:ascii="宋体"/>
          <w:b/>
          <w:bCs/>
          <w:color w:val="auto"/>
          <w:sz w:val="21"/>
          <w:szCs w:val="21"/>
          <w:highlight w:val="none"/>
        </w:rPr>
      </w:pPr>
      <w:r>
        <w:rPr>
          <w:rFonts w:hint="eastAsia" w:ascii="宋体"/>
          <w:b/>
          <w:bCs/>
          <w:color w:val="auto"/>
          <w:sz w:val="18"/>
          <w:szCs w:val="18"/>
          <w:highlight w:val="none"/>
        </w:rPr>
        <w:t>　</w:t>
      </w:r>
      <w:r>
        <w:rPr>
          <w:rFonts w:hint="eastAsia" w:ascii="宋体"/>
          <w:b/>
          <w:bCs/>
          <w:color w:val="auto"/>
          <w:sz w:val="21"/>
          <w:szCs w:val="21"/>
          <w:highlight w:val="none"/>
        </w:rPr>
        <w:t>　　注：供应商凭经采购人审批的退付意见书到履约保证金收取单位财务部门办理履约保证金退付事宜。</w:t>
      </w:r>
    </w:p>
    <w:p w14:paraId="11A8F384">
      <w:pPr>
        <w:rPr>
          <w:rFonts w:hAnsi="宋体"/>
          <w:b/>
          <w:color w:val="auto"/>
          <w:sz w:val="21"/>
          <w:szCs w:val="21"/>
          <w:highlight w:val="none"/>
        </w:rPr>
      </w:pPr>
      <w:r>
        <w:rPr>
          <w:rFonts w:ascii="Calibri" w:hAnsi="Calibri"/>
          <w:b/>
          <w:color w:val="auto"/>
          <w:kern w:val="0"/>
          <w:sz w:val="21"/>
          <w:szCs w:val="21"/>
          <w:highlight w:val="none"/>
        </w:rPr>
        <w:br w:type="page"/>
      </w:r>
    </w:p>
    <w:p w14:paraId="1E5DA1EF">
      <w:pPr>
        <w:pStyle w:val="13"/>
        <w:spacing w:line="360" w:lineRule="auto"/>
        <w:ind w:left="25" w:leftChars="12" w:firstLine="354" w:firstLineChars="147"/>
        <w:rPr>
          <w:rFonts w:hAnsi="宋体"/>
          <w:b/>
          <w:color w:val="auto"/>
          <w:sz w:val="24"/>
          <w:szCs w:val="24"/>
          <w:highlight w:val="none"/>
        </w:rPr>
      </w:pPr>
    </w:p>
    <w:p w14:paraId="7261C4B0">
      <w:pPr>
        <w:spacing w:line="600" w:lineRule="exact"/>
        <w:jc w:val="center"/>
        <w:rPr>
          <w:color w:val="auto"/>
          <w:sz w:val="28"/>
          <w:szCs w:val="28"/>
          <w:highlight w:val="none"/>
        </w:rPr>
      </w:pPr>
      <w:r>
        <w:rPr>
          <w:rFonts w:hint="eastAsia"/>
          <w:color w:val="auto"/>
          <w:sz w:val="44"/>
          <w:szCs w:val="44"/>
          <w:highlight w:val="none"/>
        </w:rPr>
        <w:t>第六章 合同主要条款格式</w:t>
      </w:r>
    </w:p>
    <w:p w14:paraId="572DDC5A">
      <w:pPr>
        <w:spacing w:line="600" w:lineRule="exact"/>
        <w:jc w:val="center"/>
        <w:rPr>
          <w:rFonts w:eastAsia="方正小标宋_GBK"/>
          <w:color w:val="auto"/>
          <w:kern w:val="0"/>
          <w:sz w:val="44"/>
          <w:szCs w:val="44"/>
          <w:highlight w:val="none"/>
        </w:rPr>
      </w:pPr>
    </w:p>
    <w:p w14:paraId="3095579A">
      <w:pPr>
        <w:spacing w:line="600" w:lineRule="exact"/>
        <w:jc w:val="center"/>
        <w:rPr>
          <w:color w:val="auto"/>
          <w:highlight w:val="none"/>
        </w:rPr>
      </w:pPr>
      <w:r>
        <w:rPr>
          <w:rFonts w:hint="eastAsia" w:eastAsia="方正小标宋_GBK"/>
          <w:color w:val="auto"/>
          <w:kern w:val="0"/>
          <w:sz w:val="44"/>
          <w:szCs w:val="44"/>
          <w:highlight w:val="none"/>
        </w:rPr>
        <w:t>合同主要条款格式</w:t>
      </w:r>
    </w:p>
    <w:p w14:paraId="47A3BB66">
      <w:pPr>
        <w:pStyle w:val="10"/>
        <w:rPr>
          <w:color w:val="auto"/>
          <w:highlight w:val="none"/>
        </w:rPr>
      </w:pPr>
    </w:p>
    <w:p w14:paraId="01AC2C49">
      <w:pPr>
        <w:pStyle w:val="13"/>
        <w:snapToGrid w:val="0"/>
        <w:jc w:val="center"/>
        <w:rPr>
          <w:rFonts w:ascii="Arial" w:hAnsi="Arial" w:cs="Arial"/>
          <w:b/>
          <w:color w:val="auto"/>
          <w:sz w:val="24"/>
          <w:szCs w:val="24"/>
          <w:highlight w:val="none"/>
        </w:rPr>
      </w:pPr>
      <w:bookmarkStart w:id="135" w:name="_Hlk77609480"/>
    </w:p>
    <w:bookmarkEnd w:id="135"/>
    <w:p w14:paraId="243D8CC7">
      <w:pPr>
        <w:snapToGrid w:val="0"/>
        <w:jc w:val="center"/>
        <w:rPr>
          <w:rFonts w:ascii="宋体" w:hAnsi="宋体" w:cs="宋体"/>
          <w:b/>
          <w:bCs/>
          <w:color w:val="auto"/>
          <w:sz w:val="44"/>
          <w:szCs w:val="44"/>
          <w:highlight w:val="none"/>
        </w:rPr>
      </w:pPr>
    </w:p>
    <w:p w14:paraId="4E321BC4">
      <w:pPr>
        <w:snapToGrid w:val="0"/>
        <w:spacing w:line="360" w:lineRule="exact"/>
        <w:ind w:right="480" w:firstLine="9120" w:firstLineChars="2850"/>
        <w:rPr>
          <w:rFonts w:ascii="宋体" w:hAnsi="宋体" w:cs="宋体"/>
          <w:bCs/>
          <w:color w:val="auto"/>
          <w:sz w:val="32"/>
          <w:szCs w:val="32"/>
          <w:highlight w:val="none"/>
        </w:rPr>
      </w:pPr>
    </w:p>
    <w:tbl>
      <w:tblPr>
        <w:tblStyle w:val="23"/>
        <w:tblW w:w="0" w:type="auto"/>
        <w:tblInd w:w="0" w:type="dxa"/>
        <w:tblLayout w:type="fixed"/>
        <w:tblCellMar>
          <w:top w:w="0" w:type="dxa"/>
          <w:left w:w="108" w:type="dxa"/>
          <w:bottom w:w="0" w:type="dxa"/>
          <w:right w:w="108" w:type="dxa"/>
        </w:tblCellMar>
      </w:tblPr>
      <w:tblGrid>
        <w:gridCol w:w="4170"/>
        <w:gridCol w:w="4302"/>
      </w:tblGrid>
      <w:tr w14:paraId="711F90C4">
        <w:tblPrEx>
          <w:tblCellMar>
            <w:top w:w="0" w:type="dxa"/>
            <w:left w:w="108" w:type="dxa"/>
            <w:bottom w:w="0" w:type="dxa"/>
            <w:right w:w="108" w:type="dxa"/>
          </w:tblCellMar>
        </w:tblPrEx>
        <w:trPr>
          <w:trHeight w:val="891" w:hRule="atLeast"/>
        </w:trPr>
        <w:tc>
          <w:tcPr>
            <w:tcW w:w="8472" w:type="dxa"/>
            <w:gridSpan w:val="2"/>
            <w:vAlign w:val="center"/>
          </w:tcPr>
          <w:p w14:paraId="358E2914">
            <w:pPr>
              <w:wordWrap w:val="0"/>
              <w:autoSpaceDE w:val="0"/>
              <w:autoSpaceDN w:val="0"/>
              <w:adjustRightInd w:val="0"/>
              <w:ind w:firstLine="1440" w:firstLineChars="450"/>
              <w:rPr>
                <w:rFonts w:ascii="宋体" w:hAnsi="宋体" w:cs="宋体"/>
                <w:color w:val="auto"/>
                <w:kern w:val="0"/>
                <w:sz w:val="32"/>
                <w:szCs w:val="32"/>
                <w:highlight w:val="none"/>
              </w:rPr>
            </w:pPr>
          </w:p>
          <w:p w14:paraId="2D8A4365">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合同名称：</w:t>
            </w:r>
          </w:p>
          <w:p w14:paraId="747C6E3B">
            <w:pPr>
              <w:wordWrap w:val="0"/>
              <w:autoSpaceDE w:val="0"/>
              <w:autoSpaceDN w:val="0"/>
              <w:adjustRightInd w:val="0"/>
              <w:ind w:firstLine="1440" w:firstLineChars="450"/>
              <w:rPr>
                <w:rFonts w:ascii="宋体" w:hAnsi="宋体" w:cs="宋体"/>
                <w:color w:val="auto"/>
                <w:kern w:val="0"/>
                <w:sz w:val="32"/>
                <w:szCs w:val="32"/>
                <w:highlight w:val="none"/>
              </w:rPr>
            </w:pPr>
          </w:p>
          <w:p w14:paraId="206F4DF3">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项目编号：</w:t>
            </w:r>
          </w:p>
          <w:p w14:paraId="4A6CE5C8">
            <w:pPr>
              <w:wordWrap w:val="0"/>
              <w:autoSpaceDE w:val="0"/>
              <w:autoSpaceDN w:val="0"/>
              <w:adjustRightInd w:val="0"/>
              <w:ind w:firstLine="1440" w:firstLineChars="450"/>
              <w:rPr>
                <w:rFonts w:ascii="宋体" w:hAnsi="宋体" w:cs="宋体"/>
                <w:color w:val="auto"/>
                <w:kern w:val="0"/>
                <w:sz w:val="32"/>
                <w:szCs w:val="32"/>
                <w:highlight w:val="none"/>
              </w:rPr>
            </w:pPr>
          </w:p>
        </w:tc>
      </w:tr>
      <w:tr w14:paraId="66B2E647">
        <w:tblPrEx>
          <w:tblCellMar>
            <w:top w:w="0" w:type="dxa"/>
            <w:left w:w="108" w:type="dxa"/>
            <w:bottom w:w="0" w:type="dxa"/>
            <w:right w:w="108" w:type="dxa"/>
          </w:tblCellMar>
        </w:tblPrEx>
        <w:trPr>
          <w:trHeight w:val="505" w:hRule="atLeast"/>
        </w:trPr>
        <w:tc>
          <w:tcPr>
            <w:tcW w:w="8472" w:type="dxa"/>
            <w:gridSpan w:val="2"/>
            <w:vAlign w:val="center"/>
          </w:tcPr>
          <w:p w14:paraId="5363E64F">
            <w:pPr>
              <w:wordWrap w:val="0"/>
              <w:autoSpaceDE w:val="0"/>
              <w:autoSpaceDN w:val="0"/>
              <w:adjustRightInd w:val="0"/>
              <w:ind w:firstLine="1440" w:firstLineChars="450"/>
              <w:rPr>
                <w:rFonts w:ascii="宋体" w:hAnsi="宋体" w:cs="宋体"/>
                <w:color w:val="auto"/>
                <w:kern w:val="0"/>
                <w:sz w:val="32"/>
                <w:szCs w:val="32"/>
                <w:highlight w:val="none"/>
              </w:rPr>
            </w:pPr>
          </w:p>
          <w:p w14:paraId="2BBBCDEF">
            <w:pPr>
              <w:wordWrap w:val="0"/>
              <w:autoSpaceDE w:val="0"/>
              <w:autoSpaceDN w:val="0"/>
              <w:adjustRightInd w:val="0"/>
              <w:ind w:firstLine="1440" w:firstLineChars="450"/>
              <w:rPr>
                <w:rFonts w:hint="eastAsia" w:ascii="宋体" w:hAnsi="宋体" w:eastAsia="宋体" w:cs="宋体"/>
                <w:color w:val="auto"/>
                <w:kern w:val="0"/>
                <w:sz w:val="32"/>
                <w:szCs w:val="32"/>
                <w:highlight w:val="none"/>
                <w:lang w:eastAsia="zh-CN"/>
              </w:rPr>
            </w:pPr>
            <w:r>
              <w:rPr>
                <w:rFonts w:hint="eastAsia" w:ascii="宋体" w:hAnsi="宋体" w:cs="宋体"/>
                <w:color w:val="auto"/>
                <w:kern w:val="0"/>
                <w:sz w:val="32"/>
                <w:szCs w:val="32"/>
                <w:highlight w:val="none"/>
              </w:rPr>
              <w:t>采购单位：</w:t>
            </w:r>
            <w:r>
              <w:rPr>
                <w:rFonts w:hint="eastAsia" w:ascii="宋体" w:hAnsi="宋体" w:cs="宋体"/>
                <w:color w:val="auto"/>
                <w:kern w:val="0"/>
                <w:sz w:val="32"/>
                <w:szCs w:val="32"/>
                <w:highlight w:val="none"/>
                <w:lang w:eastAsia="zh-CN"/>
              </w:rPr>
              <w:t>广西国际壮医医院</w:t>
            </w:r>
          </w:p>
          <w:p w14:paraId="4A1CA5DF">
            <w:pPr>
              <w:wordWrap w:val="0"/>
              <w:autoSpaceDE w:val="0"/>
              <w:autoSpaceDN w:val="0"/>
              <w:adjustRightInd w:val="0"/>
              <w:ind w:firstLine="1440" w:firstLineChars="450"/>
              <w:rPr>
                <w:rFonts w:ascii="宋体" w:hAnsi="宋体" w:cs="宋体"/>
                <w:color w:val="auto"/>
                <w:kern w:val="0"/>
                <w:sz w:val="32"/>
                <w:szCs w:val="32"/>
                <w:highlight w:val="none"/>
              </w:rPr>
            </w:pPr>
          </w:p>
        </w:tc>
      </w:tr>
      <w:tr w14:paraId="5A1FF6F1">
        <w:tblPrEx>
          <w:tblCellMar>
            <w:top w:w="0" w:type="dxa"/>
            <w:left w:w="108" w:type="dxa"/>
            <w:bottom w:w="0" w:type="dxa"/>
            <w:right w:w="108" w:type="dxa"/>
          </w:tblCellMar>
        </w:tblPrEx>
        <w:trPr>
          <w:trHeight w:val="427" w:hRule="atLeast"/>
        </w:trPr>
        <w:tc>
          <w:tcPr>
            <w:tcW w:w="8472" w:type="dxa"/>
            <w:gridSpan w:val="2"/>
            <w:vAlign w:val="center"/>
          </w:tcPr>
          <w:p w14:paraId="1ED17E5F">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供 应 商：</w:t>
            </w:r>
          </w:p>
          <w:p w14:paraId="611B7463">
            <w:pPr>
              <w:wordWrap w:val="0"/>
              <w:autoSpaceDE w:val="0"/>
              <w:autoSpaceDN w:val="0"/>
              <w:adjustRightInd w:val="0"/>
              <w:ind w:firstLine="1440" w:firstLineChars="450"/>
              <w:rPr>
                <w:rFonts w:ascii="宋体" w:hAnsi="宋体" w:cs="宋体"/>
                <w:color w:val="auto"/>
                <w:kern w:val="0"/>
                <w:sz w:val="32"/>
                <w:szCs w:val="32"/>
                <w:highlight w:val="none"/>
              </w:rPr>
            </w:pPr>
          </w:p>
        </w:tc>
      </w:tr>
      <w:tr w14:paraId="07810D92">
        <w:tblPrEx>
          <w:tblCellMar>
            <w:top w:w="0" w:type="dxa"/>
            <w:left w:w="108" w:type="dxa"/>
            <w:bottom w:w="0" w:type="dxa"/>
            <w:right w:w="108" w:type="dxa"/>
          </w:tblCellMar>
        </w:tblPrEx>
        <w:trPr>
          <w:trHeight w:val="894" w:hRule="atLeast"/>
        </w:trPr>
        <w:tc>
          <w:tcPr>
            <w:tcW w:w="4170" w:type="dxa"/>
            <w:vAlign w:val="center"/>
          </w:tcPr>
          <w:p w14:paraId="2D0E5643">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签订时间：</w:t>
            </w:r>
          </w:p>
        </w:tc>
        <w:tc>
          <w:tcPr>
            <w:tcW w:w="4302" w:type="dxa"/>
            <w:vAlign w:val="center"/>
          </w:tcPr>
          <w:p w14:paraId="60D2D1F2">
            <w:pPr>
              <w:wordWrap w:val="0"/>
              <w:autoSpaceDE w:val="0"/>
              <w:autoSpaceDN w:val="0"/>
              <w:adjustRightInd w:val="0"/>
              <w:rPr>
                <w:rFonts w:ascii="宋体" w:hAnsi="宋体" w:cs="宋体"/>
                <w:color w:val="auto"/>
                <w:kern w:val="0"/>
                <w:sz w:val="32"/>
                <w:szCs w:val="32"/>
                <w:highlight w:val="none"/>
              </w:rPr>
            </w:pPr>
            <w:r>
              <w:rPr>
                <w:rFonts w:hint="eastAsia" w:ascii="宋体" w:hAnsi="宋体" w:cs="宋体"/>
                <w:color w:val="auto"/>
                <w:kern w:val="0"/>
                <w:sz w:val="32"/>
                <w:szCs w:val="32"/>
                <w:highlight w:val="none"/>
              </w:rPr>
              <w:t>年    月    日</w:t>
            </w:r>
          </w:p>
        </w:tc>
      </w:tr>
    </w:tbl>
    <w:p w14:paraId="6A97CBF6">
      <w:pPr>
        <w:snapToGrid w:val="0"/>
        <w:spacing w:line="360" w:lineRule="exact"/>
        <w:jc w:val="center"/>
        <w:rPr>
          <w:rFonts w:ascii="宋体" w:hAnsi="宋体" w:cs="宋体"/>
          <w:b/>
          <w:bCs/>
          <w:color w:val="auto"/>
          <w:sz w:val="18"/>
          <w:szCs w:val="18"/>
          <w:highlight w:val="none"/>
        </w:rPr>
      </w:pPr>
    </w:p>
    <w:p w14:paraId="08D7FCA1">
      <w:pPr>
        <w:snapToGrid w:val="0"/>
        <w:spacing w:line="360" w:lineRule="exact"/>
        <w:jc w:val="center"/>
        <w:rPr>
          <w:rFonts w:ascii="宋体" w:hAnsi="宋体" w:cs="宋体"/>
          <w:b/>
          <w:bCs/>
          <w:color w:val="auto"/>
          <w:sz w:val="18"/>
          <w:szCs w:val="18"/>
          <w:highlight w:val="none"/>
        </w:rPr>
      </w:pPr>
    </w:p>
    <w:p w14:paraId="75515F88">
      <w:pPr>
        <w:snapToGrid w:val="0"/>
        <w:spacing w:line="360" w:lineRule="exact"/>
        <w:jc w:val="center"/>
        <w:rPr>
          <w:rFonts w:ascii="宋体" w:hAnsi="宋体" w:cs="宋体"/>
          <w:b/>
          <w:bCs/>
          <w:color w:val="auto"/>
          <w:sz w:val="18"/>
          <w:szCs w:val="18"/>
          <w:highlight w:val="none"/>
        </w:rPr>
      </w:pPr>
    </w:p>
    <w:p w14:paraId="0A84B32A">
      <w:pPr>
        <w:spacing w:line="600" w:lineRule="exact"/>
        <w:ind w:firstLine="420" w:firstLineChars="200"/>
        <w:jc w:val="left"/>
        <w:rPr>
          <w:rFonts w:asciiTheme="minorEastAsia" w:hAnsiTheme="minorEastAsia" w:eastAsiaTheme="minorEastAsia" w:cstheme="minorEastAsia"/>
          <w:color w:val="auto"/>
          <w:szCs w:val="21"/>
          <w:highlight w:val="none"/>
        </w:rPr>
      </w:pPr>
    </w:p>
    <w:p w14:paraId="71F7E12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165F80FF">
      <w:pPr>
        <w:snapToGrid w:val="0"/>
        <w:spacing w:line="400" w:lineRule="exact"/>
        <w:jc w:val="center"/>
        <w:rPr>
          <w:rFonts w:ascii="宋体" w:hAnsi="宋体" w:cs="宋体"/>
          <w:color w:val="auto"/>
          <w:highlight w:val="none"/>
        </w:rPr>
      </w:pPr>
      <w:r>
        <w:rPr>
          <w:rFonts w:hint="eastAsia" w:ascii="宋体" w:hAnsi="宋体" w:cs="宋体"/>
          <w:b/>
          <w:bCs/>
          <w:color w:val="auto"/>
          <w:sz w:val="32"/>
          <w:szCs w:val="32"/>
          <w:highlight w:val="none"/>
        </w:rPr>
        <w:t>《广西壮族自治区政府采购合同》</w:t>
      </w:r>
      <w:r>
        <w:rPr>
          <w:rFonts w:hint="eastAsia" w:ascii="宋体" w:hAnsi="宋体" w:cs="宋体"/>
          <w:b/>
          <w:color w:val="auto"/>
          <w:sz w:val="32"/>
          <w:szCs w:val="32"/>
          <w:highlight w:val="none"/>
        </w:rPr>
        <w:t>文本</w:t>
      </w:r>
    </w:p>
    <w:p w14:paraId="17BC777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color w:val="auto"/>
          <w:sz w:val="32"/>
          <w:szCs w:val="32"/>
          <w:highlight w:val="none"/>
        </w:rPr>
      </w:pPr>
    </w:p>
    <w:p w14:paraId="7BC8EEF8">
      <w:pPr>
        <w:snapToGrid w:val="0"/>
        <w:spacing w:line="400" w:lineRule="exact"/>
        <w:ind w:right="480" w:firstLine="5250" w:firstLineChars="2500"/>
        <w:rPr>
          <w:rFonts w:hint="eastAsia"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合同编号：</w:t>
      </w:r>
    </w:p>
    <w:p w14:paraId="68271226">
      <w:pPr>
        <w:snapToGrid w:val="0"/>
        <w:spacing w:line="360" w:lineRule="exact"/>
        <w:rPr>
          <w:rFonts w:hint="eastAsia" w:ascii="宋体" w:hAnsi="宋体" w:eastAsia="宋体" w:cs="Times New Roman"/>
          <w:color w:val="auto"/>
          <w:szCs w:val="21"/>
          <w:highlight w:val="none"/>
        </w:rPr>
      </w:pPr>
    </w:p>
    <w:p w14:paraId="11C0C88D">
      <w:pPr>
        <w:snapToGrid w:val="0"/>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采购人（甲方）</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pacing w:val="-20"/>
          <w:szCs w:val="21"/>
          <w:highlight w:val="none"/>
        </w:rPr>
        <w:t>采 购 计 划 号</w:t>
      </w:r>
      <w:r>
        <w:rPr>
          <w:rFonts w:hint="eastAsia" w:ascii="宋体" w:hAnsi="宋体" w:eastAsia="宋体" w:cs="Times New Roman"/>
          <w:color w:val="auto"/>
          <w:szCs w:val="21"/>
          <w:highlight w:val="none"/>
          <w:u w:val="single"/>
        </w:rPr>
        <w:t xml:space="preserve">             </w:t>
      </w:r>
    </w:p>
    <w:p w14:paraId="46BF1078">
      <w:pPr>
        <w:snapToGrid w:val="0"/>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供 应 商（乙方）</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pacing w:val="-20"/>
          <w:szCs w:val="21"/>
          <w:highlight w:val="none"/>
        </w:rPr>
        <w:t>招  标  编  号</w:t>
      </w:r>
      <w:r>
        <w:rPr>
          <w:rFonts w:hint="eastAsia" w:ascii="宋体" w:hAnsi="宋体" w:eastAsia="宋体" w:cs="Times New Roman"/>
          <w:color w:val="auto"/>
          <w:szCs w:val="21"/>
          <w:highlight w:val="none"/>
          <w:u w:val="single"/>
        </w:rPr>
        <w:t xml:space="preserve">             </w:t>
      </w:r>
    </w:p>
    <w:p w14:paraId="7BAA1120">
      <w:pPr>
        <w:snapToGrid w:val="0"/>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签  订  地  点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签 订 时 间</w:t>
      </w:r>
      <w:r>
        <w:rPr>
          <w:rFonts w:hint="eastAsia" w:ascii="宋体" w:hAnsi="宋体" w:eastAsia="宋体" w:cs="Times New Roman"/>
          <w:color w:val="auto"/>
          <w:szCs w:val="21"/>
          <w:highlight w:val="none"/>
          <w:u w:val="single"/>
        </w:rPr>
        <w:t xml:space="preserve">             </w:t>
      </w:r>
    </w:p>
    <w:p w14:paraId="154FB74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rPr>
        <w:t>（否）</w:t>
      </w:r>
      <w:r>
        <w:rPr>
          <w:rFonts w:hint="eastAsia" w:ascii="宋体" w:hAnsi="宋体" w:eastAsia="宋体" w:cs="宋体"/>
          <w:color w:val="auto"/>
          <w:szCs w:val="21"/>
          <w:highlight w:val="none"/>
        </w:rPr>
        <w:t>。</w:t>
      </w:r>
    </w:p>
    <w:p w14:paraId="4658605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根据《中华人民共和国政府采购法》、《中华人民共和国民法典》等法律、法规规定，按照招标文件（采购文件）规定条款和中标（成交）供应商承诺，甲乙双方签订本合同。</w:t>
      </w:r>
    </w:p>
    <w:p w14:paraId="68E326F8">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284D1F8D">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1.供货一览表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3AE7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0"/>
            <w:vAlign w:val="center"/>
          </w:tcPr>
          <w:p w14:paraId="6714AAC8">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33" w:type="dxa"/>
            <w:noWrap w:val="0"/>
            <w:vAlign w:val="center"/>
          </w:tcPr>
          <w:p w14:paraId="5175E9CC">
            <w:pPr>
              <w:snapToGrid w:val="0"/>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服务名称</w:t>
            </w:r>
          </w:p>
        </w:tc>
        <w:tc>
          <w:tcPr>
            <w:tcW w:w="1059" w:type="dxa"/>
            <w:noWrap w:val="0"/>
            <w:vAlign w:val="center"/>
          </w:tcPr>
          <w:p w14:paraId="13912157">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商标品牌</w:t>
            </w:r>
          </w:p>
        </w:tc>
        <w:tc>
          <w:tcPr>
            <w:tcW w:w="1233" w:type="dxa"/>
            <w:noWrap w:val="0"/>
            <w:vAlign w:val="center"/>
          </w:tcPr>
          <w:p w14:paraId="5274E3EA">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210" w:type="dxa"/>
            <w:noWrap w:val="0"/>
            <w:vAlign w:val="center"/>
          </w:tcPr>
          <w:p w14:paraId="0803C861">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生产厂家</w:t>
            </w:r>
          </w:p>
        </w:tc>
        <w:tc>
          <w:tcPr>
            <w:tcW w:w="908" w:type="dxa"/>
            <w:noWrap w:val="0"/>
            <w:vAlign w:val="center"/>
          </w:tcPr>
          <w:p w14:paraId="56937F07">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68" w:type="dxa"/>
            <w:noWrap w:val="0"/>
            <w:vAlign w:val="center"/>
          </w:tcPr>
          <w:p w14:paraId="3DFC943A">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947" w:type="dxa"/>
            <w:noWrap w:val="0"/>
            <w:vAlign w:val="center"/>
          </w:tcPr>
          <w:p w14:paraId="1C19CBAC">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  价</w:t>
            </w:r>
          </w:p>
          <w:p w14:paraId="16779F3B">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189" w:type="dxa"/>
            <w:noWrap w:val="0"/>
            <w:vAlign w:val="center"/>
          </w:tcPr>
          <w:p w14:paraId="722330B7">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  额</w:t>
            </w:r>
          </w:p>
          <w:p w14:paraId="0DDF200E">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1DE9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047596BC">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33" w:type="dxa"/>
            <w:noWrap w:val="0"/>
            <w:vAlign w:val="center"/>
          </w:tcPr>
          <w:p w14:paraId="46EA5A4F">
            <w:pPr>
              <w:snapToGrid w:val="0"/>
              <w:spacing w:line="400" w:lineRule="exact"/>
              <w:jc w:val="center"/>
              <w:rPr>
                <w:rFonts w:hint="eastAsia" w:ascii="宋体" w:hAnsi="宋体" w:eastAsia="宋体" w:cs="宋体"/>
                <w:color w:val="auto"/>
                <w:szCs w:val="21"/>
                <w:highlight w:val="none"/>
              </w:rPr>
            </w:pPr>
            <w:r>
              <w:rPr>
                <w:rFonts w:hint="eastAsia" w:ascii="宋体" w:hAnsi="宋体" w:cs="宋体"/>
                <w:i w:val="0"/>
                <w:iCs w:val="0"/>
                <w:color w:val="auto"/>
                <w:kern w:val="0"/>
                <w:sz w:val="21"/>
                <w:szCs w:val="21"/>
                <w:highlight w:val="none"/>
                <w:u w:val="none"/>
                <w:lang w:val="en-US" w:eastAsia="zh-CN" w:bidi="ar"/>
              </w:rPr>
              <w:t>中药智能煎煮系统建设服务项目</w:t>
            </w:r>
          </w:p>
        </w:tc>
        <w:tc>
          <w:tcPr>
            <w:tcW w:w="1059" w:type="dxa"/>
            <w:noWrap w:val="0"/>
            <w:vAlign w:val="center"/>
          </w:tcPr>
          <w:p w14:paraId="3D69F850">
            <w:pPr>
              <w:snapToGrid w:val="0"/>
              <w:spacing w:line="400" w:lineRule="exact"/>
              <w:jc w:val="center"/>
              <w:rPr>
                <w:rFonts w:hint="eastAsia" w:ascii="宋体" w:hAnsi="宋体" w:eastAsia="宋体" w:cs="宋体"/>
                <w:color w:val="auto"/>
                <w:szCs w:val="21"/>
                <w:highlight w:val="none"/>
              </w:rPr>
            </w:pPr>
          </w:p>
        </w:tc>
        <w:tc>
          <w:tcPr>
            <w:tcW w:w="1233" w:type="dxa"/>
            <w:noWrap w:val="0"/>
            <w:vAlign w:val="center"/>
          </w:tcPr>
          <w:p w14:paraId="1B3FCDCF">
            <w:pPr>
              <w:snapToGrid w:val="0"/>
              <w:spacing w:line="400" w:lineRule="exact"/>
              <w:jc w:val="center"/>
              <w:rPr>
                <w:rFonts w:hint="eastAsia" w:ascii="宋体" w:hAnsi="宋体" w:eastAsia="宋体" w:cs="宋体"/>
                <w:color w:val="auto"/>
                <w:szCs w:val="21"/>
                <w:highlight w:val="none"/>
              </w:rPr>
            </w:pPr>
          </w:p>
        </w:tc>
        <w:tc>
          <w:tcPr>
            <w:tcW w:w="1210" w:type="dxa"/>
            <w:noWrap w:val="0"/>
            <w:vAlign w:val="top"/>
          </w:tcPr>
          <w:p w14:paraId="641693D7">
            <w:pPr>
              <w:snapToGrid w:val="0"/>
              <w:spacing w:line="400" w:lineRule="exact"/>
              <w:jc w:val="center"/>
              <w:rPr>
                <w:rFonts w:hint="eastAsia" w:ascii="宋体" w:hAnsi="宋体" w:eastAsia="宋体" w:cs="宋体"/>
                <w:color w:val="auto"/>
                <w:szCs w:val="21"/>
                <w:highlight w:val="none"/>
              </w:rPr>
            </w:pPr>
          </w:p>
        </w:tc>
        <w:tc>
          <w:tcPr>
            <w:tcW w:w="908" w:type="dxa"/>
            <w:noWrap w:val="0"/>
            <w:vAlign w:val="top"/>
          </w:tcPr>
          <w:p w14:paraId="6404C418">
            <w:pPr>
              <w:snapToGrid w:val="0"/>
              <w:spacing w:line="400" w:lineRule="exact"/>
              <w:jc w:val="center"/>
              <w:rPr>
                <w:rFonts w:hint="eastAsia" w:ascii="宋体" w:hAnsi="宋体" w:eastAsia="宋体" w:cs="宋体"/>
                <w:color w:val="auto"/>
                <w:szCs w:val="21"/>
                <w:highlight w:val="none"/>
              </w:rPr>
            </w:pPr>
          </w:p>
        </w:tc>
        <w:tc>
          <w:tcPr>
            <w:tcW w:w="668" w:type="dxa"/>
            <w:noWrap w:val="0"/>
            <w:vAlign w:val="top"/>
          </w:tcPr>
          <w:p w14:paraId="15B23BE7">
            <w:pPr>
              <w:snapToGrid w:val="0"/>
              <w:spacing w:line="400" w:lineRule="exact"/>
              <w:jc w:val="center"/>
              <w:rPr>
                <w:rFonts w:hint="eastAsia" w:ascii="宋体" w:hAnsi="宋体" w:eastAsia="宋体" w:cs="宋体"/>
                <w:color w:val="auto"/>
                <w:szCs w:val="21"/>
                <w:highlight w:val="none"/>
              </w:rPr>
            </w:pPr>
          </w:p>
        </w:tc>
        <w:tc>
          <w:tcPr>
            <w:tcW w:w="947" w:type="dxa"/>
            <w:noWrap w:val="0"/>
            <w:vAlign w:val="center"/>
          </w:tcPr>
          <w:p w14:paraId="5FB5EC6B">
            <w:pPr>
              <w:snapToGrid w:val="0"/>
              <w:spacing w:line="400" w:lineRule="exact"/>
              <w:jc w:val="center"/>
              <w:rPr>
                <w:rFonts w:hint="eastAsia" w:ascii="宋体" w:hAnsi="宋体" w:eastAsia="宋体" w:cs="宋体"/>
                <w:color w:val="auto"/>
                <w:szCs w:val="21"/>
                <w:highlight w:val="none"/>
              </w:rPr>
            </w:pPr>
          </w:p>
        </w:tc>
        <w:tc>
          <w:tcPr>
            <w:tcW w:w="1189" w:type="dxa"/>
            <w:noWrap w:val="0"/>
            <w:vAlign w:val="center"/>
          </w:tcPr>
          <w:p w14:paraId="04851F94">
            <w:pPr>
              <w:snapToGrid w:val="0"/>
              <w:spacing w:line="400" w:lineRule="exact"/>
              <w:jc w:val="center"/>
              <w:rPr>
                <w:rFonts w:hint="eastAsia" w:ascii="宋体" w:hAnsi="宋体" w:eastAsia="宋体" w:cs="宋体"/>
                <w:color w:val="auto"/>
                <w:szCs w:val="21"/>
                <w:highlight w:val="none"/>
              </w:rPr>
            </w:pPr>
          </w:p>
        </w:tc>
      </w:tr>
      <w:tr w14:paraId="0531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56" w:type="dxa"/>
            <w:gridSpan w:val="9"/>
            <w:noWrap w:val="0"/>
            <w:vAlign w:val="center"/>
          </w:tcPr>
          <w:p w14:paraId="5F9F5A89">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人民币合计金额（大写）                          （小写）                 </w:t>
            </w:r>
          </w:p>
        </w:tc>
      </w:tr>
    </w:tbl>
    <w:p w14:paraId="142D8C60">
      <w:pPr>
        <w:snapToGrid w:val="0"/>
        <w:spacing w:line="400" w:lineRule="exact"/>
        <w:ind w:right="42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2.合同合计金额包括货物价款，备件、专用工具、安装、调试、检验、技术培训及技术资料和包装、运输等全部费用。</w:t>
      </w:r>
    </w:p>
    <w:p w14:paraId="0B826B28">
      <w:pPr>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　质量要求</w:t>
      </w:r>
    </w:p>
    <w:p w14:paraId="61D909E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1.乙方所提供的产品名称、商标品牌、生产厂家、规格型号、技术参数等质量必须与招标文件规定及</w:t>
      </w:r>
      <w:r>
        <w:rPr>
          <w:rFonts w:hint="eastAsia" w:ascii="宋体" w:hAnsi="宋体" w:cs="宋体"/>
          <w:color w:val="auto"/>
          <w:szCs w:val="21"/>
          <w:highlight w:val="none"/>
          <w:lang w:val="en-US" w:eastAsia="zh-CN"/>
        </w:rPr>
        <w:t>磋商响应</w:t>
      </w:r>
      <w:r>
        <w:rPr>
          <w:rFonts w:hint="eastAsia" w:ascii="宋体" w:hAnsi="宋体" w:eastAsia="宋体" w:cs="宋体"/>
          <w:color w:val="auto"/>
          <w:szCs w:val="21"/>
          <w:highlight w:val="none"/>
        </w:rPr>
        <w:t>文件承诺相一致。乙方提供的节能和环保产品必须是列入政府采购品目清单的产品。</w:t>
      </w:r>
    </w:p>
    <w:p w14:paraId="08BAD308">
      <w:pPr>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2.乙方所提供的货物必须是全新、未使用的原装产品，且在正常安装、使用和保养条件下，其使用寿命期内各项指标均达到招标文件规定或者</w:t>
      </w:r>
      <w:r>
        <w:rPr>
          <w:rFonts w:hint="eastAsia" w:ascii="宋体" w:hAnsi="宋体" w:cs="宋体"/>
          <w:color w:val="auto"/>
          <w:szCs w:val="21"/>
          <w:highlight w:val="none"/>
          <w:lang w:val="en-US" w:eastAsia="zh-CN"/>
        </w:rPr>
        <w:t>磋商响应</w:t>
      </w:r>
      <w:r>
        <w:rPr>
          <w:rFonts w:hint="eastAsia" w:ascii="宋体" w:hAnsi="宋体" w:eastAsia="宋体" w:cs="宋体"/>
          <w:color w:val="auto"/>
          <w:szCs w:val="21"/>
          <w:highlight w:val="none"/>
        </w:rPr>
        <w:t>文件承诺的质量要求。</w:t>
      </w:r>
    </w:p>
    <w:p w14:paraId="39DA6804">
      <w:pPr>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71B55C8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1.乙方应保证所提供货物在使用时不会侵犯任何第三方的专利权、商标权、工业设计权或者其他权利。</w:t>
      </w:r>
    </w:p>
    <w:p w14:paraId="182BC3A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2.乙方应按招标文件规定或者</w:t>
      </w:r>
      <w:r>
        <w:rPr>
          <w:rFonts w:hint="eastAsia" w:ascii="宋体" w:hAnsi="宋体" w:cs="宋体"/>
          <w:color w:val="auto"/>
          <w:szCs w:val="21"/>
          <w:highlight w:val="none"/>
          <w:lang w:val="en-US" w:eastAsia="zh-CN"/>
        </w:rPr>
        <w:t>磋商响应</w:t>
      </w:r>
      <w:r>
        <w:rPr>
          <w:rFonts w:hint="eastAsia" w:ascii="宋体" w:hAnsi="宋体" w:eastAsia="宋体" w:cs="宋体"/>
          <w:color w:val="auto"/>
          <w:szCs w:val="21"/>
          <w:highlight w:val="none"/>
        </w:rPr>
        <w:t>文件承诺的时间向甲方提供使用货物的有关技术资料。</w:t>
      </w:r>
    </w:p>
    <w:p w14:paraId="6CC2F7D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6678D5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4.乙方保证将要交付的货物的所有权完全属于乙方且无任何抵押、质押、查封等产权瑕疵。</w:t>
      </w:r>
    </w:p>
    <w:p w14:paraId="771F0550">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包装和运输</w:t>
      </w:r>
    </w:p>
    <w:p w14:paraId="0ED7106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1.乙方提供的货物均应按招标文件规定或者</w:t>
      </w:r>
      <w:r>
        <w:rPr>
          <w:rFonts w:hint="eastAsia" w:ascii="宋体" w:hAnsi="宋体" w:cs="宋体"/>
          <w:color w:val="auto"/>
          <w:szCs w:val="21"/>
          <w:highlight w:val="none"/>
          <w:lang w:val="en-US" w:eastAsia="zh-CN"/>
        </w:rPr>
        <w:t>磋商响应</w:t>
      </w:r>
      <w:r>
        <w:rPr>
          <w:rFonts w:hint="eastAsia" w:ascii="宋体" w:hAnsi="宋体" w:eastAsia="宋体" w:cs="宋体"/>
          <w:color w:val="auto"/>
          <w:szCs w:val="21"/>
          <w:highlight w:val="none"/>
        </w:rPr>
        <w:t>文件承诺的要求的包装材料、包装标准、包装方式进行包装，每一包装单元内应附详细的装箱单和质量合格证。</w:t>
      </w:r>
    </w:p>
    <w:p w14:paraId="2AFDCD4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2.货物的运输方式：</w:t>
      </w:r>
      <w:r>
        <w:rPr>
          <w:rFonts w:hint="eastAsia" w:ascii="宋体" w:hAnsi="宋体" w:eastAsia="宋体" w:cs="宋体"/>
          <w:color w:val="auto"/>
          <w:szCs w:val="21"/>
          <w:highlight w:val="none"/>
          <w:u w:val="single"/>
        </w:rPr>
        <w:t xml:space="preserve">             。</w:t>
      </w:r>
    </w:p>
    <w:p w14:paraId="23C7B09E">
      <w:pPr>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3.乙方负责货物运输，货物运输合理损耗及计算方法：</w:t>
      </w:r>
      <w:r>
        <w:rPr>
          <w:rFonts w:hint="eastAsia" w:ascii="宋体" w:hAnsi="宋体" w:eastAsia="宋体" w:cs="宋体"/>
          <w:color w:val="auto"/>
          <w:szCs w:val="21"/>
          <w:highlight w:val="none"/>
          <w:u w:val="single"/>
        </w:rPr>
        <w:t xml:space="preserve">                 。</w:t>
      </w:r>
    </w:p>
    <w:p w14:paraId="6AC80256">
      <w:pPr>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交付和验收</w:t>
      </w:r>
    </w:p>
    <w:p w14:paraId="27B483FF">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1.提交服务成果时间：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5430AD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2.乙方提供不符合招标文件规定或者</w:t>
      </w:r>
      <w:r>
        <w:rPr>
          <w:rFonts w:hint="eastAsia" w:ascii="宋体" w:hAnsi="宋体" w:cs="宋体"/>
          <w:color w:val="auto"/>
          <w:szCs w:val="21"/>
          <w:highlight w:val="none"/>
          <w:lang w:val="en-US" w:eastAsia="zh-CN"/>
        </w:rPr>
        <w:t>磋商响应</w:t>
      </w:r>
      <w:r>
        <w:rPr>
          <w:rFonts w:hint="eastAsia" w:ascii="宋体" w:hAnsi="宋体" w:eastAsia="宋体" w:cs="宋体"/>
          <w:color w:val="auto"/>
          <w:szCs w:val="21"/>
          <w:highlight w:val="none"/>
        </w:rPr>
        <w:t>文件承诺的和本合同规定的货物，甲方有权拒绝接受。</w:t>
      </w:r>
    </w:p>
    <w:p w14:paraId="4112F2E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7DD3C7AC">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4.甲方应当在到货（安装、调试完）后七个工作日内进行验收，逾期不验收的，乙方可视同验收合格。验收合格后由甲乙双方签署货物验收单并加盖采购人公章，甲乙双方各执一份。</w:t>
      </w:r>
    </w:p>
    <w:p w14:paraId="0515D3A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96E029D">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6.甲方对验收有异议的，在验收后五个工作日内以书面形式向乙方提出，乙方应自收到甲方书面异议后</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日内及时予以解决。</w:t>
      </w:r>
    </w:p>
    <w:p w14:paraId="550FE112">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安装和培训</w:t>
      </w:r>
    </w:p>
    <w:p w14:paraId="72959F5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1.甲方应提供必要安装条件（如场地、电源、水源等）。</w:t>
      </w:r>
    </w:p>
    <w:p w14:paraId="09D9E9F7">
      <w:pPr>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w:t>
      </w:r>
      <w:r>
        <w:rPr>
          <w:rFonts w:hint="eastAsia" w:ascii="宋体" w:hAnsi="宋体" w:cs="宋体"/>
          <w:color w:val="auto"/>
          <w:szCs w:val="21"/>
          <w:highlight w:val="none"/>
          <w:lang w:val="en-US" w:eastAsia="zh-CN"/>
        </w:rPr>
        <w:t>磋商响应</w:t>
      </w:r>
      <w:r>
        <w:rPr>
          <w:rFonts w:hint="eastAsia" w:ascii="宋体" w:hAnsi="宋体" w:eastAsia="宋体" w:cs="宋体"/>
          <w:color w:val="auto"/>
          <w:szCs w:val="21"/>
          <w:highlight w:val="none"/>
        </w:rPr>
        <w:t>文件承诺负责甲方有关人员的培训。培训时间、地点：</w:t>
      </w:r>
      <w:r>
        <w:rPr>
          <w:rFonts w:hint="eastAsia" w:ascii="宋体" w:hAnsi="宋体" w:eastAsia="宋体" w:cs="宋体"/>
          <w:color w:val="auto"/>
          <w:szCs w:val="21"/>
          <w:highlight w:val="none"/>
          <w:u w:val="single"/>
        </w:rPr>
        <w:t xml:space="preserve">                   。</w:t>
      </w:r>
    </w:p>
    <w:p w14:paraId="2F8D9561">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售后服务、保修期</w:t>
      </w:r>
    </w:p>
    <w:p w14:paraId="5ACB6A9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1.乙方应按照国家有关法律法规和“三包”规定以及本合同所附的《服务承诺》，为甲方提供售后服务。</w:t>
      </w:r>
    </w:p>
    <w:p w14:paraId="54CB6A24">
      <w:pPr>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2.货物保修期：</w:t>
      </w:r>
      <w:r>
        <w:rPr>
          <w:rFonts w:hint="eastAsia" w:ascii="宋体" w:hAnsi="宋体" w:eastAsia="宋体" w:cs="宋体"/>
          <w:color w:val="auto"/>
          <w:szCs w:val="21"/>
          <w:highlight w:val="none"/>
          <w:u w:val="single"/>
        </w:rPr>
        <w:t xml:space="preserve">                                          。</w:t>
      </w:r>
    </w:p>
    <w:p w14:paraId="2BF20867">
      <w:pPr>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3.乙方提供的服务承诺和售后服务及保修期责任等其它具体约定事项。（见合同附件）</w:t>
      </w:r>
    </w:p>
    <w:p w14:paraId="02AA3986">
      <w:pPr>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第八条　付款方式</w:t>
      </w:r>
    </w:p>
    <w:p w14:paraId="245F3736">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1</w:t>
      </w:r>
      <w:r>
        <w:rPr>
          <w:rFonts w:hint="eastAsia" w:ascii="宋体" w:hAnsi="宋体" w:eastAsia="宋体" w:cs="宋体"/>
          <w:color w:val="auto"/>
          <w:kern w:val="0"/>
          <w:szCs w:val="21"/>
          <w:highlight w:val="none"/>
        </w:rPr>
        <w:t>.当采购数量与实际使用数量不一致时，乙方应根据实际使用量供货，合同的最终结算金额按实际使用量乘以成交单价进行计算，但不得超出合同价的10%。</w:t>
      </w:r>
    </w:p>
    <w:p w14:paraId="58C3663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color w:val="auto"/>
          <w:kern w:val="0"/>
          <w:szCs w:val="21"/>
          <w:highlight w:val="none"/>
        </w:rPr>
        <w:t>付款方式：在双方签订合同且乙方足额递交履约保证金后10个工作日内，甲方向乙方支付合同金额的30%作为预付款，</w:t>
      </w:r>
      <w:r>
        <w:rPr>
          <w:rFonts w:hint="eastAsia" w:ascii="宋体" w:hAnsi="宋体" w:eastAsia="宋体" w:cs="宋体"/>
          <w:color w:val="auto"/>
          <w:kern w:val="0"/>
          <w:szCs w:val="21"/>
          <w:highlight w:val="none"/>
          <w:lang w:val="en-US" w:eastAsia="zh-CN"/>
        </w:rPr>
        <w:t>硬件部分到货且完成初验合格后，</w:t>
      </w:r>
      <w:r>
        <w:rPr>
          <w:rFonts w:hint="eastAsia" w:ascii="宋体" w:hAnsi="宋体" w:cs="宋体"/>
          <w:color w:val="auto"/>
          <w:kern w:val="0"/>
          <w:szCs w:val="21"/>
          <w:highlight w:val="none"/>
          <w:lang w:val="en-US" w:eastAsia="zh-CN"/>
        </w:rPr>
        <w:t>甲方</w:t>
      </w:r>
      <w:r>
        <w:rPr>
          <w:rFonts w:hint="eastAsia" w:ascii="宋体" w:hAnsi="宋体" w:eastAsia="宋体" w:cs="宋体"/>
          <w:color w:val="auto"/>
          <w:kern w:val="0"/>
          <w:szCs w:val="21"/>
          <w:highlight w:val="none"/>
          <w:lang w:val="en-US" w:eastAsia="zh-CN"/>
        </w:rPr>
        <w:t>向</w:t>
      </w:r>
      <w:r>
        <w:rPr>
          <w:rFonts w:hint="eastAsia" w:ascii="宋体" w:hAnsi="宋体" w:cs="宋体"/>
          <w:color w:val="auto"/>
          <w:kern w:val="0"/>
          <w:szCs w:val="21"/>
          <w:highlight w:val="none"/>
          <w:lang w:val="en-US" w:eastAsia="zh-CN"/>
        </w:rPr>
        <w:t>乙方</w:t>
      </w:r>
      <w:r>
        <w:rPr>
          <w:rFonts w:hint="eastAsia" w:ascii="宋体" w:hAnsi="宋体" w:eastAsia="宋体" w:cs="宋体"/>
          <w:color w:val="auto"/>
          <w:kern w:val="0"/>
          <w:szCs w:val="21"/>
          <w:highlight w:val="none"/>
          <w:lang w:val="en-US" w:eastAsia="zh-CN"/>
        </w:rPr>
        <w:t>支付合同金额的40%作为进度款，</w:t>
      </w:r>
      <w:r>
        <w:rPr>
          <w:rFonts w:hint="eastAsia" w:ascii="宋体" w:hAnsi="宋体" w:eastAsia="宋体" w:cs="宋体"/>
          <w:color w:val="auto"/>
          <w:kern w:val="0"/>
          <w:szCs w:val="21"/>
          <w:highlight w:val="none"/>
        </w:rPr>
        <w:t>项目实施完成并通过验收后支付通过验收部分的剩余款项（不计利息）。</w:t>
      </w:r>
    </w:p>
    <w:p w14:paraId="4EC3AD7A">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3.每期付款前乙方须开具合同约定金额的增值税发票给甲方，乙方未及时向甲方开具发票的，甲方有权顺延付款时间，且不承担任何逾期付款违约责任。</w:t>
      </w:r>
    </w:p>
    <w:p w14:paraId="0B7216FB">
      <w:pPr>
        <w:snapToGrid w:val="0"/>
        <w:spacing w:line="400" w:lineRule="exact"/>
        <w:ind w:left="-61" w:firstLine="51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税费</w:t>
      </w:r>
    </w:p>
    <w:p w14:paraId="4433D600">
      <w:pPr>
        <w:snapToGrid w:val="0"/>
        <w:spacing w:line="40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5E2DD28D">
      <w:pPr>
        <w:snapToGrid w:val="0"/>
        <w:spacing w:line="400" w:lineRule="exact"/>
        <w:ind w:left="-61"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第十条  履约保证金</w:t>
      </w:r>
    </w:p>
    <w:p w14:paraId="01730FBD">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1、履约保证金：合同金额的5%（乙方如为中小企业的，履约保证金按合同金额的2%收取）。</w:t>
      </w:r>
    </w:p>
    <w:p w14:paraId="1B425837">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2、履约保证金递交方式：银行转账、支票、汇票、本票或者金融、担保机构出具的保函等非现金方式。</w:t>
      </w:r>
    </w:p>
    <w:p w14:paraId="754FB03F">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3、乙方应于合同签订后7日内足额递交履约保证金，履约保证金自项目验收合格且乙方履行完成合同义务，履行合同期间无违约行为后无息退还。</w:t>
      </w:r>
    </w:p>
    <w:p w14:paraId="715A6B4E">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4、乙方履行合同期间违约行为给甲方造成损失的，甲方有权选择直接从履约保证金扣除，且乙方应在收到甲方通知之日起5个工作日内补充因弥补甲方损失而减少的履约保证金。</w:t>
      </w:r>
    </w:p>
    <w:p w14:paraId="0A5E50FD">
      <w:pPr>
        <w:snapToGrid w:val="0"/>
        <w:spacing w:line="4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5、在履约保证金退还日期前，若乙方的开户名称、开户银行、账号有变动的，请以书面形式通知甲方，否则由此产生的后果由乙方自行负责。</w:t>
      </w:r>
    </w:p>
    <w:p w14:paraId="7A8C36D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6、履约保证金指定账户：</w:t>
      </w:r>
    </w:p>
    <w:p w14:paraId="3304C8A4">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开户名称：广西国际壮医医院</w:t>
      </w:r>
    </w:p>
    <w:p w14:paraId="21F604FB">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开户银行：交通银行南宁青秀山支行</w:t>
      </w:r>
    </w:p>
    <w:p w14:paraId="041065D6">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银行账号：451060505018010046011</w:t>
      </w:r>
    </w:p>
    <w:p w14:paraId="3A239C95">
      <w:pPr>
        <w:snapToGrid w:val="0"/>
        <w:spacing w:line="400" w:lineRule="exact"/>
        <w:ind w:left="-61"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质量保证及售后服务</w:t>
      </w:r>
    </w:p>
    <w:p w14:paraId="23FD4113">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1.</w:t>
      </w:r>
      <w:r>
        <w:rPr>
          <w:rFonts w:hint="eastAsia" w:ascii="宋体" w:hAnsi="宋体" w:eastAsia="宋体" w:cs="宋体"/>
          <w:color w:val="auto"/>
          <w:kern w:val="0"/>
          <w:szCs w:val="21"/>
          <w:highlight w:val="none"/>
        </w:rPr>
        <w:t>乙方应按招标文件规定的产品名称、商标品牌、生产厂家、规格型号、技术参数、质量标准向甲方提供未经使用的全新产品。不符合要求的，根据实际情况，经双方协商，可按以下办法处理：</w:t>
      </w:r>
    </w:p>
    <w:p w14:paraId="5C802071">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⑴更换：由乙方承担所发生的全部费用。</w:t>
      </w:r>
    </w:p>
    <w:p w14:paraId="6EAE22B6">
      <w:pPr>
        <w:snapToGri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⑵贬值处理：由甲乙双方合议定价。</w:t>
      </w:r>
    </w:p>
    <w:p w14:paraId="621DE8DD">
      <w:pPr>
        <w:snapToGrid w:val="0"/>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⑶退货处理：乙方应退还甲方支付的合同款，同时应承担该货物的直接费用（运输、保险、检验、货款利息及银行手续费等）。</w:t>
      </w:r>
    </w:p>
    <w:p w14:paraId="69936266">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2.如在使用过程中发生质量问题，乙方在接到甲方通知后到达甲方现场处理的时间（</w:t>
      </w:r>
      <w:r>
        <w:rPr>
          <w:rFonts w:hint="eastAsia" w:ascii="宋体" w:hAnsi="宋体" w:eastAsia="宋体" w:cs="宋体"/>
          <w:color w:val="auto"/>
          <w:kern w:val="0"/>
          <w:szCs w:val="21"/>
          <w:highlight w:val="none"/>
          <w:u w:val="single"/>
        </w:rPr>
        <w:t>按</w:t>
      </w:r>
      <w:r>
        <w:rPr>
          <w:rFonts w:hint="eastAsia" w:ascii="宋体" w:hAnsi="宋体" w:cs="宋体"/>
          <w:color w:val="auto"/>
          <w:szCs w:val="21"/>
          <w:highlight w:val="none"/>
          <w:u w:val="single"/>
          <w:lang w:val="en-US" w:eastAsia="zh-CN"/>
        </w:rPr>
        <w:t>磋商响应</w:t>
      </w:r>
      <w:r>
        <w:rPr>
          <w:rFonts w:hint="eastAsia" w:ascii="宋体" w:hAnsi="宋体" w:eastAsia="宋体" w:cs="宋体"/>
          <w:color w:val="auto"/>
          <w:kern w:val="0"/>
          <w:szCs w:val="21"/>
          <w:highlight w:val="none"/>
          <w:u w:val="single"/>
        </w:rPr>
        <w:t>文件承诺的数据填写</w:t>
      </w:r>
      <w:r>
        <w:rPr>
          <w:rFonts w:hint="eastAsia" w:ascii="宋体" w:hAnsi="宋体" w:eastAsia="宋体" w:cs="宋体"/>
          <w:color w:val="auto"/>
          <w:kern w:val="0"/>
          <w:szCs w:val="21"/>
          <w:highlight w:val="none"/>
        </w:rPr>
        <w:t>）小时内。</w:t>
      </w:r>
    </w:p>
    <w:p w14:paraId="29C5543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3.在保修期内，乙方应对货物出现的质量及安全问题负责处理解决并承担一切费用。</w:t>
      </w:r>
    </w:p>
    <w:p w14:paraId="4C3E9F1C">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4.上述的货物保修期为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年，因人为因素出现的故障不在免费保修范围内。超过保修期的机器设备，终生维修，维修时只收部件成本费。</w:t>
      </w:r>
    </w:p>
    <w:p w14:paraId="49171D28">
      <w:pPr>
        <w:snapToGrid w:val="0"/>
        <w:spacing w:line="400" w:lineRule="exact"/>
        <w:ind w:left="-61"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第十二条  调试和验收</w:t>
      </w:r>
    </w:p>
    <w:p w14:paraId="3D9DC611">
      <w:pPr>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6A0007B3">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2.乙方交货前应对产品作出全面检查和对验收文件进行整理，并列出清单，作为甲方收货验收和使用的技术条件依据，检验的结果应随货物交甲方。</w:t>
      </w:r>
    </w:p>
    <w:p w14:paraId="3482F2D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3.甲方对乙方提供的货物在使用前进行调试时，乙方需负责安装并培训甲方的使用操作人员，并协助甲方一起调试，直到符合技术要求，甲方才做最终验收。</w:t>
      </w:r>
    </w:p>
    <w:p w14:paraId="06502A96">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4.对技术复杂的货物，甲方应请国家认可的专业检测机构参与初步验收及最终验收，并由其出具质量检测报告。</w:t>
      </w:r>
    </w:p>
    <w:p w14:paraId="1595B959">
      <w:pPr>
        <w:snapToGrid w:val="0"/>
        <w:spacing w:line="40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5. 验收时乙方必须在现场，验收完毕后作出验收结果报告；验收费用按招标文件约定承担方负责。</w:t>
      </w:r>
    </w:p>
    <w:p w14:paraId="17FB9C8A">
      <w:pPr>
        <w:snapToGrid w:val="0"/>
        <w:spacing w:line="400" w:lineRule="exact"/>
        <w:ind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第十三条  货物包装、发运及运输</w:t>
      </w:r>
    </w:p>
    <w:p w14:paraId="1C4F7165">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1.乙方应在货物发运前对其进行满足运输距离、防潮、防震、防锈和防破损装卸等要求包装，以保证货物安全运达甲方指定地点。</w:t>
      </w:r>
    </w:p>
    <w:p w14:paraId="35893A3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使用说明书（货物属于进口产品的，供货时应同时附上中文使用说明书）、质量检验证明书、随配附件和工具以及清单一并附于货物内。</w:t>
      </w:r>
    </w:p>
    <w:p w14:paraId="23364DAE">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3.乙方在货物发运手续办理完毕后二十四小时内或者货到甲方四十八小时前通知甲方，以准备接货。</w:t>
      </w:r>
    </w:p>
    <w:p w14:paraId="0AA4F77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4.货物在交付甲方前发生的风险均由乙方负责。</w:t>
      </w:r>
    </w:p>
    <w:p w14:paraId="776C335F">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5.货物在规</w:t>
      </w:r>
      <w:r>
        <w:rPr>
          <w:rFonts w:hint="eastAsia" w:ascii="宋体" w:hAnsi="宋体" w:eastAsia="宋体" w:cs="宋体"/>
          <w:color w:val="auto"/>
          <w:spacing w:val="-8"/>
          <w:kern w:val="0"/>
          <w:szCs w:val="21"/>
          <w:highlight w:val="none"/>
        </w:rPr>
        <w:t>定的交付期限内由乙方送达甲方指定的地点视为交付，乙方同时需通知甲方货物已送达。</w:t>
      </w:r>
    </w:p>
    <w:p w14:paraId="58F49B24">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违约责任</w:t>
      </w:r>
    </w:p>
    <w:p w14:paraId="57464BCB">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1D4E6787">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2.乙方提供的货物如侵犯了第三方合法权益而引发的任何纠纷或者诉讼，均由乙方负责交涉并承担全部责任。</w:t>
      </w:r>
    </w:p>
    <w:p w14:paraId="340EF90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3.因包装、运输引起的货物损坏，按质量不合格处罚。</w:t>
      </w:r>
    </w:p>
    <w:p w14:paraId="5DCBAD24">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4.甲方无故延期接收货物、乙方逾期交货的，每天向对方偿付违约货款额3‰违约金，但违约金累计不得超过违约货款额5%，超过</w:t>
      </w:r>
      <w:r>
        <w:rPr>
          <w:rFonts w:hint="eastAsia" w:ascii="宋体" w:hAnsi="宋体" w:eastAsia="宋体" w:cs="宋体"/>
          <w:color w:val="auto"/>
          <w:kern w:val="0"/>
          <w:szCs w:val="21"/>
          <w:highlight w:val="none"/>
          <w:u w:val="single"/>
        </w:rPr>
        <w:t xml:space="preserve"> 10 </w:t>
      </w:r>
      <w:r>
        <w:rPr>
          <w:rFonts w:hint="eastAsia" w:ascii="宋体" w:hAnsi="宋体" w:eastAsia="宋体" w:cs="宋体"/>
          <w:color w:val="auto"/>
          <w:kern w:val="0"/>
          <w:szCs w:val="21"/>
          <w:highlight w:val="none"/>
        </w:rPr>
        <w:t>天对方有权解除合同，违约方承担因此给对方造成经济损失；甲方延期付货款的，每天向乙方偿付延期货款额3‰滞纳金，但滞纳金累计不得超过延期货款额5%。</w:t>
      </w:r>
    </w:p>
    <w:p w14:paraId="783ADF6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5.乙方未按本合同和</w:t>
      </w:r>
      <w:r>
        <w:rPr>
          <w:rFonts w:hint="eastAsia" w:ascii="宋体" w:hAnsi="宋体" w:cs="宋体"/>
          <w:color w:val="auto"/>
          <w:szCs w:val="21"/>
          <w:highlight w:val="none"/>
          <w:lang w:val="en-US" w:eastAsia="zh-CN"/>
        </w:rPr>
        <w:t>磋商响应</w:t>
      </w:r>
      <w:r>
        <w:rPr>
          <w:rFonts w:hint="eastAsia" w:ascii="宋体" w:hAnsi="宋体" w:eastAsia="宋体" w:cs="宋体"/>
          <w:color w:val="auto"/>
          <w:kern w:val="0"/>
          <w:szCs w:val="21"/>
          <w:highlight w:val="none"/>
        </w:rPr>
        <w:t>文件中规定的服务承诺提供售后服务的，乙方应按本合同合计金额 5%向甲方支付违约金。</w:t>
      </w:r>
    </w:p>
    <w:p w14:paraId="56EAD49A">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6.乙方提供的货物在质量保证期内，因设计、工艺或者材料的缺陷和其它质量原因造成的问题，由乙方负责，费用从余款中扣除，不足另补。</w:t>
      </w:r>
    </w:p>
    <w:p w14:paraId="016DEE56">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7.甲乙双方有其它违约行为的，由违约方向对方支付违约内容涉及货款额的5%，违约内容涉及货款额的5%不足以赔偿经济损失的按实际赔偿。</w:t>
      </w:r>
    </w:p>
    <w:p w14:paraId="3CD5D595">
      <w:pPr>
        <w:snapToGrid w:val="0"/>
        <w:spacing w:line="400" w:lineRule="exact"/>
        <w:ind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第十五条  不可抗力事件处理</w:t>
      </w:r>
    </w:p>
    <w:p w14:paraId="6ED6F9B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1.在合同有效期内，任何一方因不可抗力事件导致不能履行合同，则合同履行期可延长，其延长期与不可抗力影响期相同。</w:t>
      </w:r>
    </w:p>
    <w:p w14:paraId="2A0CA2AA">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2.不可抗力事件发生后，应立即通知对方，并寄送有关权威机构出具的证明。</w:t>
      </w:r>
    </w:p>
    <w:p w14:paraId="694FC86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3EA36CF6">
      <w:pPr>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第十六条  合同争议解决</w:t>
      </w:r>
    </w:p>
    <w:p w14:paraId="6DDF67E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357BBD6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3674ADD6">
      <w:pPr>
        <w:snapToGrid w:val="0"/>
        <w:spacing w:line="40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56F4DF3D">
      <w:pPr>
        <w:snapToGrid w:val="0"/>
        <w:spacing w:line="400" w:lineRule="exact"/>
        <w:ind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第十七条  合同生效及其它</w:t>
      </w:r>
    </w:p>
    <w:p w14:paraId="4B6C6456">
      <w:pPr>
        <w:snapToGrid w:val="0"/>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1.合同经双方法定代表人或者委托代理人签字并加盖单位公章后生效（委托代理人签字的需后附授权委托书，格式自拟）。</w:t>
      </w:r>
    </w:p>
    <w:p w14:paraId="694F8047">
      <w:pPr>
        <w:snapToGrid w:val="0"/>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2.合同执行中涉及采购资金和采购内容修改或者补充的，须经财政部门审批，并签书面补充协议报财政部门备案，方可作为主合同不可分割的一部分。</w:t>
      </w:r>
    </w:p>
    <w:p w14:paraId="756A9AC7">
      <w:pPr>
        <w:snapToGrid w:val="0"/>
        <w:spacing w:line="400" w:lineRule="exact"/>
        <w:ind w:left="420" w:left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3.本合同未尽事宜，遵照《中华人民共和国民法典》有关条文执行。</w:t>
      </w:r>
    </w:p>
    <w:p w14:paraId="5F26759F">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第十八条　合同的变更、终止与转让</w:t>
      </w:r>
    </w:p>
    <w:p w14:paraId="77B8DB2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7DCA3AEF">
      <w:pPr>
        <w:snapToGrid w:val="0"/>
        <w:spacing w:line="40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2.乙方不得擅自转让（无进口资格的供应商委托进口货物除外）其应履行的合同义务。</w:t>
      </w:r>
    </w:p>
    <w:p w14:paraId="393BCA97">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第十九条　</w:t>
      </w:r>
      <w:r>
        <w:rPr>
          <w:rFonts w:hint="eastAsia" w:ascii="宋体" w:hAnsi="宋体" w:eastAsia="宋体" w:cs="宋体"/>
          <w:color w:val="auto"/>
          <w:spacing w:val="-2"/>
          <w:kern w:val="0"/>
          <w:szCs w:val="21"/>
          <w:highlight w:val="none"/>
        </w:rPr>
        <w:t>本</w:t>
      </w:r>
      <w:r>
        <w:rPr>
          <w:rFonts w:hint="eastAsia" w:ascii="宋体" w:hAnsi="宋体" w:eastAsia="宋体" w:cs="宋体"/>
          <w:color w:val="auto"/>
          <w:kern w:val="0"/>
          <w:szCs w:val="21"/>
          <w:highlight w:val="none"/>
        </w:rPr>
        <w:t>合同书</w:t>
      </w:r>
      <w:r>
        <w:rPr>
          <w:rFonts w:hint="eastAsia" w:ascii="宋体" w:hAnsi="宋体" w:eastAsia="宋体" w:cs="宋体"/>
          <w:color w:val="auto"/>
          <w:spacing w:val="-2"/>
          <w:kern w:val="0"/>
          <w:szCs w:val="21"/>
          <w:highlight w:val="none"/>
        </w:rPr>
        <w:t>与</w:t>
      </w:r>
      <w:r>
        <w:rPr>
          <w:rFonts w:hint="eastAsia" w:ascii="宋体" w:hAnsi="宋体" w:eastAsia="宋体" w:cs="宋体"/>
          <w:color w:val="auto"/>
          <w:kern w:val="0"/>
          <w:szCs w:val="21"/>
          <w:highlight w:val="none"/>
        </w:rPr>
        <w:t>下</w:t>
      </w:r>
      <w:r>
        <w:rPr>
          <w:rFonts w:hint="eastAsia" w:ascii="宋体" w:hAnsi="宋体" w:eastAsia="宋体" w:cs="宋体"/>
          <w:color w:val="auto"/>
          <w:spacing w:val="-2"/>
          <w:kern w:val="0"/>
          <w:szCs w:val="21"/>
          <w:highlight w:val="none"/>
        </w:rPr>
        <w:t>列</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件一</w:t>
      </w:r>
      <w:r>
        <w:rPr>
          <w:rFonts w:hint="eastAsia" w:ascii="宋体" w:hAnsi="宋体" w:eastAsia="宋体" w:cs="宋体"/>
          <w:color w:val="auto"/>
          <w:kern w:val="0"/>
          <w:szCs w:val="21"/>
          <w:highlight w:val="none"/>
        </w:rPr>
        <w:t>起构</w:t>
      </w:r>
      <w:r>
        <w:rPr>
          <w:rFonts w:hint="eastAsia" w:ascii="宋体" w:hAnsi="宋体" w:eastAsia="宋体" w:cs="宋体"/>
          <w:color w:val="auto"/>
          <w:spacing w:val="-2"/>
          <w:kern w:val="0"/>
          <w:szCs w:val="21"/>
          <w:highlight w:val="none"/>
        </w:rPr>
        <w:t>成</w:t>
      </w:r>
      <w:r>
        <w:rPr>
          <w:rFonts w:hint="eastAsia" w:ascii="宋体" w:hAnsi="宋体" w:eastAsia="宋体" w:cs="宋体"/>
          <w:color w:val="auto"/>
          <w:kern w:val="0"/>
          <w:szCs w:val="21"/>
          <w:highlight w:val="none"/>
        </w:rPr>
        <w:t>合</w:t>
      </w:r>
      <w:r>
        <w:rPr>
          <w:rFonts w:hint="eastAsia" w:ascii="宋体" w:hAnsi="宋体" w:eastAsia="宋体" w:cs="宋体"/>
          <w:color w:val="auto"/>
          <w:spacing w:val="-2"/>
          <w:kern w:val="0"/>
          <w:szCs w:val="21"/>
          <w:highlight w:val="none"/>
        </w:rPr>
        <w:t>同</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p>
    <w:p w14:paraId="2C1A34DE">
      <w:pPr>
        <w:snapToGrid w:val="0"/>
        <w:spacing w:line="400" w:lineRule="exact"/>
        <w:ind w:left="420" w:left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通知书；</w:t>
      </w:r>
    </w:p>
    <w:p w14:paraId="593819FD">
      <w:pPr>
        <w:snapToGrid w:val="0"/>
        <w:spacing w:line="400" w:lineRule="exact"/>
        <w:ind w:left="420" w:left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2.竞标声明；</w:t>
      </w:r>
    </w:p>
    <w:p w14:paraId="17EF3180">
      <w:pPr>
        <w:snapToGrid w:val="0"/>
        <w:spacing w:line="400" w:lineRule="exact"/>
        <w:ind w:left="420" w:left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3.商务要求偏离表和技术要求偏离表；</w:t>
      </w:r>
    </w:p>
    <w:p w14:paraId="22E67A9A">
      <w:pPr>
        <w:snapToGrid w:val="0"/>
        <w:spacing w:line="400" w:lineRule="exact"/>
        <w:ind w:left="420" w:left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4.采购需求；</w:t>
      </w:r>
    </w:p>
    <w:p w14:paraId="3C7F2519">
      <w:pPr>
        <w:snapToGrid w:val="0"/>
        <w:spacing w:line="400" w:lineRule="exact"/>
        <w:ind w:left="420" w:left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5.竞标报价表；</w:t>
      </w:r>
    </w:p>
    <w:p w14:paraId="6A2FD21A">
      <w:pPr>
        <w:snapToGrid w:val="0"/>
        <w:spacing w:line="400" w:lineRule="exact"/>
        <w:ind w:left="420" w:left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6.最终报价表</w:t>
      </w:r>
    </w:p>
    <w:p w14:paraId="03D46EA4">
      <w:pPr>
        <w:snapToGrid w:val="0"/>
        <w:spacing w:line="400" w:lineRule="exact"/>
        <w:ind w:left="420" w:left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.其他合同文件；</w:t>
      </w:r>
    </w:p>
    <w:p w14:paraId="72AE1345">
      <w:pPr>
        <w:snapToGrid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2B7943AD">
      <w:pPr>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第二十条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14:paraId="3C0F6912">
      <w:pPr>
        <w:snapToGrid w:val="0"/>
        <w:spacing w:line="40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14:paraId="3A6BA30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14:paraId="29383446">
      <w:pPr>
        <w:snapToGrid w:val="0"/>
        <w:spacing w:line="360" w:lineRule="auto"/>
        <w:rPr>
          <w:rFonts w:hint="eastAsia" w:ascii="宋体" w:hAnsi="宋体" w:eastAsia="宋体" w:cs="宋体"/>
          <w:color w:val="auto"/>
          <w:szCs w:val="21"/>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AFD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285D20B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23DA9B39">
            <w:pPr>
              <w:snapToGrid w:val="0"/>
              <w:spacing w:line="360" w:lineRule="auto"/>
              <w:rPr>
                <w:rFonts w:hint="eastAsia" w:ascii="宋体" w:hAnsi="宋体" w:eastAsia="宋体" w:cs="宋体"/>
                <w:color w:val="auto"/>
                <w:szCs w:val="21"/>
                <w:highlight w:val="none"/>
              </w:rPr>
            </w:pPr>
          </w:p>
          <w:p w14:paraId="493D871F">
            <w:pPr>
              <w:snapToGrid w:val="0"/>
              <w:spacing w:line="360" w:lineRule="auto"/>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noWrap w:val="0"/>
            <w:vAlign w:val="center"/>
          </w:tcPr>
          <w:p w14:paraId="49D82E4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3BF8565E">
            <w:pPr>
              <w:snapToGrid w:val="0"/>
              <w:spacing w:line="360" w:lineRule="auto"/>
              <w:rPr>
                <w:rFonts w:hint="eastAsia" w:ascii="宋体" w:hAnsi="宋体" w:eastAsia="宋体" w:cs="宋体"/>
                <w:color w:val="auto"/>
                <w:szCs w:val="21"/>
                <w:highlight w:val="none"/>
              </w:rPr>
            </w:pPr>
          </w:p>
          <w:p w14:paraId="3B82DB48">
            <w:pPr>
              <w:snapToGrid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6545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3A6F8082">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tc>
        <w:tc>
          <w:tcPr>
            <w:tcW w:w="4517" w:type="dxa"/>
            <w:noWrap w:val="0"/>
            <w:vAlign w:val="center"/>
          </w:tcPr>
          <w:p w14:paraId="6A500D02">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tc>
      </w:tr>
      <w:tr w14:paraId="69D3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34215D5C">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法定代表人或者委托代理人：</w:t>
            </w:r>
          </w:p>
        </w:tc>
        <w:tc>
          <w:tcPr>
            <w:tcW w:w="4517" w:type="dxa"/>
            <w:noWrap w:val="0"/>
            <w:vAlign w:val="top"/>
          </w:tcPr>
          <w:p w14:paraId="648955D0">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法定代表人或者委托代理人：</w:t>
            </w:r>
          </w:p>
        </w:tc>
      </w:tr>
      <w:tr w14:paraId="182B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3E855F68">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c>
          <w:tcPr>
            <w:tcW w:w="4517" w:type="dxa"/>
            <w:noWrap w:val="0"/>
            <w:vAlign w:val="center"/>
          </w:tcPr>
          <w:p w14:paraId="3246ECB6">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r>
      <w:tr w14:paraId="698F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BA91179">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c>
          <w:tcPr>
            <w:tcW w:w="4517" w:type="dxa"/>
            <w:noWrap w:val="0"/>
            <w:vAlign w:val="center"/>
          </w:tcPr>
          <w:p w14:paraId="68B9C9CB">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r>
      <w:tr w14:paraId="2D67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6D4A7BE8">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c>
          <w:tcPr>
            <w:tcW w:w="4517" w:type="dxa"/>
            <w:noWrap w:val="0"/>
            <w:vAlign w:val="center"/>
          </w:tcPr>
          <w:p w14:paraId="3171FB54">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r>
      <w:tr w14:paraId="5834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5A18C312">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c>
          <w:tcPr>
            <w:tcW w:w="4517" w:type="dxa"/>
            <w:noWrap w:val="0"/>
            <w:vAlign w:val="center"/>
          </w:tcPr>
          <w:p w14:paraId="682D5092">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r>
      <w:tr w14:paraId="1F00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38D91E90">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c>
          <w:tcPr>
            <w:tcW w:w="4517" w:type="dxa"/>
            <w:noWrap w:val="0"/>
            <w:vAlign w:val="center"/>
          </w:tcPr>
          <w:p w14:paraId="673EE484">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r>
    </w:tbl>
    <w:p w14:paraId="713977B7">
      <w:pPr>
        <w:jc w:val="left"/>
        <w:rPr>
          <w:rFonts w:hint="eastAsia" w:ascii="宋体" w:hAnsi="宋体" w:eastAsia="宋体" w:cs="Times New Roman"/>
          <w:b/>
          <w:color w:val="auto"/>
          <w:sz w:val="44"/>
          <w:szCs w:val="44"/>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color w:val="auto"/>
          <w:sz w:val="36"/>
          <w:szCs w:val="36"/>
          <w:highlight w:val="none"/>
        </w:rPr>
        <w:t>合同附件1：</w:t>
      </w:r>
    </w:p>
    <w:p w14:paraId="0FDE9017">
      <w:pPr>
        <w:jc w:val="center"/>
        <w:rPr>
          <w:rFonts w:ascii="宋体" w:hAnsi="宋体" w:eastAsia="宋体" w:cs="Times New Roman"/>
          <w:b/>
          <w:color w:val="auto"/>
          <w:sz w:val="36"/>
          <w:szCs w:val="36"/>
          <w:highlight w:val="none"/>
        </w:rPr>
      </w:pPr>
      <w:r>
        <w:rPr>
          <w:rFonts w:hint="eastAsia" w:ascii="宋体" w:hAnsi="宋体" w:eastAsia="宋体" w:cs="Times New Roman"/>
          <w:b/>
          <w:color w:val="auto"/>
          <w:sz w:val="36"/>
          <w:szCs w:val="36"/>
          <w:highlight w:val="none"/>
        </w:rPr>
        <w:t>廉洁供货不提供“回扣”承诺书</w:t>
      </w:r>
    </w:p>
    <w:p w14:paraId="51255637">
      <w:pPr>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广西国际壮医医院：</w:t>
      </w:r>
      <w:r>
        <w:rPr>
          <w:rFonts w:hint="eastAsia" w:ascii="宋体" w:hAnsi="宋体" w:eastAsia="宋体" w:cs="宋体"/>
          <w:color w:val="auto"/>
          <w:sz w:val="30"/>
          <w:szCs w:val="30"/>
          <w:highlight w:val="none"/>
        </w:rPr>
        <w:cr/>
      </w:r>
      <w:r>
        <w:rPr>
          <w:rFonts w:hint="eastAsia" w:ascii="宋体" w:hAnsi="宋体" w:eastAsia="宋体" w:cs="宋体"/>
          <w:color w:val="auto"/>
          <w:sz w:val="30"/>
          <w:szCs w:val="30"/>
          <w:highlight w:val="none"/>
        </w:rPr>
        <w:t xml:space="preserve">    我方对廉洁供货、不提供“回扣”作出以下承诺：</w:t>
      </w:r>
    </w:p>
    <w:p w14:paraId="59A3EA14">
      <w:pPr>
        <w:spacing w:line="600" w:lineRule="exact"/>
        <w:ind w:firstLine="600" w:firstLineChars="200"/>
        <w:jc w:val="left"/>
        <w:rPr>
          <w:rFonts w:ascii="宋体" w:hAnsi="宋体" w:eastAsia="宋体" w:cs="宋体"/>
          <w:b/>
          <w:color w:val="auto"/>
          <w:sz w:val="30"/>
          <w:szCs w:val="30"/>
          <w:highlight w:val="none"/>
        </w:rPr>
      </w:pPr>
      <w:r>
        <w:rPr>
          <w:rFonts w:hint="eastAsia" w:ascii="宋体" w:hAnsi="宋体" w:eastAsia="宋体" w:cs="宋体"/>
          <w:color w:val="auto"/>
          <w:sz w:val="30"/>
          <w:szCs w:val="30"/>
          <w:highlight w:val="none"/>
        </w:rPr>
        <w:t>一、在采购、合同执行、验收等任何环节，不以任何理由向院方人员贿赂，包括但不限于送钱、物、购物卡、有价证券、免费提供劳务、支付应由个人支付的各种费用等。</w:t>
      </w:r>
      <w:r>
        <w:rPr>
          <w:rFonts w:hint="eastAsia" w:ascii="宋体" w:hAnsi="宋体" w:eastAsia="宋体" w:cs="宋体"/>
          <w:color w:val="auto"/>
          <w:sz w:val="30"/>
          <w:szCs w:val="30"/>
          <w:highlight w:val="none"/>
        </w:rPr>
        <w:cr/>
      </w:r>
      <w:r>
        <w:rPr>
          <w:rFonts w:hint="eastAsia" w:ascii="宋体" w:hAnsi="宋体" w:eastAsia="宋体" w:cs="宋体"/>
          <w:color w:val="auto"/>
          <w:sz w:val="30"/>
          <w:szCs w:val="30"/>
          <w:highlight w:val="none"/>
        </w:rPr>
        <w:t xml:space="preserve">    二、不与院方人员及其亲属从事本项目相关的物资买卖及中介活动，不转包、违法分包项目。</w:t>
      </w:r>
      <w:r>
        <w:rPr>
          <w:rFonts w:hint="eastAsia" w:ascii="宋体" w:hAnsi="宋体" w:eastAsia="宋体" w:cs="宋体"/>
          <w:color w:val="auto"/>
          <w:sz w:val="30"/>
          <w:szCs w:val="30"/>
          <w:highlight w:val="none"/>
        </w:rPr>
        <w:cr/>
      </w:r>
      <w:r>
        <w:rPr>
          <w:rFonts w:hint="eastAsia" w:ascii="宋体" w:hAnsi="宋体" w:eastAsia="宋体" w:cs="宋体"/>
          <w:color w:val="auto"/>
          <w:sz w:val="30"/>
          <w:szCs w:val="30"/>
          <w:highlight w:val="none"/>
        </w:rPr>
        <w:t xml:space="preserve">    三、不与其他竞标(卖)人相互串标，不采取任何手段排挤其他竞标(卖)人参与公平竞争和损害院方利益。</w:t>
      </w:r>
      <w:r>
        <w:rPr>
          <w:rFonts w:hint="eastAsia" w:ascii="宋体" w:hAnsi="宋体" w:eastAsia="宋体" w:cs="宋体"/>
          <w:color w:val="auto"/>
          <w:sz w:val="30"/>
          <w:szCs w:val="30"/>
          <w:highlight w:val="none"/>
        </w:rPr>
        <w:cr/>
      </w:r>
      <w:r>
        <w:rPr>
          <w:rFonts w:hint="eastAsia" w:ascii="宋体" w:hAnsi="宋体" w:eastAsia="宋体" w:cs="宋体"/>
          <w:color w:val="auto"/>
          <w:sz w:val="30"/>
          <w:szCs w:val="30"/>
          <w:highlight w:val="none"/>
        </w:rPr>
        <w:t xml:space="preserve">    四、不私下接触院方人员，不以弄虚作假的方式参加竞标。</w:t>
      </w:r>
      <w:r>
        <w:rPr>
          <w:rFonts w:hint="eastAsia" w:ascii="宋体" w:hAnsi="宋体" w:eastAsia="宋体" w:cs="宋体"/>
          <w:color w:val="auto"/>
          <w:sz w:val="30"/>
          <w:szCs w:val="30"/>
          <w:highlight w:val="none"/>
        </w:rPr>
        <w:cr/>
      </w:r>
      <w:r>
        <w:rPr>
          <w:rFonts w:hint="eastAsia" w:ascii="宋体" w:hAnsi="宋体" w:eastAsia="宋体" w:cs="宋体"/>
          <w:color w:val="auto"/>
          <w:sz w:val="30"/>
          <w:szCs w:val="30"/>
          <w:highlight w:val="none"/>
        </w:rPr>
        <w:t xml:space="preserve">    五、积极配合院方信访调查、检查、调研等工作，及时提供相关资料和客观信息。</w:t>
      </w:r>
      <w:r>
        <w:rPr>
          <w:rFonts w:hint="eastAsia" w:ascii="宋体" w:hAnsi="宋体" w:eastAsia="宋体" w:cs="宋体"/>
          <w:color w:val="auto"/>
          <w:sz w:val="30"/>
          <w:szCs w:val="30"/>
          <w:highlight w:val="none"/>
        </w:rPr>
        <w:cr/>
      </w:r>
      <w:r>
        <w:rPr>
          <w:rFonts w:hint="eastAsia" w:ascii="宋体" w:hAnsi="宋体" w:eastAsia="宋体" w:cs="宋体"/>
          <w:color w:val="auto"/>
          <w:sz w:val="30"/>
          <w:szCs w:val="30"/>
          <w:highlight w:val="none"/>
        </w:rPr>
        <w:t xml:space="preserve">    六、若有院方人员提出违纪要求或有其它违纪违法问题，我方立即向院方纪检监察部门举报。</w:t>
      </w:r>
      <w:r>
        <w:rPr>
          <w:rFonts w:hint="eastAsia" w:ascii="宋体" w:hAnsi="宋体" w:eastAsia="宋体" w:cs="宋体"/>
          <w:color w:val="auto"/>
          <w:sz w:val="30"/>
          <w:szCs w:val="30"/>
          <w:highlight w:val="none"/>
        </w:rPr>
        <w:cr/>
      </w:r>
      <w:r>
        <w:rPr>
          <w:rFonts w:hint="eastAsia" w:ascii="宋体" w:hAnsi="宋体" w:eastAsia="宋体" w:cs="宋体"/>
          <w:color w:val="auto"/>
          <w:sz w:val="30"/>
          <w:szCs w:val="30"/>
          <w:highlight w:val="none"/>
        </w:rPr>
        <w:t xml:space="preserve">    七、若违反上述条款，院方有权立即取消本次合作项目(如已中标，则中标无效，已签订合同的，中止执行)；情节严重的，列入院方的黑名单，三年内禁止参加院方组织的所有采购活动。</w:t>
      </w:r>
      <w:r>
        <w:rPr>
          <w:rFonts w:hint="eastAsia" w:ascii="宋体" w:hAnsi="宋体" w:eastAsia="宋体" w:cs="宋体"/>
          <w:color w:val="auto"/>
          <w:sz w:val="30"/>
          <w:szCs w:val="30"/>
          <w:highlight w:val="none"/>
        </w:rPr>
        <w:cr/>
      </w:r>
      <w:r>
        <w:rPr>
          <w:rFonts w:hint="eastAsia" w:ascii="宋体" w:hAnsi="宋体" w:eastAsia="宋体" w:cs="宋体"/>
          <w:color w:val="auto"/>
          <w:sz w:val="30"/>
          <w:szCs w:val="30"/>
          <w:highlight w:val="none"/>
        </w:rPr>
        <w:t xml:space="preserve">    </w:t>
      </w:r>
    </w:p>
    <w:p w14:paraId="06C850E3">
      <w:pPr>
        <w:spacing w:line="600" w:lineRule="exact"/>
        <w:ind w:firstLine="602" w:firstLineChars="200"/>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承诺方：</w:t>
      </w:r>
    </w:p>
    <w:p w14:paraId="50A76340">
      <w:pPr>
        <w:snapToGrid w:val="0"/>
        <w:jc w:val="right"/>
        <w:rPr>
          <w:rFonts w:ascii="宋体" w:hAnsi="宋体" w:eastAsia="宋体" w:cs="Times New Roman"/>
          <w:bCs/>
          <w:color w:val="auto"/>
          <w:sz w:val="32"/>
          <w:szCs w:val="32"/>
          <w:highlight w:val="none"/>
        </w:rPr>
      </w:pPr>
      <w:r>
        <w:rPr>
          <w:rFonts w:hint="eastAsia" w:ascii="宋体" w:hAnsi="宋体" w:eastAsia="宋体" w:cs="宋体"/>
          <w:b/>
          <w:color w:val="auto"/>
          <w:sz w:val="30"/>
          <w:szCs w:val="30"/>
          <w:highlight w:val="none"/>
        </w:rPr>
        <w:t>日期：     年    月    日</w:t>
      </w:r>
    </w:p>
    <w:p w14:paraId="429E8A57">
      <w:pPr>
        <w:snapToGrid w:val="0"/>
        <w:spacing w:line="480" w:lineRule="auto"/>
        <w:rPr>
          <w:rFonts w:hint="eastAsia" w:ascii="宋体" w:hAnsi="宋体" w:eastAsia="宋体" w:cs="Times New Roman"/>
          <w:bCs/>
          <w:color w:val="auto"/>
          <w:sz w:val="32"/>
          <w:szCs w:val="32"/>
          <w:highlight w:val="none"/>
        </w:rPr>
      </w:pPr>
    </w:p>
    <w:p w14:paraId="60BA98A1">
      <w:pPr>
        <w:keepNext/>
        <w:keepLines/>
        <w:jc w:val="left"/>
        <w:outlineLvl w:val="0"/>
        <w:rPr>
          <w:rFonts w:hint="eastAsia" w:ascii="宋体" w:hAnsi="宋体" w:eastAsia="宋体" w:cs="Times New Roman"/>
          <w:b/>
          <w:color w:val="auto"/>
          <w:sz w:val="36"/>
          <w:szCs w:val="36"/>
          <w:highlight w:val="none"/>
        </w:rPr>
      </w:pPr>
      <w:r>
        <w:rPr>
          <w:rFonts w:hint="eastAsia" w:ascii="宋体" w:hAnsi="宋体" w:eastAsia="宋体" w:cs="Times New Roman"/>
          <w:b/>
          <w:color w:val="auto"/>
          <w:sz w:val="36"/>
          <w:szCs w:val="36"/>
          <w:highlight w:val="none"/>
        </w:rPr>
        <w:t>合同附件2：</w:t>
      </w:r>
    </w:p>
    <w:p w14:paraId="210950E4">
      <w:pPr>
        <w:keepNext/>
        <w:keepLines/>
        <w:jc w:val="center"/>
        <w:outlineLvl w:val="0"/>
        <w:rPr>
          <w:rFonts w:ascii="宋体" w:hAnsi="宋体" w:eastAsia="宋体" w:cs="Times New Roman"/>
          <w:b/>
          <w:color w:val="auto"/>
          <w:kern w:val="44"/>
          <w:sz w:val="36"/>
          <w:szCs w:val="36"/>
          <w:highlight w:val="none"/>
        </w:rPr>
      </w:pPr>
      <w:r>
        <w:rPr>
          <w:rFonts w:hint="eastAsia" w:ascii="宋体" w:hAnsi="宋体" w:eastAsia="宋体" w:cs="Times New Roman"/>
          <w:b/>
          <w:color w:val="auto"/>
          <w:kern w:val="44"/>
          <w:sz w:val="36"/>
          <w:szCs w:val="36"/>
          <w:highlight w:val="none"/>
        </w:rPr>
        <w:t>安全生产管理协议</w:t>
      </w:r>
    </w:p>
    <w:p w14:paraId="5E239056">
      <w:pPr>
        <w:spacing w:line="312" w:lineRule="auto"/>
        <w:ind w:firstLine="422" w:firstLineChars="200"/>
        <w:rPr>
          <w:rFonts w:hint="eastAsia" w:ascii="宋体" w:hAnsi="宋体" w:eastAsia="宋体" w:cs="宋体"/>
          <w:b/>
          <w:bCs/>
          <w:color w:val="auto"/>
          <w:szCs w:val="21"/>
          <w:highlight w:val="none"/>
        </w:rPr>
      </w:pPr>
    </w:p>
    <w:p w14:paraId="4AA2A9D6">
      <w:pPr>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甲方：广西国际壮医医院</w:t>
      </w:r>
    </w:p>
    <w:p w14:paraId="5BBA3354">
      <w:pPr>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07A29C1F">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中华人民共和国安全生产法》《中华人民共和国消防法》《广西壮族自治区安全生产条例》有关精神，严格落实安全生产法律法规要求，做好重大事故隐患的防范，明确双方各自的安全生产管理职责，经双方共同商定，签订本协议。</w:t>
      </w:r>
    </w:p>
    <w:p w14:paraId="67267F79">
      <w:pPr>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一、甲方的权利与职责</w:t>
      </w:r>
    </w:p>
    <w:p w14:paraId="4199BB27">
      <w:pPr>
        <w:spacing w:line="288"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（一）权利</w:t>
      </w:r>
    </w:p>
    <w:p w14:paraId="6E3BB61D">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1.甲方有权进入乙方生产作业场所检查安全生产工作，调阅有关资料，向有关单位和人员了解情况。</w:t>
      </w:r>
    </w:p>
    <w:p w14:paraId="083F461D">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2.甲方有权检查、监督乙方劳动防护用品的配置情况，对不合格的劳动防护用品禁止使用。</w:t>
      </w:r>
    </w:p>
    <w:p w14:paraId="2E621127">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3.甲方有权对乙方自带工具、设备进行安全检查，对不符合安全规定的工具、设备禁止使用。</w:t>
      </w:r>
    </w:p>
    <w:p w14:paraId="225848F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4.对检查中发现的重大隐患和问题，甲方有权向乙方发出“整改通知书”。乙方如拒不整改，甲方有权要求乙方停止作业整顿，并向有关部门报告，由此而产生的一切损失和费用，由乙方承担。</w:t>
      </w:r>
    </w:p>
    <w:p w14:paraId="0E934EF8">
      <w:pPr>
        <w:spacing w:line="288"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（二）职责</w:t>
      </w:r>
    </w:p>
    <w:p w14:paraId="06C86261">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1.对乙方的安全生产工作统一协调、管理，定期进行安全检查。</w:t>
      </w:r>
    </w:p>
    <w:p w14:paraId="2448538B">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2.发现安全问题，及时督促乙方整改，积极配合有关部门与乙方共同做好事故的调查和善后处理工作。</w:t>
      </w:r>
    </w:p>
    <w:p w14:paraId="7555FAB9">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3.甲方使用的医疗、变配电、医用气体、消防、燃气和机械式停车库等设备设施，其设计、制造、安装、使用、检测、维修、改造和报废，应符合强制性国家标准或者强制性行业标准。</w:t>
      </w:r>
    </w:p>
    <w:p w14:paraId="46B15A0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4.不使用未取得许可生产、未经检验或检验不合格的、国家明令淘汰或已经报废的设备。</w:t>
      </w:r>
    </w:p>
    <w:p w14:paraId="6B214FC6">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5.甲方使用的设备发生过事故或者存在明显故障，应对其进行全面检查、消除事故隐患，才能继续使用。</w:t>
      </w:r>
    </w:p>
    <w:p w14:paraId="3ACA9A95">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6.定期排查监督管理部门认为属于安全生产或重大事故隐患的其他情形。</w:t>
      </w:r>
    </w:p>
    <w:p w14:paraId="75AD2FA0">
      <w:pPr>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二、乙方的权利与职责</w:t>
      </w:r>
    </w:p>
    <w:p w14:paraId="2723B2DD">
      <w:pPr>
        <w:spacing w:line="288"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（一）权利</w:t>
      </w:r>
    </w:p>
    <w:p w14:paraId="3F7F56AB">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乙方有权提出甲方统一协调涉及双方的重大安全生产问题。</w:t>
      </w:r>
    </w:p>
    <w:p w14:paraId="531D9D35">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乙方有权依法自主行使安全生产管理工作。</w:t>
      </w:r>
    </w:p>
    <w:p w14:paraId="706B5711">
      <w:pPr>
        <w:spacing w:line="288"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（二）职责</w:t>
      </w:r>
    </w:p>
    <w:p w14:paraId="5C5297B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1.必须具备安全生产条件或者相应资质。</w:t>
      </w:r>
    </w:p>
    <w:p w14:paraId="55700632">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的主要负责人和安全生产管理人员，须具备与所从事的生产经营活动相适应的安全生产知识和管理能力，做到持证上岗。特种作业人员、特种设备安全管理和作业人员，必须按有关规定取得相应从业资格证书上岗。</w:t>
      </w:r>
    </w:p>
    <w:p w14:paraId="76A3CF59">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从甲方对其安全生产工作的管理和协调，配合甲方的安全生产监督检查。如发生生产安全事故，须立即向甲方报告，并按有关规定向有关主管部门报告，积极配合甲方和有关部门做好事故调查和善后处理工作。</w:t>
      </w:r>
    </w:p>
    <w:p w14:paraId="5386690A">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4.未经甲方批准，不能擅自关闭或者破坏直接关系生产安全的监控、报警、防护、救生设备、设施，以及篡改、隐瞒、销毁其相关数据、信息。</w:t>
      </w:r>
    </w:p>
    <w:p w14:paraId="3114CCA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5.乙方使用的房屋建筑不得擅自变动房屋建筑主体和承重结构。</w:t>
      </w:r>
    </w:p>
    <w:p w14:paraId="029DC077">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6.生产废料等固废物应按规定定期清理，暂存期间应按甲方指定地点存放，不得随意堆放。</w:t>
      </w:r>
    </w:p>
    <w:p w14:paraId="09671A23">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7.乙方使用的燃气设备应保障其正常使用，必须安装可燃气体报警装置。</w:t>
      </w:r>
    </w:p>
    <w:p w14:paraId="2F1801CF">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8.严禁在作业区域内使用和储存易燃易爆化学物品。定期监测生产环境中的有毒、有害物质，超过国家规定标准的，要限期治理达标。</w:t>
      </w:r>
    </w:p>
    <w:p w14:paraId="0F2F921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9.执行国家制定的消防法规，定期进行防火检查，实行定点、定人、定职责的消防管理机制，应做到层层有人管、处处有人抓，切实把消防工作落实到实处。</w:t>
      </w:r>
    </w:p>
    <w:p w14:paraId="137508C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10.排列货物要整齐，杜绝摆放易燃、易爆物品，院内严禁吸烟。</w:t>
      </w:r>
    </w:p>
    <w:p w14:paraId="78A5EFF5">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11.严禁乱拉乱接电线，禁止把电动车开进住院楼、门诊楼、行政楼内，电动车必须到指定地点充电。</w:t>
      </w:r>
    </w:p>
    <w:p w14:paraId="6CC4805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12.乙方如有转包项目，应与转包方签订安全生产管理协议，并报送甲方备案。</w:t>
      </w:r>
    </w:p>
    <w:p w14:paraId="403112A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13.乙方在甲方场所开展任何可能引起安全隐患的工作、操作，须报甲方同意。</w:t>
      </w:r>
    </w:p>
    <w:p w14:paraId="51487F6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乙方在履行合同作业或者服务期间，负责培训所有工作人员合规操作各项设施、设备，并做好安全保障工作，做好相应各种紧急事件的预案制度。在履行合同作业或者服务期间，确保安全生产，对人身、财产安全做好指导、监督、管理工作，避免对相关人员、财产造成任何损害。如造成任何人身、财产损害的，由乙方承担一切法律责任。</w:t>
      </w:r>
    </w:p>
    <w:p w14:paraId="5807691B">
      <w:pPr>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三、其他约定</w:t>
      </w:r>
    </w:p>
    <w:p w14:paraId="15C308E6">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1.本协议未尽事宜，按照国家有关规定执行。</w:t>
      </w:r>
    </w:p>
    <w:p w14:paraId="7E55098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2.本协议作为采购合同的组成部分，具有同等法律效力，自签订之日起生效。</w:t>
      </w:r>
    </w:p>
    <w:tbl>
      <w:tblPr>
        <w:tblStyle w:val="23"/>
        <w:tblpPr w:leftFromText="180" w:rightFromText="180" w:vertAnchor="text" w:horzAnchor="page" w:tblpXSpec="center" w:tblpY="651"/>
        <w:tblOverlap w:val="never"/>
        <w:tblW w:w="9119" w:type="dxa"/>
        <w:jc w:val="center"/>
        <w:tblLayout w:type="fixed"/>
        <w:tblCellMar>
          <w:top w:w="0" w:type="dxa"/>
          <w:left w:w="108" w:type="dxa"/>
          <w:bottom w:w="0" w:type="dxa"/>
          <w:right w:w="108" w:type="dxa"/>
        </w:tblCellMar>
      </w:tblPr>
      <w:tblGrid>
        <w:gridCol w:w="4253"/>
        <w:gridCol w:w="4866"/>
      </w:tblGrid>
      <w:tr w14:paraId="2133013E">
        <w:tblPrEx>
          <w:tblCellMar>
            <w:top w:w="0" w:type="dxa"/>
            <w:left w:w="108" w:type="dxa"/>
            <w:bottom w:w="0" w:type="dxa"/>
            <w:right w:w="108" w:type="dxa"/>
          </w:tblCellMar>
        </w:tblPrEx>
        <w:trPr>
          <w:cantSplit/>
          <w:trHeight w:val="1154" w:hRule="atLeast"/>
          <w:jc w:val="center"/>
        </w:trPr>
        <w:tc>
          <w:tcPr>
            <w:tcW w:w="4253" w:type="dxa"/>
            <w:noWrap w:val="0"/>
            <w:vAlign w:val="top"/>
          </w:tcPr>
          <w:p w14:paraId="58F3F2EB">
            <w:pPr>
              <w:spacing w:line="312"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color w:val="auto"/>
                <w:szCs w:val="21"/>
                <w:highlight w:val="none"/>
              </w:rPr>
              <w:t>甲方（章）：广西国际壮医医院</w:t>
            </w:r>
          </w:p>
          <w:p w14:paraId="4679377A">
            <w:pPr>
              <w:spacing w:line="312" w:lineRule="auto"/>
              <w:ind w:firstLine="420" w:firstLineChars="200"/>
              <w:rPr>
                <w:rFonts w:hint="eastAsia" w:ascii="宋体" w:hAnsi="宋体" w:eastAsia="宋体" w:cs="宋体"/>
                <w:color w:val="auto"/>
                <w:szCs w:val="21"/>
                <w:highlight w:val="none"/>
              </w:rPr>
            </w:pPr>
          </w:p>
          <w:p w14:paraId="1975EB17">
            <w:pPr>
              <w:spacing w:line="312" w:lineRule="auto"/>
              <w:ind w:firstLine="420" w:firstLineChars="200"/>
              <w:rPr>
                <w:rFonts w:hint="eastAsia" w:ascii="宋体" w:hAnsi="宋体" w:eastAsia="宋体" w:cs="宋体"/>
                <w:color w:val="auto"/>
                <w:szCs w:val="21"/>
                <w:highlight w:val="none"/>
              </w:rPr>
            </w:pPr>
          </w:p>
        </w:tc>
        <w:tc>
          <w:tcPr>
            <w:tcW w:w="4866" w:type="dxa"/>
            <w:noWrap w:val="0"/>
            <w:vAlign w:val="top"/>
          </w:tcPr>
          <w:p w14:paraId="0C3B8A4E">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乙方（章）：</w:t>
            </w:r>
          </w:p>
          <w:p w14:paraId="46A89638">
            <w:pPr>
              <w:spacing w:line="312" w:lineRule="auto"/>
              <w:ind w:firstLine="420" w:firstLineChars="200"/>
              <w:rPr>
                <w:rFonts w:hint="eastAsia" w:ascii="宋体" w:hAnsi="宋体" w:eastAsia="宋体" w:cs="宋体"/>
                <w:color w:val="auto"/>
                <w:szCs w:val="21"/>
                <w:highlight w:val="none"/>
                <w:lang w:val="zh-CN"/>
              </w:rPr>
            </w:pPr>
          </w:p>
          <w:p w14:paraId="792DB8DC">
            <w:pPr>
              <w:spacing w:line="312" w:lineRule="auto"/>
              <w:ind w:firstLine="420" w:firstLineChars="200"/>
              <w:rPr>
                <w:rFonts w:hint="eastAsia" w:ascii="宋体" w:hAnsi="宋体" w:eastAsia="宋体" w:cs="宋体"/>
                <w:color w:val="auto"/>
                <w:szCs w:val="21"/>
                <w:highlight w:val="none"/>
                <w:lang w:val="zh-CN"/>
              </w:rPr>
            </w:pPr>
          </w:p>
        </w:tc>
      </w:tr>
      <w:tr w14:paraId="373D790F">
        <w:tblPrEx>
          <w:tblCellMar>
            <w:top w:w="0" w:type="dxa"/>
            <w:left w:w="108" w:type="dxa"/>
            <w:bottom w:w="0" w:type="dxa"/>
            <w:right w:w="108" w:type="dxa"/>
          </w:tblCellMar>
        </w:tblPrEx>
        <w:trPr>
          <w:cantSplit/>
          <w:trHeight w:val="1024" w:hRule="atLeast"/>
          <w:jc w:val="center"/>
        </w:trPr>
        <w:tc>
          <w:tcPr>
            <w:tcW w:w="4253" w:type="dxa"/>
            <w:noWrap w:val="0"/>
            <w:vAlign w:val="top"/>
          </w:tcPr>
          <w:p w14:paraId="34EAEB70">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w:t>
            </w:r>
          </w:p>
          <w:p w14:paraId="07BEFCF0">
            <w:pPr>
              <w:spacing w:line="312" w:lineRule="auto"/>
              <w:rPr>
                <w:rFonts w:hint="eastAsia" w:ascii="宋体" w:hAnsi="宋体" w:eastAsia="宋体" w:cs="宋体"/>
                <w:color w:val="auto"/>
                <w:szCs w:val="21"/>
                <w:highlight w:val="none"/>
              </w:rPr>
            </w:pPr>
          </w:p>
        </w:tc>
        <w:tc>
          <w:tcPr>
            <w:tcW w:w="4866" w:type="dxa"/>
            <w:noWrap w:val="0"/>
            <w:vAlign w:val="top"/>
          </w:tcPr>
          <w:p w14:paraId="33D5ABDE">
            <w:pPr>
              <w:snapToGrid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w:t>
            </w:r>
          </w:p>
          <w:p w14:paraId="37D2EF1A">
            <w:pPr>
              <w:spacing w:line="312" w:lineRule="auto"/>
              <w:rPr>
                <w:rFonts w:hint="eastAsia" w:ascii="宋体" w:hAnsi="宋体" w:eastAsia="宋体" w:cs="宋体"/>
                <w:color w:val="auto"/>
                <w:szCs w:val="21"/>
                <w:highlight w:val="none"/>
                <w:lang w:val="zh-CN"/>
              </w:rPr>
            </w:pPr>
          </w:p>
        </w:tc>
      </w:tr>
      <w:tr w14:paraId="6B5C98A4">
        <w:tblPrEx>
          <w:tblCellMar>
            <w:top w:w="0" w:type="dxa"/>
            <w:left w:w="108" w:type="dxa"/>
            <w:bottom w:w="0" w:type="dxa"/>
            <w:right w:w="108" w:type="dxa"/>
          </w:tblCellMar>
        </w:tblPrEx>
        <w:trPr>
          <w:cantSplit/>
          <w:trHeight w:val="436" w:hRule="atLeast"/>
          <w:jc w:val="center"/>
        </w:trPr>
        <w:tc>
          <w:tcPr>
            <w:tcW w:w="4253" w:type="dxa"/>
            <w:noWrap w:val="0"/>
            <w:vAlign w:val="top"/>
          </w:tcPr>
          <w:p w14:paraId="41AD666A">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    年   月   日</w:t>
            </w:r>
          </w:p>
        </w:tc>
        <w:tc>
          <w:tcPr>
            <w:tcW w:w="4866" w:type="dxa"/>
            <w:noWrap w:val="0"/>
            <w:vAlign w:val="top"/>
          </w:tcPr>
          <w:p w14:paraId="4C078CFD">
            <w:pPr>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签订日期：     年  月   日</w:t>
            </w:r>
          </w:p>
        </w:tc>
      </w:tr>
    </w:tbl>
    <w:p w14:paraId="7F6FFDCD">
      <w:pPr>
        <w:spacing w:line="600" w:lineRule="exact"/>
        <w:ind w:right="301"/>
        <w:rPr>
          <w:rFonts w:hint="eastAsia" w:ascii="宋体" w:hAnsi="宋体" w:eastAsia="宋体" w:cs="宋体"/>
          <w:b/>
          <w:color w:val="auto"/>
          <w:sz w:val="30"/>
          <w:szCs w:val="30"/>
          <w:highlight w:val="none"/>
        </w:rPr>
      </w:pPr>
    </w:p>
    <w:p w14:paraId="6A430E52">
      <w:pPr>
        <w:spacing w:after="120"/>
        <w:ind w:left="420" w:leftChars="200" w:firstLine="880" w:firstLineChars="200"/>
        <w:rPr>
          <w:rFonts w:hint="eastAsia" w:ascii="宋体" w:hAnsi="宋体" w:eastAsia="宋体" w:cs="宋体"/>
          <w:bCs/>
          <w:color w:val="auto"/>
          <w:kern w:val="44"/>
          <w:sz w:val="44"/>
          <w:szCs w:val="44"/>
          <w:highlight w:val="none"/>
        </w:rPr>
      </w:pPr>
    </w:p>
    <w:p w14:paraId="215C502D">
      <w:pPr>
        <w:spacing w:line="360" w:lineRule="auto"/>
        <w:ind w:firstLine="0" w:firstLineChars="0"/>
        <w:rPr>
          <w:rFonts w:hint="eastAsia" w:asciiTheme="minorEastAsia" w:hAnsiTheme="minorEastAsia"/>
          <w:color w:val="auto"/>
          <w:sz w:val="24"/>
          <w:highlight w:val="none"/>
        </w:rPr>
      </w:pPr>
    </w:p>
    <w:sectPr>
      <w:footerReference r:id="rId13" w:type="default"/>
      <w:pgSz w:w="11906" w:h="16838"/>
      <w:pgMar w:top="1440" w:right="1361" w:bottom="1701"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FA94BA-A755-4043-AF56-C8F6579474CD}"/>
  </w:font>
  <w:font w:name="黑体">
    <w:panose1 w:val="02010609060101010101"/>
    <w:charset w:val="86"/>
    <w:family w:val="auto"/>
    <w:pitch w:val="default"/>
    <w:sig w:usb0="800002BF" w:usb1="38CF7CFA" w:usb2="00000016" w:usb3="00000000" w:csb0="00040001" w:csb1="00000000"/>
    <w:embedRegular r:id="rId2" w:fontKey="{A5F0099E-2096-412D-82F6-D84136F45F71}"/>
  </w:font>
  <w:font w:name="Courier New">
    <w:panose1 w:val="02070309020205020404"/>
    <w:charset w:val="01"/>
    <w:family w:val="modern"/>
    <w:pitch w:val="default"/>
    <w:sig w:usb0="E0002EFF" w:usb1="C0007843" w:usb2="00000009" w:usb3="00000000" w:csb0="400001FF" w:csb1="FFFF0000"/>
    <w:embedRegular r:id="rId3" w:fontKey="{1F373708-82B5-4459-BEE8-101410922A9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3984571B-ED0F-42CA-84BB-CCD300431503}"/>
  </w:font>
  <w:font w:name="仿宋_GB2312">
    <w:panose1 w:val="02010609030101010101"/>
    <w:charset w:val="86"/>
    <w:family w:val="modern"/>
    <w:pitch w:val="default"/>
    <w:sig w:usb0="00000001" w:usb1="080E0000" w:usb2="00000000" w:usb3="00000000" w:csb0="00040000" w:csb1="00000000"/>
    <w:embedRegular r:id="rId5" w:fontKey="{313F23A9-1013-4BA1-B9A6-A42F413A8A1A}"/>
  </w:font>
  <w:font w:name="华文楷体">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6" w:fontKey="{4ECBD992-DFFC-42AC-A167-1430554BD93A}"/>
  </w:font>
  <w:font w:name="Wingdings 2">
    <w:panose1 w:val="05020102010507070707"/>
    <w:charset w:val="02"/>
    <w:family w:val="auto"/>
    <w:pitch w:val="default"/>
    <w:sig w:usb0="00000000" w:usb1="00000000" w:usb2="00000000" w:usb3="00000000" w:csb0="80000000" w:csb1="00000000"/>
    <w:embedRegular r:id="rId7" w:fontKey="{C1D22692-CBAB-4007-B0FE-8CB21DF592CC}"/>
  </w:font>
  <w:font w:name="Arial Unicode MS">
    <w:panose1 w:val="020B0604020202020204"/>
    <w:charset w:val="86"/>
    <w:family w:val="roman"/>
    <w:pitch w:val="default"/>
    <w:sig w:usb0="FFFFFFFF" w:usb1="E9FFFFFF" w:usb2="0000003F" w:usb3="00000000" w:csb0="603F01FF" w:csb1="FFFF0000"/>
    <w:embedRegular r:id="rId8" w:fontKey="{9ED75876-B1C4-4F23-941B-CEA80EA8A19C}"/>
  </w:font>
  <w:font w:name="仿宋">
    <w:panose1 w:val="02010609060101010101"/>
    <w:charset w:val="86"/>
    <w:family w:val="modern"/>
    <w:pitch w:val="default"/>
    <w:sig w:usb0="800002BF" w:usb1="38CF7CFA" w:usb2="00000016" w:usb3="00000000" w:csb0="00040001" w:csb1="00000000"/>
    <w:embedRegular r:id="rId9" w:fontKey="{D473F399-7A51-4DA3-817E-F07B33D6F931}"/>
  </w:font>
  <w:font w:name="方正小标宋_GBK">
    <w:panose1 w:val="03000509000000000000"/>
    <w:charset w:val="86"/>
    <w:family w:val="script"/>
    <w:pitch w:val="default"/>
    <w:sig w:usb0="00000001" w:usb1="080E0000" w:usb2="00000000" w:usb3="00000000" w:csb0="00040000" w:csb1="00000000"/>
    <w:embedRegular r:id="rId10" w:fontKey="{A2381F2A-8473-4912-AC68-858A9666F3E2}"/>
  </w:font>
  <w:font w:name="WPSEMBED1">
    <w:panose1 w:val="02010609030101010101"/>
    <w:charset w:val="86"/>
    <w:family w:val="auto"/>
    <w:pitch w:val="default"/>
    <w:sig w:usb0="00000001" w:usb1="080E0000" w:usb2="00000000" w:usb3="00000000" w:csb0="00040000" w:csb1="00000000"/>
  </w:font>
  <w:font w:name="WPSEMBED3">
    <w:panose1 w:val="05020102010507070707"/>
    <w:charset w:val="00"/>
    <w:family w:val="auto"/>
    <w:pitch w:val="default"/>
    <w:sig w:usb0="00000000" w:usb1="00000000" w:usb2="00000000" w:usb3="00000000" w:csb0="80000000" w:csb1="00000000"/>
  </w:font>
  <w:font w:name="WPSEMBED2">
    <w:panose1 w:val="02000000000000000000"/>
    <w:charset w:val="86"/>
    <w:family w:val="auto"/>
    <w:pitch w:val="default"/>
    <w:sig w:usb0="00000001" w:usb1="08000000" w:usb2="00000000" w:usb3="00000000" w:csb0="00040000" w:csb1="00000000"/>
  </w:font>
  <w:font w:name="WPSEMBED4">
    <w:panose1 w:val="020B0604020202020204"/>
    <w:charset w:val="86"/>
    <w:family w:val="auto"/>
    <w:pitch w:val="default"/>
    <w:sig w:usb0="FFFFFFFF" w:usb1="E9FFFFFF" w:usb2="0000003F" w:usb3="00000000" w:csb0="603F01FF" w:csb1="FFFF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72A3">
    <w:pPr>
      <w:pStyle w:val="15"/>
      <w:framePr w:wrap="around" w:vAnchor="text" w:hAnchor="margin" w:xAlign="center" w:y="1"/>
      <w:jc w:val="center"/>
      <w:rPr>
        <w:rStyle w:val="27"/>
      </w:rPr>
    </w:pPr>
    <w:r>
      <w:fldChar w:fldCharType="begin"/>
    </w:r>
    <w:r>
      <w:rPr>
        <w:rStyle w:val="27"/>
      </w:rPr>
      <w:instrText xml:space="preserve">PAGE  </w:instrText>
    </w:r>
    <w:r>
      <w:fldChar w:fldCharType="separate"/>
    </w:r>
    <w:r>
      <w:rPr>
        <w:rStyle w:val="27"/>
      </w:rPr>
      <w:t>21</w:t>
    </w:r>
    <w:r>
      <w:fldChar w:fldCharType="end"/>
    </w:r>
  </w:p>
  <w:p w14:paraId="47FC196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E27A">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0C9BC4A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857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75051">
    <w:pPr>
      <w:pStyle w:val="15"/>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14A620">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oFOg84BAACp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e0CTdLzpyw9OSXH98vP39ffn1j&#10;N0mg3mNFdfeeKuPwFgYqnuNIwcR7aINNX2LEKE/ynq/yqiEymS6tV+t1SSlJudkh/OLhug8Y3ymw&#10;LBk1D/R+WVZx+oBxLJ1LUjcHd9qY/IbG/RUgzDGi8hJMtxOTceJkxWE/TPT20JyJXU+LUHNHe8+Z&#10;ee9I57QzsxFmYz8bRx/0octLlbqjf3OMNFKeNHUYYYlhcugFM9dp29KKPPZz1cMft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qBToPOAQAAqQMAAA4AAAAAAAAAAQAgAAAAHgEAAGRycy9l&#10;Mm9Eb2MueG1sUEsFBgAAAAAGAAYAWQEAAF4FAAAAAA==&#10;">
              <v:fill on="f" focussize="0,0"/>
              <v:stroke on="f"/>
              <v:imagedata o:title=""/>
              <o:lock v:ext="edit" aspectratio="f"/>
              <v:textbox inset="0mm,0mm,0mm,0mm" style="mso-fit-shape-to-text:t;">
                <w:txbxContent>
                  <w:p w14:paraId="0614A620">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539C00EB">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B16E">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FF9BCF"/>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EgGPs0BAACpAwAADgAAAAAAAAABACAAAAAeAQAAZHJzL2Uy&#10;b0RvYy54bWxQSwUGAAAAAAYABgBZAQAAXQUAAAAA&#10;">
              <v:fill on="f" focussize="0,0"/>
              <v:stroke on="f"/>
              <v:imagedata o:title=""/>
              <o:lock v:ext="edit" aspectratio="f"/>
              <v:textbox inset="0mm,0mm,0mm,0mm" style="mso-fit-shape-to-text:t;">
                <w:txbxContent>
                  <w:p w14:paraId="04FF9BCF"/>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AA56">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773A79">
                          <w:pPr>
                            <w:pStyle w:val="15"/>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3G+ozOAQAAqQMAAA4AAAAAAAAAAQAgAAAAHgEAAGRycy9l&#10;Mm9Eb2MueG1sUEsFBgAAAAAGAAYAWQEAAF4FAAAAAA==&#10;">
              <v:fill on="f" focussize="0,0"/>
              <v:stroke on="f"/>
              <v:imagedata o:title=""/>
              <o:lock v:ext="edit" aspectratio="f"/>
              <v:textbox inset="0mm,0mm,0mm,0mm" style="mso-fit-shape-to-text:t;">
                <w:txbxContent>
                  <w:p w14:paraId="77773A79">
                    <w:pPr>
                      <w:pStyle w:val="15"/>
                    </w:pPr>
                    <w:r>
                      <w:fldChar w:fldCharType="begin"/>
                    </w:r>
                    <w:r>
                      <w:instrText xml:space="preserve"> PAGE  \* MERGEFORMAT </w:instrText>
                    </w:r>
                    <w:r>
                      <w:fldChar w:fldCharType="separate"/>
                    </w:r>
                    <w:r>
                      <w:t>83</w:t>
                    </w:r>
                    <w:r>
                      <w:fldChar w:fldCharType="end"/>
                    </w:r>
                  </w:p>
                </w:txbxContent>
              </v:textbox>
            </v:shape>
          </w:pict>
        </mc:Fallback>
      </mc:AlternateContent>
    </w:r>
  </w:p>
  <w:p w14:paraId="47B9722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C39B">
    <w:pPr>
      <w:pStyle w:val="1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E34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CBBB">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79221">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66FC">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85916"/>
    <w:multiLevelType w:val="singleLevel"/>
    <w:tmpl w:val="34485916"/>
    <w:lvl w:ilvl="0" w:tentative="0">
      <w:start w:val="1"/>
      <w:numFmt w:val="decimal"/>
      <w:suff w:val="nothing"/>
      <w:lvlText w:val="%1、"/>
      <w:lvlJc w:val="left"/>
    </w:lvl>
  </w:abstractNum>
  <w:abstractNum w:abstractNumId="1">
    <w:nsid w:val="368E3FF0"/>
    <w:multiLevelType w:val="singleLevel"/>
    <w:tmpl w:val="368E3FF0"/>
    <w:lvl w:ilvl="0" w:tentative="0">
      <w:start w:val="1"/>
      <w:numFmt w:val="decimal"/>
      <w:suff w:val="nothing"/>
      <w:lvlText w:val="%1、"/>
      <w:lvlJc w:val="left"/>
      <w:pPr>
        <w:ind w:left="16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M2IyMWYzYzdhM2JmMTYxZmMzMGVhNDcxODIxZGIifQ=="/>
  </w:docVars>
  <w:rsids>
    <w:rsidRoot w:val="00172A27"/>
    <w:rsid w:val="00002A00"/>
    <w:rsid w:val="000D1925"/>
    <w:rsid w:val="00124F84"/>
    <w:rsid w:val="001403E8"/>
    <w:rsid w:val="00172A27"/>
    <w:rsid w:val="0020060D"/>
    <w:rsid w:val="00265B00"/>
    <w:rsid w:val="002C4062"/>
    <w:rsid w:val="002F0324"/>
    <w:rsid w:val="0034063C"/>
    <w:rsid w:val="003E6304"/>
    <w:rsid w:val="00440828"/>
    <w:rsid w:val="004C7B61"/>
    <w:rsid w:val="00647F2F"/>
    <w:rsid w:val="00693F74"/>
    <w:rsid w:val="006D22B3"/>
    <w:rsid w:val="007067BA"/>
    <w:rsid w:val="007A4235"/>
    <w:rsid w:val="00866723"/>
    <w:rsid w:val="00873A3A"/>
    <w:rsid w:val="00875AE2"/>
    <w:rsid w:val="0087791E"/>
    <w:rsid w:val="008878D1"/>
    <w:rsid w:val="00892C92"/>
    <w:rsid w:val="00897ABE"/>
    <w:rsid w:val="008E4B00"/>
    <w:rsid w:val="0096028E"/>
    <w:rsid w:val="00A1354A"/>
    <w:rsid w:val="00A241CE"/>
    <w:rsid w:val="00AE3F2A"/>
    <w:rsid w:val="00B61C97"/>
    <w:rsid w:val="00B77686"/>
    <w:rsid w:val="00B87C2B"/>
    <w:rsid w:val="00BB73B2"/>
    <w:rsid w:val="00C11803"/>
    <w:rsid w:val="00C12E07"/>
    <w:rsid w:val="00C60C95"/>
    <w:rsid w:val="00C638A6"/>
    <w:rsid w:val="00CB7195"/>
    <w:rsid w:val="00D16D00"/>
    <w:rsid w:val="00D80862"/>
    <w:rsid w:val="00D819CA"/>
    <w:rsid w:val="00DB5521"/>
    <w:rsid w:val="00DC3FD6"/>
    <w:rsid w:val="00E63064"/>
    <w:rsid w:val="00F0386B"/>
    <w:rsid w:val="01097CE8"/>
    <w:rsid w:val="010E78FF"/>
    <w:rsid w:val="01213D55"/>
    <w:rsid w:val="014D28C9"/>
    <w:rsid w:val="015B4FE6"/>
    <w:rsid w:val="017243CE"/>
    <w:rsid w:val="0183453D"/>
    <w:rsid w:val="01856A3B"/>
    <w:rsid w:val="018C33F1"/>
    <w:rsid w:val="01E943A0"/>
    <w:rsid w:val="01EA178D"/>
    <w:rsid w:val="01EB08C4"/>
    <w:rsid w:val="01EE19B6"/>
    <w:rsid w:val="01F32541"/>
    <w:rsid w:val="01F62F61"/>
    <w:rsid w:val="01FF7BC4"/>
    <w:rsid w:val="022F07BE"/>
    <w:rsid w:val="023B0973"/>
    <w:rsid w:val="02421D02"/>
    <w:rsid w:val="0256755B"/>
    <w:rsid w:val="02602EF3"/>
    <w:rsid w:val="02673568"/>
    <w:rsid w:val="0276001D"/>
    <w:rsid w:val="027E0AC4"/>
    <w:rsid w:val="02BF77F6"/>
    <w:rsid w:val="02E85F72"/>
    <w:rsid w:val="03022E2B"/>
    <w:rsid w:val="03083E07"/>
    <w:rsid w:val="03152F19"/>
    <w:rsid w:val="03217FE6"/>
    <w:rsid w:val="033B36EE"/>
    <w:rsid w:val="035842BD"/>
    <w:rsid w:val="03721321"/>
    <w:rsid w:val="03955CE9"/>
    <w:rsid w:val="03B66504"/>
    <w:rsid w:val="03CE7FC5"/>
    <w:rsid w:val="040D577E"/>
    <w:rsid w:val="04167F5A"/>
    <w:rsid w:val="042C05EC"/>
    <w:rsid w:val="045455DA"/>
    <w:rsid w:val="0482288A"/>
    <w:rsid w:val="04842AA6"/>
    <w:rsid w:val="04AB3B8E"/>
    <w:rsid w:val="04DF6858"/>
    <w:rsid w:val="05065269"/>
    <w:rsid w:val="052027CE"/>
    <w:rsid w:val="052B2ACE"/>
    <w:rsid w:val="052F507B"/>
    <w:rsid w:val="05D90BCF"/>
    <w:rsid w:val="05F06081"/>
    <w:rsid w:val="05F477B7"/>
    <w:rsid w:val="06112117"/>
    <w:rsid w:val="064C3C5C"/>
    <w:rsid w:val="06691F53"/>
    <w:rsid w:val="066E7569"/>
    <w:rsid w:val="06826B71"/>
    <w:rsid w:val="069D4FF4"/>
    <w:rsid w:val="06A11A3D"/>
    <w:rsid w:val="06B86353"/>
    <w:rsid w:val="06EC048E"/>
    <w:rsid w:val="06ED3F6C"/>
    <w:rsid w:val="071E2D3E"/>
    <w:rsid w:val="0728421F"/>
    <w:rsid w:val="072E0AA7"/>
    <w:rsid w:val="075732D4"/>
    <w:rsid w:val="07A64AE1"/>
    <w:rsid w:val="07D24783"/>
    <w:rsid w:val="07E15B19"/>
    <w:rsid w:val="07EA2C20"/>
    <w:rsid w:val="07F833B9"/>
    <w:rsid w:val="08063FB5"/>
    <w:rsid w:val="087139A6"/>
    <w:rsid w:val="08760957"/>
    <w:rsid w:val="089E3A0A"/>
    <w:rsid w:val="08A43528"/>
    <w:rsid w:val="08CC0577"/>
    <w:rsid w:val="08DC4C5E"/>
    <w:rsid w:val="090D3FDA"/>
    <w:rsid w:val="091B01B3"/>
    <w:rsid w:val="091B4016"/>
    <w:rsid w:val="09222E3D"/>
    <w:rsid w:val="09556175"/>
    <w:rsid w:val="09711E93"/>
    <w:rsid w:val="097906FF"/>
    <w:rsid w:val="098D5F59"/>
    <w:rsid w:val="098E5A19"/>
    <w:rsid w:val="09A33F5B"/>
    <w:rsid w:val="09B210B0"/>
    <w:rsid w:val="09CB4CD3"/>
    <w:rsid w:val="09D771D4"/>
    <w:rsid w:val="09DF42DA"/>
    <w:rsid w:val="09E15790"/>
    <w:rsid w:val="0A3463D4"/>
    <w:rsid w:val="0A3F5E5E"/>
    <w:rsid w:val="0A485EC0"/>
    <w:rsid w:val="0A7A14EC"/>
    <w:rsid w:val="0A7E5203"/>
    <w:rsid w:val="0AAB40F7"/>
    <w:rsid w:val="0AB029F6"/>
    <w:rsid w:val="0ABB4D47"/>
    <w:rsid w:val="0AF73FD1"/>
    <w:rsid w:val="0B120A5A"/>
    <w:rsid w:val="0B1B0A05"/>
    <w:rsid w:val="0B330F46"/>
    <w:rsid w:val="0B8E7D91"/>
    <w:rsid w:val="0B94572A"/>
    <w:rsid w:val="0B9B091A"/>
    <w:rsid w:val="0BA8707A"/>
    <w:rsid w:val="0BAE0408"/>
    <w:rsid w:val="0BD36B95"/>
    <w:rsid w:val="0BF16C73"/>
    <w:rsid w:val="0C2A3E3A"/>
    <w:rsid w:val="0C2B1A59"/>
    <w:rsid w:val="0C477618"/>
    <w:rsid w:val="0C4B5C57"/>
    <w:rsid w:val="0C54263F"/>
    <w:rsid w:val="0C5E598A"/>
    <w:rsid w:val="0C6A2C4B"/>
    <w:rsid w:val="0C7219DE"/>
    <w:rsid w:val="0C7E08A9"/>
    <w:rsid w:val="0C965474"/>
    <w:rsid w:val="0CA11965"/>
    <w:rsid w:val="0CDF2F6F"/>
    <w:rsid w:val="0CE92B40"/>
    <w:rsid w:val="0D1150F2"/>
    <w:rsid w:val="0D3B20B3"/>
    <w:rsid w:val="0D4252AC"/>
    <w:rsid w:val="0D437684"/>
    <w:rsid w:val="0D5B0EA5"/>
    <w:rsid w:val="0D894C89"/>
    <w:rsid w:val="0D8E036B"/>
    <w:rsid w:val="0DBF5553"/>
    <w:rsid w:val="0DC84294"/>
    <w:rsid w:val="0DE3083D"/>
    <w:rsid w:val="0DE6696B"/>
    <w:rsid w:val="0E02163F"/>
    <w:rsid w:val="0E1C5B1C"/>
    <w:rsid w:val="0E302745"/>
    <w:rsid w:val="0E556A8F"/>
    <w:rsid w:val="0E607BB8"/>
    <w:rsid w:val="0E9B2EC6"/>
    <w:rsid w:val="0EC82645"/>
    <w:rsid w:val="0ECF2BB4"/>
    <w:rsid w:val="0F346972"/>
    <w:rsid w:val="0F36499C"/>
    <w:rsid w:val="0F3864DD"/>
    <w:rsid w:val="0F3D5116"/>
    <w:rsid w:val="0F73174D"/>
    <w:rsid w:val="0F777EAB"/>
    <w:rsid w:val="0F8144C0"/>
    <w:rsid w:val="0FA514BA"/>
    <w:rsid w:val="0FA92FB7"/>
    <w:rsid w:val="0FC004E6"/>
    <w:rsid w:val="0FC21C6D"/>
    <w:rsid w:val="0FD74A33"/>
    <w:rsid w:val="0FFC0435"/>
    <w:rsid w:val="104806C8"/>
    <w:rsid w:val="10645539"/>
    <w:rsid w:val="106A0DA2"/>
    <w:rsid w:val="10A047C3"/>
    <w:rsid w:val="10BC3EFD"/>
    <w:rsid w:val="10DA102E"/>
    <w:rsid w:val="113C3B89"/>
    <w:rsid w:val="114710E3"/>
    <w:rsid w:val="11574382"/>
    <w:rsid w:val="117479FE"/>
    <w:rsid w:val="11BB562D"/>
    <w:rsid w:val="11BC387F"/>
    <w:rsid w:val="11E21FA5"/>
    <w:rsid w:val="11F03528"/>
    <w:rsid w:val="11F823DD"/>
    <w:rsid w:val="120D1119"/>
    <w:rsid w:val="12103BCB"/>
    <w:rsid w:val="12281F7E"/>
    <w:rsid w:val="127A1044"/>
    <w:rsid w:val="127B54E8"/>
    <w:rsid w:val="127C4B47"/>
    <w:rsid w:val="127F48AC"/>
    <w:rsid w:val="12887C05"/>
    <w:rsid w:val="128F63E7"/>
    <w:rsid w:val="12942106"/>
    <w:rsid w:val="12B4541E"/>
    <w:rsid w:val="12DE103F"/>
    <w:rsid w:val="13100A76"/>
    <w:rsid w:val="132C0590"/>
    <w:rsid w:val="133044CA"/>
    <w:rsid w:val="13313751"/>
    <w:rsid w:val="134A310C"/>
    <w:rsid w:val="136234C0"/>
    <w:rsid w:val="1386539F"/>
    <w:rsid w:val="13916645"/>
    <w:rsid w:val="139D583B"/>
    <w:rsid w:val="13BA3DEE"/>
    <w:rsid w:val="13D604FC"/>
    <w:rsid w:val="13DD7ADC"/>
    <w:rsid w:val="14074B59"/>
    <w:rsid w:val="14372395"/>
    <w:rsid w:val="143D320A"/>
    <w:rsid w:val="14500AC8"/>
    <w:rsid w:val="1468384A"/>
    <w:rsid w:val="14733F9D"/>
    <w:rsid w:val="149A4376"/>
    <w:rsid w:val="14F679D2"/>
    <w:rsid w:val="150F1F18"/>
    <w:rsid w:val="15335974"/>
    <w:rsid w:val="155362A8"/>
    <w:rsid w:val="15744470"/>
    <w:rsid w:val="15910B7E"/>
    <w:rsid w:val="15AB60E4"/>
    <w:rsid w:val="16046F64"/>
    <w:rsid w:val="16113A6D"/>
    <w:rsid w:val="162816A8"/>
    <w:rsid w:val="163868AA"/>
    <w:rsid w:val="16695657"/>
    <w:rsid w:val="16775FC6"/>
    <w:rsid w:val="167852A0"/>
    <w:rsid w:val="16946498"/>
    <w:rsid w:val="16D6498C"/>
    <w:rsid w:val="170035C9"/>
    <w:rsid w:val="178169D1"/>
    <w:rsid w:val="1782531A"/>
    <w:rsid w:val="178564C1"/>
    <w:rsid w:val="178A5C0C"/>
    <w:rsid w:val="178C5AA1"/>
    <w:rsid w:val="17992E49"/>
    <w:rsid w:val="179C1CD1"/>
    <w:rsid w:val="17A31A4C"/>
    <w:rsid w:val="17A53977"/>
    <w:rsid w:val="17A70B2D"/>
    <w:rsid w:val="17AF1790"/>
    <w:rsid w:val="17BF37AC"/>
    <w:rsid w:val="17F13B56"/>
    <w:rsid w:val="17F83CA5"/>
    <w:rsid w:val="180B5027"/>
    <w:rsid w:val="182E55FF"/>
    <w:rsid w:val="18526B94"/>
    <w:rsid w:val="18807661"/>
    <w:rsid w:val="188C1028"/>
    <w:rsid w:val="18B04BD5"/>
    <w:rsid w:val="18E56FAA"/>
    <w:rsid w:val="190C3220"/>
    <w:rsid w:val="19212219"/>
    <w:rsid w:val="194014CF"/>
    <w:rsid w:val="19464E04"/>
    <w:rsid w:val="19575C3B"/>
    <w:rsid w:val="197131A1"/>
    <w:rsid w:val="197A71AE"/>
    <w:rsid w:val="199B1FCC"/>
    <w:rsid w:val="19C21FF7"/>
    <w:rsid w:val="19CD5E94"/>
    <w:rsid w:val="19E42917"/>
    <w:rsid w:val="19EA6AAF"/>
    <w:rsid w:val="1A3F6DFB"/>
    <w:rsid w:val="1A502575"/>
    <w:rsid w:val="1A5E1A3A"/>
    <w:rsid w:val="1A654388"/>
    <w:rsid w:val="1AC93295"/>
    <w:rsid w:val="1AEA2A58"/>
    <w:rsid w:val="1B165A69"/>
    <w:rsid w:val="1B1F6C2C"/>
    <w:rsid w:val="1B316012"/>
    <w:rsid w:val="1B8A679C"/>
    <w:rsid w:val="1B9A62B3"/>
    <w:rsid w:val="1BC752FA"/>
    <w:rsid w:val="1BE53653"/>
    <w:rsid w:val="1BE85270"/>
    <w:rsid w:val="1C093B64"/>
    <w:rsid w:val="1C372E71"/>
    <w:rsid w:val="1C424981"/>
    <w:rsid w:val="1C6F7BF1"/>
    <w:rsid w:val="1C7B3D76"/>
    <w:rsid w:val="1C7D1276"/>
    <w:rsid w:val="1CA9073B"/>
    <w:rsid w:val="1CC37D08"/>
    <w:rsid w:val="1CD51C99"/>
    <w:rsid w:val="1CF30371"/>
    <w:rsid w:val="1CFA525B"/>
    <w:rsid w:val="1D0B56BA"/>
    <w:rsid w:val="1D1741C2"/>
    <w:rsid w:val="1D1E3640"/>
    <w:rsid w:val="1D28187D"/>
    <w:rsid w:val="1D427949"/>
    <w:rsid w:val="1D5F5A06"/>
    <w:rsid w:val="1D62743D"/>
    <w:rsid w:val="1D682E78"/>
    <w:rsid w:val="1D82362E"/>
    <w:rsid w:val="1D8E3BF5"/>
    <w:rsid w:val="1DF178DB"/>
    <w:rsid w:val="1DF20628"/>
    <w:rsid w:val="1E045F0D"/>
    <w:rsid w:val="1E553DE5"/>
    <w:rsid w:val="1E71397C"/>
    <w:rsid w:val="1E82418D"/>
    <w:rsid w:val="1E8D4332"/>
    <w:rsid w:val="1E911BEF"/>
    <w:rsid w:val="1E960FB4"/>
    <w:rsid w:val="1EE241F9"/>
    <w:rsid w:val="1EE73F05"/>
    <w:rsid w:val="1F106FB8"/>
    <w:rsid w:val="1F302561"/>
    <w:rsid w:val="1F3E48DE"/>
    <w:rsid w:val="1F4E10DC"/>
    <w:rsid w:val="1F5F584A"/>
    <w:rsid w:val="1F6B41EE"/>
    <w:rsid w:val="1F903C55"/>
    <w:rsid w:val="1FA140B4"/>
    <w:rsid w:val="1FAA11BB"/>
    <w:rsid w:val="1FC41C5A"/>
    <w:rsid w:val="1FEF6BB0"/>
    <w:rsid w:val="202C1558"/>
    <w:rsid w:val="203942EC"/>
    <w:rsid w:val="205365A0"/>
    <w:rsid w:val="209765A8"/>
    <w:rsid w:val="20C55B80"/>
    <w:rsid w:val="20E45A91"/>
    <w:rsid w:val="20E62773"/>
    <w:rsid w:val="20EA3839"/>
    <w:rsid w:val="210216E4"/>
    <w:rsid w:val="212A0801"/>
    <w:rsid w:val="21373322"/>
    <w:rsid w:val="216845DE"/>
    <w:rsid w:val="21893052"/>
    <w:rsid w:val="21976CF6"/>
    <w:rsid w:val="219C0CA4"/>
    <w:rsid w:val="221C3EC6"/>
    <w:rsid w:val="22360AFE"/>
    <w:rsid w:val="223D7744"/>
    <w:rsid w:val="224867F4"/>
    <w:rsid w:val="22511DC1"/>
    <w:rsid w:val="22567981"/>
    <w:rsid w:val="22896798"/>
    <w:rsid w:val="228D6B72"/>
    <w:rsid w:val="229901A2"/>
    <w:rsid w:val="22D374A7"/>
    <w:rsid w:val="22E449E3"/>
    <w:rsid w:val="22FA5603"/>
    <w:rsid w:val="23197531"/>
    <w:rsid w:val="23300FEF"/>
    <w:rsid w:val="23517B9F"/>
    <w:rsid w:val="236839CB"/>
    <w:rsid w:val="23737B15"/>
    <w:rsid w:val="23B917C7"/>
    <w:rsid w:val="23C465C3"/>
    <w:rsid w:val="23CD191B"/>
    <w:rsid w:val="23CD3010"/>
    <w:rsid w:val="23D20CE0"/>
    <w:rsid w:val="23D52A7A"/>
    <w:rsid w:val="23DF334E"/>
    <w:rsid w:val="23F85897"/>
    <w:rsid w:val="23FB26CF"/>
    <w:rsid w:val="24166262"/>
    <w:rsid w:val="2423778D"/>
    <w:rsid w:val="246D6C5B"/>
    <w:rsid w:val="249D12EE"/>
    <w:rsid w:val="249E2F1A"/>
    <w:rsid w:val="24B45427"/>
    <w:rsid w:val="24C13F6C"/>
    <w:rsid w:val="24DB29D4"/>
    <w:rsid w:val="252B5F80"/>
    <w:rsid w:val="25706A02"/>
    <w:rsid w:val="25C05104"/>
    <w:rsid w:val="25DB396E"/>
    <w:rsid w:val="25DF76E4"/>
    <w:rsid w:val="25E22D30"/>
    <w:rsid w:val="25E42829"/>
    <w:rsid w:val="26140415"/>
    <w:rsid w:val="263A4D95"/>
    <w:rsid w:val="268838D8"/>
    <w:rsid w:val="269775E0"/>
    <w:rsid w:val="26A02F44"/>
    <w:rsid w:val="27076EF2"/>
    <w:rsid w:val="27281EA0"/>
    <w:rsid w:val="27585FCE"/>
    <w:rsid w:val="277D021C"/>
    <w:rsid w:val="27817875"/>
    <w:rsid w:val="27892B16"/>
    <w:rsid w:val="27A110F5"/>
    <w:rsid w:val="27AC5CEC"/>
    <w:rsid w:val="27B84691"/>
    <w:rsid w:val="27DD1EAF"/>
    <w:rsid w:val="27E54C79"/>
    <w:rsid w:val="27EE1E60"/>
    <w:rsid w:val="28041684"/>
    <w:rsid w:val="2829733C"/>
    <w:rsid w:val="282F4953"/>
    <w:rsid w:val="28AB1AFF"/>
    <w:rsid w:val="28B135BA"/>
    <w:rsid w:val="28DF17A9"/>
    <w:rsid w:val="28F25980"/>
    <w:rsid w:val="28FE2577"/>
    <w:rsid w:val="29115E06"/>
    <w:rsid w:val="2912392D"/>
    <w:rsid w:val="292D4E20"/>
    <w:rsid w:val="2932549A"/>
    <w:rsid w:val="297166C8"/>
    <w:rsid w:val="297345D6"/>
    <w:rsid w:val="29802F8C"/>
    <w:rsid w:val="29824F56"/>
    <w:rsid w:val="299824CF"/>
    <w:rsid w:val="29B217DA"/>
    <w:rsid w:val="29BD02E2"/>
    <w:rsid w:val="29C137C7"/>
    <w:rsid w:val="29F212B5"/>
    <w:rsid w:val="2A375639"/>
    <w:rsid w:val="2A4E636C"/>
    <w:rsid w:val="2A620F1A"/>
    <w:rsid w:val="2AD43590"/>
    <w:rsid w:val="2AE80BD1"/>
    <w:rsid w:val="2AFA0B1C"/>
    <w:rsid w:val="2AFB4FC0"/>
    <w:rsid w:val="2B013C59"/>
    <w:rsid w:val="2B304E80"/>
    <w:rsid w:val="2B47568D"/>
    <w:rsid w:val="2B54022C"/>
    <w:rsid w:val="2B5E4936"/>
    <w:rsid w:val="2B682757"/>
    <w:rsid w:val="2B886128"/>
    <w:rsid w:val="2BB57B30"/>
    <w:rsid w:val="2BF32844"/>
    <w:rsid w:val="2C0734F1"/>
    <w:rsid w:val="2C0D2669"/>
    <w:rsid w:val="2C143087"/>
    <w:rsid w:val="2C1B6F9C"/>
    <w:rsid w:val="2C1E329A"/>
    <w:rsid w:val="2C317AAC"/>
    <w:rsid w:val="2C442C5B"/>
    <w:rsid w:val="2C8B2374"/>
    <w:rsid w:val="2CBD566A"/>
    <w:rsid w:val="2CDC672B"/>
    <w:rsid w:val="2CE513A2"/>
    <w:rsid w:val="2CF63C91"/>
    <w:rsid w:val="2CF73565"/>
    <w:rsid w:val="2CF750CE"/>
    <w:rsid w:val="2D03414B"/>
    <w:rsid w:val="2D0B519A"/>
    <w:rsid w:val="2D285E15"/>
    <w:rsid w:val="2D3E1194"/>
    <w:rsid w:val="2D6055AE"/>
    <w:rsid w:val="2D621D0B"/>
    <w:rsid w:val="2D80355B"/>
    <w:rsid w:val="2D9F04F1"/>
    <w:rsid w:val="2DA82AB1"/>
    <w:rsid w:val="2DBF6F8B"/>
    <w:rsid w:val="2DE41D28"/>
    <w:rsid w:val="2E053A60"/>
    <w:rsid w:val="2E3B3926"/>
    <w:rsid w:val="2E500D2D"/>
    <w:rsid w:val="2E5A3DAC"/>
    <w:rsid w:val="2E70537D"/>
    <w:rsid w:val="2E921FEC"/>
    <w:rsid w:val="2F1C5505"/>
    <w:rsid w:val="2F3062BF"/>
    <w:rsid w:val="2F320885"/>
    <w:rsid w:val="2F364819"/>
    <w:rsid w:val="2F370591"/>
    <w:rsid w:val="2F3A3BDD"/>
    <w:rsid w:val="2F3E37B9"/>
    <w:rsid w:val="2F6E2B2F"/>
    <w:rsid w:val="2F963509"/>
    <w:rsid w:val="2FA379D4"/>
    <w:rsid w:val="2FBB15F2"/>
    <w:rsid w:val="2FDF5C92"/>
    <w:rsid w:val="2FEE5C6D"/>
    <w:rsid w:val="300375D5"/>
    <w:rsid w:val="3015753B"/>
    <w:rsid w:val="305735C2"/>
    <w:rsid w:val="30711881"/>
    <w:rsid w:val="30A20CF1"/>
    <w:rsid w:val="30B33C47"/>
    <w:rsid w:val="30C23E8A"/>
    <w:rsid w:val="30C9346B"/>
    <w:rsid w:val="30E958BB"/>
    <w:rsid w:val="30EC6390"/>
    <w:rsid w:val="30EE1123"/>
    <w:rsid w:val="30F878AC"/>
    <w:rsid w:val="313C58AE"/>
    <w:rsid w:val="316E7C65"/>
    <w:rsid w:val="3192385D"/>
    <w:rsid w:val="31951040"/>
    <w:rsid w:val="31B21E64"/>
    <w:rsid w:val="31B25CAD"/>
    <w:rsid w:val="31B725B2"/>
    <w:rsid w:val="31BE4652"/>
    <w:rsid w:val="31C3610C"/>
    <w:rsid w:val="31EB11BF"/>
    <w:rsid w:val="320209E2"/>
    <w:rsid w:val="321A42E8"/>
    <w:rsid w:val="32242045"/>
    <w:rsid w:val="323E74A0"/>
    <w:rsid w:val="325A6A70"/>
    <w:rsid w:val="32C30BE6"/>
    <w:rsid w:val="32ED1692"/>
    <w:rsid w:val="332075CB"/>
    <w:rsid w:val="332435CC"/>
    <w:rsid w:val="332A42F1"/>
    <w:rsid w:val="333D3C9C"/>
    <w:rsid w:val="335F0AF4"/>
    <w:rsid w:val="336631F3"/>
    <w:rsid w:val="33791178"/>
    <w:rsid w:val="337D24B8"/>
    <w:rsid w:val="3387267D"/>
    <w:rsid w:val="33947D60"/>
    <w:rsid w:val="339E3FB0"/>
    <w:rsid w:val="33B76C29"/>
    <w:rsid w:val="33D47F14"/>
    <w:rsid w:val="33E265A5"/>
    <w:rsid w:val="33E85AC1"/>
    <w:rsid w:val="33E86ECF"/>
    <w:rsid w:val="33EF4F96"/>
    <w:rsid w:val="34050C5E"/>
    <w:rsid w:val="34297931"/>
    <w:rsid w:val="342B1D46"/>
    <w:rsid w:val="34377754"/>
    <w:rsid w:val="347A6754"/>
    <w:rsid w:val="347D07F4"/>
    <w:rsid w:val="34B32468"/>
    <w:rsid w:val="34C671D1"/>
    <w:rsid w:val="34C678A6"/>
    <w:rsid w:val="35055043"/>
    <w:rsid w:val="352020BB"/>
    <w:rsid w:val="35492DCC"/>
    <w:rsid w:val="35642417"/>
    <w:rsid w:val="35645510"/>
    <w:rsid w:val="35867B7C"/>
    <w:rsid w:val="35AE2C2F"/>
    <w:rsid w:val="35CB5E3A"/>
    <w:rsid w:val="35D24B6F"/>
    <w:rsid w:val="35DF21B2"/>
    <w:rsid w:val="361C403D"/>
    <w:rsid w:val="36413AA3"/>
    <w:rsid w:val="3659750A"/>
    <w:rsid w:val="366E1015"/>
    <w:rsid w:val="366F2F2F"/>
    <w:rsid w:val="36723C5D"/>
    <w:rsid w:val="367D7C3D"/>
    <w:rsid w:val="369620D2"/>
    <w:rsid w:val="369D6F2B"/>
    <w:rsid w:val="36A75FFC"/>
    <w:rsid w:val="36B62A71"/>
    <w:rsid w:val="36F24BE2"/>
    <w:rsid w:val="36F36567"/>
    <w:rsid w:val="370A0339"/>
    <w:rsid w:val="374C6163"/>
    <w:rsid w:val="375872F6"/>
    <w:rsid w:val="37865C12"/>
    <w:rsid w:val="378C0D4E"/>
    <w:rsid w:val="37A81C06"/>
    <w:rsid w:val="37D22C05"/>
    <w:rsid w:val="37DE7D4A"/>
    <w:rsid w:val="37E34E12"/>
    <w:rsid w:val="37F039D3"/>
    <w:rsid w:val="38290FB7"/>
    <w:rsid w:val="385604A4"/>
    <w:rsid w:val="38904972"/>
    <w:rsid w:val="38A547BD"/>
    <w:rsid w:val="38AA6EBD"/>
    <w:rsid w:val="38D1110E"/>
    <w:rsid w:val="38D26C34"/>
    <w:rsid w:val="397D3044"/>
    <w:rsid w:val="398443D3"/>
    <w:rsid w:val="3998288C"/>
    <w:rsid w:val="39AC56D7"/>
    <w:rsid w:val="39B32F0A"/>
    <w:rsid w:val="39CE1AF2"/>
    <w:rsid w:val="39CF0A8D"/>
    <w:rsid w:val="39E44E71"/>
    <w:rsid w:val="39F519C9"/>
    <w:rsid w:val="39F76FB2"/>
    <w:rsid w:val="3A064DE8"/>
    <w:rsid w:val="3A1C0AAF"/>
    <w:rsid w:val="3A2D55A1"/>
    <w:rsid w:val="3A4135EE"/>
    <w:rsid w:val="3A60099C"/>
    <w:rsid w:val="3A712D0D"/>
    <w:rsid w:val="3A830B2E"/>
    <w:rsid w:val="3AAB3715"/>
    <w:rsid w:val="3ABB02C8"/>
    <w:rsid w:val="3AC21CAD"/>
    <w:rsid w:val="3AC973AD"/>
    <w:rsid w:val="3AFB5B22"/>
    <w:rsid w:val="3B037C46"/>
    <w:rsid w:val="3B1D063B"/>
    <w:rsid w:val="3B44206B"/>
    <w:rsid w:val="3B6444BC"/>
    <w:rsid w:val="3B8A3C9A"/>
    <w:rsid w:val="3B8B5C29"/>
    <w:rsid w:val="3BAE50FB"/>
    <w:rsid w:val="3C5D4C43"/>
    <w:rsid w:val="3CB11983"/>
    <w:rsid w:val="3CB245CB"/>
    <w:rsid w:val="3CC33464"/>
    <w:rsid w:val="3CF67395"/>
    <w:rsid w:val="3D145A6E"/>
    <w:rsid w:val="3D3305EA"/>
    <w:rsid w:val="3D826C4C"/>
    <w:rsid w:val="3D884009"/>
    <w:rsid w:val="3DAD185F"/>
    <w:rsid w:val="3DC93F58"/>
    <w:rsid w:val="3DD60AC0"/>
    <w:rsid w:val="3DDA05E5"/>
    <w:rsid w:val="3E163127"/>
    <w:rsid w:val="3E2C64F9"/>
    <w:rsid w:val="3E3721DB"/>
    <w:rsid w:val="3E4E711B"/>
    <w:rsid w:val="3E893DD5"/>
    <w:rsid w:val="3E8D6099"/>
    <w:rsid w:val="3EA25FDB"/>
    <w:rsid w:val="3EB72B54"/>
    <w:rsid w:val="3EBA7E64"/>
    <w:rsid w:val="3ECE4715"/>
    <w:rsid w:val="3ED23E32"/>
    <w:rsid w:val="3EDC5195"/>
    <w:rsid w:val="3EF26282"/>
    <w:rsid w:val="3EF463FF"/>
    <w:rsid w:val="3F0833B0"/>
    <w:rsid w:val="3F0A35CC"/>
    <w:rsid w:val="3F28637F"/>
    <w:rsid w:val="3F2C52F0"/>
    <w:rsid w:val="3F4023D9"/>
    <w:rsid w:val="3F961706"/>
    <w:rsid w:val="3FD543A4"/>
    <w:rsid w:val="402A270B"/>
    <w:rsid w:val="405369AF"/>
    <w:rsid w:val="409A2EFD"/>
    <w:rsid w:val="40A73FA7"/>
    <w:rsid w:val="40AC6725"/>
    <w:rsid w:val="410858E9"/>
    <w:rsid w:val="41286617"/>
    <w:rsid w:val="412E01EF"/>
    <w:rsid w:val="414C7ECC"/>
    <w:rsid w:val="41720FB5"/>
    <w:rsid w:val="417A3722"/>
    <w:rsid w:val="41A52C46"/>
    <w:rsid w:val="41B810BD"/>
    <w:rsid w:val="41B82E6B"/>
    <w:rsid w:val="41D40AAE"/>
    <w:rsid w:val="41EA36EC"/>
    <w:rsid w:val="42072045"/>
    <w:rsid w:val="424741EF"/>
    <w:rsid w:val="42796D1A"/>
    <w:rsid w:val="4292190E"/>
    <w:rsid w:val="429531AD"/>
    <w:rsid w:val="42B23D5F"/>
    <w:rsid w:val="42BF022A"/>
    <w:rsid w:val="42CF77DD"/>
    <w:rsid w:val="42F779C3"/>
    <w:rsid w:val="430D368B"/>
    <w:rsid w:val="431B66AF"/>
    <w:rsid w:val="4326474D"/>
    <w:rsid w:val="43355A7E"/>
    <w:rsid w:val="43476B9D"/>
    <w:rsid w:val="438728DA"/>
    <w:rsid w:val="438F5E4E"/>
    <w:rsid w:val="43DD4E0B"/>
    <w:rsid w:val="43E53CC0"/>
    <w:rsid w:val="44184095"/>
    <w:rsid w:val="444924A1"/>
    <w:rsid w:val="44521243"/>
    <w:rsid w:val="446A09FE"/>
    <w:rsid w:val="447D55F1"/>
    <w:rsid w:val="44C32893"/>
    <w:rsid w:val="44C47D79"/>
    <w:rsid w:val="44FF0DB1"/>
    <w:rsid w:val="450F3444"/>
    <w:rsid w:val="45196317"/>
    <w:rsid w:val="452D5C95"/>
    <w:rsid w:val="454A4714"/>
    <w:rsid w:val="45796DB6"/>
    <w:rsid w:val="45886FF9"/>
    <w:rsid w:val="45AB24C8"/>
    <w:rsid w:val="45CC5137"/>
    <w:rsid w:val="45DA6201"/>
    <w:rsid w:val="45FE550D"/>
    <w:rsid w:val="4600208E"/>
    <w:rsid w:val="46094D80"/>
    <w:rsid w:val="462475E7"/>
    <w:rsid w:val="462E3021"/>
    <w:rsid w:val="463827CD"/>
    <w:rsid w:val="466C3D7B"/>
    <w:rsid w:val="467A509E"/>
    <w:rsid w:val="46841EB6"/>
    <w:rsid w:val="469B15A4"/>
    <w:rsid w:val="46C202E8"/>
    <w:rsid w:val="46FF1184"/>
    <w:rsid w:val="47003182"/>
    <w:rsid w:val="47136D96"/>
    <w:rsid w:val="47737835"/>
    <w:rsid w:val="47CD3675"/>
    <w:rsid w:val="47F47CB4"/>
    <w:rsid w:val="47FC5724"/>
    <w:rsid w:val="48005A9F"/>
    <w:rsid w:val="480F1C53"/>
    <w:rsid w:val="486E66A1"/>
    <w:rsid w:val="487815A6"/>
    <w:rsid w:val="48B01D2B"/>
    <w:rsid w:val="48E617D4"/>
    <w:rsid w:val="493B49B5"/>
    <w:rsid w:val="49470F79"/>
    <w:rsid w:val="494F67AB"/>
    <w:rsid w:val="49565A91"/>
    <w:rsid w:val="49710E08"/>
    <w:rsid w:val="497E2BEC"/>
    <w:rsid w:val="4981092F"/>
    <w:rsid w:val="49A81A17"/>
    <w:rsid w:val="49A95B43"/>
    <w:rsid w:val="49B22D26"/>
    <w:rsid w:val="49F8312B"/>
    <w:rsid w:val="4A2C089A"/>
    <w:rsid w:val="4A4238FA"/>
    <w:rsid w:val="4A435BE4"/>
    <w:rsid w:val="4A7D7B12"/>
    <w:rsid w:val="4AB40482"/>
    <w:rsid w:val="4AD57A9A"/>
    <w:rsid w:val="4AFB026D"/>
    <w:rsid w:val="4B1A6945"/>
    <w:rsid w:val="4B325B3F"/>
    <w:rsid w:val="4B3F0159"/>
    <w:rsid w:val="4B495010"/>
    <w:rsid w:val="4B50680B"/>
    <w:rsid w:val="4B5C3E1A"/>
    <w:rsid w:val="4B68066B"/>
    <w:rsid w:val="4B876FC6"/>
    <w:rsid w:val="4BA97459"/>
    <w:rsid w:val="4C081C8E"/>
    <w:rsid w:val="4C0F2709"/>
    <w:rsid w:val="4C5A4E69"/>
    <w:rsid w:val="4C9D15DC"/>
    <w:rsid w:val="4CB608EF"/>
    <w:rsid w:val="4CC21042"/>
    <w:rsid w:val="4CDB6926"/>
    <w:rsid w:val="4CDF2B66"/>
    <w:rsid w:val="4CF02AEA"/>
    <w:rsid w:val="4D061C78"/>
    <w:rsid w:val="4D126C1A"/>
    <w:rsid w:val="4DC952B1"/>
    <w:rsid w:val="4DCC2A97"/>
    <w:rsid w:val="4DD914A3"/>
    <w:rsid w:val="4DE4323A"/>
    <w:rsid w:val="4DF272ED"/>
    <w:rsid w:val="4E17716C"/>
    <w:rsid w:val="4E263B67"/>
    <w:rsid w:val="4E356A8A"/>
    <w:rsid w:val="4E625F93"/>
    <w:rsid w:val="4EB86BA1"/>
    <w:rsid w:val="4EDD2163"/>
    <w:rsid w:val="4EFE033A"/>
    <w:rsid w:val="4F112226"/>
    <w:rsid w:val="4F1743B5"/>
    <w:rsid w:val="4F1C28C5"/>
    <w:rsid w:val="4F1D2EA8"/>
    <w:rsid w:val="4F3B1ABD"/>
    <w:rsid w:val="4F3B50DC"/>
    <w:rsid w:val="4F45511C"/>
    <w:rsid w:val="4F5E1EA9"/>
    <w:rsid w:val="4F815A58"/>
    <w:rsid w:val="4FA24819"/>
    <w:rsid w:val="4FDA66A3"/>
    <w:rsid w:val="5012408F"/>
    <w:rsid w:val="501716A5"/>
    <w:rsid w:val="50175B49"/>
    <w:rsid w:val="5030545B"/>
    <w:rsid w:val="5032028D"/>
    <w:rsid w:val="507A1C34"/>
    <w:rsid w:val="50807A31"/>
    <w:rsid w:val="50AF02CC"/>
    <w:rsid w:val="50BF1283"/>
    <w:rsid w:val="50DC0DD5"/>
    <w:rsid w:val="5107796B"/>
    <w:rsid w:val="51251F19"/>
    <w:rsid w:val="514318D7"/>
    <w:rsid w:val="517448D5"/>
    <w:rsid w:val="5184720E"/>
    <w:rsid w:val="51C0562E"/>
    <w:rsid w:val="525F10E1"/>
    <w:rsid w:val="52630BD1"/>
    <w:rsid w:val="52831D77"/>
    <w:rsid w:val="52AF2D51"/>
    <w:rsid w:val="52D65847"/>
    <w:rsid w:val="52F263F9"/>
    <w:rsid w:val="52FE6B4C"/>
    <w:rsid w:val="530E2D6E"/>
    <w:rsid w:val="530E3233"/>
    <w:rsid w:val="532A16EF"/>
    <w:rsid w:val="533502F9"/>
    <w:rsid w:val="53617E0B"/>
    <w:rsid w:val="53632E66"/>
    <w:rsid w:val="53723FCC"/>
    <w:rsid w:val="538057B3"/>
    <w:rsid w:val="539E49E5"/>
    <w:rsid w:val="53F25416"/>
    <w:rsid w:val="53F52795"/>
    <w:rsid w:val="540C7047"/>
    <w:rsid w:val="54422A68"/>
    <w:rsid w:val="54520EFE"/>
    <w:rsid w:val="546B1FBF"/>
    <w:rsid w:val="548C19E4"/>
    <w:rsid w:val="54C07F92"/>
    <w:rsid w:val="54D758A7"/>
    <w:rsid w:val="54DE09E3"/>
    <w:rsid w:val="5523289A"/>
    <w:rsid w:val="55320D2F"/>
    <w:rsid w:val="5556750C"/>
    <w:rsid w:val="555F08A9"/>
    <w:rsid w:val="55842DFD"/>
    <w:rsid w:val="55875558"/>
    <w:rsid w:val="55A1776B"/>
    <w:rsid w:val="55B160F8"/>
    <w:rsid w:val="55B550BA"/>
    <w:rsid w:val="55C67DF5"/>
    <w:rsid w:val="55F04E72"/>
    <w:rsid w:val="560A518C"/>
    <w:rsid w:val="561159E7"/>
    <w:rsid w:val="561534E4"/>
    <w:rsid w:val="56325CFA"/>
    <w:rsid w:val="56334D5F"/>
    <w:rsid w:val="57212E09"/>
    <w:rsid w:val="573E7E5F"/>
    <w:rsid w:val="57536833"/>
    <w:rsid w:val="576C677A"/>
    <w:rsid w:val="577864C7"/>
    <w:rsid w:val="578B74C0"/>
    <w:rsid w:val="57AC4DC9"/>
    <w:rsid w:val="57CE0DE8"/>
    <w:rsid w:val="57CF6D09"/>
    <w:rsid w:val="57D35153"/>
    <w:rsid w:val="57D80EF9"/>
    <w:rsid w:val="57ED1CC3"/>
    <w:rsid w:val="58545C38"/>
    <w:rsid w:val="58825B29"/>
    <w:rsid w:val="58845D45"/>
    <w:rsid w:val="58887B00"/>
    <w:rsid w:val="588C7D89"/>
    <w:rsid w:val="58AD1B87"/>
    <w:rsid w:val="58F23326"/>
    <w:rsid w:val="5972088D"/>
    <w:rsid w:val="598002BB"/>
    <w:rsid w:val="59822285"/>
    <w:rsid w:val="59853B23"/>
    <w:rsid w:val="59B47F65"/>
    <w:rsid w:val="59C81C62"/>
    <w:rsid w:val="59C85774"/>
    <w:rsid w:val="59EF1AD9"/>
    <w:rsid w:val="5A484A49"/>
    <w:rsid w:val="5A614562"/>
    <w:rsid w:val="5A7E37F0"/>
    <w:rsid w:val="5ADA0D2B"/>
    <w:rsid w:val="5AE64A95"/>
    <w:rsid w:val="5AF96577"/>
    <w:rsid w:val="5B003F5E"/>
    <w:rsid w:val="5B1511BB"/>
    <w:rsid w:val="5B215ACE"/>
    <w:rsid w:val="5B4134F3"/>
    <w:rsid w:val="5B551FAD"/>
    <w:rsid w:val="5B667984"/>
    <w:rsid w:val="5B6A223F"/>
    <w:rsid w:val="5B721E85"/>
    <w:rsid w:val="5B832E84"/>
    <w:rsid w:val="5B85605C"/>
    <w:rsid w:val="5B8878FB"/>
    <w:rsid w:val="5BA75F0B"/>
    <w:rsid w:val="5BB37A5B"/>
    <w:rsid w:val="5BBE5F15"/>
    <w:rsid w:val="5C414EF1"/>
    <w:rsid w:val="5C6A7000"/>
    <w:rsid w:val="5C757E7F"/>
    <w:rsid w:val="5C8A7FD8"/>
    <w:rsid w:val="5CD63372"/>
    <w:rsid w:val="5D0C00B7"/>
    <w:rsid w:val="5D0E45F2"/>
    <w:rsid w:val="5D131446"/>
    <w:rsid w:val="5D186A5C"/>
    <w:rsid w:val="5D60364A"/>
    <w:rsid w:val="5D6677C8"/>
    <w:rsid w:val="5D736B83"/>
    <w:rsid w:val="5D7874FB"/>
    <w:rsid w:val="5D8B5333"/>
    <w:rsid w:val="5DA0717E"/>
    <w:rsid w:val="5DA12EF6"/>
    <w:rsid w:val="5DD27696"/>
    <w:rsid w:val="5DE30E18"/>
    <w:rsid w:val="5E0314BA"/>
    <w:rsid w:val="5E207E1D"/>
    <w:rsid w:val="5E247E76"/>
    <w:rsid w:val="5E2D672C"/>
    <w:rsid w:val="5E4109EA"/>
    <w:rsid w:val="5E5D1D90"/>
    <w:rsid w:val="5E7B0BD0"/>
    <w:rsid w:val="5E946B56"/>
    <w:rsid w:val="5E9A1EF1"/>
    <w:rsid w:val="5EA15519"/>
    <w:rsid w:val="5EBF791E"/>
    <w:rsid w:val="5EC547CD"/>
    <w:rsid w:val="5EC8350D"/>
    <w:rsid w:val="5ED01E9B"/>
    <w:rsid w:val="5EFD3BC5"/>
    <w:rsid w:val="5F2B43FF"/>
    <w:rsid w:val="5F366A5E"/>
    <w:rsid w:val="5F487ACD"/>
    <w:rsid w:val="5F7169A1"/>
    <w:rsid w:val="5F7B6ACF"/>
    <w:rsid w:val="5FA65BD1"/>
    <w:rsid w:val="5FCA5F60"/>
    <w:rsid w:val="5FDF3861"/>
    <w:rsid w:val="600B4A36"/>
    <w:rsid w:val="602B1229"/>
    <w:rsid w:val="602E5843"/>
    <w:rsid w:val="604C38E0"/>
    <w:rsid w:val="60567FC7"/>
    <w:rsid w:val="60575AEE"/>
    <w:rsid w:val="607B17DC"/>
    <w:rsid w:val="609B59DA"/>
    <w:rsid w:val="609D1752"/>
    <w:rsid w:val="60AE7E03"/>
    <w:rsid w:val="60B2412A"/>
    <w:rsid w:val="60C813E2"/>
    <w:rsid w:val="60EB5C13"/>
    <w:rsid w:val="60F46ADC"/>
    <w:rsid w:val="60FA03FF"/>
    <w:rsid w:val="60FB46CB"/>
    <w:rsid w:val="61016849"/>
    <w:rsid w:val="611539DF"/>
    <w:rsid w:val="612E51D7"/>
    <w:rsid w:val="61480B6C"/>
    <w:rsid w:val="614C60D4"/>
    <w:rsid w:val="61630BEE"/>
    <w:rsid w:val="616D6585"/>
    <w:rsid w:val="617F52FC"/>
    <w:rsid w:val="61842823"/>
    <w:rsid w:val="6198108B"/>
    <w:rsid w:val="61A528DD"/>
    <w:rsid w:val="61A60B5E"/>
    <w:rsid w:val="61D45B05"/>
    <w:rsid w:val="61DA0784"/>
    <w:rsid w:val="61E17D65"/>
    <w:rsid w:val="61F627CE"/>
    <w:rsid w:val="62065A1D"/>
    <w:rsid w:val="621B399D"/>
    <w:rsid w:val="62255052"/>
    <w:rsid w:val="62456545"/>
    <w:rsid w:val="62767AAD"/>
    <w:rsid w:val="6277148A"/>
    <w:rsid w:val="62922E0D"/>
    <w:rsid w:val="62CA07F9"/>
    <w:rsid w:val="62CD031C"/>
    <w:rsid w:val="62E301B6"/>
    <w:rsid w:val="630F1249"/>
    <w:rsid w:val="63281D9A"/>
    <w:rsid w:val="63402869"/>
    <w:rsid w:val="63414F5F"/>
    <w:rsid w:val="634E31D8"/>
    <w:rsid w:val="63514A76"/>
    <w:rsid w:val="63556314"/>
    <w:rsid w:val="63A63330"/>
    <w:rsid w:val="63BE24D9"/>
    <w:rsid w:val="63C45248"/>
    <w:rsid w:val="64115979"/>
    <w:rsid w:val="641A112D"/>
    <w:rsid w:val="641E79ED"/>
    <w:rsid w:val="6421269A"/>
    <w:rsid w:val="64254D2C"/>
    <w:rsid w:val="643E149E"/>
    <w:rsid w:val="644A6082"/>
    <w:rsid w:val="6461541D"/>
    <w:rsid w:val="64942E6C"/>
    <w:rsid w:val="64B4350F"/>
    <w:rsid w:val="64EC0EFA"/>
    <w:rsid w:val="65077AE2"/>
    <w:rsid w:val="65092354"/>
    <w:rsid w:val="651B533C"/>
    <w:rsid w:val="651D1B33"/>
    <w:rsid w:val="653F5DD8"/>
    <w:rsid w:val="65432B57"/>
    <w:rsid w:val="65465A02"/>
    <w:rsid w:val="6564439E"/>
    <w:rsid w:val="656901FB"/>
    <w:rsid w:val="65DC0F6F"/>
    <w:rsid w:val="65DE3789"/>
    <w:rsid w:val="65DF2BAC"/>
    <w:rsid w:val="65F03BFA"/>
    <w:rsid w:val="66396502"/>
    <w:rsid w:val="66747DFB"/>
    <w:rsid w:val="667D46F4"/>
    <w:rsid w:val="6692128C"/>
    <w:rsid w:val="66A90BD3"/>
    <w:rsid w:val="66AE7E43"/>
    <w:rsid w:val="66C814F3"/>
    <w:rsid w:val="670A1D8E"/>
    <w:rsid w:val="673646AF"/>
    <w:rsid w:val="67444D56"/>
    <w:rsid w:val="675477D5"/>
    <w:rsid w:val="679B01A7"/>
    <w:rsid w:val="679D6560"/>
    <w:rsid w:val="67CB3049"/>
    <w:rsid w:val="67D22E92"/>
    <w:rsid w:val="67DA261B"/>
    <w:rsid w:val="682A76CE"/>
    <w:rsid w:val="682E2033"/>
    <w:rsid w:val="685272C6"/>
    <w:rsid w:val="686A44C1"/>
    <w:rsid w:val="686F7E78"/>
    <w:rsid w:val="687436E1"/>
    <w:rsid w:val="688D6550"/>
    <w:rsid w:val="688E3EEB"/>
    <w:rsid w:val="689933F2"/>
    <w:rsid w:val="68C31455"/>
    <w:rsid w:val="68C83A2C"/>
    <w:rsid w:val="690C2AB2"/>
    <w:rsid w:val="69717C20"/>
    <w:rsid w:val="69767132"/>
    <w:rsid w:val="697D0373"/>
    <w:rsid w:val="697F058F"/>
    <w:rsid w:val="69A00347"/>
    <w:rsid w:val="69B4582B"/>
    <w:rsid w:val="69B74990"/>
    <w:rsid w:val="69B770A8"/>
    <w:rsid w:val="69C22A84"/>
    <w:rsid w:val="69CC4EEB"/>
    <w:rsid w:val="69DD52B6"/>
    <w:rsid w:val="69DF0A23"/>
    <w:rsid w:val="69E71C90"/>
    <w:rsid w:val="6A1801A8"/>
    <w:rsid w:val="6A1D3904"/>
    <w:rsid w:val="6A1E2575"/>
    <w:rsid w:val="6A2E5B11"/>
    <w:rsid w:val="6A674B7F"/>
    <w:rsid w:val="6A77340C"/>
    <w:rsid w:val="6A870AC9"/>
    <w:rsid w:val="6A93504D"/>
    <w:rsid w:val="6A9E2C97"/>
    <w:rsid w:val="6A9F256B"/>
    <w:rsid w:val="6AB271F3"/>
    <w:rsid w:val="6ADC731B"/>
    <w:rsid w:val="6ADF18F7"/>
    <w:rsid w:val="6AE078CA"/>
    <w:rsid w:val="6AE8743C"/>
    <w:rsid w:val="6B0B2992"/>
    <w:rsid w:val="6B176781"/>
    <w:rsid w:val="6B2A570B"/>
    <w:rsid w:val="6B347157"/>
    <w:rsid w:val="6B38261F"/>
    <w:rsid w:val="6B3B2294"/>
    <w:rsid w:val="6B3C3D63"/>
    <w:rsid w:val="6B5415A7"/>
    <w:rsid w:val="6B560E7C"/>
    <w:rsid w:val="6B56531F"/>
    <w:rsid w:val="6B680BAF"/>
    <w:rsid w:val="6B80514F"/>
    <w:rsid w:val="6BA0434C"/>
    <w:rsid w:val="6BEA5A68"/>
    <w:rsid w:val="6BF26066"/>
    <w:rsid w:val="6C2C42D2"/>
    <w:rsid w:val="6C472EBA"/>
    <w:rsid w:val="6C7672FB"/>
    <w:rsid w:val="6CA64085"/>
    <w:rsid w:val="6CB231D6"/>
    <w:rsid w:val="6CCD1611"/>
    <w:rsid w:val="6CE32BE3"/>
    <w:rsid w:val="6CF92406"/>
    <w:rsid w:val="6D2F7BD6"/>
    <w:rsid w:val="6D35229F"/>
    <w:rsid w:val="6D3B2A1F"/>
    <w:rsid w:val="6D464F20"/>
    <w:rsid w:val="6D6830E8"/>
    <w:rsid w:val="6D7F429F"/>
    <w:rsid w:val="6D97063B"/>
    <w:rsid w:val="6DA12829"/>
    <w:rsid w:val="6DC713BB"/>
    <w:rsid w:val="6DDE5A3A"/>
    <w:rsid w:val="6DEC1F6B"/>
    <w:rsid w:val="6DEF1C47"/>
    <w:rsid w:val="6DF1132F"/>
    <w:rsid w:val="6E036A0B"/>
    <w:rsid w:val="6E070B53"/>
    <w:rsid w:val="6E1941D7"/>
    <w:rsid w:val="6E1F7C4B"/>
    <w:rsid w:val="6E697118"/>
    <w:rsid w:val="6E6D4454"/>
    <w:rsid w:val="6E781A51"/>
    <w:rsid w:val="6E873A42"/>
    <w:rsid w:val="6E9D5013"/>
    <w:rsid w:val="6EFF6FDB"/>
    <w:rsid w:val="6F07471D"/>
    <w:rsid w:val="6F0B6421"/>
    <w:rsid w:val="6F1150E7"/>
    <w:rsid w:val="6F3052F0"/>
    <w:rsid w:val="6F4B365F"/>
    <w:rsid w:val="6F4C6D0C"/>
    <w:rsid w:val="6F673835"/>
    <w:rsid w:val="6F6D491A"/>
    <w:rsid w:val="6F9D1C52"/>
    <w:rsid w:val="6FA523D2"/>
    <w:rsid w:val="6FCB3F9C"/>
    <w:rsid w:val="6FEC0000"/>
    <w:rsid w:val="70181812"/>
    <w:rsid w:val="70271038"/>
    <w:rsid w:val="704F62F5"/>
    <w:rsid w:val="70675AAB"/>
    <w:rsid w:val="709217A3"/>
    <w:rsid w:val="70974ABE"/>
    <w:rsid w:val="70BD335F"/>
    <w:rsid w:val="70D25F33"/>
    <w:rsid w:val="70E3390A"/>
    <w:rsid w:val="70ED3F4C"/>
    <w:rsid w:val="71044E34"/>
    <w:rsid w:val="713003C1"/>
    <w:rsid w:val="71593474"/>
    <w:rsid w:val="715A543E"/>
    <w:rsid w:val="715F6134"/>
    <w:rsid w:val="71665B90"/>
    <w:rsid w:val="7168590A"/>
    <w:rsid w:val="71905CE0"/>
    <w:rsid w:val="71944ABD"/>
    <w:rsid w:val="71E82A49"/>
    <w:rsid w:val="721675B7"/>
    <w:rsid w:val="725956F5"/>
    <w:rsid w:val="727750AE"/>
    <w:rsid w:val="72783DCD"/>
    <w:rsid w:val="728B1D53"/>
    <w:rsid w:val="729C4C21"/>
    <w:rsid w:val="72B62B48"/>
    <w:rsid w:val="72C2329A"/>
    <w:rsid w:val="72CD5623"/>
    <w:rsid w:val="72E62CCB"/>
    <w:rsid w:val="733D15CE"/>
    <w:rsid w:val="736507F6"/>
    <w:rsid w:val="73B9074D"/>
    <w:rsid w:val="73D70FC8"/>
    <w:rsid w:val="73DB2866"/>
    <w:rsid w:val="73DF27A6"/>
    <w:rsid w:val="73E86D31"/>
    <w:rsid w:val="7419513C"/>
    <w:rsid w:val="74387CB8"/>
    <w:rsid w:val="743A4C28"/>
    <w:rsid w:val="74915AA9"/>
    <w:rsid w:val="74B70075"/>
    <w:rsid w:val="74D3353D"/>
    <w:rsid w:val="74E27188"/>
    <w:rsid w:val="74EA2796"/>
    <w:rsid w:val="7507768A"/>
    <w:rsid w:val="750E120F"/>
    <w:rsid w:val="751122B7"/>
    <w:rsid w:val="75114065"/>
    <w:rsid w:val="75184DC0"/>
    <w:rsid w:val="7521074C"/>
    <w:rsid w:val="75502DDF"/>
    <w:rsid w:val="75510906"/>
    <w:rsid w:val="75705230"/>
    <w:rsid w:val="758B784E"/>
    <w:rsid w:val="75993B1A"/>
    <w:rsid w:val="760C31AA"/>
    <w:rsid w:val="761D2AD9"/>
    <w:rsid w:val="76257BFD"/>
    <w:rsid w:val="76263C5F"/>
    <w:rsid w:val="768052EC"/>
    <w:rsid w:val="768272D0"/>
    <w:rsid w:val="769F2E02"/>
    <w:rsid w:val="76FB6B57"/>
    <w:rsid w:val="770C2D36"/>
    <w:rsid w:val="774656C9"/>
    <w:rsid w:val="77473E26"/>
    <w:rsid w:val="77644920"/>
    <w:rsid w:val="776F7D94"/>
    <w:rsid w:val="77707769"/>
    <w:rsid w:val="777C3ED8"/>
    <w:rsid w:val="77861FB4"/>
    <w:rsid w:val="77925931"/>
    <w:rsid w:val="77B533CE"/>
    <w:rsid w:val="77B7148D"/>
    <w:rsid w:val="77C10136"/>
    <w:rsid w:val="77DC6BAC"/>
    <w:rsid w:val="77E05652"/>
    <w:rsid w:val="77EA0EDE"/>
    <w:rsid w:val="77EA6925"/>
    <w:rsid w:val="780222EB"/>
    <w:rsid w:val="780A421E"/>
    <w:rsid w:val="784645C5"/>
    <w:rsid w:val="784714D0"/>
    <w:rsid w:val="785A1D20"/>
    <w:rsid w:val="78600B26"/>
    <w:rsid w:val="78880A2D"/>
    <w:rsid w:val="78931961"/>
    <w:rsid w:val="78D2453A"/>
    <w:rsid w:val="78D43D28"/>
    <w:rsid w:val="78E35D19"/>
    <w:rsid w:val="790E2D96"/>
    <w:rsid w:val="79295693"/>
    <w:rsid w:val="793A6280"/>
    <w:rsid w:val="795C4039"/>
    <w:rsid w:val="797C2ED1"/>
    <w:rsid w:val="7A344A7E"/>
    <w:rsid w:val="7A4C6E3E"/>
    <w:rsid w:val="7A5C5D83"/>
    <w:rsid w:val="7AAC5314"/>
    <w:rsid w:val="7B195F1B"/>
    <w:rsid w:val="7B1B3F73"/>
    <w:rsid w:val="7B2A40D3"/>
    <w:rsid w:val="7B445194"/>
    <w:rsid w:val="7B547823"/>
    <w:rsid w:val="7B5829EE"/>
    <w:rsid w:val="7B597342"/>
    <w:rsid w:val="7B5F3D7C"/>
    <w:rsid w:val="7B612EBC"/>
    <w:rsid w:val="7B7315D6"/>
    <w:rsid w:val="7B744583"/>
    <w:rsid w:val="7B821819"/>
    <w:rsid w:val="7B892BA7"/>
    <w:rsid w:val="7B9A68BC"/>
    <w:rsid w:val="7BBD4F47"/>
    <w:rsid w:val="7BEC3136"/>
    <w:rsid w:val="7C122687"/>
    <w:rsid w:val="7C300A92"/>
    <w:rsid w:val="7C487E03"/>
    <w:rsid w:val="7C4D62CB"/>
    <w:rsid w:val="7C5807CC"/>
    <w:rsid w:val="7C9A0DE4"/>
    <w:rsid w:val="7CBE2D25"/>
    <w:rsid w:val="7CD95DB0"/>
    <w:rsid w:val="7CEF7382"/>
    <w:rsid w:val="7CF741DD"/>
    <w:rsid w:val="7D292A16"/>
    <w:rsid w:val="7D2A407F"/>
    <w:rsid w:val="7D2B0FEB"/>
    <w:rsid w:val="7D316D38"/>
    <w:rsid w:val="7D4A45B8"/>
    <w:rsid w:val="7D6A07B6"/>
    <w:rsid w:val="7D752545"/>
    <w:rsid w:val="7D7863C1"/>
    <w:rsid w:val="7D7B6719"/>
    <w:rsid w:val="7DA558E5"/>
    <w:rsid w:val="7DC46778"/>
    <w:rsid w:val="7E073306"/>
    <w:rsid w:val="7E074257"/>
    <w:rsid w:val="7E3D5ECB"/>
    <w:rsid w:val="7E6E5AB0"/>
    <w:rsid w:val="7E881B98"/>
    <w:rsid w:val="7F2A28F3"/>
    <w:rsid w:val="7F3C0728"/>
    <w:rsid w:val="7F612E17"/>
    <w:rsid w:val="7F761695"/>
    <w:rsid w:val="7F9D6634"/>
    <w:rsid w:val="7FC3644F"/>
    <w:rsid w:val="7FC5451C"/>
    <w:rsid w:val="7FD67DEA"/>
    <w:rsid w:val="7FFC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4"/>
    <w:basedOn w:val="1"/>
    <w:next w:val="1"/>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5">
    <w:name w:val="heading 5"/>
    <w:basedOn w:val="1"/>
    <w:next w:val="6"/>
    <w:autoRedefine/>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index 8"/>
    <w:basedOn w:val="1"/>
    <w:next w:val="1"/>
    <w:autoRedefine/>
    <w:qFormat/>
    <w:uiPriority w:val="0"/>
    <w:pPr>
      <w:ind w:left="2940"/>
    </w:pPr>
  </w:style>
  <w:style w:type="paragraph" w:styleId="8">
    <w:name w:val="annotation text"/>
    <w:basedOn w:val="1"/>
    <w:link w:val="38"/>
    <w:autoRedefine/>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autoRedefine/>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autoRedefine/>
    <w:unhideWhenUsed/>
    <w:qFormat/>
    <w:uiPriority w:val="99"/>
    <w:pPr>
      <w:ind w:left="100" w:leftChars="200" w:hanging="200" w:hangingChars="200"/>
      <w:contextualSpacing/>
    </w:pPr>
  </w:style>
  <w:style w:type="paragraph" w:styleId="13">
    <w:name w:val="Plain Text"/>
    <w:basedOn w:val="1"/>
    <w:next w:val="1"/>
    <w:qFormat/>
    <w:uiPriority w:val="0"/>
    <w:rPr>
      <w:rFonts w:ascii="宋体" w:hAnsi="Courier New"/>
      <w:kern w:val="0"/>
      <w:sz w:val="20"/>
      <w:szCs w:val="21"/>
    </w:rPr>
  </w:style>
  <w:style w:type="paragraph" w:styleId="14">
    <w:name w:val="Balloon Text"/>
    <w:basedOn w:val="1"/>
    <w:link w:val="40"/>
    <w:qFormat/>
    <w:uiPriority w:val="0"/>
    <w:rPr>
      <w:sz w:val="18"/>
      <w:szCs w:val="18"/>
    </w:r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autoRedefine/>
    <w:unhideWhenUsed/>
    <w:qFormat/>
    <w:uiPriority w:val="39"/>
    <w:pPr>
      <w:tabs>
        <w:tab w:val="right" w:leader="dot" w:pos="8296"/>
      </w:tabs>
      <w:ind w:left="420" w:leftChars="200"/>
    </w:pPr>
  </w:style>
  <w:style w:type="paragraph" w:styleId="19">
    <w:name w:val="Normal (Web)"/>
    <w:basedOn w:val="1"/>
    <w:autoRedefine/>
    <w:qFormat/>
    <w:uiPriority w:val="0"/>
    <w:pPr>
      <w:spacing w:beforeAutospacing="1" w:afterAutospacing="1"/>
      <w:jc w:val="left"/>
    </w:pPr>
    <w:rPr>
      <w:kern w:val="0"/>
      <w:sz w:val="24"/>
    </w:rPr>
  </w:style>
  <w:style w:type="paragraph" w:styleId="20">
    <w:name w:val="annotation subject"/>
    <w:basedOn w:val="8"/>
    <w:next w:val="8"/>
    <w:link w:val="39"/>
    <w:autoRedefine/>
    <w:qFormat/>
    <w:uiPriority w:val="0"/>
    <w:rPr>
      <w:b/>
      <w:bCs/>
    </w:rPr>
  </w:style>
  <w:style w:type="paragraph" w:styleId="21">
    <w:name w:val="Body Text First Indent"/>
    <w:basedOn w:val="10"/>
    <w:autoRedefine/>
    <w:qFormat/>
    <w:uiPriority w:val="0"/>
    <w:pPr>
      <w:ind w:firstLine="420" w:firstLineChars="100"/>
    </w:pPr>
  </w:style>
  <w:style w:type="paragraph" w:styleId="22">
    <w:name w:val="Body Text First Indent 2"/>
    <w:basedOn w:val="11"/>
    <w:next w:val="1"/>
    <w:unhideWhenUsed/>
    <w:qFormat/>
    <w:uiPriority w:val="99"/>
    <w:pPr>
      <w:spacing w:after="120"/>
      <w:ind w:left="420" w:leftChars="200" w:firstLine="420" w:firstLineChars="200"/>
    </w:pPr>
    <w:rPr>
      <w:rFonts w:ascii="Times New Roman" w:eastAsia="宋体"/>
      <w:kern w:val="2"/>
      <w:sz w:val="21"/>
      <w:szCs w:val="24"/>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unhideWhenUsed/>
    <w:qFormat/>
    <w:uiPriority w:val="99"/>
    <w:rPr>
      <w:color w:val="0000FF"/>
      <w:u w:val="single"/>
    </w:rPr>
  </w:style>
  <w:style w:type="character" w:styleId="29">
    <w:name w:val="annotation reference"/>
    <w:basedOn w:val="25"/>
    <w:qFormat/>
    <w:uiPriority w:val="0"/>
    <w:rPr>
      <w:sz w:val="21"/>
      <w:szCs w:val="21"/>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表格文字"/>
    <w:basedOn w:val="32"/>
    <w:next w:val="10"/>
    <w:autoRedefine/>
    <w:qFormat/>
    <w:uiPriority w:val="99"/>
    <w:pPr>
      <w:spacing w:before="25" w:after="25"/>
      <w:jc w:val="left"/>
    </w:pPr>
    <w:rPr>
      <w:bCs/>
      <w:spacing w:val="10"/>
      <w:sz w:val="24"/>
    </w:rPr>
  </w:style>
  <w:style w:type="paragraph" w:customStyle="1" w:styleId="32">
    <w:name w:val="表格文字（两侧对齐）"/>
    <w:basedOn w:val="1"/>
    <w:qFormat/>
    <w:uiPriority w:val="0"/>
    <w:rPr>
      <w:rFonts w:ascii="Calibri" w:hAnsi="Calibri"/>
      <w:kern w:val="0"/>
      <w:sz w:val="20"/>
    </w:rPr>
  </w:style>
  <w:style w:type="paragraph" w:customStyle="1" w:styleId="33">
    <w:name w:val="列出段落1"/>
    <w:basedOn w:val="1"/>
    <w:autoRedefine/>
    <w:qFormat/>
    <w:uiPriority w:val="34"/>
    <w:pPr>
      <w:ind w:firstLine="420" w:firstLineChars="200"/>
    </w:pPr>
  </w:style>
  <w:style w:type="paragraph" w:customStyle="1" w:styleId="34">
    <w:name w:val="样式1"/>
    <w:basedOn w:val="1"/>
    <w:autoRedefine/>
    <w:qFormat/>
    <w:uiPriority w:val="0"/>
    <w:pPr>
      <w:spacing w:before="120" w:after="120" w:line="300" w:lineRule="auto"/>
    </w:pPr>
    <w:rPr>
      <w:rFonts w:ascii="宋体" w:hAnsi="宋体"/>
      <w:b/>
      <w:sz w:val="24"/>
      <w:szCs w:val="20"/>
    </w:rPr>
  </w:style>
  <w:style w:type="paragraph" w:customStyle="1" w:styleId="35">
    <w:name w:val="正文-2字符首行缩进"/>
    <w:basedOn w:val="1"/>
    <w:autoRedefine/>
    <w:qFormat/>
    <w:uiPriority w:val="0"/>
    <w:pPr>
      <w:widowControl/>
      <w:spacing w:line="360" w:lineRule="auto"/>
      <w:ind w:firstLine="200" w:firstLineChars="200"/>
    </w:pPr>
    <w:rPr>
      <w:rFonts w:ascii="仿宋_GB2312" w:hAnsi="Calibri" w:eastAsia="仿宋_GB2312"/>
      <w:kern w:val="0"/>
      <w:sz w:val="28"/>
      <w:szCs w:val="22"/>
    </w:rPr>
  </w:style>
  <w:style w:type="paragraph" w:styleId="36">
    <w:name w:val="List Paragraph"/>
    <w:basedOn w:val="1"/>
    <w:autoRedefine/>
    <w:qFormat/>
    <w:uiPriority w:val="34"/>
    <w:pPr>
      <w:ind w:firstLine="420" w:firstLineChars="200"/>
    </w:pPr>
  </w:style>
  <w:style w:type="paragraph" w:customStyle="1" w:styleId="37">
    <w:name w:val="列表段落1"/>
    <w:basedOn w:val="1"/>
    <w:qFormat/>
    <w:uiPriority w:val="0"/>
    <w:pPr>
      <w:spacing w:after="240"/>
      <w:ind w:left="720" w:firstLine="360"/>
      <w:contextualSpacing/>
    </w:pPr>
    <w:rPr>
      <w:rFonts w:ascii="Calibri" w:hAnsi="Calibri"/>
      <w:sz w:val="22"/>
      <w:szCs w:val="22"/>
      <w:lang w:eastAsia="en-US" w:bidi="en-US"/>
    </w:rPr>
  </w:style>
  <w:style w:type="character" w:customStyle="1" w:styleId="38">
    <w:name w:val="批注文字 Char"/>
    <w:basedOn w:val="25"/>
    <w:link w:val="8"/>
    <w:qFormat/>
    <w:uiPriority w:val="0"/>
    <w:rPr>
      <w:kern w:val="2"/>
      <w:sz w:val="21"/>
      <w:szCs w:val="24"/>
    </w:rPr>
  </w:style>
  <w:style w:type="character" w:customStyle="1" w:styleId="39">
    <w:name w:val="批注主题 Char"/>
    <w:basedOn w:val="38"/>
    <w:link w:val="20"/>
    <w:autoRedefine/>
    <w:qFormat/>
    <w:uiPriority w:val="0"/>
  </w:style>
  <w:style w:type="character" w:customStyle="1" w:styleId="40">
    <w:name w:val="批注框文本 Char"/>
    <w:basedOn w:val="25"/>
    <w:link w:val="14"/>
    <w:qFormat/>
    <w:uiPriority w:val="0"/>
    <w:rPr>
      <w:kern w:val="2"/>
      <w:sz w:val="18"/>
      <w:szCs w:val="18"/>
    </w:rPr>
  </w:style>
  <w:style w:type="paragraph" w:customStyle="1" w:styleId="41">
    <w:name w:val="Table Paragraph"/>
    <w:basedOn w:val="1"/>
    <w:qFormat/>
    <w:uiPriority w:val="1"/>
    <w:pPr>
      <w:jc w:val="left"/>
    </w:pPr>
    <w:rPr>
      <w:rFonts w:ascii="Calibri" w:hAnsi="Calibri"/>
      <w:kern w:val="0"/>
      <w:sz w:val="22"/>
      <w:szCs w:val="22"/>
      <w:lang w:eastAsia="en-US"/>
    </w:rPr>
  </w:style>
  <w:style w:type="character" w:customStyle="1" w:styleId="42">
    <w:name w:val="font11"/>
    <w:basedOn w:val="25"/>
    <w:qFormat/>
    <w:uiPriority w:val="0"/>
    <w:rPr>
      <w:rFonts w:hint="eastAsia" w:ascii="宋体" w:hAnsi="宋体" w:eastAsia="宋体" w:cs="宋体"/>
      <w:color w:val="000000"/>
      <w:sz w:val="21"/>
      <w:szCs w:val="21"/>
      <w:u w:val="none"/>
    </w:rPr>
  </w:style>
  <w:style w:type="character" w:customStyle="1" w:styleId="43">
    <w:name w:val="font21"/>
    <w:basedOn w:val="25"/>
    <w:autoRedefine/>
    <w:qFormat/>
    <w:uiPriority w:val="0"/>
    <w:rPr>
      <w:rFonts w:hint="eastAsia" w:ascii="宋体" w:hAnsi="宋体" w:eastAsia="宋体" w:cs="宋体"/>
      <w:color w:val="000000"/>
      <w:sz w:val="21"/>
      <w:szCs w:val="21"/>
      <w:u w:val="none"/>
    </w:rPr>
  </w:style>
  <w:style w:type="character" w:customStyle="1" w:styleId="44">
    <w:name w:val="font51"/>
    <w:basedOn w:val="25"/>
    <w:autoRedefine/>
    <w:qFormat/>
    <w:uiPriority w:val="0"/>
    <w:rPr>
      <w:rFonts w:hint="eastAsia" w:ascii="宋体" w:hAnsi="宋体" w:eastAsia="宋体" w:cs="宋体"/>
      <w:color w:val="000000"/>
      <w:sz w:val="21"/>
      <w:szCs w:val="21"/>
      <w:u w:val="none"/>
    </w:rPr>
  </w:style>
  <w:style w:type="character" w:customStyle="1" w:styleId="45">
    <w:name w:val="font61"/>
    <w:basedOn w:val="25"/>
    <w:qFormat/>
    <w:uiPriority w:val="0"/>
    <w:rPr>
      <w:rFonts w:hint="eastAsia" w:ascii="宋体" w:hAnsi="宋体" w:eastAsia="宋体" w:cs="宋体"/>
      <w:color w:val="FFFFFF"/>
      <w:sz w:val="21"/>
      <w:szCs w:val="21"/>
      <w:u w:val="none"/>
    </w:rPr>
  </w:style>
  <w:style w:type="character" w:customStyle="1" w:styleId="46">
    <w:name w:val="font41"/>
    <w:basedOn w:val="25"/>
    <w:qFormat/>
    <w:uiPriority w:val="0"/>
    <w:rPr>
      <w:rFonts w:hint="eastAsia" w:ascii="宋体" w:hAnsi="宋体" w:eastAsia="宋体" w:cs="宋体"/>
      <w:color w:val="000000"/>
      <w:sz w:val="21"/>
      <w:szCs w:val="21"/>
      <w:u w:val="none"/>
    </w:rPr>
  </w:style>
  <w:style w:type="paragraph" w:customStyle="1" w:styleId="47">
    <w:name w:val="首行缩进"/>
    <w:basedOn w:val="1"/>
    <w:autoRedefine/>
    <w:qFormat/>
    <w:uiPriority w:val="0"/>
    <w:pPr>
      <w:ind w:firstLine="480" w:firstLineChars="200"/>
    </w:pPr>
    <w:rPr>
      <w:lang w:val="zh-CN"/>
    </w:rPr>
  </w:style>
  <w:style w:type="paragraph" w:customStyle="1" w:styleId="4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93</Pages>
  <Words>53302</Words>
  <Characters>57230</Characters>
  <Lines>559</Lines>
  <Paragraphs>157</Paragraphs>
  <TotalTime>74</TotalTime>
  <ScaleCrop>false</ScaleCrop>
  <LinksUpToDate>false</LinksUpToDate>
  <CharactersWithSpaces>62815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2024-10-17T09:19:00Z</dcterms:created>
  <dc:creator>lenovo1</dc:creator>
  <cp:lastModifiedBy>何静</cp:lastModifiedBy>
  <cp:lastPrinted>2025-11-12T07:02:00Z</cp:lastPrinted>
  <dcterms:modified xsi:type="dcterms:W3CDTF">2025-11-13T02:34:00Z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08BCAB5C5C0D4A1EB9170AD743EBABDB_13</vt:lpwstr>
  </property>
  <property fmtid="{D5CDD505-2E9C-101B-9397-08002B2CF9AE}" pid="4" name="KSOTemplateDocerSaveRecord">
    <vt:lpwstr>eyJoZGlkIjoiMmU5MWE3OGI2Yzk0NTQ5N2IyNTgxZTU4ZTYxMzg3ZGMiLCJ1c2VySWQiOiI2NzgwNDkyNDAifQ==</vt:lpwstr>
  </property>
</Properties>
</file>