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D3025E">
      <w:pPr>
        <w:pStyle w:val="25"/>
        <w:jc w:val="center"/>
        <w:rPr>
          <w:rFonts w:hAnsi="宋体"/>
          <w:color w:val="auto"/>
          <w:spacing w:val="30"/>
          <w:kern w:val="52"/>
          <w:sz w:val="64"/>
          <w:szCs w:val="64"/>
          <w:highlight w:val="none"/>
        </w:rPr>
      </w:pPr>
      <w:r>
        <w:rPr>
          <w:rFonts w:hAnsi="宋体"/>
          <w:color w:val="auto"/>
          <w:spacing w:val="30"/>
          <w:kern w:val="52"/>
          <w:sz w:val="64"/>
          <w:szCs w:val="64"/>
          <w:highlight w:val="none"/>
        </w:rPr>
        <w:t>广西科文招标有限公司</w:t>
      </w:r>
    </w:p>
    <w:p w14:paraId="1CB065E7">
      <w:pPr>
        <w:pStyle w:val="25"/>
        <w:jc w:val="center"/>
        <w:rPr>
          <w:rFonts w:hAnsi="宋体"/>
          <w:color w:val="auto"/>
          <w:spacing w:val="28"/>
          <w:sz w:val="64"/>
          <w:szCs w:val="64"/>
          <w:highlight w:val="none"/>
        </w:rPr>
      </w:pPr>
      <w:r>
        <w:rPr>
          <w:rFonts w:hAnsi="宋体"/>
          <w:b/>
          <w:color w:val="auto"/>
          <w:spacing w:val="-18"/>
          <w:sz w:val="64"/>
          <w:szCs w:val="64"/>
          <w:highlight w:val="none"/>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99060</wp:posOffset>
                </wp:positionV>
                <wp:extent cx="5486400" cy="0"/>
                <wp:effectExtent l="0" t="6350" r="0" b="6350"/>
                <wp:wrapNone/>
                <wp:docPr id="1" name="Line 2"/>
                <wp:cNvGraphicFramePr/>
                <a:graphic xmlns:a="http://schemas.openxmlformats.org/drawingml/2006/main">
                  <a:graphicData uri="http://schemas.microsoft.com/office/word/2010/wordprocessingShape">
                    <wps:wsp>
                      <wps:cNvCnPr/>
                      <wps:spPr>
                        <a:xfrm>
                          <a:off x="0" y="0"/>
                          <a:ext cx="54864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Line 2" o:spid="_x0000_s1026" o:spt="20" style="position:absolute;left:0pt;margin-left:27pt;margin-top:7.8pt;height:0pt;width:432pt;z-index:251659264;mso-width-relative:page;mso-height-relative:page;" filled="f" stroked="t" coordsize="21600,21600" o:gfxdata="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oUACjWAAAACAEAAA8AAAAAAAAAAQAgAAAAIgAA&#10;AGRycy9kb3ducmV2LnhtbFBLAQIUABQAAAAIAIdO4kC1wPV20QEAAM4DAAAOAAAAAAAAAAEAIAAA&#10;ACUBAABkcnMvZTJvRG9jLnhtbFBLBQYAAAAABgAGAFkBAABoBQAAAAA=&#10;">
                <v:fill on="f" focussize="0,0"/>
                <v:stroke weight="1pt" color="#000000" joinstyle="round"/>
                <v:imagedata o:title=""/>
                <o:lock v:ext="edit" aspectratio="f"/>
              </v:line>
            </w:pict>
          </mc:Fallback>
        </mc:AlternateContent>
      </w:r>
      <w:r>
        <w:rPr>
          <w:rFonts w:hint="eastAsia" w:hAnsi="宋体"/>
          <w:color w:val="auto"/>
          <w:spacing w:val="28"/>
          <w:sz w:val="64"/>
          <w:szCs w:val="64"/>
          <w:highlight w:val="none"/>
        </w:rPr>
        <w:t xml:space="preserve">                                                                                                                                                                                                                                                                      </w:t>
      </w:r>
    </w:p>
    <w:p w14:paraId="18C64413">
      <w:pPr>
        <w:snapToGrid w:val="0"/>
        <w:spacing w:before="120" w:beforeLines="50" w:line="360" w:lineRule="auto"/>
        <w:jc w:val="center"/>
        <w:rPr>
          <w:rFonts w:ascii="宋体" w:hAnsi="宋体"/>
          <w:color w:val="auto"/>
          <w:sz w:val="120"/>
          <w:szCs w:val="120"/>
          <w:highlight w:val="none"/>
        </w:rPr>
      </w:pPr>
      <w:r>
        <w:rPr>
          <w:rFonts w:hint="eastAsia" w:ascii="宋体" w:hAnsi="宋体"/>
          <w:color w:val="auto"/>
          <w:sz w:val="120"/>
          <w:szCs w:val="120"/>
          <w:highlight w:val="none"/>
        </w:rPr>
        <w:t>招 标 文 件</w:t>
      </w:r>
    </w:p>
    <w:p w14:paraId="4A65B1B8">
      <w:pPr>
        <w:pStyle w:val="25"/>
        <w:snapToGrid w:val="0"/>
        <w:spacing w:line="360" w:lineRule="auto"/>
        <w:ind w:firstLine="1977" w:firstLineChars="691"/>
        <w:rPr>
          <w:rFonts w:hAnsi="宋体"/>
          <w:b/>
          <w:bCs/>
          <w:color w:val="auto"/>
          <w:w w:val="95"/>
          <w:sz w:val="30"/>
          <w:szCs w:val="30"/>
          <w:highlight w:val="none"/>
        </w:rPr>
      </w:pPr>
    </w:p>
    <w:p w14:paraId="3652A963">
      <w:pPr>
        <w:pStyle w:val="25"/>
        <w:snapToGrid w:val="0"/>
        <w:spacing w:line="360" w:lineRule="auto"/>
        <w:ind w:firstLine="1717" w:firstLineChars="600"/>
        <w:rPr>
          <w:rFonts w:hint="eastAsia" w:hAnsi="宋体"/>
          <w:b/>
          <w:bCs/>
          <w:color w:val="auto"/>
          <w:w w:val="95"/>
          <w:sz w:val="30"/>
          <w:szCs w:val="30"/>
          <w:highlight w:val="none"/>
        </w:rPr>
      </w:pPr>
      <w:r>
        <w:rPr>
          <w:rFonts w:hint="eastAsia" w:hAnsi="宋体"/>
          <w:b/>
          <w:bCs/>
          <w:color w:val="auto"/>
          <w:w w:val="95"/>
          <w:sz w:val="30"/>
          <w:szCs w:val="30"/>
          <w:highlight w:val="none"/>
        </w:rPr>
        <w:t>项目名称：广西壮族自治区人民医院电子内窥镜系统（高清电子</w:t>
      </w:r>
    </w:p>
    <w:p w14:paraId="50C66437">
      <w:pPr>
        <w:pStyle w:val="25"/>
        <w:snapToGrid w:val="0"/>
        <w:spacing w:line="360" w:lineRule="auto"/>
        <w:ind w:firstLine="3148" w:firstLineChars="1100"/>
        <w:rPr>
          <w:rFonts w:hint="eastAsia" w:ascii="宋体" w:hAnsi="宋体" w:eastAsia="宋体" w:cs="Times New Roman"/>
          <w:b/>
          <w:bCs/>
          <w:color w:val="auto"/>
          <w:w w:val="95"/>
          <w:sz w:val="30"/>
          <w:szCs w:val="30"/>
          <w:highlight w:val="none"/>
          <w:lang w:eastAsia="zh-CN"/>
        </w:rPr>
      </w:pPr>
      <w:r>
        <w:rPr>
          <w:rFonts w:hint="eastAsia" w:hAnsi="宋体"/>
          <w:b/>
          <w:bCs/>
          <w:color w:val="auto"/>
          <w:w w:val="95"/>
          <w:sz w:val="30"/>
          <w:szCs w:val="30"/>
          <w:highlight w:val="none"/>
        </w:rPr>
        <w:t>内镜系统）采购</w:t>
      </w:r>
    </w:p>
    <w:p w14:paraId="22636EB1">
      <w:pPr>
        <w:pStyle w:val="25"/>
        <w:snapToGrid w:val="0"/>
        <w:spacing w:line="360" w:lineRule="auto"/>
        <w:jc w:val="center"/>
        <w:rPr>
          <w:rFonts w:hint="eastAsia" w:hAnsi="宋体"/>
          <w:b/>
          <w:bCs/>
          <w:color w:val="auto"/>
          <w:w w:val="95"/>
          <w:sz w:val="30"/>
          <w:szCs w:val="30"/>
          <w:highlight w:val="none"/>
        </w:rPr>
      </w:pPr>
    </w:p>
    <w:p w14:paraId="00A84290">
      <w:pPr>
        <w:pStyle w:val="25"/>
        <w:snapToGrid w:val="0"/>
        <w:spacing w:line="360" w:lineRule="auto"/>
        <w:ind w:firstLine="1977" w:firstLineChars="691"/>
        <w:rPr>
          <w:rFonts w:hint="eastAsia" w:hAnsi="宋体" w:eastAsia="宋体"/>
          <w:b/>
          <w:bCs/>
          <w:color w:val="auto"/>
          <w:w w:val="95"/>
          <w:sz w:val="30"/>
          <w:szCs w:val="30"/>
          <w:highlight w:val="none"/>
          <w:lang w:eastAsia="zh-CN"/>
        </w:rPr>
      </w:pPr>
      <w:r>
        <w:rPr>
          <w:rFonts w:hint="eastAsia" w:hAnsi="宋体"/>
          <w:b/>
          <w:bCs/>
          <w:color w:val="auto"/>
          <w:w w:val="95"/>
          <w:sz w:val="30"/>
          <w:szCs w:val="30"/>
          <w:highlight w:val="none"/>
        </w:rPr>
        <w:t>项目编号：</w:t>
      </w:r>
      <w:r>
        <w:rPr>
          <w:rFonts w:hint="eastAsia" w:hAnsi="宋体"/>
          <w:b/>
          <w:bCs/>
          <w:color w:val="auto"/>
          <w:w w:val="95"/>
          <w:sz w:val="30"/>
          <w:szCs w:val="30"/>
          <w:highlight w:val="none"/>
          <w:lang w:eastAsia="zh-CN"/>
        </w:rPr>
        <w:t>GXZC2025-G1-003075-KWZB</w:t>
      </w:r>
    </w:p>
    <w:p w14:paraId="5BA59B9A">
      <w:pPr>
        <w:pStyle w:val="25"/>
        <w:snapToGrid w:val="0"/>
        <w:spacing w:line="360" w:lineRule="auto"/>
        <w:ind w:firstLine="1977" w:firstLineChars="691"/>
        <w:rPr>
          <w:rFonts w:hAnsi="宋体"/>
          <w:b/>
          <w:bCs/>
          <w:color w:val="auto"/>
          <w:w w:val="95"/>
          <w:sz w:val="30"/>
          <w:szCs w:val="30"/>
          <w:highlight w:val="none"/>
        </w:rPr>
      </w:pPr>
    </w:p>
    <w:p w14:paraId="05FF2DC8">
      <w:pPr>
        <w:pStyle w:val="25"/>
        <w:snapToGrid w:val="0"/>
        <w:spacing w:line="360" w:lineRule="auto"/>
        <w:ind w:firstLine="1977" w:firstLineChars="691"/>
        <w:rPr>
          <w:rFonts w:hAnsi="宋体"/>
          <w:b/>
          <w:bCs/>
          <w:color w:val="auto"/>
          <w:w w:val="95"/>
          <w:sz w:val="30"/>
          <w:szCs w:val="30"/>
          <w:highlight w:val="none"/>
        </w:rPr>
      </w:pPr>
    </w:p>
    <w:p w14:paraId="0F99F2E9">
      <w:pPr>
        <w:pStyle w:val="25"/>
        <w:snapToGrid w:val="0"/>
        <w:spacing w:line="360" w:lineRule="auto"/>
        <w:ind w:firstLine="1977" w:firstLineChars="691"/>
        <w:rPr>
          <w:rFonts w:hAnsi="宋体"/>
          <w:b/>
          <w:bCs/>
          <w:color w:val="auto"/>
          <w:w w:val="95"/>
          <w:sz w:val="30"/>
          <w:szCs w:val="30"/>
          <w:highlight w:val="none"/>
        </w:rPr>
      </w:pPr>
    </w:p>
    <w:p w14:paraId="0435EF39">
      <w:pPr>
        <w:pStyle w:val="25"/>
        <w:snapToGrid w:val="0"/>
        <w:spacing w:line="360" w:lineRule="auto"/>
        <w:ind w:firstLine="1977" w:firstLineChars="691"/>
        <w:rPr>
          <w:rFonts w:hAnsi="宋体"/>
          <w:b/>
          <w:bCs/>
          <w:color w:val="auto"/>
          <w:w w:val="95"/>
          <w:sz w:val="30"/>
          <w:szCs w:val="30"/>
          <w:highlight w:val="none"/>
        </w:rPr>
      </w:pPr>
    </w:p>
    <w:p w14:paraId="43FA609C">
      <w:pPr>
        <w:pStyle w:val="25"/>
        <w:snapToGrid w:val="0"/>
        <w:spacing w:line="360" w:lineRule="auto"/>
        <w:ind w:firstLine="1977" w:firstLineChars="691"/>
        <w:rPr>
          <w:rFonts w:hAnsi="宋体"/>
          <w:b/>
          <w:bCs/>
          <w:color w:val="auto"/>
          <w:w w:val="95"/>
          <w:sz w:val="30"/>
          <w:szCs w:val="30"/>
          <w:highlight w:val="none"/>
        </w:rPr>
      </w:pPr>
    </w:p>
    <w:p w14:paraId="2FB1D160">
      <w:pPr>
        <w:pStyle w:val="25"/>
        <w:snapToGrid w:val="0"/>
        <w:spacing w:line="360" w:lineRule="auto"/>
        <w:ind w:firstLine="1977" w:firstLineChars="691"/>
        <w:rPr>
          <w:rFonts w:hint="eastAsia" w:hAnsi="宋体" w:eastAsia="宋体"/>
          <w:b/>
          <w:bCs/>
          <w:color w:val="auto"/>
          <w:w w:val="95"/>
          <w:sz w:val="30"/>
          <w:szCs w:val="30"/>
          <w:highlight w:val="none"/>
          <w:lang w:eastAsia="zh-CN"/>
        </w:rPr>
      </w:pPr>
      <w:r>
        <w:rPr>
          <w:rFonts w:hint="eastAsia" w:hAnsi="宋体"/>
          <w:b/>
          <w:bCs/>
          <w:color w:val="auto"/>
          <w:w w:val="95"/>
          <w:sz w:val="30"/>
          <w:szCs w:val="30"/>
          <w:highlight w:val="none"/>
        </w:rPr>
        <w:t>采 购 人：</w:t>
      </w:r>
      <w:r>
        <w:rPr>
          <w:rFonts w:hint="eastAsia" w:hAnsi="宋体"/>
          <w:b/>
          <w:bCs/>
          <w:color w:val="auto"/>
          <w:w w:val="95"/>
          <w:sz w:val="30"/>
          <w:szCs w:val="30"/>
          <w:highlight w:val="none"/>
          <w:lang w:eastAsia="zh-CN"/>
        </w:rPr>
        <w:t>广西壮族自治区人民医院</w:t>
      </w:r>
    </w:p>
    <w:p w14:paraId="3178B3AE">
      <w:pPr>
        <w:pStyle w:val="25"/>
        <w:snapToGrid w:val="0"/>
        <w:spacing w:line="360" w:lineRule="auto"/>
        <w:ind w:firstLine="1977" w:firstLineChars="691"/>
        <w:rPr>
          <w:rFonts w:hAnsi="宋体"/>
          <w:b/>
          <w:bCs/>
          <w:color w:val="auto"/>
          <w:w w:val="95"/>
          <w:sz w:val="30"/>
          <w:szCs w:val="30"/>
          <w:highlight w:val="none"/>
        </w:rPr>
      </w:pPr>
      <w:r>
        <w:rPr>
          <w:rFonts w:hint="eastAsia" w:hAnsi="宋体"/>
          <w:b/>
          <w:bCs/>
          <w:color w:val="auto"/>
          <w:w w:val="95"/>
          <w:sz w:val="30"/>
          <w:szCs w:val="30"/>
          <w:highlight w:val="none"/>
        </w:rPr>
        <w:t>采购代理机构：广西科文招标有限公司</w:t>
      </w:r>
    </w:p>
    <w:p w14:paraId="5C588FA6">
      <w:pPr>
        <w:pStyle w:val="25"/>
        <w:snapToGrid w:val="0"/>
        <w:spacing w:line="360" w:lineRule="auto"/>
        <w:ind w:firstLine="1125" w:firstLineChars="393"/>
        <w:rPr>
          <w:rFonts w:hAnsi="宋体"/>
          <w:b/>
          <w:bCs/>
          <w:color w:val="auto"/>
          <w:w w:val="95"/>
          <w:sz w:val="30"/>
          <w:szCs w:val="30"/>
          <w:highlight w:val="none"/>
        </w:rPr>
      </w:pPr>
    </w:p>
    <w:p w14:paraId="0B5F574E">
      <w:pPr>
        <w:pStyle w:val="25"/>
        <w:snapToGrid w:val="0"/>
        <w:spacing w:line="360" w:lineRule="auto"/>
        <w:jc w:val="center"/>
        <w:rPr>
          <w:rFonts w:hAnsi="宋体"/>
          <w:color w:val="auto"/>
          <w:szCs w:val="20"/>
          <w:highlight w:val="none"/>
        </w:rPr>
      </w:pPr>
      <w:r>
        <w:rPr>
          <w:rFonts w:hint="eastAsia" w:hAnsi="宋体"/>
          <w:b/>
          <w:bCs/>
          <w:color w:val="auto"/>
          <w:w w:val="95"/>
          <w:sz w:val="30"/>
          <w:szCs w:val="30"/>
          <w:highlight w:val="none"/>
          <w:lang w:eastAsia="zh-CN"/>
        </w:rPr>
        <w:t>2025年</w:t>
      </w:r>
      <w:r>
        <w:rPr>
          <w:rFonts w:hint="eastAsia" w:hAnsi="宋体"/>
          <w:b/>
          <w:bCs/>
          <w:color w:val="auto"/>
          <w:w w:val="95"/>
          <w:sz w:val="30"/>
          <w:szCs w:val="30"/>
          <w:highlight w:val="none"/>
          <w:lang w:val="en-US" w:eastAsia="zh-CN"/>
        </w:rPr>
        <w:t>10</w:t>
      </w:r>
      <w:r>
        <w:rPr>
          <w:rFonts w:hint="eastAsia" w:hAnsi="宋体"/>
          <w:b/>
          <w:bCs/>
          <w:color w:val="auto"/>
          <w:w w:val="95"/>
          <w:sz w:val="30"/>
          <w:szCs w:val="30"/>
          <w:highlight w:val="none"/>
          <w:lang w:eastAsia="zh-CN"/>
        </w:rPr>
        <w:t>月</w:t>
      </w:r>
      <w:r>
        <w:rPr>
          <w:rFonts w:hint="eastAsia" w:hAnsi="宋体"/>
          <w:b/>
          <w:bCs/>
          <w:color w:val="auto"/>
          <w:w w:val="95"/>
          <w:sz w:val="30"/>
          <w:szCs w:val="30"/>
          <w:highlight w:val="none"/>
          <w:lang w:val="en-US" w:eastAsia="zh-CN"/>
        </w:rPr>
        <w:t>24</w:t>
      </w:r>
      <w:r>
        <w:rPr>
          <w:rFonts w:hint="eastAsia" w:hAnsi="宋体"/>
          <w:b/>
          <w:bCs/>
          <w:color w:val="auto"/>
          <w:w w:val="95"/>
          <w:sz w:val="30"/>
          <w:szCs w:val="30"/>
          <w:highlight w:val="none"/>
          <w:lang w:eastAsia="zh-CN"/>
        </w:rPr>
        <w:t>日</w:t>
      </w:r>
    </w:p>
    <w:p w14:paraId="140146BD">
      <w:pPr>
        <w:pStyle w:val="20"/>
        <w:kinsoku w:val="0"/>
        <w:overflowPunct w:val="0"/>
        <w:rPr>
          <w:rFonts w:ascii="宋体" w:hAnsi="宋体"/>
          <w:color w:val="auto"/>
          <w:sz w:val="40"/>
          <w:highlight w:val="none"/>
        </w:rPr>
      </w:pPr>
    </w:p>
    <w:p w14:paraId="708ADC9A">
      <w:pPr>
        <w:spacing w:line="360" w:lineRule="auto"/>
        <w:jc w:val="center"/>
        <w:rPr>
          <w:rFonts w:hint="eastAsia" w:ascii="宋体" w:hAnsi="宋体"/>
          <w:b/>
          <w:color w:val="auto"/>
          <w:sz w:val="44"/>
          <w:szCs w:val="44"/>
          <w:highlight w:val="none"/>
        </w:rPr>
        <w:sectPr>
          <w:footerReference r:id="rId5" w:type="first"/>
          <w:headerReference r:id="rId3" w:type="default"/>
          <w:footerReference r:id="rId4" w:type="even"/>
          <w:pgSz w:w="11906" w:h="16838"/>
          <w:pgMar w:top="1134" w:right="1134" w:bottom="1134" w:left="1134" w:header="851" w:footer="567" w:gutter="0"/>
          <w:cols w:space="720" w:num="1"/>
          <w:titlePg/>
          <w:docGrid w:linePitch="312" w:charSpace="0"/>
        </w:sectPr>
      </w:pPr>
    </w:p>
    <w:p w14:paraId="7F478ADC">
      <w:pPr>
        <w:spacing w:line="360" w:lineRule="auto"/>
        <w:jc w:val="center"/>
        <w:rPr>
          <w:rFonts w:ascii="宋体" w:hAnsi="宋体"/>
          <w:b/>
          <w:color w:val="auto"/>
          <w:sz w:val="44"/>
          <w:szCs w:val="44"/>
          <w:highlight w:val="none"/>
        </w:rPr>
      </w:pPr>
      <w:r>
        <w:rPr>
          <w:rFonts w:hint="eastAsia" w:ascii="宋体" w:hAnsi="宋体"/>
          <w:b/>
          <w:color w:val="auto"/>
          <w:sz w:val="44"/>
          <w:szCs w:val="44"/>
          <w:highlight w:val="none"/>
        </w:rPr>
        <w:t>目  录</w:t>
      </w:r>
    </w:p>
    <w:p w14:paraId="6D34FA24">
      <w:pPr>
        <w:pStyle w:val="33"/>
        <w:rPr>
          <w:b w:val="0"/>
          <w:bCs w:val="0"/>
          <w:caps w:val="0"/>
          <w:color w:val="auto"/>
          <w:sz w:val="21"/>
          <w:szCs w:val="22"/>
          <w:highlight w:val="none"/>
        </w:rPr>
      </w:pPr>
      <w:r>
        <w:rPr>
          <w:b w:val="0"/>
          <w:color w:val="auto"/>
          <w:highlight w:val="none"/>
        </w:rPr>
        <w:fldChar w:fldCharType="begin"/>
      </w:r>
      <w:r>
        <w:rPr>
          <w:b w:val="0"/>
          <w:color w:val="auto"/>
          <w:highlight w:val="none"/>
        </w:rPr>
        <w:instrText xml:space="preserve"> </w:instrText>
      </w:r>
      <w:r>
        <w:rPr>
          <w:rFonts w:hint="eastAsia"/>
          <w:b w:val="0"/>
          <w:color w:val="auto"/>
          <w:highlight w:val="none"/>
        </w:rPr>
        <w:instrText xml:space="preserve">TOC \o "1-2" \h \z \u</w:instrText>
      </w:r>
      <w:r>
        <w:rPr>
          <w:b w:val="0"/>
          <w:color w:val="auto"/>
          <w:highlight w:val="none"/>
        </w:rPr>
        <w:instrText xml:space="preserve"> </w:instrText>
      </w:r>
      <w:r>
        <w:rPr>
          <w:b w:val="0"/>
          <w:color w:val="auto"/>
          <w:highlight w:val="none"/>
        </w:rPr>
        <w:fldChar w:fldCharType="separate"/>
      </w:r>
      <w:r>
        <w:rPr>
          <w:color w:val="auto"/>
          <w:highlight w:val="none"/>
        </w:rPr>
        <w:fldChar w:fldCharType="begin"/>
      </w:r>
      <w:r>
        <w:rPr>
          <w:color w:val="auto"/>
          <w:highlight w:val="none"/>
        </w:rPr>
        <w:instrText xml:space="preserve"> HYPERLINK \l "_Toc74320800" </w:instrText>
      </w:r>
      <w:r>
        <w:rPr>
          <w:color w:val="auto"/>
          <w:highlight w:val="none"/>
        </w:rPr>
        <w:fldChar w:fldCharType="separate"/>
      </w:r>
      <w:r>
        <w:rPr>
          <w:rStyle w:val="53"/>
          <w:rFonts w:hint="eastAsia"/>
          <w:color w:val="auto"/>
          <w:highlight w:val="none"/>
        </w:rPr>
        <w:t>第一章</w:t>
      </w:r>
      <w:r>
        <w:rPr>
          <w:rStyle w:val="53"/>
          <w:color w:val="auto"/>
          <w:highlight w:val="none"/>
        </w:rPr>
        <w:t xml:space="preserve"> </w:t>
      </w:r>
      <w:r>
        <w:rPr>
          <w:rStyle w:val="53"/>
          <w:rFonts w:hint="eastAsia"/>
          <w:color w:val="auto"/>
          <w:highlight w:val="none"/>
        </w:rPr>
        <w:t xml:space="preserve"> 招标公告</w:t>
      </w:r>
      <w:r>
        <w:rPr>
          <w:color w:val="auto"/>
          <w:highlight w:val="none"/>
        </w:rPr>
        <w:tab/>
      </w:r>
      <w:r>
        <w:rPr>
          <w:color w:val="auto"/>
          <w:highlight w:val="none"/>
        </w:rPr>
        <w:fldChar w:fldCharType="begin"/>
      </w:r>
      <w:r>
        <w:rPr>
          <w:color w:val="auto"/>
          <w:highlight w:val="none"/>
        </w:rPr>
        <w:instrText xml:space="preserve"> PAGEREF _Toc74320800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6BB11B11">
      <w:pPr>
        <w:pStyle w:val="33"/>
        <w:ind w:firstLine="241"/>
        <w:rPr>
          <w:b w:val="0"/>
          <w:bCs w:val="0"/>
          <w:caps w:val="0"/>
          <w:color w:val="auto"/>
          <w:sz w:val="21"/>
          <w:szCs w:val="22"/>
          <w:highlight w:val="none"/>
        </w:rPr>
      </w:pPr>
      <w:r>
        <w:rPr>
          <w:color w:val="auto"/>
          <w:highlight w:val="none"/>
        </w:rPr>
        <w:fldChar w:fldCharType="begin"/>
      </w:r>
      <w:r>
        <w:rPr>
          <w:color w:val="auto"/>
          <w:highlight w:val="none"/>
        </w:rPr>
        <w:instrText xml:space="preserve"> HYPERLINK \l "_Toc74320801" </w:instrText>
      </w:r>
      <w:r>
        <w:rPr>
          <w:color w:val="auto"/>
          <w:highlight w:val="none"/>
        </w:rPr>
        <w:fldChar w:fldCharType="separate"/>
      </w:r>
      <w:r>
        <w:rPr>
          <w:rStyle w:val="53"/>
          <w:rFonts w:hint="eastAsia"/>
          <w:color w:val="auto"/>
          <w:highlight w:val="none"/>
        </w:rPr>
        <w:t>第二章</w:t>
      </w:r>
      <w:r>
        <w:rPr>
          <w:rStyle w:val="53"/>
          <w:color w:val="auto"/>
          <w:highlight w:val="none"/>
        </w:rPr>
        <w:t xml:space="preserve">  </w:t>
      </w:r>
      <w:r>
        <w:rPr>
          <w:rStyle w:val="53"/>
          <w:rFonts w:hint="eastAsia"/>
          <w:color w:val="auto"/>
          <w:highlight w:val="none"/>
        </w:rPr>
        <w:t>采购需求</w:t>
      </w:r>
      <w:r>
        <w:rPr>
          <w:color w:val="auto"/>
          <w:highlight w:val="none"/>
        </w:rPr>
        <w:tab/>
      </w:r>
      <w:r>
        <w:rPr>
          <w:color w:val="auto"/>
          <w:highlight w:val="none"/>
        </w:rPr>
        <w:fldChar w:fldCharType="begin"/>
      </w:r>
      <w:r>
        <w:rPr>
          <w:color w:val="auto"/>
          <w:highlight w:val="none"/>
        </w:rPr>
        <w:instrText xml:space="preserve"> PAGEREF _Toc74320801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58571CFB">
      <w:pPr>
        <w:pStyle w:val="33"/>
        <w:ind w:firstLine="241"/>
        <w:rPr>
          <w:rFonts w:hint="eastAsia" w:eastAsia="宋体"/>
          <w:b w:val="0"/>
          <w:bCs w:val="0"/>
          <w:caps w:val="0"/>
          <w:color w:val="auto"/>
          <w:sz w:val="21"/>
          <w:szCs w:val="22"/>
          <w:highlight w:val="none"/>
          <w:lang w:val="en-US" w:eastAsia="zh-CN"/>
        </w:rPr>
      </w:pPr>
      <w:r>
        <w:rPr>
          <w:color w:val="auto"/>
          <w:highlight w:val="none"/>
        </w:rPr>
        <w:fldChar w:fldCharType="begin"/>
      </w:r>
      <w:r>
        <w:rPr>
          <w:color w:val="auto"/>
          <w:highlight w:val="none"/>
        </w:rPr>
        <w:instrText xml:space="preserve"> HYPERLINK \l "_Toc74320802" </w:instrText>
      </w:r>
      <w:r>
        <w:rPr>
          <w:color w:val="auto"/>
          <w:highlight w:val="none"/>
        </w:rPr>
        <w:fldChar w:fldCharType="separate"/>
      </w:r>
      <w:r>
        <w:rPr>
          <w:rStyle w:val="53"/>
          <w:rFonts w:hint="eastAsia"/>
          <w:color w:val="auto"/>
          <w:highlight w:val="none"/>
        </w:rPr>
        <w:t>第三章</w:t>
      </w:r>
      <w:r>
        <w:rPr>
          <w:rStyle w:val="53"/>
          <w:color w:val="auto"/>
          <w:highlight w:val="none"/>
        </w:rPr>
        <w:t xml:space="preserve">  </w:t>
      </w:r>
      <w:r>
        <w:rPr>
          <w:rStyle w:val="53"/>
          <w:rFonts w:hint="eastAsia"/>
          <w:color w:val="auto"/>
          <w:highlight w:val="none"/>
        </w:rPr>
        <w:t>投标人须</w:t>
      </w:r>
      <w:bookmarkStart w:id="0" w:name="_Hlt79572744"/>
      <w:bookmarkStart w:id="1" w:name="_Hlt79572745"/>
      <w:r>
        <w:rPr>
          <w:rStyle w:val="53"/>
          <w:rFonts w:hint="eastAsia"/>
          <w:color w:val="auto"/>
          <w:highlight w:val="none"/>
        </w:rPr>
        <w:t>知</w:t>
      </w:r>
      <w:bookmarkEnd w:id="0"/>
      <w:bookmarkEnd w:id="1"/>
      <w:r>
        <w:rPr>
          <w:color w:val="auto"/>
          <w:highlight w:val="none"/>
        </w:rPr>
        <w:tab/>
      </w:r>
      <w:r>
        <w:rPr>
          <w:rFonts w:hint="eastAsia"/>
          <w:color w:val="auto"/>
          <w:highlight w:val="none"/>
          <w:lang w:val="en-US" w:eastAsia="zh-CN"/>
        </w:rPr>
        <w:t>4</w:t>
      </w:r>
      <w:r>
        <w:rPr>
          <w:color w:val="auto"/>
          <w:highlight w:val="none"/>
        </w:rPr>
        <w:fldChar w:fldCharType="end"/>
      </w:r>
      <w:r>
        <w:rPr>
          <w:rFonts w:hint="eastAsia"/>
          <w:color w:val="auto"/>
          <w:highlight w:val="none"/>
          <w:lang w:val="en-US" w:eastAsia="zh-CN"/>
        </w:rPr>
        <w:t>1</w:t>
      </w:r>
    </w:p>
    <w:p w14:paraId="7A79378B">
      <w:pPr>
        <w:pStyle w:val="33"/>
        <w:ind w:firstLine="241"/>
        <w:rPr>
          <w:b w:val="0"/>
          <w:bCs w:val="0"/>
          <w:caps w:val="0"/>
          <w:color w:val="auto"/>
          <w:sz w:val="21"/>
          <w:szCs w:val="22"/>
          <w:highlight w:val="none"/>
        </w:rPr>
      </w:pPr>
      <w:r>
        <w:rPr>
          <w:color w:val="auto"/>
          <w:highlight w:val="none"/>
        </w:rPr>
        <w:fldChar w:fldCharType="begin"/>
      </w:r>
      <w:r>
        <w:rPr>
          <w:color w:val="auto"/>
          <w:highlight w:val="none"/>
        </w:rPr>
        <w:instrText xml:space="preserve"> HYPERLINK \l "_Toc74320803" </w:instrText>
      </w:r>
      <w:r>
        <w:rPr>
          <w:color w:val="auto"/>
          <w:highlight w:val="none"/>
        </w:rPr>
        <w:fldChar w:fldCharType="separate"/>
      </w:r>
      <w:r>
        <w:rPr>
          <w:rStyle w:val="53"/>
          <w:rFonts w:hint="eastAsia"/>
          <w:color w:val="auto"/>
          <w:highlight w:val="none"/>
        </w:rPr>
        <w:t>第四章</w:t>
      </w:r>
      <w:r>
        <w:rPr>
          <w:rStyle w:val="53"/>
          <w:color w:val="auto"/>
          <w:highlight w:val="none"/>
        </w:rPr>
        <w:t xml:space="preserve">  </w:t>
      </w:r>
      <w:r>
        <w:rPr>
          <w:rStyle w:val="53"/>
          <w:rFonts w:hint="eastAsia"/>
          <w:color w:val="auto"/>
          <w:highlight w:val="none"/>
        </w:rPr>
        <w:t>评标方</w:t>
      </w:r>
      <w:bookmarkStart w:id="2" w:name="_Hlt82186274"/>
      <w:bookmarkStart w:id="3" w:name="_Hlt82186273"/>
      <w:r>
        <w:rPr>
          <w:rStyle w:val="53"/>
          <w:rFonts w:hint="eastAsia"/>
          <w:color w:val="auto"/>
          <w:highlight w:val="none"/>
        </w:rPr>
        <w:t>法</w:t>
      </w:r>
      <w:bookmarkEnd w:id="2"/>
      <w:bookmarkEnd w:id="3"/>
      <w:r>
        <w:rPr>
          <w:rStyle w:val="53"/>
          <w:rFonts w:hint="eastAsia"/>
          <w:color w:val="auto"/>
          <w:highlight w:val="none"/>
        </w:rPr>
        <w:t>及评标标准</w:t>
      </w:r>
      <w:r>
        <w:rPr>
          <w:color w:val="auto"/>
          <w:highlight w:val="none"/>
        </w:rPr>
        <w:tab/>
      </w:r>
      <w:r>
        <w:rPr>
          <w:color w:val="auto"/>
          <w:highlight w:val="none"/>
        </w:rPr>
        <w:fldChar w:fldCharType="begin"/>
      </w:r>
      <w:r>
        <w:rPr>
          <w:color w:val="auto"/>
          <w:highlight w:val="none"/>
        </w:rPr>
        <w:instrText xml:space="preserve"> PAGEREF _Toc74320803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0C95DCC3">
      <w:pPr>
        <w:pStyle w:val="33"/>
        <w:ind w:firstLine="241"/>
        <w:rPr>
          <w:b w:val="0"/>
          <w:bCs w:val="0"/>
          <w:caps w:val="0"/>
          <w:color w:val="auto"/>
          <w:sz w:val="21"/>
          <w:szCs w:val="22"/>
          <w:highlight w:val="none"/>
        </w:rPr>
      </w:pPr>
      <w:r>
        <w:rPr>
          <w:color w:val="auto"/>
          <w:highlight w:val="none"/>
        </w:rPr>
        <w:fldChar w:fldCharType="begin"/>
      </w:r>
      <w:r>
        <w:rPr>
          <w:color w:val="auto"/>
          <w:highlight w:val="none"/>
        </w:rPr>
        <w:instrText xml:space="preserve"> HYPERLINK \l "_Toc74320804" </w:instrText>
      </w:r>
      <w:r>
        <w:rPr>
          <w:color w:val="auto"/>
          <w:highlight w:val="none"/>
        </w:rPr>
        <w:fldChar w:fldCharType="separate"/>
      </w:r>
      <w:r>
        <w:rPr>
          <w:rStyle w:val="53"/>
          <w:rFonts w:hint="eastAsia"/>
          <w:color w:val="auto"/>
          <w:highlight w:val="none"/>
        </w:rPr>
        <w:t>第五章</w:t>
      </w:r>
      <w:r>
        <w:rPr>
          <w:rStyle w:val="53"/>
          <w:color w:val="auto"/>
          <w:highlight w:val="none"/>
        </w:rPr>
        <w:t xml:space="preserve">  </w:t>
      </w:r>
      <w:r>
        <w:rPr>
          <w:rStyle w:val="53"/>
          <w:rFonts w:hint="eastAsia"/>
          <w:color w:val="auto"/>
          <w:highlight w:val="none"/>
        </w:rPr>
        <w:t>拟签订的合同文本</w:t>
      </w:r>
      <w:r>
        <w:rPr>
          <w:color w:val="auto"/>
          <w:highlight w:val="none"/>
        </w:rPr>
        <w:tab/>
      </w:r>
      <w:r>
        <w:rPr>
          <w:color w:val="auto"/>
          <w:highlight w:val="none"/>
        </w:rPr>
        <w:fldChar w:fldCharType="begin"/>
      </w:r>
      <w:r>
        <w:rPr>
          <w:color w:val="auto"/>
          <w:highlight w:val="none"/>
        </w:rPr>
        <w:instrText xml:space="preserve"> PAGEREF _Toc74320804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14:paraId="499F2450">
      <w:pPr>
        <w:pStyle w:val="33"/>
        <w:ind w:firstLine="241"/>
        <w:rPr>
          <w:b w:val="0"/>
          <w:bCs w:val="0"/>
          <w:caps w:val="0"/>
          <w:color w:val="auto"/>
          <w:sz w:val="21"/>
          <w:szCs w:val="22"/>
          <w:highlight w:val="none"/>
        </w:rPr>
      </w:pPr>
      <w:r>
        <w:rPr>
          <w:color w:val="auto"/>
          <w:highlight w:val="none"/>
        </w:rPr>
        <w:fldChar w:fldCharType="begin"/>
      </w:r>
      <w:r>
        <w:rPr>
          <w:color w:val="auto"/>
          <w:highlight w:val="none"/>
        </w:rPr>
        <w:instrText xml:space="preserve"> HYPERLINK \l "_Toc74320805" </w:instrText>
      </w:r>
      <w:r>
        <w:rPr>
          <w:color w:val="auto"/>
          <w:highlight w:val="none"/>
        </w:rPr>
        <w:fldChar w:fldCharType="separate"/>
      </w:r>
      <w:r>
        <w:rPr>
          <w:rStyle w:val="53"/>
          <w:rFonts w:hint="eastAsia"/>
          <w:color w:val="auto"/>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_Toc74320805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32F8ECB1">
      <w:pPr>
        <w:spacing w:before="120" w:beforeLines="50" w:line="480" w:lineRule="exact"/>
        <w:rPr>
          <w:rFonts w:ascii="宋体" w:hAnsi="宋体"/>
          <w:color w:val="auto"/>
          <w:sz w:val="24"/>
          <w:highlight w:val="none"/>
        </w:rPr>
      </w:pPr>
      <w:r>
        <w:rPr>
          <w:rFonts w:ascii="宋体" w:hAnsi="宋体"/>
          <w:b/>
          <w:color w:val="auto"/>
          <w:sz w:val="24"/>
          <w:highlight w:val="none"/>
        </w:rPr>
        <w:fldChar w:fldCharType="end"/>
      </w:r>
    </w:p>
    <w:p w14:paraId="61A26E9A">
      <w:pPr>
        <w:spacing w:before="120" w:beforeLines="50" w:line="480" w:lineRule="exact"/>
        <w:rPr>
          <w:rFonts w:ascii="宋体" w:hAnsi="宋体"/>
          <w:color w:val="auto"/>
          <w:sz w:val="30"/>
          <w:highlight w:val="none"/>
        </w:rPr>
      </w:pPr>
    </w:p>
    <w:p w14:paraId="5966C782">
      <w:pPr>
        <w:rPr>
          <w:rFonts w:ascii="宋体" w:hAnsi="宋体"/>
          <w:color w:val="auto"/>
          <w:highlight w:val="none"/>
        </w:rPr>
      </w:pPr>
    </w:p>
    <w:p w14:paraId="3C5174FE">
      <w:pPr>
        <w:spacing w:before="120" w:beforeLines="50" w:line="480" w:lineRule="exact"/>
        <w:rPr>
          <w:rFonts w:ascii="宋体" w:hAnsi="宋体"/>
          <w:color w:val="auto"/>
          <w:sz w:val="30"/>
          <w:highlight w:val="none"/>
        </w:rPr>
      </w:pPr>
    </w:p>
    <w:p w14:paraId="61B7DFA3">
      <w:pPr>
        <w:spacing w:before="120" w:beforeLines="50" w:line="480" w:lineRule="exact"/>
        <w:rPr>
          <w:rFonts w:ascii="宋体" w:hAnsi="宋体"/>
          <w:color w:val="auto"/>
          <w:sz w:val="30"/>
          <w:highlight w:val="none"/>
        </w:rPr>
      </w:pPr>
    </w:p>
    <w:p w14:paraId="06741E8A">
      <w:pPr>
        <w:pStyle w:val="18"/>
        <w:rPr>
          <w:rFonts w:ascii="宋体" w:hAnsi="宋体" w:cs="宋体"/>
          <w:b/>
          <w:bCs/>
          <w:color w:val="auto"/>
          <w:highlight w:val="none"/>
        </w:rPr>
      </w:pPr>
      <w:bookmarkStart w:id="4" w:name="_Toc254970489"/>
      <w:bookmarkStart w:id="5" w:name="_Toc254970630"/>
    </w:p>
    <w:p w14:paraId="541C2D08">
      <w:pPr>
        <w:pStyle w:val="5"/>
        <w:keepNext w:val="0"/>
        <w:keepLines w:val="0"/>
        <w:tabs>
          <w:tab w:val="left" w:pos="0"/>
          <w:tab w:val="left" w:pos="3165"/>
          <w:tab w:val="center" w:pos="4153"/>
        </w:tabs>
        <w:autoSpaceDE w:val="0"/>
        <w:autoSpaceDN w:val="0"/>
        <w:adjustRightInd w:val="0"/>
        <w:spacing w:before="0" w:after="0" w:line="360" w:lineRule="auto"/>
        <w:jc w:val="center"/>
        <w:rPr>
          <w:rFonts w:hint="eastAsia" w:ascii="宋体" w:hAnsi="宋体"/>
          <w:color w:val="auto"/>
          <w:highlight w:val="none"/>
        </w:rPr>
        <w:sectPr>
          <w:footerReference r:id="rId7" w:type="first"/>
          <w:footerReference r:id="rId6" w:type="default"/>
          <w:pgSz w:w="11906" w:h="16838"/>
          <w:pgMar w:top="1134" w:right="1134" w:bottom="1134" w:left="1134" w:header="851" w:footer="567" w:gutter="0"/>
          <w:pgNumType w:start="1"/>
          <w:cols w:space="720" w:num="1"/>
          <w:docGrid w:linePitch="312" w:charSpace="0"/>
        </w:sectPr>
      </w:pPr>
      <w:bookmarkStart w:id="6" w:name="_Toc74320800"/>
    </w:p>
    <w:p w14:paraId="06177F6E">
      <w:pPr>
        <w:pStyle w:val="5"/>
        <w:keepNext w:val="0"/>
        <w:keepLines w:val="0"/>
        <w:tabs>
          <w:tab w:val="left" w:pos="0"/>
          <w:tab w:val="left" w:pos="3165"/>
          <w:tab w:val="center" w:pos="4153"/>
        </w:tabs>
        <w:autoSpaceDE w:val="0"/>
        <w:autoSpaceDN w:val="0"/>
        <w:adjustRightInd w:val="0"/>
        <w:spacing w:before="0" w:after="0" w:line="360" w:lineRule="auto"/>
        <w:jc w:val="center"/>
        <w:rPr>
          <w:rFonts w:ascii="宋体" w:hAnsi="宋体"/>
          <w:color w:val="auto"/>
          <w:highlight w:val="none"/>
        </w:rPr>
      </w:pPr>
      <w:r>
        <w:rPr>
          <w:rFonts w:hint="eastAsia" w:ascii="宋体" w:hAnsi="宋体"/>
          <w:color w:val="auto"/>
          <w:highlight w:val="none"/>
        </w:rPr>
        <w:t>第一章</w:t>
      </w:r>
      <w:bookmarkEnd w:id="4"/>
      <w:bookmarkEnd w:id="5"/>
      <w:bookmarkStart w:id="7" w:name="_Toc35393789"/>
      <w:bookmarkStart w:id="8" w:name="_Toc28359001"/>
      <w:r>
        <w:rPr>
          <w:rFonts w:hint="eastAsia" w:ascii="宋体" w:hAnsi="宋体"/>
          <w:color w:val="auto"/>
          <w:highlight w:val="none"/>
        </w:rPr>
        <w:t xml:space="preserve"> 招标公告</w:t>
      </w:r>
      <w:bookmarkEnd w:id="6"/>
      <w:bookmarkEnd w:id="7"/>
      <w:bookmarkEnd w:id="8"/>
    </w:p>
    <w:p w14:paraId="74F22C29">
      <w:pPr>
        <w:rPr>
          <w:rFonts w:ascii="宋体" w:hAnsi="宋体"/>
          <w:color w:val="auto"/>
          <w:highlight w:val="none"/>
        </w:rPr>
      </w:pPr>
    </w:p>
    <w:p w14:paraId="7F9B22FF">
      <w:pPr>
        <w:pStyle w:val="25"/>
        <w:spacing w:line="500" w:lineRule="exact"/>
        <w:jc w:val="center"/>
        <w:rPr>
          <w:rFonts w:hAnsi="宋体"/>
          <w:b/>
          <w:color w:val="auto"/>
          <w:sz w:val="36"/>
          <w:szCs w:val="36"/>
          <w:highlight w:val="none"/>
        </w:rPr>
      </w:pPr>
      <w:r>
        <w:rPr>
          <w:rFonts w:hint="eastAsia" w:hAnsi="宋体"/>
          <w:b/>
          <w:color w:val="auto"/>
          <w:sz w:val="36"/>
          <w:szCs w:val="36"/>
          <w:highlight w:val="none"/>
        </w:rPr>
        <w:t>广西科文招标有限公司</w:t>
      </w:r>
    </w:p>
    <w:p w14:paraId="742C1D81">
      <w:pPr>
        <w:pStyle w:val="25"/>
        <w:snapToGrid/>
        <w:spacing w:line="500" w:lineRule="exact"/>
        <w:jc w:val="center"/>
        <w:rPr>
          <w:rFonts w:ascii="宋体" w:hAnsi="宋体"/>
          <w:b/>
          <w:bCs w:val="0"/>
          <w:color w:val="auto"/>
          <w:szCs w:val="21"/>
          <w:highlight w:val="none"/>
        </w:rPr>
      </w:pPr>
      <w:r>
        <w:rPr>
          <w:rFonts w:hint="eastAsia" w:hAnsi="宋体" w:cs="Times New Roman"/>
          <w:b/>
          <w:bCs w:val="0"/>
          <w:color w:val="auto"/>
          <w:w w:val="100"/>
          <w:sz w:val="36"/>
          <w:szCs w:val="36"/>
          <w:highlight w:val="none"/>
          <w:lang w:eastAsia="zh-CN"/>
        </w:rPr>
        <w:t>广西壮族自治区人民医院电子内窥镜系统（高清电子内镜系统）采购</w:t>
      </w:r>
      <w:r>
        <w:rPr>
          <w:rFonts w:hint="eastAsia" w:ascii="宋体" w:hAnsi="宋体"/>
          <w:b/>
          <w:bCs w:val="0"/>
          <w:color w:val="auto"/>
          <w:kern w:val="2"/>
          <w:sz w:val="36"/>
          <w:szCs w:val="36"/>
          <w:highlight w:val="none"/>
        </w:rPr>
        <w:t>（</w:t>
      </w:r>
      <w:r>
        <w:rPr>
          <w:rFonts w:hint="eastAsia" w:hAnsi="宋体"/>
          <w:b/>
          <w:bCs w:val="0"/>
          <w:color w:val="auto"/>
          <w:kern w:val="2"/>
          <w:sz w:val="36"/>
          <w:szCs w:val="36"/>
          <w:highlight w:val="none"/>
          <w:lang w:eastAsia="zh-CN"/>
        </w:rPr>
        <w:t>GXZC2025-G1-003075-KWZB</w:t>
      </w:r>
      <w:r>
        <w:rPr>
          <w:rFonts w:hint="eastAsia" w:ascii="宋体" w:hAnsi="宋体"/>
          <w:b/>
          <w:bCs w:val="0"/>
          <w:color w:val="auto"/>
          <w:kern w:val="2"/>
          <w:sz w:val="36"/>
          <w:szCs w:val="36"/>
          <w:highlight w:val="none"/>
        </w:rPr>
        <w:t>）招标公告</w:t>
      </w:r>
    </w:p>
    <w:p w14:paraId="21426912">
      <w:pPr>
        <w:spacing w:line="360" w:lineRule="auto"/>
        <w:rPr>
          <w:rFonts w:ascii="宋体" w:hAnsi="宋体"/>
          <w:color w:val="auto"/>
          <w:szCs w:val="21"/>
          <w:highlight w:val="none"/>
        </w:rPr>
      </w:pPr>
    </w:p>
    <w:p w14:paraId="2365589B">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项目概况</w:t>
      </w:r>
    </w:p>
    <w:p w14:paraId="4F4E9BC8">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360" w:lineRule="exact"/>
        <w:ind w:firstLine="420" w:firstLineChars="200"/>
        <w:rPr>
          <w:rFonts w:ascii="宋体" w:hAnsi="宋体"/>
          <w:color w:val="auto"/>
          <w:szCs w:val="21"/>
          <w:highlight w:val="none"/>
        </w:rPr>
      </w:pPr>
      <w:r>
        <w:rPr>
          <w:rFonts w:hint="eastAsia" w:ascii="宋体" w:hAnsi="宋体" w:cs="Arial"/>
          <w:bCs/>
          <w:color w:val="auto"/>
          <w:szCs w:val="21"/>
          <w:highlight w:val="none"/>
          <w:lang w:eastAsia="zh-CN"/>
        </w:rPr>
        <w:t>广西壮族自治区人民医院电子内窥镜系统（高清电子内镜系统）采购</w:t>
      </w:r>
      <w:r>
        <w:rPr>
          <w:rFonts w:hint="eastAsia" w:ascii="宋体" w:hAnsi="宋体"/>
          <w:color w:val="auto"/>
          <w:szCs w:val="21"/>
          <w:highlight w:val="none"/>
        </w:rPr>
        <w:t>招标项目的潜在投标人应在广西政府采购云平台（https://www.gcy.zfcg.gxzf.gov.cn/）</w:t>
      </w:r>
      <w:r>
        <w:rPr>
          <w:color w:val="auto"/>
          <w:highlight w:val="none"/>
        </w:rPr>
        <w:fldChar w:fldCharType="begin"/>
      </w:r>
      <w:r>
        <w:rPr>
          <w:color w:val="auto"/>
          <w:highlight w:val="none"/>
        </w:rPr>
        <w:instrText xml:space="preserve"> HYPERLINK "https://www.zcygov.cn/）获取（下载）招标文件，并于2023年" </w:instrText>
      </w:r>
      <w:r>
        <w:rPr>
          <w:color w:val="auto"/>
          <w:highlight w:val="none"/>
        </w:rPr>
        <w:fldChar w:fldCharType="separate"/>
      </w:r>
      <w:r>
        <w:rPr>
          <w:rStyle w:val="53"/>
          <w:rFonts w:hint="eastAsia" w:ascii="宋体" w:hAnsi="宋体"/>
          <w:color w:val="auto"/>
          <w:szCs w:val="21"/>
          <w:highlight w:val="none"/>
        </w:rPr>
        <w:t>获取（下载）招标文件，并于</w:t>
      </w:r>
      <w:r>
        <w:rPr>
          <w:rStyle w:val="53"/>
          <w:rFonts w:hint="eastAsia" w:ascii="宋体" w:hAnsi="宋体" w:cs="Arial"/>
          <w:bCs/>
          <w:color w:val="auto"/>
          <w:szCs w:val="21"/>
          <w:highlight w:val="none"/>
        </w:rPr>
        <w:t>202</w:t>
      </w:r>
      <w:r>
        <w:rPr>
          <w:rStyle w:val="53"/>
          <w:rFonts w:hint="eastAsia" w:ascii="宋体" w:hAnsi="宋体" w:cs="Arial"/>
          <w:bCs/>
          <w:color w:val="auto"/>
          <w:szCs w:val="21"/>
          <w:highlight w:val="none"/>
          <w:lang w:val="en-US" w:eastAsia="zh-CN"/>
        </w:rPr>
        <w:t>5</w:t>
      </w:r>
      <w:r>
        <w:rPr>
          <w:rStyle w:val="53"/>
          <w:rFonts w:hint="eastAsia" w:ascii="宋体" w:hAnsi="宋体" w:cs="Arial"/>
          <w:bCs/>
          <w:color w:val="auto"/>
          <w:szCs w:val="21"/>
          <w:highlight w:val="none"/>
        </w:rPr>
        <w:t>年</w:t>
      </w:r>
      <w:r>
        <w:rPr>
          <w:rStyle w:val="53"/>
          <w:rFonts w:hint="eastAsia" w:ascii="宋体" w:hAnsi="宋体" w:cs="Arial"/>
          <w:bCs/>
          <w:color w:val="auto"/>
          <w:szCs w:val="21"/>
          <w:highlight w:val="none"/>
        </w:rPr>
        <w:fldChar w:fldCharType="end"/>
      </w:r>
      <w:r>
        <w:rPr>
          <w:rFonts w:hint="eastAsia" w:ascii="宋体" w:hAnsi="宋体" w:cs="Arial"/>
          <w:bCs/>
          <w:color w:val="auto"/>
          <w:szCs w:val="21"/>
          <w:highlight w:val="none"/>
          <w:lang w:val="en-US" w:eastAsia="zh-CN"/>
        </w:rPr>
        <w:t>11</w:t>
      </w:r>
      <w:r>
        <w:rPr>
          <w:rFonts w:hint="eastAsia" w:ascii="宋体" w:hAnsi="宋体" w:cs="Arial"/>
          <w:bCs/>
          <w:color w:val="auto"/>
          <w:szCs w:val="21"/>
          <w:highlight w:val="none"/>
        </w:rPr>
        <w:t>月</w:t>
      </w:r>
      <w:r>
        <w:rPr>
          <w:rFonts w:hint="eastAsia" w:ascii="宋体" w:hAnsi="宋体" w:cs="Arial"/>
          <w:bCs/>
          <w:color w:val="auto"/>
          <w:szCs w:val="21"/>
          <w:highlight w:val="none"/>
          <w:lang w:val="en-US" w:eastAsia="zh-CN"/>
        </w:rPr>
        <w:t>14</w:t>
      </w:r>
      <w:r>
        <w:rPr>
          <w:rFonts w:hint="eastAsia" w:ascii="宋体" w:hAnsi="宋体" w:cs="Arial"/>
          <w:bCs/>
          <w:color w:val="auto"/>
          <w:szCs w:val="21"/>
          <w:highlight w:val="none"/>
        </w:rPr>
        <w:t>日9时30分（北京时间）</w:t>
      </w:r>
      <w:r>
        <w:rPr>
          <w:rFonts w:hint="eastAsia" w:ascii="宋体" w:hAnsi="宋体"/>
          <w:bCs/>
          <w:color w:val="auto"/>
          <w:szCs w:val="21"/>
          <w:highlight w:val="none"/>
        </w:rPr>
        <w:t>前递交投标</w:t>
      </w:r>
      <w:r>
        <w:rPr>
          <w:rFonts w:ascii="宋体" w:hAnsi="宋体"/>
          <w:bCs/>
          <w:color w:val="auto"/>
          <w:szCs w:val="21"/>
          <w:highlight w:val="none"/>
        </w:rPr>
        <w:t>文件</w:t>
      </w:r>
      <w:r>
        <w:rPr>
          <w:rFonts w:hint="eastAsia" w:ascii="宋体" w:hAnsi="宋体"/>
          <w:color w:val="auto"/>
          <w:szCs w:val="21"/>
          <w:highlight w:val="none"/>
        </w:rPr>
        <w:t>。</w:t>
      </w:r>
    </w:p>
    <w:p w14:paraId="0ECD5BC8">
      <w:pPr>
        <w:keepNext w:val="0"/>
        <w:keepLines w:val="0"/>
        <w:pageBreakBefore w:val="0"/>
        <w:kinsoku/>
        <w:wordWrap/>
        <w:overflowPunct/>
        <w:topLinePunct w:val="0"/>
        <w:autoSpaceDE/>
        <w:autoSpaceDN/>
        <w:bidi w:val="0"/>
        <w:adjustRightInd/>
        <w:spacing w:line="360" w:lineRule="exact"/>
        <w:rPr>
          <w:rFonts w:ascii="宋体" w:hAnsi="宋体"/>
          <w:color w:val="auto"/>
          <w:szCs w:val="21"/>
          <w:highlight w:val="none"/>
        </w:rPr>
      </w:pPr>
    </w:p>
    <w:p w14:paraId="207915AA">
      <w:pPr>
        <w:keepNext w:val="0"/>
        <w:keepLines w:val="0"/>
        <w:pageBreakBefore w:val="0"/>
        <w:kinsoku/>
        <w:wordWrap/>
        <w:overflowPunct/>
        <w:topLinePunct w:val="0"/>
        <w:autoSpaceDE/>
        <w:autoSpaceDN/>
        <w:bidi w:val="0"/>
        <w:adjustRightInd/>
        <w:spacing w:line="360" w:lineRule="exact"/>
        <w:rPr>
          <w:rFonts w:ascii="宋体" w:hAnsi="宋体"/>
          <w:b/>
          <w:bCs/>
          <w:color w:val="auto"/>
          <w:sz w:val="24"/>
          <w:highlight w:val="none"/>
        </w:rPr>
      </w:pPr>
      <w:bookmarkStart w:id="9" w:name="_Toc28359002"/>
      <w:bookmarkStart w:id="10" w:name="_Toc35393790"/>
      <w:bookmarkStart w:id="11" w:name="_Toc28359079"/>
      <w:bookmarkStart w:id="12" w:name="_Toc35393621"/>
      <w:bookmarkStart w:id="13" w:name="_Hlk24379207"/>
      <w:r>
        <w:rPr>
          <w:rFonts w:hint="eastAsia" w:ascii="宋体" w:hAnsi="宋体"/>
          <w:b/>
          <w:bCs/>
          <w:color w:val="auto"/>
          <w:sz w:val="24"/>
          <w:highlight w:val="none"/>
        </w:rPr>
        <w:t>一、项目基本情况</w:t>
      </w:r>
      <w:bookmarkEnd w:id="9"/>
      <w:bookmarkEnd w:id="10"/>
      <w:bookmarkEnd w:id="11"/>
      <w:bookmarkEnd w:id="12"/>
    </w:p>
    <w:p w14:paraId="712E6840">
      <w:pPr>
        <w:keepNext w:val="0"/>
        <w:keepLines w:val="0"/>
        <w:pageBreakBefore w:val="0"/>
        <w:kinsoku/>
        <w:wordWrap/>
        <w:overflowPunct/>
        <w:topLinePunct w:val="0"/>
        <w:autoSpaceDE/>
        <w:autoSpaceDN/>
        <w:bidi w:val="0"/>
        <w:adjustRightInd/>
        <w:spacing w:line="360" w:lineRule="exact"/>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项目编号：</w:t>
      </w:r>
      <w:r>
        <w:rPr>
          <w:rFonts w:hint="eastAsia" w:ascii="宋体" w:hAnsi="宋体"/>
          <w:color w:val="auto"/>
          <w:szCs w:val="21"/>
          <w:highlight w:val="none"/>
          <w:lang w:eastAsia="zh-CN"/>
        </w:rPr>
        <w:t>GXZC2025-G1-003075-KWZB</w:t>
      </w:r>
    </w:p>
    <w:p w14:paraId="6956834D">
      <w:pPr>
        <w:keepNext w:val="0"/>
        <w:keepLines w:val="0"/>
        <w:pageBreakBefore w:val="0"/>
        <w:kinsoku/>
        <w:wordWrap/>
        <w:overflowPunct/>
        <w:topLinePunct w:val="0"/>
        <w:autoSpaceDE/>
        <w:autoSpaceDN/>
        <w:bidi w:val="0"/>
        <w:adjustRightInd/>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项目名称：</w:t>
      </w:r>
      <w:bookmarkEnd w:id="13"/>
      <w:r>
        <w:rPr>
          <w:rFonts w:hint="eastAsia" w:ascii="宋体" w:hAnsi="宋体"/>
          <w:color w:val="auto"/>
          <w:szCs w:val="21"/>
          <w:highlight w:val="none"/>
          <w:lang w:eastAsia="zh-CN"/>
        </w:rPr>
        <w:t>广西壮族自治区人民医院电子内窥镜系统（高清电子内镜系统）采购</w:t>
      </w:r>
    </w:p>
    <w:p w14:paraId="284927CC">
      <w:pPr>
        <w:keepNext w:val="0"/>
        <w:keepLines w:val="0"/>
        <w:pageBreakBefore w:val="0"/>
        <w:kinsoku/>
        <w:wordWrap/>
        <w:overflowPunct/>
        <w:topLinePunct w:val="0"/>
        <w:autoSpaceDE/>
        <w:autoSpaceDN/>
        <w:bidi w:val="0"/>
        <w:adjustRightInd/>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预算金额：</w:t>
      </w:r>
      <w:r>
        <w:rPr>
          <w:rFonts w:hint="eastAsia" w:ascii="宋体" w:hAnsi="宋体"/>
          <w:color w:val="auto"/>
          <w:szCs w:val="21"/>
          <w:highlight w:val="none"/>
          <w:lang w:val="en-US" w:eastAsia="zh-CN"/>
        </w:rPr>
        <w:t>4800000.00元</w:t>
      </w:r>
      <w:r>
        <w:rPr>
          <w:rFonts w:hint="eastAsia" w:ascii="宋体" w:hAnsi="宋体"/>
          <w:color w:val="auto"/>
          <w:szCs w:val="21"/>
          <w:highlight w:val="none"/>
        </w:rPr>
        <w:t>。</w:t>
      </w:r>
    </w:p>
    <w:p w14:paraId="5679B4B0">
      <w:pPr>
        <w:keepNext w:val="0"/>
        <w:keepLines w:val="0"/>
        <w:pageBreakBefore w:val="0"/>
        <w:kinsoku/>
        <w:wordWrap/>
        <w:overflowPunct/>
        <w:topLinePunct w:val="0"/>
        <w:autoSpaceDE/>
        <w:autoSpaceDN/>
        <w:bidi w:val="0"/>
        <w:adjustRightInd/>
        <w:spacing w:line="360" w:lineRule="exact"/>
        <w:ind w:left="420" w:leftChars="200"/>
        <w:rPr>
          <w:rFonts w:ascii="宋体" w:hAnsi="宋体"/>
          <w:color w:val="auto"/>
          <w:szCs w:val="21"/>
          <w:highlight w:val="none"/>
        </w:rPr>
      </w:pPr>
      <w:r>
        <w:rPr>
          <w:rFonts w:hint="eastAsia" w:ascii="宋体" w:hAnsi="宋体"/>
          <w:color w:val="auto"/>
          <w:szCs w:val="21"/>
          <w:highlight w:val="none"/>
        </w:rPr>
        <w:t>最高限价：</w:t>
      </w:r>
      <w:r>
        <w:rPr>
          <w:rFonts w:hint="eastAsia" w:ascii="宋体" w:hAnsi="宋体"/>
          <w:color w:val="auto"/>
          <w:szCs w:val="21"/>
          <w:highlight w:val="none"/>
          <w:lang w:val="en-US" w:eastAsia="zh-CN"/>
        </w:rPr>
        <w:t>4800000.00元</w:t>
      </w:r>
      <w:r>
        <w:rPr>
          <w:rFonts w:hint="eastAsia" w:ascii="宋体" w:hAnsi="宋体"/>
          <w:color w:val="auto"/>
          <w:szCs w:val="21"/>
          <w:highlight w:val="none"/>
        </w:rPr>
        <w:t>。</w:t>
      </w:r>
    </w:p>
    <w:p w14:paraId="2C525656">
      <w:pPr>
        <w:keepNext w:val="0"/>
        <w:keepLines w:val="0"/>
        <w:pageBreakBefore w:val="0"/>
        <w:kinsoku/>
        <w:wordWrap/>
        <w:overflowPunct/>
        <w:topLinePunct w:val="0"/>
        <w:autoSpaceDE/>
        <w:autoSpaceDN/>
        <w:bidi w:val="0"/>
        <w:adjustRightInd/>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采购需求：</w:t>
      </w:r>
    </w:p>
    <w:tbl>
      <w:tblPr>
        <w:tblStyle w:val="46"/>
        <w:tblW w:w="908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60"/>
        <w:gridCol w:w="1768"/>
        <w:gridCol w:w="900"/>
        <w:gridCol w:w="5757"/>
      </w:tblGrid>
      <w:tr w14:paraId="11F12A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54532B5C">
            <w:pPr>
              <w:keepNext w:val="0"/>
              <w:keepLines w:val="0"/>
              <w:pageBreakBefore w:val="0"/>
              <w:kinsoku/>
              <w:wordWrap/>
              <w:overflowPunct/>
              <w:topLinePunct w:val="0"/>
              <w:autoSpaceDE/>
              <w:autoSpaceDN/>
              <w:bidi w:val="0"/>
              <w:adjustRightInd/>
              <w:snapToGrid w:val="0"/>
              <w:spacing w:line="360" w:lineRule="exact"/>
              <w:jc w:val="center"/>
              <w:rPr>
                <w:rFonts w:ascii="宋体" w:hAnsi="宋体"/>
                <w:color w:val="auto"/>
                <w:szCs w:val="21"/>
                <w:highlight w:val="none"/>
              </w:rPr>
            </w:pPr>
            <w:r>
              <w:rPr>
                <w:rFonts w:hint="eastAsia" w:ascii="宋体" w:hAnsi="宋体"/>
                <w:color w:val="auto"/>
                <w:szCs w:val="21"/>
                <w:highlight w:val="none"/>
              </w:rPr>
              <w:t>序号</w:t>
            </w:r>
          </w:p>
        </w:tc>
        <w:tc>
          <w:tcPr>
            <w:tcW w:w="1768" w:type="dxa"/>
            <w:tcBorders>
              <w:top w:val="single" w:color="auto" w:sz="4" w:space="0"/>
              <w:left w:val="single" w:color="auto" w:sz="4" w:space="0"/>
              <w:bottom w:val="single" w:color="auto" w:sz="4" w:space="0"/>
              <w:right w:val="single" w:color="auto" w:sz="4" w:space="0"/>
            </w:tcBorders>
            <w:vAlign w:val="center"/>
          </w:tcPr>
          <w:p w14:paraId="68514A55">
            <w:pPr>
              <w:keepNext w:val="0"/>
              <w:keepLines w:val="0"/>
              <w:pageBreakBefore w:val="0"/>
              <w:kinsoku/>
              <w:wordWrap/>
              <w:overflowPunct/>
              <w:topLinePunct w:val="0"/>
              <w:autoSpaceDE/>
              <w:autoSpaceDN/>
              <w:bidi w:val="0"/>
              <w:adjustRightInd/>
              <w:snapToGrid w:val="0"/>
              <w:spacing w:line="360" w:lineRule="exact"/>
              <w:jc w:val="center"/>
              <w:rPr>
                <w:rFonts w:ascii="宋体" w:hAnsi="宋体"/>
                <w:color w:val="auto"/>
                <w:szCs w:val="21"/>
                <w:highlight w:val="none"/>
              </w:rPr>
            </w:pPr>
            <w:r>
              <w:rPr>
                <w:rFonts w:hint="eastAsia" w:ascii="宋体" w:hAnsi="宋体"/>
                <w:color w:val="auto"/>
                <w:szCs w:val="21"/>
                <w:highlight w:val="none"/>
              </w:rPr>
              <w:t>标的的名称</w:t>
            </w:r>
          </w:p>
        </w:tc>
        <w:tc>
          <w:tcPr>
            <w:tcW w:w="900" w:type="dxa"/>
            <w:tcBorders>
              <w:top w:val="single" w:color="auto" w:sz="4" w:space="0"/>
              <w:left w:val="single" w:color="auto" w:sz="4" w:space="0"/>
              <w:bottom w:val="single" w:color="auto" w:sz="4" w:space="0"/>
              <w:right w:val="single" w:color="auto" w:sz="4" w:space="0"/>
            </w:tcBorders>
            <w:vAlign w:val="center"/>
          </w:tcPr>
          <w:p w14:paraId="7EA87334">
            <w:pPr>
              <w:keepNext w:val="0"/>
              <w:keepLines w:val="0"/>
              <w:pageBreakBefore w:val="0"/>
              <w:kinsoku/>
              <w:wordWrap/>
              <w:overflowPunct/>
              <w:topLinePunct w:val="0"/>
              <w:autoSpaceDE/>
              <w:autoSpaceDN/>
              <w:bidi w:val="0"/>
              <w:adjustRightInd/>
              <w:snapToGrid w:val="0"/>
              <w:spacing w:line="360" w:lineRule="exact"/>
              <w:jc w:val="center"/>
              <w:rPr>
                <w:rFonts w:ascii="宋体" w:hAnsi="宋体"/>
                <w:color w:val="auto"/>
                <w:szCs w:val="21"/>
                <w:highlight w:val="none"/>
              </w:rPr>
            </w:pPr>
            <w:r>
              <w:rPr>
                <w:rFonts w:hint="eastAsia" w:ascii="宋体" w:hAnsi="宋体"/>
                <w:color w:val="auto"/>
                <w:szCs w:val="21"/>
                <w:highlight w:val="none"/>
              </w:rPr>
              <w:t>数量及单位</w:t>
            </w:r>
          </w:p>
        </w:tc>
        <w:tc>
          <w:tcPr>
            <w:tcW w:w="5757" w:type="dxa"/>
            <w:tcBorders>
              <w:top w:val="single" w:color="auto" w:sz="4" w:space="0"/>
              <w:left w:val="single" w:color="auto" w:sz="4" w:space="0"/>
              <w:bottom w:val="single" w:color="auto" w:sz="4" w:space="0"/>
              <w:right w:val="single" w:color="auto" w:sz="4" w:space="0"/>
            </w:tcBorders>
            <w:vAlign w:val="center"/>
          </w:tcPr>
          <w:p w14:paraId="2996F506">
            <w:pPr>
              <w:keepNext w:val="0"/>
              <w:keepLines w:val="0"/>
              <w:pageBreakBefore w:val="0"/>
              <w:kinsoku/>
              <w:wordWrap/>
              <w:overflowPunct/>
              <w:topLinePunct w:val="0"/>
              <w:autoSpaceDE/>
              <w:autoSpaceDN/>
              <w:bidi w:val="0"/>
              <w:adjustRightInd/>
              <w:snapToGrid w:val="0"/>
              <w:spacing w:line="360" w:lineRule="exact"/>
              <w:jc w:val="center"/>
              <w:rPr>
                <w:rFonts w:ascii="宋体" w:hAnsi="宋体"/>
                <w:color w:val="auto"/>
                <w:szCs w:val="21"/>
                <w:highlight w:val="none"/>
              </w:rPr>
            </w:pPr>
            <w:r>
              <w:rPr>
                <w:rFonts w:hint="eastAsia" w:ascii="宋体" w:hAnsi="宋体"/>
                <w:color w:val="auto"/>
                <w:szCs w:val="21"/>
                <w:highlight w:val="none"/>
              </w:rPr>
              <w:t>简要技术需求或者服务要求</w:t>
            </w:r>
          </w:p>
        </w:tc>
      </w:tr>
      <w:tr w14:paraId="031147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vAlign w:val="center"/>
          </w:tcPr>
          <w:p w14:paraId="4D365162">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ascii="宋体" w:hAnsi="宋体" w:cs="宋体"/>
                <w:color w:val="auto"/>
                <w:kern w:val="0"/>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768" w:type="dxa"/>
            <w:tcBorders>
              <w:top w:val="single" w:color="auto" w:sz="4" w:space="0"/>
              <w:left w:val="single" w:color="auto" w:sz="4" w:space="0"/>
              <w:bottom w:val="single" w:color="auto" w:sz="4" w:space="0"/>
              <w:right w:val="single" w:color="auto" w:sz="4" w:space="0"/>
            </w:tcBorders>
            <w:vAlign w:val="center"/>
          </w:tcPr>
          <w:p w14:paraId="6FC8098D">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ascii="宋体" w:hAnsi="宋体" w:cs="宋体"/>
                <w:color w:val="auto"/>
                <w:kern w:val="0"/>
                <w:szCs w:val="21"/>
                <w:highlight w:val="none"/>
              </w:rPr>
            </w:pPr>
            <w:r>
              <w:rPr>
                <w:rFonts w:hint="eastAsia" w:ascii="宋体" w:hAnsi="宋体"/>
                <w:color w:val="auto"/>
                <w:szCs w:val="21"/>
                <w:highlight w:val="none"/>
                <w:lang w:eastAsia="zh-CN"/>
              </w:rPr>
              <w:t>电子内窥镜系统（高清电子内镜系统）</w:t>
            </w:r>
          </w:p>
        </w:tc>
        <w:tc>
          <w:tcPr>
            <w:tcW w:w="900" w:type="dxa"/>
            <w:tcBorders>
              <w:top w:val="single" w:color="auto" w:sz="4" w:space="0"/>
              <w:left w:val="single" w:color="auto" w:sz="4" w:space="0"/>
              <w:bottom w:val="single" w:color="auto" w:sz="4" w:space="0"/>
              <w:right w:val="single" w:color="auto" w:sz="4" w:space="0"/>
            </w:tcBorders>
            <w:vAlign w:val="center"/>
          </w:tcPr>
          <w:p w14:paraId="667024FC">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default" w:ascii="宋体" w:hAnsi="宋体" w:cs="宋体"/>
                <w:color w:val="auto"/>
                <w:kern w:val="0"/>
                <w:szCs w:val="21"/>
                <w:highlight w:val="none"/>
                <w:lang w:val="en-US"/>
              </w:rPr>
            </w:pPr>
            <w:r>
              <w:rPr>
                <w:rFonts w:hint="eastAsia" w:ascii="宋体" w:hAnsi="宋体" w:cs="宋体"/>
                <w:i w:val="0"/>
                <w:iCs w:val="0"/>
                <w:color w:val="auto"/>
                <w:kern w:val="0"/>
                <w:sz w:val="21"/>
                <w:szCs w:val="21"/>
                <w:highlight w:val="none"/>
                <w:u w:val="none"/>
                <w:lang w:val="en-US" w:eastAsia="zh-CN" w:bidi="ar"/>
              </w:rPr>
              <w:t>1套</w:t>
            </w:r>
          </w:p>
        </w:tc>
        <w:tc>
          <w:tcPr>
            <w:tcW w:w="5757" w:type="dxa"/>
            <w:tcBorders>
              <w:top w:val="single" w:color="auto" w:sz="4" w:space="0"/>
              <w:left w:val="single" w:color="auto" w:sz="4" w:space="0"/>
              <w:bottom w:val="single" w:color="auto" w:sz="4" w:space="0"/>
              <w:right w:val="single" w:color="auto" w:sz="4" w:space="0"/>
            </w:tcBorders>
            <w:vAlign w:val="center"/>
          </w:tcPr>
          <w:p w14:paraId="76659D97">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hint="eastAsia" w:ascii="宋体" w:hAnsi="宋体" w:cs="宋体"/>
                <w:b w:val="0"/>
                <w:bCs w:val="0"/>
                <w:color w:val="auto"/>
                <w:kern w:val="0"/>
                <w:szCs w:val="21"/>
                <w:highlight w:val="none"/>
                <w:u w:val="none"/>
              </w:rPr>
            </w:pPr>
            <w:r>
              <w:rPr>
                <w:rFonts w:hint="eastAsia" w:ascii="宋体" w:hAnsi="宋体" w:cs="宋体"/>
                <w:b w:val="0"/>
                <w:bCs w:val="0"/>
                <w:color w:val="auto"/>
                <w:kern w:val="0"/>
                <w:szCs w:val="21"/>
                <w:highlight w:val="none"/>
                <w:u w:val="none"/>
              </w:rPr>
              <w:t>一、基本要求</w:t>
            </w:r>
          </w:p>
          <w:p w14:paraId="5BDEDC86">
            <w:pPr>
              <w:keepNext w:val="0"/>
              <w:keepLines w:val="0"/>
              <w:pageBreakBefore w:val="0"/>
              <w:widowControl/>
              <w:suppressLineNumbers w:val="0"/>
              <w:kinsoku/>
              <w:wordWrap/>
              <w:overflowPunct/>
              <w:topLinePunct w:val="0"/>
              <w:autoSpaceDE/>
              <w:autoSpaceDN/>
              <w:bidi w:val="0"/>
              <w:adjustRightInd/>
              <w:spacing w:line="360" w:lineRule="exact"/>
              <w:jc w:val="left"/>
              <w:textAlignment w:val="center"/>
              <w:rPr>
                <w:rFonts w:ascii="宋体" w:hAnsi="宋体" w:cs="宋体"/>
                <w:b w:val="0"/>
                <w:bCs w:val="0"/>
                <w:color w:val="auto"/>
                <w:kern w:val="0"/>
                <w:szCs w:val="21"/>
                <w:highlight w:val="none"/>
                <w:u w:val="none"/>
              </w:rPr>
            </w:pPr>
            <w:r>
              <w:rPr>
                <w:rFonts w:hint="eastAsia" w:ascii="宋体" w:hAnsi="宋体" w:cs="宋体"/>
                <w:b w:val="0"/>
                <w:bCs w:val="0"/>
                <w:color w:val="auto"/>
                <w:kern w:val="0"/>
                <w:szCs w:val="21"/>
                <w:highlight w:val="none"/>
                <w:u w:val="none"/>
              </w:rPr>
              <w:t>能直观观察消化道情况，应用于消化道疾病的诊断和治疗，如消化道早癌精查、EMR(内镜下粘膜切 除术)、ESD(内镜下粘膜剥离术)等治疗</w:t>
            </w:r>
          </w:p>
        </w:tc>
      </w:tr>
      <w:tr w14:paraId="721C82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085" w:type="dxa"/>
            <w:gridSpan w:val="4"/>
            <w:tcBorders>
              <w:top w:val="single" w:color="auto" w:sz="4" w:space="0"/>
              <w:left w:val="single" w:color="auto" w:sz="4" w:space="0"/>
              <w:bottom w:val="single" w:color="auto" w:sz="4" w:space="0"/>
              <w:right w:val="single" w:color="auto" w:sz="4" w:space="0"/>
            </w:tcBorders>
            <w:vAlign w:val="center"/>
          </w:tcPr>
          <w:p w14:paraId="76991062">
            <w:pPr>
              <w:keepNext w:val="0"/>
              <w:keepLines w:val="0"/>
              <w:pageBreakBefore w:val="0"/>
              <w:kinsoku/>
              <w:wordWrap/>
              <w:overflowPunct/>
              <w:topLinePunct w:val="0"/>
              <w:autoSpaceDE/>
              <w:autoSpaceDN/>
              <w:bidi w:val="0"/>
              <w:adjustRightInd/>
              <w:spacing w:line="360" w:lineRule="exact"/>
              <w:rPr>
                <w:rFonts w:ascii="Arial" w:hAnsi="Arial" w:cs="Arial"/>
                <w:b/>
                <w:bCs/>
                <w:color w:val="auto"/>
                <w:szCs w:val="21"/>
                <w:highlight w:val="none"/>
              </w:rPr>
            </w:pPr>
            <w:r>
              <w:rPr>
                <w:rFonts w:hint="default" w:ascii="Arial" w:hAnsi="Arial" w:cs="Arial"/>
                <w:b/>
                <w:bCs/>
                <w:color w:val="auto"/>
                <w:szCs w:val="21"/>
                <w:highlight w:val="none"/>
              </w:rPr>
              <w:t>……</w:t>
            </w:r>
            <w:r>
              <w:rPr>
                <w:rFonts w:hint="eastAsia" w:ascii="Arial" w:hAnsi="Arial" w:cs="Arial"/>
                <w:b/>
                <w:bCs/>
                <w:color w:val="auto"/>
                <w:szCs w:val="21"/>
                <w:highlight w:val="none"/>
              </w:rPr>
              <w:t>具体内容详见招标文件“第二章 采购需求”</w:t>
            </w:r>
          </w:p>
        </w:tc>
      </w:tr>
    </w:tbl>
    <w:p w14:paraId="18022154">
      <w:pPr>
        <w:keepNext w:val="0"/>
        <w:keepLines w:val="0"/>
        <w:pageBreakBefore w:val="0"/>
        <w:kinsoku/>
        <w:wordWrap/>
        <w:overflowPunct/>
        <w:topLinePunct w:val="0"/>
        <w:autoSpaceDE/>
        <w:autoSpaceDN/>
        <w:bidi w:val="0"/>
        <w:adjustRightInd/>
        <w:spacing w:line="360" w:lineRule="exact"/>
        <w:ind w:firstLine="420" w:firstLineChars="200"/>
        <w:rPr>
          <w:rFonts w:ascii="宋体" w:hAnsi="宋体"/>
          <w:color w:val="auto"/>
          <w:szCs w:val="21"/>
          <w:highlight w:val="none"/>
          <w:u w:val="single"/>
        </w:rPr>
      </w:pPr>
      <w:r>
        <w:rPr>
          <w:rFonts w:hint="eastAsia" w:ascii="宋体" w:hAnsi="宋体"/>
          <w:color w:val="auto"/>
          <w:szCs w:val="21"/>
          <w:highlight w:val="none"/>
        </w:rPr>
        <w:t>合同履行期限：自合同签订之日起</w:t>
      </w:r>
      <w:r>
        <w:rPr>
          <w:rFonts w:hint="eastAsia" w:ascii="宋体" w:hAnsi="宋体"/>
          <w:color w:val="auto"/>
          <w:szCs w:val="21"/>
          <w:highlight w:val="none"/>
          <w:lang w:val="en-US" w:eastAsia="zh-CN"/>
        </w:rPr>
        <w:t>30</w:t>
      </w:r>
      <w:r>
        <w:rPr>
          <w:rFonts w:hint="eastAsia" w:ascii="宋体" w:hAnsi="宋体"/>
          <w:color w:val="auto"/>
          <w:szCs w:val="21"/>
          <w:highlight w:val="none"/>
        </w:rPr>
        <w:t>天内全部货物交货并安装调试完毕。</w:t>
      </w:r>
    </w:p>
    <w:p w14:paraId="4644BE25">
      <w:pPr>
        <w:keepNext w:val="0"/>
        <w:keepLines w:val="0"/>
        <w:pageBreakBefore w:val="0"/>
        <w:kinsoku/>
        <w:wordWrap/>
        <w:overflowPunct/>
        <w:topLinePunct w:val="0"/>
        <w:autoSpaceDE/>
        <w:autoSpaceDN/>
        <w:bidi w:val="0"/>
        <w:adjustRightInd/>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本项目（是</w:t>
      </w:r>
      <w:r>
        <w:rPr>
          <w:rFonts w:ascii="宋体" w:hAnsi="宋体"/>
          <w:b/>
          <w:color w:val="auto"/>
          <w:szCs w:val="21"/>
          <w:highlight w:val="none"/>
        </w:rPr>
        <w:t>/否</w:t>
      </w:r>
      <w:r>
        <w:rPr>
          <w:rFonts w:hint="eastAsia" w:ascii="宋体" w:hAnsi="宋体"/>
          <w:b/>
          <w:color w:val="auto"/>
          <w:szCs w:val="21"/>
          <w:highlight w:val="none"/>
        </w:rPr>
        <w:t>）接受联合体投标：</w:t>
      </w:r>
      <w:r>
        <w:rPr>
          <w:rFonts w:ascii="宋体" w:hAnsi="宋体"/>
          <w:b/>
          <w:color w:val="auto"/>
          <w:szCs w:val="21"/>
          <w:highlight w:val="none"/>
        </w:rPr>
        <w:t>否</w:t>
      </w:r>
      <w:r>
        <w:rPr>
          <w:rFonts w:hint="eastAsia" w:ascii="宋体" w:hAnsi="宋体"/>
          <w:b/>
          <w:color w:val="auto"/>
          <w:szCs w:val="21"/>
          <w:highlight w:val="none"/>
        </w:rPr>
        <w:t>。</w:t>
      </w:r>
    </w:p>
    <w:p w14:paraId="2A8A8DFD">
      <w:pPr>
        <w:keepNext w:val="0"/>
        <w:keepLines w:val="0"/>
        <w:pageBreakBefore w:val="0"/>
        <w:kinsoku/>
        <w:wordWrap/>
        <w:overflowPunct/>
        <w:topLinePunct w:val="0"/>
        <w:autoSpaceDE/>
        <w:autoSpaceDN/>
        <w:bidi w:val="0"/>
        <w:adjustRightInd/>
        <w:spacing w:line="360" w:lineRule="exact"/>
        <w:rPr>
          <w:rFonts w:ascii="宋体" w:hAnsi="宋体"/>
          <w:b/>
          <w:bCs/>
          <w:color w:val="auto"/>
          <w:sz w:val="24"/>
          <w:highlight w:val="none"/>
        </w:rPr>
      </w:pPr>
      <w:bookmarkStart w:id="14" w:name="_Toc28359080"/>
      <w:bookmarkStart w:id="15" w:name="_Toc35393791"/>
      <w:bookmarkStart w:id="16" w:name="_Toc35393622"/>
      <w:bookmarkStart w:id="17" w:name="_Toc28359003"/>
      <w:r>
        <w:rPr>
          <w:rFonts w:hint="eastAsia" w:ascii="宋体" w:hAnsi="宋体"/>
          <w:b/>
          <w:bCs/>
          <w:color w:val="auto"/>
          <w:sz w:val="24"/>
          <w:highlight w:val="none"/>
        </w:rPr>
        <w:t>二、申请人的资格要求：</w:t>
      </w:r>
      <w:bookmarkEnd w:id="14"/>
      <w:bookmarkEnd w:id="15"/>
      <w:bookmarkEnd w:id="16"/>
      <w:bookmarkEnd w:id="17"/>
    </w:p>
    <w:p w14:paraId="017B563E">
      <w:pPr>
        <w:keepNext w:val="0"/>
        <w:keepLines w:val="0"/>
        <w:pageBreakBefore w:val="0"/>
        <w:kinsoku/>
        <w:wordWrap/>
        <w:overflowPunct/>
        <w:topLinePunct w:val="0"/>
        <w:autoSpaceDE/>
        <w:autoSpaceDN/>
        <w:bidi w:val="0"/>
        <w:adjustRightInd/>
        <w:spacing w:line="360" w:lineRule="exact"/>
        <w:ind w:firstLine="420" w:firstLineChars="200"/>
        <w:rPr>
          <w:rFonts w:ascii="宋体" w:hAnsi="宋体"/>
          <w:color w:val="auto"/>
          <w:szCs w:val="21"/>
          <w:highlight w:val="none"/>
        </w:rPr>
      </w:pPr>
      <w:bookmarkStart w:id="18" w:name="_Hlk51746371"/>
      <w:r>
        <w:rPr>
          <w:rFonts w:hint="eastAsia" w:ascii="宋体" w:hAnsi="宋体"/>
          <w:color w:val="auto"/>
          <w:szCs w:val="21"/>
          <w:highlight w:val="none"/>
        </w:rPr>
        <w:t>1.满足《中华人民共和国政府采购法》第二十二条规定；</w:t>
      </w:r>
    </w:p>
    <w:p w14:paraId="300BB358">
      <w:pPr>
        <w:keepNext w:val="0"/>
        <w:keepLines w:val="0"/>
        <w:pageBreakBefore w:val="0"/>
        <w:kinsoku/>
        <w:wordWrap/>
        <w:overflowPunct/>
        <w:topLinePunct w:val="0"/>
        <w:autoSpaceDE/>
        <w:autoSpaceDN/>
        <w:bidi w:val="0"/>
        <w:adjustRightInd/>
        <w:spacing w:line="360" w:lineRule="exact"/>
        <w:ind w:firstLine="420" w:firstLineChars="200"/>
        <w:rPr>
          <w:rFonts w:ascii="宋体" w:hAnsi="宋体"/>
          <w:color w:val="auto"/>
          <w:szCs w:val="21"/>
          <w:highlight w:val="none"/>
        </w:rPr>
      </w:pPr>
      <w:bookmarkStart w:id="19" w:name="_Toc28359081"/>
      <w:bookmarkStart w:id="20" w:name="_Toc28359004"/>
      <w:r>
        <w:rPr>
          <w:rFonts w:ascii="宋体" w:hAnsi="宋体"/>
          <w:color w:val="auto"/>
          <w:szCs w:val="21"/>
          <w:highlight w:val="none"/>
        </w:rPr>
        <w:t>2</w:t>
      </w:r>
      <w:r>
        <w:rPr>
          <w:rFonts w:hint="eastAsia" w:ascii="宋体" w:hAnsi="宋体"/>
          <w:color w:val="auto"/>
          <w:szCs w:val="21"/>
          <w:highlight w:val="none"/>
        </w:rPr>
        <w:t>.落实政府采购政策需满足的资格要求：无；</w:t>
      </w:r>
    </w:p>
    <w:p w14:paraId="599163AB">
      <w:pPr>
        <w:keepNext w:val="0"/>
        <w:keepLines w:val="0"/>
        <w:pageBreakBefore w:val="0"/>
        <w:kinsoku/>
        <w:wordWrap/>
        <w:overflowPunct/>
        <w:topLinePunct w:val="0"/>
        <w:autoSpaceDE/>
        <w:autoSpaceDN/>
        <w:bidi w:val="0"/>
        <w:adjustRightInd/>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3.本项目的特定资格要求：投标人按《医疗器械监督管理条例》（国务院令第739号）医疗器械分类管理要求具备有效的医疗器械经营备案凭证或者经营许可证，且经营范围必须包含采购标的[符合《医疗器械监督管理条例》第四十一条第二款规定的除外]；或者投标人具有《医疗器械监督管理条例》第四十三条规定的注册人凭证。</w:t>
      </w:r>
    </w:p>
    <w:bookmarkEnd w:id="18"/>
    <w:p w14:paraId="2820D3EC">
      <w:pPr>
        <w:keepNext w:val="0"/>
        <w:keepLines w:val="0"/>
        <w:pageBreakBefore w:val="0"/>
        <w:kinsoku/>
        <w:wordWrap/>
        <w:overflowPunct/>
        <w:topLinePunct w:val="0"/>
        <w:autoSpaceDE/>
        <w:autoSpaceDN/>
        <w:bidi w:val="0"/>
        <w:adjustRightInd/>
        <w:spacing w:line="360" w:lineRule="exact"/>
        <w:rPr>
          <w:rFonts w:ascii="宋体" w:hAnsi="宋体"/>
          <w:b/>
          <w:bCs/>
          <w:color w:val="auto"/>
          <w:sz w:val="24"/>
          <w:highlight w:val="none"/>
        </w:rPr>
      </w:pPr>
      <w:bookmarkStart w:id="21" w:name="_Toc35393623"/>
      <w:bookmarkStart w:id="22" w:name="_Toc35393792"/>
      <w:r>
        <w:rPr>
          <w:rFonts w:hint="eastAsia" w:ascii="宋体" w:hAnsi="宋体"/>
          <w:b/>
          <w:bCs/>
          <w:color w:val="auto"/>
          <w:sz w:val="24"/>
          <w:highlight w:val="none"/>
        </w:rPr>
        <w:t>三、获取招标文件</w:t>
      </w:r>
      <w:bookmarkEnd w:id="19"/>
      <w:bookmarkEnd w:id="20"/>
      <w:bookmarkEnd w:id="21"/>
      <w:bookmarkEnd w:id="22"/>
    </w:p>
    <w:p w14:paraId="00D40D66">
      <w:pPr>
        <w:keepNext w:val="0"/>
        <w:keepLines w:val="0"/>
        <w:pageBreakBefore w:val="0"/>
        <w:kinsoku/>
        <w:wordWrap/>
        <w:overflowPunct/>
        <w:topLinePunct w:val="0"/>
        <w:autoSpaceDE/>
        <w:autoSpaceDN/>
        <w:bidi w:val="0"/>
        <w:adjustRightInd/>
        <w:spacing w:line="360" w:lineRule="exact"/>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时间：</w:t>
      </w:r>
      <w:r>
        <w:rPr>
          <w:rFonts w:hint="eastAsia" w:ascii="宋体" w:hAnsi="宋体" w:cs="Arial"/>
          <w:color w:val="auto"/>
          <w:highlight w:val="none"/>
          <w:lang w:eastAsia="zh-CN"/>
        </w:rPr>
        <w:t>2025年</w:t>
      </w:r>
      <w:r>
        <w:rPr>
          <w:rFonts w:hint="eastAsia" w:ascii="宋体" w:hAnsi="宋体" w:cs="Arial"/>
          <w:color w:val="auto"/>
          <w:highlight w:val="none"/>
          <w:lang w:val="en-US" w:eastAsia="zh-CN"/>
        </w:rPr>
        <w:t>10</w:t>
      </w:r>
      <w:r>
        <w:rPr>
          <w:rFonts w:hint="eastAsia" w:ascii="宋体" w:hAnsi="宋体" w:cs="Arial"/>
          <w:color w:val="auto"/>
          <w:highlight w:val="none"/>
          <w:lang w:eastAsia="zh-CN"/>
        </w:rPr>
        <w:t>月</w:t>
      </w:r>
      <w:r>
        <w:rPr>
          <w:rFonts w:hint="eastAsia" w:ascii="宋体" w:hAnsi="宋体" w:cs="Arial"/>
          <w:color w:val="auto"/>
          <w:highlight w:val="none"/>
          <w:lang w:val="en-US" w:eastAsia="zh-CN"/>
        </w:rPr>
        <w:t>24</w:t>
      </w:r>
      <w:r>
        <w:rPr>
          <w:rFonts w:hint="eastAsia" w:ascii="宋体" w:hAnsi="宋体" w:cs="Arial"/>
          <w:color w:val="auto"/>
          <w:highlight w:val="none"/>
          <w:lang w:eastAsia="zh-CN"/>
        </w:rPr>
        <w:t>日</w:t>
      </w:r>
      <w:r>
        <w:rPr>
          <w:rFonts w:hint="eastAsia" w:ascii="宋体" w:hAnsi="宋体" w:cs="Arial"/>
          <w:color w:val="auto"/>
          <w:szCs w:val="21"/>
          <w:highlight w:val="none"/>
        </w:rPr>
        <w:t>至</w:t>
      </w:r>
      <w:r>
        <w:rPr>
          <w:rFonts w:hint="eastAsia" w:ascii="宋体" w:hAnsi="宋体" w:cs="Arial"/>
          <w:color w:val="auto"/>
          <w:highlight w:val="none"/>
          <w:lang w:eastAsia="zh-CN"/>
        </w:rPr>
        <w:t>2025年</w:t>
      </w:r>
      <w:r>
        <w:rPr>
          <w:rFonts w:hint="eastAsia" w:ascii="宋体" w:hAnsi="宋体" w:cs="Arial"/>
          <w:color w:val="auto"/>
          <w:highlight w:val="none"/>
          <w:lang w:val="en-US" w:eastAsia="zh-CN"/>
        </w:rPr>
        <w:t>10</w:t>
      </w:r>
      <w:r>
        <w:rPr>
          <w:rFonts w:hint="eastAsia" w:ascii="宋体" w:hAnsi="宋体" w:cs="Arial"/>
          <w:color w:val="auto"/>
          <w:highlight w:val="none"/>
          <w:lang w:eastAsia="zh-CN"/>
        </w:rPr>
        <w:t>月</w:t>
      </w:r>
      <w:r>
        <w:rPr>
          <w:rFonts w:hint="eastAsia" w:ascii="宋体" w:hAnsi="宋体" w:cs="Arial"/>
          <w:color w:val="auto"/>
          <w:highlight w:val="none"/>
          <w:lang w:val="en-US" w:eastAsia="zh-CN"/>
        </w:rPr>
        <w:t>31</w:t>
      </w:r>
      <w:r>
        <w:rPr>
          <w:rFonts w:hint="eastAsia" w:ascii="宋体" w:hAnsi="宋体" w:cs="Arial"/>
          <w:color w:val="auto"/>
          <w:highlight w:val="none"/>
          <w:lang w:eastAsia="zh-CN"/>
        </w:rPr>
        <w:t>日</w:t>
      </w:r>
      <w:r>
        <w:rPr>
          <w:rFonts w:hint="eastAsia" w:ascii="宋体" w:hAnsi="宋体" w:cs="Arial"/>
          <w:color w:val="auto"/>
          <w:szCs w:val="21"/>
          <w:highlight w:val="none"/>
        </w:rPr>
        <w:t>，每天上午00:00-12:00；下午1</w:t>
      </w:r>
      <w:r>
        <w:rPr>
          <w:rFonts w:hint="eastAsia" w:ascii="宋体" w:hAnsi="宋体" w:cs="Arial"/>
          <w:color w:val="auto"/>
          <w:highlight w:val="none"/>
        </w:rPr>
        <w:t>2</w:t>
      </w:r>
      <w:r>
        <w:rPr>
          <w:rFonts w:hint="eastAsia" w:ascii="宋体" w:hAnsi="宋体" w:cs="Arial"/>
          <w:color w:val="auto"/>
          <w:szCs w:val="21"/>
          <w:highlight w:val="none"/>
        </w:rPr>
        <w:t>:</w:t>
      </w:r>
      <w:r>
        <w:rPr>
          <w:rFonts w:hint="eastAsia" w:ascii="宋体" w:hAnsi="宋体" w:cs="Arial"/>
          <w:color w:val="auto"/>
          <w:highlight w:val="none"/>
        </w:rPr>
        <w:t>00</w:t>
      </w:r>
      <w:r>
        <w:rPr>
          <w:rFonts w:hint="eastAsia" w:ascii="宋体" w:hAnsi="宋体" w:cs="Arial"/>
          <w:color w:val="auto"/>
          <w:szCs w:val="21"/>
          <w:highlight w:val="none"/>
        </w:rPr>
        <w:t>-23:</w:t>
      </w:r>
      <w:r>
        <w:rPr>
          <w:rFonts w:hint="eastAsia" w:ascii="宋体" w:hAnsi="宋体" w:cs="Arial"/>
          <w:color w:val="auto"/>
          <w:highlight w:val="none"/>
        </w:rPr>
        <w:t>59</w:t>
      </w:r>
      <w:r>
        <w:rPr>
          <w:rFonts w:hint="eastAsia" w:ascii="宋体" w:hAnsi="宋体" w:cs="Arial"/>
          <w:color w:val="auto"/>
          <w:szCs w:val="21"/>
          <w:highlight w:val="none"/>
        </w:rPr>
        <w:t>（北京时间，</w:t>
      </w:r>
      <w:r>
        <w:rPr>
          <w:rFonts w:ascii="宋体" w:hAnsi="宋体" w:cs="Arial"/>
          <w:color w:val="auto"/>
          <w:szCs w:val="21"/>
          <w:highlight w:val="none"/>
        </w:rPr>
        <w:t>法定节假日</w:t>
      </w:r>
      <w:r>
        <w:rPr>
          <w:rFonts w:hint="eastAsia" w:ascii="宋体" w:hAnsi="宋体" w:cs="Arial"/>
          <w:color w:val="auto"/>
          <w:szCs w:val="21"/>
          <w:highlight w:val="none"/>
        </w:rPr>
        <w:t>除外）。</w:t>
      </w:r>
    </w:p>
    <w:p w14:paraId="37C0B5F0">
      <w:pPr>
        <w:keepNext w:val="0"/>
        <w:keepLines w:val="0"/>
        <w:pageBreakBefore w:val="0"/>
        <w:kinsoku/>
        <w:wordWrap/>
        <w:overflowPunct/>
        <w:topLinePunct w:val="0"/>
        <w:autoSpaceDE/>
        <w:autoSpaceDN/>
        <w:bidi w:val="0"/>
        <w:adjustRightInd/>
        <w:spacing w:line="360" w:lineRule="exact"/>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地点：广西政府采购云平台（https://www.gcy.zfcg.gxzf.gov.cn/）</w:t>
      </w:r>
    </w:p>
    <w:p w14:paraId="42400AC8">
      <w:pPr>
        <w:keepNext w:val="0"/>
        <w:keepLines w:val="0"/>
        <w:pageBreakBefore w:val="0"/>
        <w:kinsoku/>
        <w:wordWrap/>
        <w:overflowPunct/>
        <w:topLinePunct w:val="0"/>
        <w:autoSpaceDE/>
        <w:autoSpaceDN/>
        <w:bidi w:val="0"/>
        <w:adjustRightInd/>
        <w:spacing w:line="360" w:lineRule="exact"/>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方式：网上下载。本项目不发放纸质文件，供应商应自行在</w:t>
      </w:r>
      <w:r>
        <w:rPr>
          <w:rFonts w:hint="eastAsia" w:ascii="宋体" w:hAnsi="宋体" w:cs="宋体"/>
          <w:bCs/>
          <w:color w:val="auto"/>
          <w:kern w:val="0"/>
          <w:szCs w:val="21"/>
          <w:highlight w:val="none"/>
        </w:rPr>
        <w:fldChar w:fldCharType="begin"/>
      </w:r>
      <w:r>
        <w:rPr>
          <w:rFonts w:hint="eastAsia" w:ascii="宋体" w:hAnsi="宋体" w:cs="宋体"/>
          <w:bCs/>
          <w:color w:val="auto"/>
          <w:kern w:val="0"/>
          <w:szCs w:val="21"/>
          <w:highlight w:val="none"/>
        </w:rPr>
        <w:instrText xml:space="preserve"> HYPERLINK "" </w:instrText>
      </w:r>
      <w:r>
        <w:rPr>
          <w:rFonts w:ascii="宋体" w:hAnsi="宋体" w:cs="宋体"/>
          <w:bCs/>
          <w:color w:val="auto"/>
          <w:kern w:val="0"/>
          <w:szCs w:val="21"/>
          <w:highlight w:val="none"/>
        </w:rPr>
        <w:fldChar w:fldCharType="separate"/>
      </w:r>
      <w:r>
        <w:rPr>
          <w:rFonts w:hint="eastAsia" w:ascii="宋体" w:hAnsi="宋体" w:cs="宋体"/>
          <w:bCs/>
          <w:color w:val="auto"/>
          <w:kern w:val="0"/>
          <w:szCs w:val="21"/>
          <w:highlight w:val="none"/>
        </w:rPr>
        <w:fldChar w:fldCharType="end"/>
      </w:r>
      <w:r>
        <w:rPr>
          <w:rFonts w:hint="eastAsia" w:ascii="宋体" w:hAnsi="宋体" w:cs="宋体"/>
          <w:bCs/>
          <w:color w:val="auto"/>
          <w:kern w:val="0"/>
          <w:szCs w:val="21"/>
          <w:highlight w:val="none"/>
        </w:rPr>
        <w:t>广西政府采购云平台（https://www.gcy.zfcg.gxzf.gov.cn/）下载招标文件（操作路径：登录广西政府采购云平台-项目采购-获取采购文件-找到本项目-点击“申请获取采购文件”），电子投标文件制作需要基于广西政府采购云平台获取的招标文件编制。</w:t>
      </w:r>
    </w:p>
    <w:p w14:paraId="46D4E846">
      <w:pPr>
        <w:keepNext w:val="0"/>
        <w:keepLines w:val="0"/>
        <w:pageBreakBefore w:val="0"/>
        <w:kinsoku/>
        <w:wordWrap/>
        <w:overflowPunct/>
        <w:topLinePunct w:val="0"/>
        <w:autoSpaceDE/>
        <w:autoSpaceDN/>
        <w:bidi w:val="0"/>
        <w:adjustRightInd/>
        <w:spacing w:line="360" w:lineRule="exact"/>
        <w:ind w:firstLine="420" w:firstLineChars="200"/>
        <w:rPr>
          <w:rFonts w:ascii="宋体" w:hAnsi="宋体" w:cs="宋体"/>
          <w:color w:val="auto"/>
          <w:szCs w:val="21"/>
          <w:highlight w:val="none"/>
        </w:rPr>
      </w:pPr>
      <w:r>
        <w:rPr>
          <w:rFonts w:hint="eastAsia" w:ascii="宋体" w:hAnsi="宋体" w:cs="宋体"/>
          <w:bCs/>
          <w:color w:val="auto"/>
          <w:kern w:val="0"/>
          <w:szCs w:val="21"/>
          <w:highlight w:val="none"/>
        </w:rPr>
        <w:t>售价：0元。</w:t>
      </w:r>
    </w:p>
    <w:p w14:paraId="62C75E58">
      <w:pPr>
        <w:keepNext w:val="0"/>
        <w:keepLines w:val="0"/>
        <w:pageBreakBefore w:val="0"/>
        <w:kinsoku/>
        <w:wordWrap/>
        <w:overflowPunct/>
        <w:topLinePunct w:val="0"/>
        <w:autoSpaceDE/>
        <w:autoSpaceDN/>
        <w:bidi w:val="0"/>
        <w:adjustRightInd/>
        <w:spacing w:line="360" w:lineRule="exact"/>
        <w:rPr>
          <w:rFonts w:ascii="宋体" w:hAnsi="宋体"/>
          <w:b/>
          <w:bCs/>
          <w:color w:val="auto"/>
          <w:sz w:val="24"/>
          <w:highlight w:val="none"/>
        </w:rPr>
      </w:pPr>
      <w:bookmarkStart w:id="23" w:name="_Toc28359082"/>
      <w:bookmarkStart w:id="24" w:name="_Toc28359005"/>
      <w:bookmarkStart w:id="25" w:name="_Toc35393793"/>
      <w:bookmarkStart w:id="26" w:name="_Toc35393624"/>
      <w:r>
        <w:rPr>
          <w:rFonts w:hint="eastAsia" w:ascii="宋体" w:hAnsi="宋体"/>
          <w:b/>
          <w:bCs/>
          <w:color w:val="auto"/>
          <w:sz w:val="24"/>
          <w:highlight w:val="none"/>
        </w:rPr>
        <w:t>四、提交投标文件</w:t>
      </w:r>
      <w:bookmarkEnd w:id="23"/>
      <w:bookmarkEnd w:id="24"/>
      <w:r>
        <w:rPr>
          <w:rFonts w:hint="eastAsia" w:ascii="宋体" w:hAnsi="宋体"/>
          <w:b/>
          <w:bCs/>
          <w:color w:val="auto"/>
          <w:sz w:val="24"/>
          <w:highlight w:val="none"/>
        </w:rPr>
        <w:t>截止时间、开标时间和地点</w:t>
      </w:r>
      <w:bookmarkEnd w:id="25"/>
      <w:bookmarkEnd w:id="26"/>
    </w:p>
    <w:p w14:paraId="6F7721D3">
      <w:pPr>
        <w:keepNext w:val="0"/>
        <w:keepLines w:val="0"/>
        <w:pageBreakBefore w:val="0"/>
        <w:kinsoku/>
        <w:wordWrap/>
        <w:overflowPunct/>
        <w:topLinePunct w:val="0"/>
        <w:autoSpaceDE/>
        <w:autoSpaceDN/>
        <w:bidi w:val="0"/>
        <w:adjustRightInd/>
        <w:spacing w:line="360" w:lineRule="exact"/>
        <w:ind w:firstLine="420" w:firstLineChars="200"/>
        <w:rPr>
          <w:rFonts w:ascii="宋体" w:hAnsi="宋体"/>
          <w:color w:val="auto"/>
          <w:szCs w:val="21"/>
          <w:highlight w:val="none"/>
        </w:rPr>
      </w:pPr>
      <w:bookmarkStart w:id="27" w:name="_Toc35393625"/>
      <w:bookmarkStart w:id="28" w:name="_Toc35393794"/>
      <w:bookmarkStart w:id="29" w:name="_Toc28359007"/>
      <w:bookmarkStart w:id="30" w:name="_Toc28359084"/>
      <w:r>
        <w:rPr>
          <w:rFonts w:hint="eastAsia" w:ascii="宋体" w:hAnsi="宋体"/>
          <w:color w:val="auto"/>
          <w:szCs w:val="21"/>
          <w:highlight w:val="none"/>
        </w:rPr>
        <w:t>1.</w:t>
      </w:r>
      <w:r>
        <w:rPr>
          <w:rFonts w:hint="eastAsia" w:ascii="宋体" w:hAnsi="宋体" w:cs="宋体"/>
          <w:color w:val="auto"/>
          <w:szCs w:val="21"/>
          <w:highlight w:val="none"/>
          <w:lang w:bidi="ar"/>
        </w:rPr>
        <w:t>截止时间</w:t>
      </w:r>
      <w:r>
        <w:rPr>
          <w:rFonts w:hint="eastAsia" w:ascii="宋体" w:hAnsi="宋体"/>
          <w:color w:val="auto"/>
          <w:szCs w:val="21"/>
          <w:highlight w:val="none"/>
        </w:rPr>
        <w:t>：</w:t>
      </w:r>
      <w:r>
        <w:rPr>
          <w:rFonts w:hint="eastAsia" w:ascii="宋体" w:hAnsi="宋体" w:cs="Arial"/>
          <w:color w:val="auto"/>
          <w:highlight w:val="none"/>
          <w:lang w:eastAsia="zh-CN"/>
        </w:rPr>
        <w:t>2025年</w:t>
      </w:r>
      <w:r>
        <w:rPr>
          <w:rFonts w:hint="eastAsia" w:ascii="宋体" w:hAnsi="宋体" w:cs="Arial"/>
          <w:color w:val="auto"/>
          <w:highlight w:val="none"/>
          <w:lang w:val="en-US" w:eastAsia="zh-CN"/>
        </w:rPr>
        <w:t>11</w:t>
      </w:r>
      <w:r>
        <w:rPr>
          <w:rFonts w:hint="eastAsia" w:ascii="宋体" w:hAnsi="宋体" w:cs="Arial"/>
          <w:color w:val="auto"/>
          <w:highlight w:val="none"/>
          <w:lang w:eastAsia="zh-CN"/>
        </w:rPr>
        <w:t>月</w:t>
      </w:r>
      <w:r>
        <w:rPr>
          <w:rFonts w:hint="eastAsia" w:ascii="宋体" w:hAnsi="宋体" w:cs="Arial"/>
          <w:color w:val="auto"/>
          <w:highlight w:val="none"/>
          <w:lang w:val="en-US" w:eastAsia="zh-CN"/>
        </w:rPr>
        <w:t>14</w:t>
      </w:r>
      <w:r>
        <w:rPr>
          <w:rFonts w:hint="eastAsia" w:ascii="宋体" w:hAnsi="宋体" w:cs="Arial"/>
          <w:color w:val="auto"/>
          <w:highlight w:val="none"/>
          <w:lang w:eastAsia="zh-CN"/>
        </w:rPr>
        <w:t>日9时30分</w:t>
      </w:r>
      <w:r>
        <w:rPr>
          <w:rFonts w:hint="eastAsia" w:ascii="宋体" w:hAnsi="宋体"/>
          <w:color w:val="auto"/>
          <w:szCs w:val="21"/>
          <w:highlight w:val="none"/>
        </w:rPr>
        <w:t>（北京时间）</w:t>
      </w:r>
    </w:p>
    <w:p w14:paraId="79915D28">
      <w:pPr>
        <w:keepNext w:val="0"/>
        <w:keepLines w:val="0"/>
        <w:pageBreakBefore w:val="0"/>
        <w:kinsoku/>
        <w:wordWrap/>
        <w:overflowPunct/>
        <w:topLinePunct w:val="0"/>
        <w:autoSpaceDE/>
        <w:autoSpaceDN/>
        <w:bidi w:val="0"/>
        <w:adjustRightInd/>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2.地点：</w:t>
      </w:r>
      <w:r>
        <w:rPr>
          <w:rFonts w:hint="eastAsia" w:ascii="宋体" w:hAnsi="宋体" w:cs="宋体"/>
          <w:color w:val="auto"/>
          <w:szCs w:val="21"/>
          <w:highlight w:val="none"/>
          <w:lang w:bidi="ar"/>
        </w:rPr>
        <w:t>本项目将在广西政府采购云平台电子开标大厅解密、开标。</w:t>
      </w:r>
    </w:p>
    <w:p w14:paraId="5391D7EE">
      <w:pPr>
        <w:keepNext w:val="0"/>
        <w:keepLines w:val="0"/>
        <w:pageBreakBefore w:val="0"/>
        <w:kinsoku/>
        <w:wordWrap/>
        <w:overflowPunct/>
        <w:topLinePunct w:val="0"/>
        <w:autoSpaceDE/>
        <w:autoSpaceDN/>
        <w:bidi w:val="0"/>
        <w:adjustRightInd/>
        <w:spacing w:line="360" w:lineRule="exact"/>
        <w:rPr>
          <w:rFonts w:ascii="宋体" w:hAnsi="宋体"/>
          <w:b/>
          <w:bCs/>
          <w:color w:val="auto"/>
          <w:sz w:val="24"/>
          <w:highlight w:val="none"/>
        </w:rPr>
      </w:pPr>
      <w:r>
        <w:rPr>
          <w:rFonts w:hint="eastAsia" w:ascii="宋体" w:hAnsi="宋体"/>
          <w:b/>
          <w:bCs/>
          <w:color w:val="auto"/>
          <w:sz w:val="24"/>
          <w:highlight w:val="none"/>
        </w:rPr>
        <w:t>五、公告期限</w:t>
      </w:r>
      <w:bookmarkEnd w:id="27"/>
      <w:bookmarkEnd w:id="28"/>
      <w:bookmarkEnd w:id="29"/>
      <w:bookmarkEnd w:id="30"/>
    </w:p>
    <w:p w14:paraId="7DBD76BF">
      <w:pPr>
        <w:keepNext w:val="0"/>
        <w:keepLines w:val="0"/>
        <w:pageBreakBefore w:val="0"/>
        <w:kinsoku/>
        <w:wordWrap/>
        <w:overflowPunct/>
        <w:topLinePunct w:val="0"/>
        <w:autoSpaceDE/>
        <w:autoSpaceDN/>
        <w:bidi w:val="0"/>
        <w:adjustRightInd/>
        <w:spacing w:line="36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58B00CA6">
      <w:pPr>
        <w:keepNext w:val="0"/>
        <w:keepLines w:val="0"/>
        <w:pageBreakBefore w:val="0"/>
        <w:kinsoku/>
        <w:wordWrap/>
        <w:overflowPunct/>
        <w:topLinePunct w:val="0"/>
        <w:autoSpaceDE/>
        <w:autoSpaceDN/>
        <w:bidi w:val="0"/>
        <w:adjustRightInd/>
        <w:spacing w:line="360" w:lineRule="exact"/>
        <w:rPr>
          <w:rFonts w:ascii="宋体" w:hAnsi="宋体"/>
          <w:b/>
          <w:bCs/>
          <w:color w:val="auto"/>
          <w:sz w:val="24"/>
          <w:highlight w:val="none"/>
        </w:rPr>
      </w:pPr>
      <w:bookmarkStart w:id="31" w:name="_Toc35393795"/>
      <w:bookmarkStart w:id="32" w:name="_Toc35393626"/>
      <w:r>
        <w:rPr>
          <w:rFonts w:hint="eastAsia" w:ascii="宋体" w:hAnsi="宋体"/>
          <w:b/>
          <w:bCs/>
          <w:color w:val="auto"/>
          <w:sz w:val="24"/>
          <w:highlight w:val="none"/>
        </w:rPr>
        <w:t>六、其他补充事宜</w:t>
      </w:r>
      <w:bookmarkEnd w:id="31"/>
      <w:bookmarkEnd w:id="32"/>
    </w:p>
    <w:p w14:paraId="57992F24">
      <w:pPr>
        <w:keepNext w:val="0"/>
        <w:keepLines w:val="0"/>
        <w:pageBreakBefore w:val="0"/>
        <w:kinsoku/>
        <w:wordWrap/>
        <w:overflowPunct/>
        <w:topLinePunct w:val="0"/>
        <w:autoSpaceDE/>
        <w:autoSpaceDN/>
        <w:bidi w:val="0"/>
        <w:adjustRightInd/>
        <w:spacing w:line="360" w:lineRule="exact"/>
        <w:ind w:firstLine="420" w:firstLineChars="200"/>
        <w:rPr>
          <w:rFonts w:ascii="宋体" w:hAnsi="宋体" w:cs="宋体"/>
          <w:color w:val="auto"/>
          <w:kern w:val="0"/>
          <w:szCs w:val="21"/>
          <w:highlight w:val="none"/>
        </w:rPr>
      </w:pPr>
      <w:bookmarkStart w:id="33" w:name="_Hlk37429674"/>
      <w:r>
        <w:rPr>
          <w:rFonts w:hint="eastAsia" w:ascii="宋体" w:hAnsi="宋体" w:cs="宋体"/>
          <w:color w:val="auto"/>
          <w:kern w:val="0"/>
          <w:szCs w:val="21"/>
          <w:highlight w:val="none"/>
        </w:rPr>
        <w:t>1.投标保证金（人民币）：</w:t>
      </w:r>
      <w:r>
        <w:rPr>
          <w:rFonts w:hint="eastAsia" w:ascii="宋体" w:hAnsi="宋体" w:cs="宋体"/>
          <w:color w:val="auto"/>
          <w:kern w:val="0"/>
          <w:szCs w:val="21"/>
          <w:highlight w:val="none"/>
          <w:lang w:val="en-US" w:eastAsia="zh-CN"/>
        </w:rPr>
        <w:t>48000</w:t>
      </w:r>
      <w:r>
        <w:rPr>
          <w:rFonts w:hint="eastAsia" w:ascii="宋体" w:hAnsi="宋体" w:cs="宋体"/>
          <w:color w:val="auto"/>
          <w:kern w:val="0"/>
          <w:szCs w:val="21"/>
          <w:highlight w:val="none"/>
        </w:rPr>
        <w:t>元。</w:t>
      </w:r>
    </w:p>
    <w:p w14:paraId="55A9C833">
      <w:pPr>
        <w:keepNext w:val="0"/>
        <w:keepLines w:val="0"/>
        <w:pageBreakBefore w:val="0"/>
        <w:kinsoku/>
        <w:wordWrap/>
        <w:overflowPunct/>
        <w:topLinePunct w:val="0"/>
        <w:autoSpaceDE/>
        <w:autoSpaceDN/>
        <w:bidi w:val="0"/>
        <w:adjustRightInd/>
        <w:spacing w:line="36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72F357B7">
      <w:pPr>
        <w:keepNext w:val="0"/>
        <w:keepLines w:val="0"/>
        <w:pageBreakBefore w:val="0"/>
        <w:kinsoku/>
        <w:wordWrap/>
        <w:overflowPunct/>
        <w:topLinePunct w:val="0"/>
        <w:autoSpaceDE/>
        <w:autoSpaceDN/>
        <w:bidi w:val="0"/>
        <w:adjustRightInd/>
        <w:spacing w:line="36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3.根据财政部《关于在政府采购活动中查询及使用信用记录有关问题的通知》（财库〔2016〕125号）的规定，对在“信用中国”网站(www.creditchina.gov.cn)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6B3CB879">
      <w:pPr>
        <w:keepNext w:val="0"/>
        <w:keepLines w:val="0"/>
        <w:pageBreakBefore w:val="0"/>
        <w:kinsoku/>
        <w:wordWrap/>
        <w:overflowPunct/>
        <w:topLinePunct w:val="0"/>
        <w:autoSpaceDE/>
        <w:autoSpaceDN/>
        <w:bidi w:val="0"/>
        <w:adjustRightInd/>
        <w:spacing w:line="36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4.网上查询地址：中国政府采购网（www.ccgp.gov.cn）、广西政府采购网（zfcg.gxzf.gov.cn）、广西壮族自治区公共资源交易中心网站（gxggzy.gxzf.gov.cn）。</w:t>
      </w:r>
    </w:p>
    <w:p w14:paraId="579B4C56">
      <w:pPr>
        <w:keepNext w:val="0"/>
        <w:keepLines w:val="0"/>
        <w:pageBreakBefore w:val="0"/>
        <w:kinsoku/>
        <w:wordWrap/>
        <w:overflowPunct/>
        <w:topLinePunct w:val="0"/>
        <w:autoSpaceDE/>
        <w:autoSpaceDN/>
        <w:bidi w:val="0"/>
        <w:adjustRightInd/>
        <w:spacing w:line="36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5.本项目需要落实的政府采购政策：</w:t>
      </w:r>
    </w:p>
    <w:p w14:paraId="0F1C9FD5">
      <w:pPr>
        <w:keepNext w:val="0"/>
        <w:keepLines w:val="0"/>
        <w:pageBreakBefore w:val="0"/>
        <w:kinsoku/>
        <w:wordWrap/>
        <w:overflowPunct/>
        <w:topLinePunct w:val="0"/>
        <w:autoSpaceDE/>
        <w:autoSpaceDN/>
        <w:bidi w:val="0"/>
        <w:adjustRightInd/>
        <w:spacing w:line="36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6C53B0D6">
      <w:pPr>
        <w:keepNext w:val="0"/>
        <w:keepLines w:val="0"/>
        <w:pageBreakBefore w:val="0"/>
        <w:kinsoku/>
        <w:wordWrap/>
        <w:overflowPunct/>
        <w:topLinePunct w:val="0"/>
        <w:autoSpaceDE/>
        <w:autoSpaceDN/>
        <w:bidi w:val="0"/>
        <w:adjustRightInd/>
        <w:spacing w:line="36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14:paraId="35FB9448">
      <w:pPr>
        <w:keepNext w:val="0"/>
        <w:keepLines w:val="0"/>
        <w:pageBreakBefore w:val="0"/>
        <w:kinsoku/>
        <w:wordWrap/>
        <w:overflowPunct/>
        <w:topLinePunct w:val="0"/>
        <w:autoSpaceDE/>
        <w:autoSpaceDN/>
        <w:bidi w:val="0"/>
        <w:adjustRightInd/>
        <w:spacing w:line="36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（3）强制采购节能产品；优先采购节能产品、环境标志产品。</w:t>
      </w:r>
    </w:p>
    <w:p w14:paraId="0304710C">
      <w:pPr>
        <w:keepNext w:val="0"/>
        <w:keepLines w:val="0"/>
        <w:pageBreakBefore w:val="0"/>
        <w:kinsoku/>
        <w:wordWrap/>
        <w:overflowPunct/>
        <w:topLinePunct w:val="0"/>
        <w:autoSpaceDE/>
        <w:autoSpaceDN/>
        <w:bidi w:val="0"/>
        <w:adjustRightInd/>
        <w:spacing w:line="36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（4）政府采购促进残疾人就业政策。</w:t>
      </w:r>
    </w:p>
    <w:p w14:paraId="0BC127C6">
      <w:pPr>
        <w:keepNext w:val="0"/>
        <w:keepLines w:val="0"/>
        <w:pageBreakBefore w:val="0"/>
        <w:kinsoku/>
        <w:wordWrap/>
        <w:overflowPunct/>
        <w:topLinePunct w:val="0"/>
        <w:autoSpaceDE/>
        <w:autoSpaceDN/>
        <w:bidi w:val="0"/>
        <w:adjustRightInd/>
        <w:spacing w:line="36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（5）政府采购支持监狱企业发展。</w:t>
      </w:r>
    </w:p>
    <w:p w14:paraId="3200F32F">
      <w:pPr>
        <w:keepNext w:val="0"/>
        <w:keepLines w:val="0"/>
        <w:pageBreakBefore w:val="0"/>
        <w:kinsoku/>
        <w:wordWrap/>
        <w:overflowPunct/>
        <w:topLinePunct w:val="0"/>
        <w:autoSpaceDE/>
        <w:autoSpaceDN/>
        <w:bidi w:val="0"/>
        <w:adjustRightInd/>
        <w:spacing w:line="36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（6）扶持不发达地区和少数民族地区政策。</w:t>
      </w:r>
    </w:p>
    <w:p w14:paraId="3FBB47A9">
      <w:pPr>
        <w:keepNext w:val="0"/>
        <w:keepLines w:val="0"/>
        <w:pageBreakBefore w:val="0"/>
        <w:widowControl/>
        <w:kinsoku/>
        <w:wordWrap/>
        <w:overflowPunct/>
        <w:topLinePunct w:val="0"/>
        <w:autoSpaceDE/>
        <w:autoSpaceDN/>
        <w:bidi w:val="0"/>
        <w:adjustRightInd/>
        <w:spacing w:line="360" w:lineRule="exact"/>
        <w:ind w:firstLine="420" w:firstLineChars="200"/>
        <w:rPr>
          <w:rFonts w:ascii="宋体" w:hAnsi="宋体" w:cs="宋体"/>
          <w:color w:val="auto"/>
          <w:szCs w:val="21"/>
          <w:highlight w:val="none"/>
          <w:lang w:bidi="ar"/>
        </w:rPr>
      </w:pPr>
      <w:r>
        <w:rPr>
          <w:rFonts w:hint="eastAsia" w:ascii="宋体" w:hAnsi="宋体" w:cs="宋体"/>
          <w:color w:val="auto"/>
          <w:szCs w:val="21"/>
          <w:highlight w:val="none"/>
          <w:lang w:bidi="ar"/>
        </w:rPr>
        <w:t>6.投标注意事项：</w:t>
      </w:r>
    </w:p>
    <w:p w14:paraId="19CF07AF">
      <w:pPr>
        <w:keepNext w:val="0"/>
        <w:keepLines w:val="0"/>
        <w:pageBreakBefore w:val="0"/>
        <w:widowControl/>
        <w:kinsoku/>
        <w:wordWrap/>
        <w:overflowPunct/>
        <w:topLinePunct w:val="0"/>
        <w:autoSpaceDE/>
        <w:autoSpaceDN/>
        <w:bidi w:val="0"/>
        <w:adjustRightInd/>
        <w:spacing w:line="360" w:lineRule="exact"/>
        <w:ind w:firstLine="420" w:firstLineChars="200"/>
        <w:rPr>
          <w:rFonts w:ascii="宋体" w:hAnsi="宋体" w:cs="宋体"/>
          <w:bCs/>
          <w:color w:val="auto"/>
          <w:szCs w:val="21"/>
          <w:highlight w:val="none"/>
        </w:rPr>
      </w:pPr>
      <w:r>
        <w:rPr>
          <w:rFonts w:hint="eastAsia" w:ascii="宋体" w:hAnsi="宋体" w:cs="宋体"/>
          <w:color w:val="auto"/>
          <w:szCs w:val="21"/>
          <w:highlight w:val="none"/>
          <w:lang w:bidi="ar"/>
        </w:rPr>
        <w:t>（1）投标文件提交方式：本项目为全流程电子化政府采购项目，通过广西政府采购云平台（https://www.gcy.zfcg.gxzf.gov.cn/）实行在线电子投标，供应商应先安装“政采云电子交易客户端”（请自行前往广西政府采购云平台进行下载），并按照本项目招标文件和广西政府采购云平台的要求编制、加密后在投标截止时间前通过网络上传至广西政府采购云平台，</w:t>
      </w:r>
      <w:r>
        <w:rPr>
          <w:rFonts w:hint="eastAsia" w:ascii="宋体" w:hAnsi="宋体" w:cs="宋体"/>
          <w:b/>
          <w:color w:val="auto"/>
          <w:szCs w:val="21"/>
          <w:highlight w:val="none"/>
          <w:lang w:bidi="ar"/>
        </w:rPr>
        <w:t>供应商在广西政府采购云平台提交电子版投标文件时，请填写参加远程开标活动经办人联系方式。</w:t>
      </w:r>
    </w:p>
    <w:p w14:paraId="774590F1">
      <w:pPr>
        <w:keepNext w:val="0"/>
        <w:keepLines w:val="0"/>
        <w:pageBreakBefore w:val="0"/>
        <w:widowControl/>
        <w:kinsoku/>
        <w:wordWrap/>
        <w:overflowPunct/>
        <w:topLinePunct w:val="0"/>
        <w:autoSpaceDE/>
        <w:autoSpaceDN/>
        <w:bidi w:val="0"/>
        <w:adjustRightInd/>
        <w:spacing w:line="360" w:lineRule="exact"/>
        <w:ind w:firstLine="420" w:firstLineChars="200"/>
        <w:rPr>
          <w:rFonts w:ascii="宋体" w:hAnsi="宋体" w:cs="宋体"/>
          <w:color w:val="auto"/>
          <w:szCs w:val="21"/>
          <w:highlight w:val="none"/>
          <w:lang w:bidi="ar"/>
        </w:rPr>
      </w:pPr>
      <w:r>
        <w:rPr>
          <w:rFonts w:hint="eastAsia" w:ascii="宋体" w:hAnsi="宋体" w:cs="宋体"/>
          <w:color w:val="auto"/>
          <w:szCs w:val="21"/>
          <w:highlight w:val="none"/>
          <w:lang w:bidi="ar"/>
        </w:rPr>
        <w:t>（2）</w:t>
      </w:r>
      <w:r>
        <w:rPr>
          <w:rFonts w:ascii="宋体" w:hAnsi="宋体" w:cs="宋体"/>
          <w:color w:val="auto"/>
          <w:szCs w:val="21"/>
          <w:highlight w:val="none"/>
          <w:lang w:bidi="ar"/>
        </w:rPr>
        <w:t>供应商应及时熟悉掌握电子标系统操作指南（见政采云电子卖场首页右上角—服务中心—帮助文档—项目采购）：</w:t>
      </w:r>
      <w:r>
        <w:rPr>
          <w:rFonts w:ascii="宋体" w:hAnsi="宋体" w:cs="宋体"/>
          <w:color w:val="auto"/>
          <w:szCs w:val="21"/>
          <w:highlight w:val="none"/>
          <w:lang w:bidi="ar"/>
        </w:rPr>
        <w:fldChar w:fldCharType="begin"/>
      </w:r>
      <w:r>
        <w:rPr>
          <w:rFonts w:ascii="宋体" w:hAnsi="宋体" w:cs="宋体"/>
          <w:color w:val="auto"/>
          <w:szCs w:val="21"/>
          <w:highlight w:val="none"/>
          <w:lang w:bidi="ar"/>
        </w:rPr>
        <w:instrText xml:space="preserve"> HYPERLINK "https://service.zcygov.cn/#/knowledges/tree?tag=AG1DtGwBFdiHxlNdhY0r" </w:instrText>
      </w:r>
      <w:r>
        <w:rPr>
          <w:rFonts w:ascii="宋体" w:hAnsi="宋体" w:cs="宋体"/>
          <w:color w:val="auto"/>
          <w:szCs w:val="21"/>
          <w:highlight w:val="none"/>
          <w:lang w:bidi="ar"/>
        </w:rPr>
        <w:fldChar w:fldCharType="separate"/>
      </w:r>
      <w:r>
        <w:rPr>
          <w:rFonts w:ascii="宋体" w:hAnsi="宋体" w:cs="宋体"/>
          <w:color w:val="auto"/>
          <w:szCs w:val="21"/>
          <w:highlight w:val="none"/>
          <w:lang w:bidi="ar"/>
        </w:rPr>
        <w:t>https://service.zcygov.cn/#/knowledges/tree?tag=AG1DtGwBFdiHxlNdhY0r</w:t>
      </w:r>
      <w:r>
        <w:rPr>
          <w:rFonts w:ascii="宋体" w:hAnsi="宋体" w:cs="宋体"/>
          <w:color w:val="auto"/>
          <w:szCs w:val="21"/>
          <w:highlight w:val="none"/>
          <w:lang w:bidi="ar"/>
        </w:rPr>
        <w:fldChar w:fldCharType="end"/>
      </w:r>
      <w:r>
        <w:rPr>
          <w:rFonts w:hint="eastAsia" w:ascii="宋体" w:hAnsi="宋体" w:cs="宋体"/>
          <w:color w:val="auto"/>
          <w:szCs w:val="21"/>
          <w:highlight w:val="none"/>
          <w:lang w:bidi="ar"/>
        </w:rPr>
        <w:t>；</w:t>
      </w:r>
      <w:r>
        <w:rPr>
          <w:rFonts w:ascii="宋体" w:hAnsi="宋体" w:cs="宋体"/>
          <w:color w:val="auto"/>
          <w:szCs w:val="21"/>
          <w:highlight w:val="none"/>
          <w:lang w:bidi="ar"/>
        </w:rPr>
        <w:t>及时完成CA申领和绑定（见广西壮族自治区政府采购网—办事服务—下载专区-政采云CA证书办理操作指南）。</w:t>
      </w:r>
    </w:p>
    <w:p w14:paraId="09F1F92B">
      <w:pPr>
        <w:keepNext w:val="0"/>
        <w:keepLines w:val="0"/>
        <w:pageBreakBefore w:val="0"/>
        <w:widowControl/>
        <w:kinsoku/>
        <w:wordWrap/>
        <w:overflowPunct/>
        <w:topLinePunct w:val="0"/>
        <w:autoSpaceDE/>
        <w:autoSpaceDN/>
        <w:bidi w:val="0"/>
        <w:adjustRightInd/>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3）未进行网上注册并办理数字证书（CA认证）的供应商将无法参与本项目政府采购活动，潜在供应商应当在投标截止时间前，完成电子交易平台上的CA数字证书办理及投标文件的提交。完成CA数字证书办理预计7日左右，投标人只需办理其中一家CA数字证书及签章，建议各投标人抓紧时间办理。</w:t>
      </w:r>
    </w:p>
    <w:p w14:paraId="660631F9">
      <w:pPr>
        <w:keepNext w:val="0"/>
        <w:keepLines w:val="0"/>
        <w:pageBreakBefore w:val="0"/>
        <w:widowControl/>
        <w:kinsoku/>
        <w:wordWrap/>
        <w:overflowPunct/>
        <w:topLinePunct w:val="0"/>
        <w:autoSpaceDE/>
        <w:autoSpaceDN/>
        <w:bidi w:val="0"/>
        <w:adjustRightInd/>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（4）为确保网上操作合法、有效和安全，请投标人确保在电子投标过程中能够对相关数据电文进行加密和使用电子签章，妥善保管CA数字证书并使用有效的CA数字证书参与整个采购活动。</w:t>
      </w:r>
    </w:p>
    <w:p w14:paraId="77615208">
      <w:pPr>
        <w:keepNext w:val="0"/>
        <w:keepLines w:val="0"/>
        <w:pageBreakBefore w:val="0"/>
        <w:kinsoku/>
        <w:wordWrap/>
        <w:overflowPunct/>
        <w:topLinePunct w:val="0"/>
        <w:autoSpaceDE/>
        <w:autoSpaceDN/>
        <w:bidi w:val="0"/>
        <w:adjustRightInd/>
        <w:spacing w:line="36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lang w:bidi="ar"/>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2DC4059F">
      <w:pPr>
        <w:keepNext w:val="0"/>
        <w:keepLines w:val="0"/>
        <w:pageBreakBefore w:val="0"/>
        <w:kinsoku/>
        <w:wordWrap/>
        <w:overflowPunct/>
        <w:topLinePunct w:val="0"/>
        <w:autoSpaceDE/>
        <w:autoSpaceDN/>
        <w:bidi w:val="0"/>
        <w:adjustRightInd/>
        <w:snapToGrid w:val="0"/>
        <w:spacing w:line="36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bidi="ar"/>
        </w:rPr>
        <w:t>7.CA证书在线解密：供应商投标时，需携带制作投标文件时用来加密的有效数字证书（CA认证）登录广西政府采购云平台电子开标大厅现场按规定时间对加密的投标文件进行解密，否则后果自负。</w:t>
      </w:r>
    </w:p>
    <w:p w14:paraId="492C30C9">
      <w:pPr>
        <w:keepNext w:val="0"/>
        <w:keepLines w:val="0"/>
        <w:pageBreakBefore w:val="0"/>
        <w:kinsoku/>
        <w:wordWrap/>
        <w:overflowPunct/>
        <w:topLinePunct w:val="0"/>
        <w:autoSpaceDE/>
        <w:autoSpaceDN/>
        <w:bidi w:val="0"/>
        <w:adjustRightInd/>
        <w:spacing w:line="36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8.若对项目采购电子交易系统操作有疑问，可登录广西政府采购云平台（https://www.gcy.zfcg.gxzf.gov.cn/），点击右侧咨询小采，获取采小蜜智能服务管家帮助，或拨打政采云服务热线95763获取热线服务帮助。</w:t>
      </w:r>
    </w:p>
    <w:bookmarkEnd w:id="33"/>
    <w:p w14:paraId="5951177B">
      <w:pPr>
        <w:keepNext w:val="0"/>
        <w:keepLines w:val="0"/>
        <w:pageBreakBefore w:val="0"/>
        <w:kinsoku/>
        <w:wordWrap/>
        <w:overflowPunct/>
        <w:topLinePunct w:val="0"/>
        <w:autoSpaceDE/>
        <w:autoSpaceDN/>
        <w:bidi w:val="0"/>
        <w:adjustRightInd/>
        <w:spacing w:line="360" w:lineRule="exact"/>
        <w:rPr>
          <w:rFonts w:ascii="宋体" w:hAnsi="宋体"/>
          <w:b/>
          <w:bCs/>
          <w:color w:val="auto"/>
          <w:sz w:val="24"/>
          <w:highlight w:val="none"/>
        </w:rPr>
      </w:pPr>
      <w:bookmarkStart w:id="34" w:name="_Toc35393627"/>
      <w:bookmarkStart w:id="35" w:name="_Toc28359008"/>
      <w:bookmarkStart w:id="36" w:name="_Toc28359085"/>
      <w:bookmarkStart w:id="37" w:name="_Toc35393796"/>
      <w:r>
        <w:rPr>
          <w:rFonts w:hint="eastAsia" w:ascii="宋体" w:hAnsi="宋体"/>
          <w:b/>
          <w:bCs/>
          <w:color w:val="auto"/>
          <w:sz w:val="24"/>
          <w:highlight w:val="none"/>
        </w:rPr>
        <w:t>七、对本次招标提出询问，请按</w:t>
      </w:r>
      <w:r>
        <w:rPr>
          <w:rFonts w:ascii="宋体" w:hAnsi="宋体"/>
          <w:b/>
          <w:bCs/>
          <w:color w:val="auto"/>
          <w:sz w:val="24"/>
          <w:highlight w:val="none"/>
        </w:rPr>
        <w:t>以下方式</w:t>
      </w:r>
      <w:r>
        <w:rPr>
          <w:rFonts w:hint="eastAsia" w:ascii="宋体" w:hAnsi="宋体"/>
          <w:b/>
          <w:bCs/>
          <w:color w:val="auto"/>
          <w:sz w:val="24"/>
          <w:highlight w:val="none"/>
        </w:rPr>
        <w:t>联系。</w:t>
      </w:r>
      <w:bookmarkEnd w:id="34"/>
      <w:bookmarkEnd w:id="35"/>
      <w:bookmarkEnd w:id="36"/>
      <w:bookmarkEnd w:id="37"/>
    </w:p>
    <w:p w14:paraId="68B45667">
      <w:pPr>
        <w:keepNext w:val="0"/>
        <w:keepLines w:val="0"/>
        <w:pageBreakBefore w:val="0"/>
        <w:kinsoku/>
        <w:wordWrap/>
        <w:overflowPunct/>
        <w:topLinePunct w:val="0"/>
        <w:autoSpaceDE/>
        <w:autoSpaceDN/>
        <w:bidi w:val="0"/>
        <w:adjustRightInd/>
        <w:spacing w:line="360" w:lineRule="exact"/>
        <w:ind w:firstLine="567" w:firstLineChars="270"/>
        <w:jc w:val="left"/>
        <w:rPr>
          <w:rFonts w:ascii="宋体" w:hAnsi="宋体" w:cs="宋体"/>
          <w:color w:val="auto"/>
          <w:szCs w:val="21"/>
          <w:highlight w:val="none"/>
        </w:rPr>
      </w:pPr>
      <w:r>
        <w:rPr>
          <w:rFonts w:hint="eastAsia" w:ascii="宋体" w:hAnsi="宋体" w:cs="宋体"/>
          <w:color w:val="auto"/>
          <w:szCs w:val="21"/>
          <w:highlight w:val="none"/>
        </w:rPr>
        <w:t>1.采购人信息</w:t>
      </w:r>
    </w:p>
    <w:p w14:paraId="2681D1DE">
      <w:pPr>
        <w:keepNext w:val="0"/>
        <w:keepLines w:val="0"/>
        <w:pageBreakBefore w:val="0"/>
        <w:kinsoku/>
        <w:wordWrap/>
        <w:overflowPunct/>
        <w:topLinePunct w:val="0"/>
        <w:autoSpaceDE/>
        <w:autoSpaceDN/>
        <w:bidi w:val="0"/>
        <w:adjustRightInd/>
        <w:spacing w:line="360" w:lineRule="exact"/>
        <w:ind w:firstLine="567" w:firstLineChars="270"/>
        <w:jc w:val="left"/>
        <w:rPr>
          <w:rFonts w:hint="eastAsia" w:ascii="宋体" w:hAnsi="宋体" w:eastAsia="宋体"/>
          <w:color w:val="auto"/>
          <w:szCs w:val="21"/>
          <w:highlight w:val="none"/>
          <w:lang w:eastAsia="zh-CN"/>
        </w:rPr>
      </w:pPr>
      <w:r>
        <w:rPr>
          <w:rFonts w:hint="eastAsia" w:ascii="宋体" w:hAnsi="宋体"/>
          <w:color w:val="auto"/>
          <w:szCs w:val="21"/>
          <w:highlight w:val="none"/>
        </w:rPr>
        <w:t>名称：</w:t>
      </w:r>
      <w:r>
        <w:rPr>
          <w:rFonts w:hint="eastAsia" w:ascii="宋体" w:hAnsi="宋体" w:cs="Arial"/>
          <w:color w:val="auto"/>
          <w:highlight w:val="none"/>
          <w:lang w:eastAsia="zh-CN"/>
        </w:rPr>
        <w:t>广西壮族自治区人民医院</w:t>
      </w:r>
    </w:p>
    <w:p w14:paraId="527B97DD">
      <w:pPr>
        <w:keepNext w:val="0"/>
        <w:keepLines w:val="0"/>
        <w:pageBreakBefore w:val="0"/>
        <w:kinsoku/>
        <w:wordWrap/>
        <w:overflowPunct/>
        <w:topLinePunct w:val="0"/>
        <w:autoSpaceDE/>
        <w:autoSpaceDN/>
        <w:bidi w:val="0"/>
        <w:adjustRightInd/>
        <w:spacing w:line="360" w:lineRule="exact"/>
        <w:ind w:firstLine="567" w:firstLineChars="270"/>
        <w:jc w:val="left"/>
        <w:rPr>
          <w:rFonts w:hint="eastAsia" w:ascii="宋体" w:hAnsi="宋体" w:eastAsia="宋体"/>
          <w:color w:val="auto"/>
          <w:szCs w:val="21"/>
          <w:highlight w:val="none"/>
          <w:lang w:eastAsia="zh-CN"/>
        </w:rPr>
      </w:pPr>
      <w:r>
        <w:rPr>
          <w:rFonts w:hint="eastAsia" w:ascii="宋体" w:hAnsi="宋体"/>
          <w:color w:val="auto"/>
          <w:szCs w:val="21"/>
          <w:highlight w:val="none"/>
        </w:rPr>
        <w:t>地址：</w:t>
      </w:r>
      <w:r>
        <w:rPr>
          <w:rFonts w:hint="eastAsia" w:ascii="宋体" w:hAnsi="宋体"/>
          <w:color w:val="auto"/>
          <w:szCs w:val="21"/>
          <w:highlight w:val="none"/>
          <w:lang w:eastAsia="zh-CN"/>
        </w:rPr>
        <w:t>南宁市桃源路6号</w:t>
      </w:r>
    </w:p>
    <w:p w14:paraId="7B0D080C">
      <w:pPr>
        <w:keepNext w:val="0"/>
        <w:keepLines w:val="0"/>
        <w:pageBreakBefore w:val="0"/>
        <w:kinsoku/>
        <w:wordWrap/>
        <w:overflowPunct/>
        <w:topLinePunct w:val="0"/>
        <w:autoSpaceDE/>
        <w:autoSpaceDN/>
        <w:bidi w:val="0"/>
        <w:adjustRightInd/>
        <w:spacing w:line="360" w:lineRule="exact"/>
        <w:ind w:firstLine="567" w:firstLineChars="270"/>
        <w:jc w:val="left"/>
        <w:rPr>
          <w:rFonts w:hint="eastAsia" w:ascii="宋体" w:hAnsi="宋体" w:eastAsia="宋体"/>
          <w:color w:val="auto"/>
          <w:szCs w:val="21"/>
          <w:highlight w:val="none"/>
          <w:u w:val="single"/>
          <w:lang w:eastAsia="zh-CN"/>
        </w:rPr>
      </w:pPr>
      <w:r>
        <w:rPr>
          <w:rFonts w:hint="eastAsia" w:ascii="宋体" w:hAnsi="宋体"/>
          <w:color w:val="auto"/>
          <w:szCs w:val="21"/>
          <w:highlight w:val="none"/>
        </w:rPr>
        <w:t>联系方式：</w:t>
      </w:r>
      <w:bookmarkStart w:id="38" w:name="_Toc28359009"/>
      <w:bookmarkStart w:id="39" w:name="_Toc28359086"/>
      <w:r>
        <w:rPr>
          <w:rFonts w:hint="eastAsia" w:ascii="宋体" w:hAnsi="宋体"/>
          <w:color w:val="auto"/>
          <w:szCs w:val="21"/>
          <w:highlight w:val="none"/>
          <w:lang w:val="en-US" w:eastAsia="zh-CN"/>
        </w:rPr>
        <w:t>石芳铭</w:t>
      </w:r>
      <w:r>
        <w:rPr>
          <w:rFonts w:hint="eastAsia" w:ascii="宋体" w:hAnsi="宋体"/>
          <w:color w:val="auto"/>
          <w:szCs w:val="21"/>
          <w:highlight w:val="none"/>
        </w:rPr>
        <w:t>，联系电话：</w:t>
      </w:r>
      <w:r>
        <w:rPr>
          <w:rFonts w:hint="eastAsia" w:ascii="宋体" w:hAnsi="宋体"/>
          <w:color w:val="auto"/>
          <w:szCs w:val="21"/>
          <w:highlight w:val="none"/>
          <w:lang w:eastAsia="zh-CN"/>
        </w:rPr>
        <w:t>0771-5722430</w:t>
      </w:r>
    </w:p>
    <w:p w14:paraId="3418F058">
      <w:pPr>
        <w:keepNext w:val="0"/>
        <w:keepLines w:val="0"/>
        <w:pageBreakBefore w:val="0"/>
        <w:kinsoku/>
        <w:wordWrap/>
        <w:overflowPunct/>
        <w:topLinePunct w:val="0"/>
        <w:autoSpaceDE/>
        <w:autoSpaceDN/>
        <w:bidi w:val="0"/>
        <w:adjustRightInd/>
        <w:spacing w:line="360" w:lineRule="exact"/>
        <w:ind w:firstLine="567" w:firstLineChars="270"/>
        <w:jc w:val="left"/>
        <w:rPr>
          <w:rFonts w:ascii="宋体" w:hAnsi="宋体"/>
          <w:color w:val="auto"/>
          <w:szCs w:val="21"/>
          <w:highlight w:val="none"/>
        </w:rPr>
      </w:pPr>
      <w:r>
        <w:rPr>
          <w:rFonts w:hint="eastAsia" w:ascii="宋体" w:hAnsi="宋体" w:cs="宋体"/>
          <w:color w:val="auto"/>
          <w:szCs w:val="21"/>
          <w:highlight w:val="none"/>
        </w:rPr>
        <w:t>2.采购代理机构信息</w:t>
      </w:r>
      <w:bookmarkEnd w:id="38"/>
      <w:bookmarkEnd w:id="39"/>
    </w:p>
    <w:p w14:paraId="07F2E540">
      <w:pPr>
        <w:keepNext w:val="0"/>
        <w:keepLines w:val="0"/>
        <w:pageBreakBefore w:val="0"/>
        <w:kinsoku/>
        <w:wordWrap/>
        <w:overflowPunct/>
        <w:topLinePunct w:val="0"/>
        <w:autoSpaceDE/>
        <w:autoSpaceDN/>
        <w:bidi w:val="0"/>
        <w:adjustRightInd/>
        <w:spacing w:line="360" w:lineRule="exact"/>
        <w:ind w:firstLine="567" w:firstLineChars="270"/>
        <w:rPr>
          <w:rFonts w:ascii="宋体" w:hAnsi="宋体"/>
          <w:color w:val="auto"/>
          <w:szCs w:val="21"/>
          <w:highlight w:val="none"/>
        </w:rPr>
      </w:pPr>
      <w:r>
        <w:rPr>
          <w:rFonts w:hint="eastAsia" w:ascii="宋体" w:hAnsi="宋体"/>
          <w:color w:val="auto"/>
          <w:szCs w:val="21"/>
          <w:highlight w:val="none"/>
        </w:rPr>
        <w:t>名称：</w:t>
      </w:r>
      <w:r>
        <w:rPr>
          <w:rFonts w:hint="eastAsia" w:ascii="宋体" w:hAnsi="宋体" w:cs="Arial"/>
          <w:color w:val="auto"/>
          <w:szCs w:val="21"/>
          <w:highlight w:val="none"/>
        </w:rPr>
        <w:t>广西科文招标有限公司</w:t>
      </w:r>
    </w:p>
    <w:p w14:paraId="5BD5AAB4">
      <w:pPr>
        <w:keepNext w:val="0"/>
        <w:keepLines w:val="0"/>
        <w:pageBreakBefore w:val="0"/>
        <w:kinsoku/>
        <w:wordWrap/>
        <w:overflowPunct/>
        <w:topLinePunct w:val="0"/>
        <w:autoSpaceDE/>
        <w:autoSpaceDN/>
        <w:bidi w:val="0"/>
        <w:adjustRightInd/>
        <w:spacing w:line="360" w:lineRule="exact"/>
        <w:ind w:firstLine="567" w:firstLineChars="270"/>
        <w:rPr>
          <w:rFonts w:ascii="宋体" w:hAnsi="宋体"/>
          <w:color w:val="auto"/>
          <w:szCs w:val="21"/>
          <w:highlight w:val="none"/>
        </w:rPr>
      </w:pPr>
      <w:r>
        <w:rPr>
          <w:rFonts w:hint="eastAsia" w:ascii="宋体" w:hAnsi="宋体"/>
          <w:color w:val="auto"/>
          <w:szCs w:val="21"/>
          <w:highlight w:val="none"/>
        </w:rPr>
        <w:t>地址：</w:t>
      </w:r>
      <w:r>
        <w:rPr>
          <w:rFonts w:hint="eastAsia" w:ascii="宋体" w:hAnsi="宋体" w:cs="Arial"/>
          <w:color w:val="auto"/>
          <w:szCs w:val="21"/>
          <w:highlight w:val="none"/>
        </w:rPr>
        <w:t>广西南宁市民族大道141号中鼎万象东方D区五层</w:t>
      </w:r>
    </w:p>
    <w:p w14:paraId="32A13FEA">
      <w:pPr>
        <w:keepNext w:val="0"/>
        <w:keepLines w:val="0"/>
        <w:pageBreakBefore w:val="0"/>
        <w:kinsoku/>
        <w:wordWrap/>
        <w:overflowPunct/>
        <w:topLinePunct w:val="0"/>
        <w:autoSpaceDE/>
        <w:autoSpaceDN/>
        <w:bidi w:val="0"/>
        <w:adjustRightInd/>
        <w:spacing w:line="360" w:lineRule="exact"/>
        <w:ind w:firstLine="567" w:firstLineChars="270"/>
        <w:rPr>
          <w:rFonts w:hint="default" w:ascii="宋体" w:hAnsi="宋体" w:eastAsia="宋体"/>
          <w:color w:val="auto"/>
          <w:szCs w:val="21"/>
          <w:highlight w:val="none"/>
          <w:lang w:val="en-US" w:eastAsia="zh-CN"/>
        </w:rPr>
      </w:pPr>
      <w:r>
        <w:rPr>
          <w:rFonts w:hint="eastAsia" w:ascii="宋体" w:hAnsi="宋体"/>
          <w:color w:val="auto"/>
          <w:szCs w:val="21"/>
          <w:highlight w:val="none"/>
        </w:rPr>
        <w:t>联系方式：</w:t>
      </w:r>
      <w:bookmarkStart w:id="40" w:name="_Toc28359087"/>
      <w:bookmarkStart w:id="41" w:name="_Toc28359010"/>
      <w:r>
        <w:rPr>
          <w:rFonts w:hint="eastAsia" w:ascii="宋体" w:hAnsi="宋体"/>
          <w:color w:val="auto"/>
          <w:szCs w:val="21"/>
          <w:highlight w:val="none"/>
          <w:lang w:val="en-US" w:eastAsia="zh-CN"/>
        </w:rPr>
        <w:t>何静</w:t>
      </w:r>
      <w:r>
        <w:rPr>
          <w:rFonts w:hint="eastAsia" w:ascii="宋体" w:hAnsi="宋体"/>
          <w:color w:val="auto"/>
          <w:szCs w:val="21"/>
          <w:highlight w:val="none"/>
        </w:rPr>
        <w:t>，联系电话：0771-2023</w:t>
      </w:r>
      <w:r>
        <w:rPr>
          <w:rFonts w:hint="eastAsia" w:ascii="宋体" w:hAnsi="宋体"/>
          <w:color w:val="auto"/>
          <w:szCs w:val="21"/>
          <w:highlight w:val="none"/>
          <w:lang w:val="en-US" w:eastAsia="zh-CN"/>
        </w:rPr>
        <w:t>902</w:t>
      </w:r>
    </w:p>
    <w:p w14:paraId="6F25CCB8">
      <w:pPr>
        <w:keepNext w:val="0"/>
        <w:keepLines w:val="0"/>
        <w:pageBreakBefore w:val="0"/>
        <w:kinsoku/>
        <w:wordWrap/>
        <w:overflowPunct/>
        <w:topLinePunct w:val="0"/>
        <w:autoSpaceDE/>
        <w:autoSpaceDN/>
        <w:bidi w:val="0"/>
        <w:adjustRightInd/>
        <w:spacing w:line="360" w:lineRule="exact"/>
        <w:ind w:firstLine="567" w:firstLineChars="270"/>
        <w:rPr>
          <w:rFonts w:ascii="宋体" w:hAnsi="宋体"/>
          <w:color w:val="auto"/>
          <w:szCs w:val="21"/>
          <w:highlight w:val="none"/>
          <w:u w:val="single"/>
        </w:rPr>
      </w:pPr>
      <w:r>
        <w:rPr>
          <w:rFonts w:hint="eastAsia" w:ascii="宋体" w:hAnsi="宋体" w:cs="宋体"/>
          <w:color w:val="auto"/>
          <w:szCs w:val="21"/>
          <w:highlight w:val="none"/>
        </w:rPr>
        <w:t>3.项目</w:t>
      </w:r>
      <w:r>
        <w:rPr>
          <w:rFonts w:ascii="宋体" w:hAnsi="宋体" w:cs="宋体"/>
          <w:color w:val="auto"/>
          <w:szCs w:val="21"/>
          <w:highlight w:val="none"/>
        </w:rPr>
        <w:t>联系方式</w:t>
      </w:r>
      <w:bookmarkEnd w:id="40"/>
      <w:bookmarkEnd w:id="41"/>
    </w:p>
    <w:p w14:paraId="3B3D0851">
      <w:pPr>
        <w:pStyle w:val="25"/>
        <w:keepNext w:val="0"/>
        <w:keepLines w:val="0"/>
        <w:pageBreakBefore w:val="0"/>
        <w:kinsoku/>
        <w:wordWrap/>
        <w:overflowPunct/>
        <w:topLinePunct w:val="0"/>
        <w:autoSpaceDE/>
        <w:autoSpaceDN/>
        <w:bidi w:val="0"/>
        <w:adjustRightInd/>
        <w:spacing w:line="360" w:lineRule="exact"/>
        <w:ind w:firstLine="567" w:firstLineChars="270"/>
        <w:rPr>
          <w:rFonts w:hint="eastAsia" w:hAnsi="宋体" w:eastAsia="宋体"/>
          <w:color w:val="auto"/>
          <w:sz w:val="21"/>
          <w:highlight w:val="none"/>
          <w:lang w:eastAsia="zh-CN"/>
        </w:rPr>
      </w:pPr>
      <w:r>
        <w:rPr>
          <w:rFonts w:hint="eastAsia" w:hAnsi="宋体"/>
          <w:color w:val="auto"/>
          <w:sz w:val="21"/>
          <w:highlight w:val="none"/>
        </w:rPr>
        <w:t>项目联系人：</w:t>
      </w:r>
      <w:r>
        <w:rPr>
          <w:rFonts w:hint="eastAsia" w:hAnsi="宋体"/>
          <w:color w:val="auto"/>
          <w:sz w:val="21"/>
          <w:highlight w:val="none"/>
          <w:lang w:val="en-US" w:eastAsia="zh-CN"/>
        </w:rPr>
        <w:t>何静</w:t>
      </w:r>
    </w:p>
    <w:p w14:paraId="0DD8A38F">
      <w:pPr>
        <w:keepNext w:val="0"/>
        <w:keepLines w:val="0"/>
        <w:pageBreakBefore w:val="0"/>
        <w:kinsoku/>
        <w:wordWrap/>
        <w:overflowPunct/>
        <w:topLinePunct w:val="0"/>
        <w:autoSpaceDE/>
        <w:autoSpaceDN/>
        <w:bidi w:val="0"/>
        <w:adjustRightInd/>
        <w:spacing w:line="360" w:lineRule="exact"/>
        <w:ind w:firstLine="567" w:firstLineChars="270"/>
        <w:rPr>
          <w:rFonts w:hint="eastAsia" w:ascii="宋体" w:hAnsi="宋体" w:eastAsia="宋体"/>
          <w:color w:val="auto"/>
          <w:szCs w:val="21"/>
          <w:highlight w:val="none"/>
          <w:u w:val="single"/>
          <w:lang w:eastAsia="zh-CN"/>
        </w:rPr>
      </w:pPr>
      <w:r>
        <w:rPr>
          <w:rFonts w:hint="eastAsia" w:ascii="宋体" w:hAnsi="宋体"/>
          <w:color w:val="auto"/>
          <w:szCs w:val="21"/>
          <w:highlight w:val="none"/>
        </w:rPr>
        <w:t>电话：0771-</w:t>
      </w:r>
      <w:r>
        <w:rPr>
          <w:rFonts w:hint="eastAsia" w:ascii="宋体" w:hAnsi="宋体"/>
          <w:color w:val="auto"/>
          <w:szCs w:val="21"/>
          <w:highlight w:val="none"/>
          <w:lang w:eastAsia="zh-CN"/>
        </w:rPr>
        <w:t>2023902</w:t>
      </w:r>
    </w:p>
    <w:p w14:paraId="4C817C87">
      <w:pPr>
        <w:keepNext w:val="0"/>
        <w:keepLines w:val="0"/>
        <w:pageBreakBefore w:val="0"/>
        <w:kinsoku/>
        <w:wordWrap/>
        <w:overflowPunct/>
        <w:topLinePunct w:val="0"/>
        <w:autoSpaceDE/>
        <w:autoSpaceDN/>
        <w:bidi w:val="0"/>
        <w:adjustRightInd/>
        <w:spacing w:line="360" w:lineRule="exact"/>
        <w:jc w:val="right"/>
        <w:rPr>
          <w:rFonts w:ascii="宋体" w:hAnsi="宋体"/>
          <w:color w:val="auto"/>
          <w:szCs w:val="21"/>
          <w:highlight w:val="none"/>
        </w:rPr>
      </w:pPr>
      <w:r>
        <w:rPr>
          <w:rFonts w:hint="eastAsia" w:ascii="宋体" w:hAnsi="宋体" w:cs="Arial"/>
          <w:color w:val="auto"/>
          <w:szCs w:val="21"/>
          <w:highlight w:val="none"/>
        </w:rPr>
        <w:t>广西科文招标有限公司</w:t>
      </w:r>
    </w:p>
    <w:p w14:paraId="6A492CE0">
      <w:pPr>
        <w:keepNext w:val="0"/>
        <w:keepLines w:val="0"/>
        <w:pageBreakBefore w:val="0"/>
        <w:kinsoku/>
        <w:wordWrap/>
        <w:overflowPunct/>
        <w:topLinePunct w:val="0"/>
        <w:autoSpaceDE/>
        <w:autoSpaceDN/>
        <w:bidi w:val="0"/>
        <w:adjustRightInd/>
        <w:snapToGrid w:val="0"/>
        <w:spacing w:line="360" w:lineRule="exact"/>
        <w:ind w:left="238"/>
        <w:jc w:val="right"/>
        <w:rPr>
          <w:rFonts w:ascii="宋体" w:hAnsi="宋体" w:cs="Arial"/>
          <w:color w:val="auto"/>
          <w:highlight w:val="none"/>
        </w:rPr>
      </w:pPr>
      <w:r>
        <w:rPr>
          <w:rFonts w:hint="eastAsia" w:ascii="宋体" w:hAnsi="宋体"/>
          <w:color w:val="auto"/>
          <w:highlight w:val="none"/>
        </w:rPr>
        <w:t xml:space="preserve">                                 </w:t>
      </w:r>
      <w:r>
        <w:rPr>
          <w:rFonts w:hint="eastAsia" w:ascii="宋体" w:hAnsi="宋体" w:cs="Arial"/>
          <w:color w:val="auto"/>
          <w:highlight w:val="none"/>
          <w:lang w:eastAsia="zh-CN"/>
        </w:rPr>
        <w:t>2025年</w:t>
      </w:r>
      <w:r>
        <w:rPr>
          <w:rFonts w:hint="eastAsia" w:ascii="宋体" w:hAnsi="宋体" w:cs="Arial"/>
          <w:color w:val="auto"/>
          <w:highlight w:val="none"/>
          <w:lang w:val="en-US" w:eastAsia="zh-CN"/>
        </w:rPr>
        <w:t>10</w:t>
      </w:r>
      <w:r>
        <w:rPr>
          <w:rFonts w:hint="eastAsia" w:ascii="宋体" w:hAnsi="宋体" w:cs="Arial"/>
          <w:color w:val="auto"/>
          <w:highlight w:val="none"/>
          <w:lang w:eastAsia="zh-CN"/>
        </w:rPr>
        <w:t>月</w:t>
      </w:r>
      <w:r>
        <w:rPr>
          <w:rFonts w:hint="eastAsia" w:ascii="宋体" w:hAnsi="宋体" w:cs="Arial"/>
          <w:color w:val="auto"/>
          <w:highlight w:val="none"/>
          <w:lang w:val="en-US" w:eastAsia="zh-CN"/>
        </w:rPr>
        <w:t>24</w:t>
      </w:r>
      <w:r>
        <w:rPr>
          <w:rFonts w:hint="eastAsia" w:ascii="宋体" w:hAnsi="宋体" w:cs="Arial"/>
          <w:color w:val="auto"/>
          <w:highlight w:val="none"/>
          <w:lang w:eastAsia="zh-CN"/>
        </w:rPr>
        <w:t>日</w:t>
      </w:r>
    </w:p>
    <w:p w14:paraId="30C73FB3">
      <w:pPr>
        <w:snapToGrid w:val="0"/>
        <w:spacing w:line="400" w:lineRule="exact"/>
        <w:ind w:left="238"/>
        <w:rPr>
          <w:rFonts w:ascii="宋体" w:hAnsi="宋体"/>
          <w:color w:val="auto"/>
          <w:szCs w:val="21"/>
          <w:highlight w:val="none"/>
        </w:rPr>
      </w:pPr>
    </w:p>
    <w:p w14:paraId="0EF80C82">
      <w:pPr>
        <w:pStyle w:val="5"/>
        <w:spacing w:line="400" w:lineRule="exact"/>
        <w:jc w:val="center"/>
        <w:rPr>
          <w:rFonts w:ascii="宋体" w:hAnsi="宋体"/>
          <w:color w:val="auto"/>
          <w:highlight w:val="none"/>
        </w:rPr>
      </w:pPr>
      <w:bookmarkStart w:id="42" w:name="_Toc74320801"/>
      <w:bookmarkStart w:id="164" w:name="_GoBack"/>
      <w:bookmarkEnd w:id="164"/>
      <w:r>
        <w:rPr>
          <w:rFonts w:hint="eastAsia" w:ascii="宋体" w:hAnsi="宋体"/>
          <w:color w:val="auto"/>
          <w:highlight w:val="none"/>
        </w:rPr>
        <w:br w:type="page"/>
      </w:r>
      <w:r>
        <w:rPr>
          <w:rFonts w:hint="eastAsia" w:ascii="宋体" w:hAnsi="宋体"/>
          <w:color w:val="auto"/>
          <w:highlight w:val="none"/>
        </w:rPr>
        <w:t>第二章  采购需求</w:t>
      </w:r>
      <w:bookmarkEnd w:id="42"/>
    </w:p>
    <w:p w14:paraId="1C82FE59">
      <w:pPr>
        <w:spacing w:line="400" w:lineRule="exact"/>
        <w:jc w:val="left"/>
        <w:rPr>
          <w:rFonts w:ascii="宋体" w:hAnsi="宋体" w:cs="宋体"/>
          <w:b/>
          <w:color w:val="auto"/>
          <w:szCs w:val="21"/>
          <w:highlight w:val="none"/>
        </w:rPr>
      </w:pPr>
      <w:bookmarkStart w:id="43" w:name="_Toc254970490"/>
      <w:bookmarkStart w:id="44" w:name="_Toc254970631"/>
      <w:r>
        <w:rPr>
          <w:rFonts w:hint="eastAsia" w:ascii="宋体" w:hAnsi="宋体" w:cs="宋体"/>
          <w:b/>
          <w:color w:val="auto"/>
          <w:szCs w:val="21"/>
          <w:highlight w:val="none"/>
        </w:rPr>
        <w:t>说明：</w:t>
      </w:r>
    </w:p>
    <w:p w14:paraId="6607CB0F">
      <w:pPr>
        <w:spacing w:line="360" w:lineRule="exact"/>
        <w:ind w:left="-10" w:leftChars="-5" w:right="2" w:rightChars="1" w:firstLine="422" w:firstLineChars="200"/>
        <w:rPr>
          <w:rFonts w:ascii="宋体" w:hAnsi="宋体"/>
          <w:b/>
          <w:bCs/>
          <w:color w:val="auto"/>
          <w:highlight w:val="none"/>
        </w:rPr>
      </w:pPr>
      <w:r>
        <w:rPr>
          <w:rFonts w:hint="eastAsia" w:ascii="宋体" w:hAnsi="宋体"/>
          <w:b/>
          <w:bCs/>
          <w:color w:val="auto"/>
          <w:highlight w:val="none"/>
        </w:rPr>
        <w:t>1.采购需求中如出现品牌、型号或者生产厂家等均仅起参考作用，不属于指定品牌、型号或者生产厂家的情形，投标人可参照或者选用其他相当的品牌、型号或者生产供应商替代。但投标人的产品实质上应相当于或优于本需求</w:t>
      </w:r>
      <w:r>
        <w:rPr>
          <w:rFonts w:ascii="宋体" w:hAnsi="宋体"/>
          <w:b/>
          <w:bCs/>
          <w:color w:val="auto"/>
          <w:highlight w:val="none"/>
        </w:rPr>
        <w:t>中</w:t>
      </w:r>
      <w:r>
        <w:rPr>
          <w:rFonts w:hint="eastAsia" w:ascii="宋体" w:hAnsi="宋体"/>
          <w:b/>
          <w:bCs/>
          <w:color w:val="auto"/>
          <w:highlight w:val="none"/>
        </w:rPr>
        <w:t>的技术要求。</w:t>
      </w:r>
    </w:p>
    <w:p w14:paraId="2D55959F">
      <w:pPr>
        <w:spacing w:line="360" w:lineRule="exact"/>
        <w:ind w:left="-10" w:leftChars="-5" w:right="2" w:rightChars="1" w:firstLine="422" w:firstLineChars="200"/>
        <w:rPr>
          <w:rFonts w:ascii="宋体" w:hAnsi="宋体"/>
          <w:b/>
          <w:bCs/>
          <w:color w:val="auto"/>
          <w:highlight w:val="none"/>
        </w:rPr>
      </w:pPr>
      <w:r>
        <w:rPr>
          <w:rFonts w:hint="eastAsia" w:ascii="宋体" w:hAnsi="宋体"/>
          <w:b/>
          <w:bCs/>
          <w:color w:val="auto"/>
          <w:highlight w:val="none"/>
        </w:rPr>
        <w:t>2.</w:t>
      </w:r>
      <w:r>
        <w:rPr>
          <w:rFonts w:ascii="宋体" w:hAnsi="宋体"/>
          <w:b/>
          <w:bCs/>
          <w:color w:val="auto"/>
          <w:highlight w:val="none"/>
        </w:rPr>
        <w:t>凡在“</w:t>
      </w:r>
      <w:r>
        <w:rPr>
          <w:rFonts w:hint="eastAsia" w:ascii="宋体" w:hAnsi="宋体"/>
          <w:b/>
          <w:bCs/>
          <w:color w:val="auto"/>
          <w:highlight w:val="none"/>
        </w:rPr>
        <w:t>技术要求</w:t>
      </w:r>
      <w:r>
        <w:rPr>
          <w:rFonts w:ascii="宋体" w:hAnsi="宋体"/>
          <w:b/>
          <w:bCs/>
          <w:color w:val="auto"/>
          <w:highlight w:val="none"/>
        </w:rPr>
        <w:t>”中表述为“标配”或“标准配置”的设备，投标人应在投标</w:t>
      </w:r>
      <w:r>
        <w:rPr>
          <w:rFonts w:hint="eastAsia" w:ascii="宋体" w:hAnsi="宋体"/>
          <w:b/>
          <w:bCs/>
          <w:color w:val="auto"/>
          <w:highlight w:val="none"/>
        </w:rPr>
        <w:t>设备性能配置清单</w:t>
      </w:r>
      <w:r>
        <w:rPr>
          <w:rFonts w:ascii="宋体" w:hAnsi="宋体"/>
          <w:b/>
          <w:bCs/>
          <w:color w:val="auto"/>
          <w:highlight w:val="none"/>
        </w:rPr>
        <w:t>中将其标配参数详细列明。</w:t>
      </w:r>
    </w:p>
    <w:p w14:paraId="4627555C">
      <w:pPr>
        <w:spacing w:line="360" w:lineRule="exact"/>
        <w:ind w:left="-10" w:leftChars="-5" w:right="2" w:rightChars="1" w:firstLine="422" w:firstLineChars="200"/>
        <w:rPr>
          <w:rFonts w:ascii="宋体" w:hAnsi="宋体"/>
          <w:b/>
          <w:bCs/>
          <w:color w:val="auto"/>
          <w:highlight w:val="none"/>
        </w:rPr>
      </w:pPr>
      <w:r>
        <w:rPr>
          <w:rFonts w:hint="eastAsia" w:ascii="宋体" w:hAnsi="宋体"/>
          <w:b/>
          <w:bCs/>
          <w:color w:val="auto"/>
          <w:highlight w:val="none"/>
        </w:rPr>
        <w:t>3.</w:t>
      </w:r>
      <w:r>
        <w:rPr>
          <w:rFonts w:ascii="宋体" w:hAnsi="宋体"/>
          <w:b/>
          <w:bCs/>
          <w:color w:val="auto"/>
          <w:highlight w:val="none"/>
        </w:rPr>
        <w:t>根据《财政部 发展改革委 生态环境部 市场监管总局关于调整优化节能产品、环境标志产品政府采购执行机制的通知》（财库〔2019〕9 号）和《关于印发节能产品政府采购品目清单的通知》（财库〔2019〕19 号）的规定，采购需求中的产品属于节能产品政府采购品目清单内标注“★”的（详见本章后附的节能产品政府采购品目清单），投标人的投标货物必须使用政府强制采购的节能产品，否则投标文件作无效处理。</w:t>
      </w:r>
    </w:p>
    <w:p w14:paraId="69CF6201">
      <w:pPr>
        <w:spacing w:line="360" w:lineRule="exact"/>
        <w:ind w:left="-10" w:leftChars="-5" w:right="2" w:rightChars="1" w:firstLine="422" w:firstLineChars="200"/>
        <w:rPr>
          <w:rFonts w:ascii="宋体" w:hAnsi="宋体"/>
          <w:b/>
          <w:bCs/>
          <w:color w:val="auto"/>
          <w:highlight w:val="none"/>
        </w:rPr>
      </w:pPr>
      <w:r>
        <w:rPr>
          <w:rFonts w:hint="eastAsia" w:ascii="宋体" w:hAnsi="宋体"/>
          <w:b/>
          <w:bCs/>
          <w:color w:val="auto"/>
          <w:highlight w:val="none"/>
        </w:rPr>
        <w:t>4.如投标人投标产品存在侵犯他人的知识产权或者专利成果行为的，由投标人自行承担相应法律责任。</w:t>
      </w:r>
    </w:p>
    <w:p w14:paraId="318BB731">
      <w:pPr>
        <w:spacing w:line="360" w:lineRule="exact"/>
        <w:ind w:left="-10" w:leftChars="-5" w:right="2" w:rightChars="1" w:firstLine="422" w:firstLineChars="200"/>
        <w:rPr>
          <w:rFonts w:ascii="宋体" w:hAnsi="宋体"/>
          <w:b/>
          <w:bCs/>
          <w:color w:val="auto"/>
          <w:highlight w:val="none"/>
        </w:rPr>
      </w:pPr>
      <w:r>
        <w:rPr>
          <w:rFonts w:hint="eastAsia" w:ascii="宋体" w:hAnsi="宋体"/>
          <w:b/>
          <w:bCs/>
          <w:color w:val="auto"/>
          <w:highlight w:val="none"/>
        </w:rPr>
        <w:t>5.“实质性要求”是指招标文件中已经指明不满足则投标无效的条款，或者不能负偏离的条款，或者采购需求中带“▲”的条款。标记“</w:t>
      </w:r>
      <w:r>
        <w:rPr>
          <w:rFonts w:hint="eastAsia" w:ascii="宋体" w:hAnsi="宋体" w:eastAsia="宋体" w:cs="宋体"/>
          <w:b/>
          <w:bCs/>
          <w:color w:val="auto"/>
          <w:highlight w:val="none"/>
        </w:rPr>
        <w:t>▉</w:t>
      </w:r>
      <w:r>
        <w:rPr>
          <w:rFonts w:hint="eastAsia" w:ascii="宋体" w:hAnsi="宋体"/>
          <w:b/>
          <w:bCs/>
          <w:color w:val="auto"/>
          <w:highlight w:val="none"/>
        </w:rPr>
        <w:t>”号为重要要求，不满足仅作扣分处理。但标记“</w:t>
      </w:r>
      <w:r>
        <w:rPr>
          <w:rFonts w:hint="eastAsia" w:ascii="宋体" w:hAnsi="宋体" w:eastAsia="宋体" w:cs="宋体"/>
          <w:b/>
          <w:bCs/>
          <w:color w:val="auto"/>
          <w:highlight w:val="none"/>
        </w:rPr>
        <w:t>▉</w:t>
      </w:r>
      <w:r>
        <w:rPr>
          <w:rFonts w:hint="eastAsia" w:ascii="宋体" w:hAnsi="宋体"/>
          <w:b/>
          <w:bCs/>
          <w:color w:val="auto"/>
          <w:highlight w:val="none"/>
        </w:rPr>
        <w:t>”的条款必须提供相应证明材料予以证明，否则评标委员会将可能不予以认可。</w:t>
      </w:r>
    </w:p>
    <w:p w14:paraId="681040EE">
      <w:pPr>
        <w:spacing w:line="360" w:lineRule="exact"/>
        <w:ind w:left="-10" w:leftChars="-5" w:right="2" w:rightChars="1" w:firstLine="422" w:firstLineChars="200"/>
        <w:rPr>
          <w:rFonts w:ascii="宋体" w:hAnsi="宋体" w:cs="Arial"/>
          <w:b/>
          <w:color w:val="auto"/>
          <w:szCs w:val="21"/>
          <w:highlight w:val="none"/>
          <w:u w:val="single"/>
        </w:rPr>
      </w:pPr>
      <w:r>
        <w:rPr>
          <w:rFonts w:hint="eastAsia" w:ascii="宋体" w:hAnsi="宋体"/>
          <w:b/>
          <w:bCs/>
          <w:color w:val="auto"/>
          <w:highlight w:val="none"/>
        </w:rPr>
        <w:t>6.投标人针对各细项所作的投标报价不可超过单项最高限价，否则投标无效。</w:t>
      </w:r>
    </w:p>
    <w:p w14:paraId="521593F6">
      <w:pPr>
        <w:spacing w:line="360" w:lineRule="exact"/>
        <w:ind w:left="-10" w:leftChars="-5" w:right="2" w:rightChars="1" w:firstLine="422" w:firstLineChars="200"/>
        <w:rPr>
          <w:rFonts w:hint="eastAsia" w:ascii="宋体" w:hAnsi="宋体"/>
          <w:b/>
          <w:bCs/>
          <w:color w:val="auto"/>
          <w:highlight w:val="none"/>
        </w:rPr>
      </w:pPr>
      <w:r>
        <w:rPr>
          <w:rFonts w:hint="eastAsia" w:ascii="宋体" w:hAnsi="宋体"/>
          <w:b/>
          <w:bCs/>
          <w:color w:val="auto"/>
          <w:highlight w:val="none"/>
        </w:rPr>
        <w:t>7.本项目采购标的所属行业</w:t>
      </w:r>
      <w:r>
        <w:rPr>
          <w:rFonts w:hint="eastAsia" w:ascii="宋体" w:hAnsi="宋体"/>
          <w:b/>
          <w:bCs/>
          <w:color w:val="auto"/>
          <w:highlight w:val="none"/>
          <w:lang w:val="en-US" w:eastAsia="zh-CN"/>
        </w:rPr>
        <w:t>均</w:t>
      </w:r>
      <w:r>
        <w:rPr>
          <w:rFonts w:hint="eastAsia" w:ascii="宋体" w:hAnsi="宋体"/>
          <w:b/>
          <w:bCs/>
          <w:color w:val="auto"/>
          <w:highlight w:val="none"/>
        </w:rPr>
        <w:t>为：工业。</w:t>
      </w:r>
    </w:p>
    <w:tbl>
      <w:tblPr>
        <w:tblStyle w:val="46"/>
        <w:tblW w:w="9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1401"/>
        <w:gridCol w:w="148"/>
        <w:gridCol w:w="1266"/>
        <w:gridCol w:w="803"/>
        <w:gridCol w:w="5379"/>
      </w:tblGrid>
      <w:tr w14:paraId="11CCF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20" w:type="dxa"/>
            <w:gridSpan w:val="6"/>
          </w:tcPr>
          <w:p w14:paraId="2480ABBF">
            <w:pPr>
              <w:keepNext w:val="0"/>
              <w:keepLines w:val="0"/>
              <w:pageBreakBefore w:val="0"/>
              <w:widowControl/>
              <w:kinsoku/>
              <w:wordWrap/>
              <w:overflowPunct/>
              <w:topLinePunct w:val="0"/>
              <w:autoSpaceDE/>
              <w:autoSpaceDN/>
              <w:bidi w:val="0"/>
              <w:adjustRightInd/>
              <w:spacing w:line="360" w:lineRule="exact"/>
              <w:jc w:val="left"/>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一、技术要求表</w:t>
            </w:r>
          </w:p>
        </w:tc>
      </w:tr>
      <w:tr w14:paraId="33094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3" w:type="dxa"/>
            <w:vAlign w:val="center"/>
          </w:tcPr>
          <w:p w14:paraId="0385C862">
            <w:pPr>
              <w:keepNext w:val="0"/>
              <w:keepLines w:val="0"/>
              <w:pageBreakBefore w:val="0"/>
              <w:widowControl/>
              <w:kinsoku/>
              <w:wordWrap/>
              <w:overflowPunct/>
              <w:topLinePunct w:val="0"/>
              <w:autoSpaceDE/>
              <w:autoSpaceDN/>
              <w:bidi w:val="0"/>
              <w:adjustRightInd/>
              <w:spacing w:line="360" w:lineRule="exact"/>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序号</w:t>
            </w:r>
          </w:p>
        </w:tc>
        <w:tc>
          <w:tcPr>
            <w:tcW w:w="1549" w:type="dxa"/>
            <w:gridSpan w:val="2"/>
            <w:vAlign w:val="center"/>
          </w:tcPr>
          <w:p w14:paraId="6D6B7936">
            <w:pPr>
              <w:keepNext w:val="0"/>
              <w:keepLines w:val="0"/>
              <w:pageBreakBefore w:val="0"/>
              <w:widowControl/>
              <w:kinsoku/>
              <w:wordWrap/>
              <w:overflowPunct/>
              <w:topLinePunct w:val="0"/>
              <w:autoSpaceDE/>
              <w:autoSpaceDN/>
              <w:bidi w:val="0"/>
              <w:adjustRightInd/>
              <w:spacing w:line="360" w:lineRule="exact"/>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标的名称</w:t>
            </w:r>
          </w:p>
        </w:tc>
        <w:tc>
          <w:tcPr>
            <w:tcW w:w="1266" w:type="dxa"/>
          </w:tcPr>
          <w:p w14:paraId="1058A9A6">
            <w:pPr>
              <w:keepNext w:val="0"/>
              <w:keepLines w:val="0"/>
              <w:pageBreakBefore w:val="0"/>
              <w:widowControl/>
              <w:kinsoku/>
              <w:wordWrap/>
              <w:overflowPunct/>
              <w:topLinePunct w:val="0"/>
              <w:autoSpaceDE/>
              <w:autoSpaceDN/>
              <w:bidi w:val="0"/>
              <w:adjustRightInd/>
              <w:spacing w:line="360" w:lineRule="exact"/>
              <w:jc w:val="center"/>
              <w:textAlignment w:val="center"/>
              <w:rPr>
                <w:rFonts w:hint="eastAsia" w:ascii="宋体" w:hAnsi="宋体" w:eastAsia="宋体" w:cs="宋体"/>
                <w:b/>
                <w:bCs/>
                <w:color w:val="auto"/>
                <w:kern w:val="0"/>
                <w:sz w:val="21"/>
                <w:szCs w:val="21"/>
                <w:highlight w:val="none"/>
                <w:lang w:bidi="ar"/>
              </w:rPr>
            </w:pPr>
            <w:r>
              <w:rPr>
                <w:rFonts w:hint="eastAsia" w:ascii="宋体" w:hAnsi="宋体" w:eastAsia="宋体" w:cs="宋体"/>
                <w:b/>
                <w:bCs/>
                <w:color w:val="auto"/>
                <w:kern w:val="0"/>
                <w:sz w:val="21"/>
                <w:szCs w:val="21"/>
                <w:highlight w:val="none"/>
                <w:lang w:bidi="ar"/>
              </w:rPr>
              <w:t>分项最高限价（元）</w:t>
            </w:r>
          </w:p>
        </w:tc>
        <w:tc>
          <w:tcPr>
            <w:tcW w:w="803" w:type="dxa"/>
            <w:vAlign w:val="center"/>
          </w:tcPr>
          <w:p w14:paraId="558C8F3C">
            <w:pPr>
              <w:keepNext w:val="0"/>
              <w:keepLines w:val="0"/>
              <w:pageBreakBefore w:val="0"/>
              <w:widowControl/>
              <w:kinsoku/>
              <w:wordWrap/>
              <w:overflowPunct/>
              <w:topLinePunct w:val="0"/>
              <w:autoSpaceDE/>
              <w:autoSpaceDN/>
              <w:bidi w:val="0"/>
              <w:adjustRightInd/>
              <w:spacing w:line="360" w:lineRule="exact"/>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数量</w:t>
            </w:r>
          </w:p>
        </w:tc>
        <w:tc>
          <w:tcPr>
            <w:tcW w:w="5379" w:type="dxa"/>
            <w:vAlign w:val="center"/>
          </w:tcPr>
          <w:p w14:paraId="257BCF0C">
            <w:pPr>
              <w:keepNext w:val="0"/>
              <w:keepLines w:val="0"/>
              <w:pageBreakBefore w:val="0"/>
              <w:widowControl/>
              <w:kinsoku/>
              <w:wordWrap/>
              <w:overflowPunct/>
              <w:topLinePunct w:val="0"/>
              <w:autoSpaceDE/>
              <w:autoSpaceDN/>
              <w:bidi w:val="0"/>
              <w:adjustRightInd/>
              <w:spacing w:line="360" w:lineRule="exact"/>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项目要求及技术需求</w:t>
            </w:r>
          </w:p>
        </w:tc>
      </w:tr>
      <w:tr w14:paraId="6E04B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23" w:type="dxa"/>
            <w:vAlign w:val="center"/>
          </w:tcPr>
          <w:p w14:paraId="16264A79">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549" w:type="dxa"/>
            <w:gridSpan w:val="2"/>
            <w:vAlign w:val="center"/>
          </w:tcPr>
          <w:p w14:paraId="68852790">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宋体" w:hAnsi="宋体" w:eastAsia="宋体" w:cs="宋体"/>
                <w:color w:val="auto"/>
                <w:kern w:val="0"/>
                <w:sz w:val="21"/>
                <w:szCs w:val="21"/>
                <w:highlight w:val="none"/>
              </w:rPr>
            </w:pPr>
            <w:r>
              <w:rPr>
                <w:rFonts w:hint="eastAsia" w:ascii="宋体" w:hAnsi="宋体"/>
                <w:color w:val="auto"/>
                <w:szCs w:val="21"/>
                <w:highlight w:val="none"/>
                <w:lang w:eastAsia="zh-CN"/>
              </w:rPr>
              <w:t>电子内窥镜系统（高清电子内镜系统）</w:t>
            </w:r>
          </w:p>
        </w:tc>
        <w:tc>
          <w:tcPr>
            <w:tcW w:w="1266" w:type="dxa"/>
            <w:vAlign w:val="center"/>
          </w:tcPr>
          <w:p w14:paraId="5D7356BE">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4800000.00</w:t>
            </w:r>
          </w:p>
        </w:tc>
        <w:tc>
          <w:tcPr>
            <w:tcW w:w="803" w:type="dxa"/>
            <w:vAlign w:val="center"/>
          </w:tcPr>
          <w:p w14:paraId="18C27D77">
            <w:pPr>
              <w:keepNext w:val="0"/>
              <w:keepLines w:val="0"/>
              <w:pageBreakBefore w:val="0"/>
              <w:widowControl/>
              <w:suppressLineNumbers w:val="0"/>
              <w:kinsoku/>
              <w:wordWrap/>
              <w:overflowPunct/>
              <w:topLinePunct w:val="0"/>
              <w:autoSpaceDE/>
              <w:autoSpaceDN/>
              <w:bidi w:val="0"/>
              <w:adjustRightInd/>
              <w:spacing w:line="360" w:lineRule="exact"/>
              <w:jc w:val="center"/>
              <w:textAlignment w:val="center"/>
              <w:rPr>
                <w:rFonts w:hint="eastAsia" w:ascii="宋体" w:hAnsi="宋体" w:eastAsia="宋体" w:cs="宋体"/>
                <w:color w:val="auto"/>
                <w:kern w:val="0"/>
                <w:sz w:val="21"/>
                <w:szCs w:val="21"/>
                <w:highlight w:val="none"/>
              </w:rPr>
            </w:pPr>
            <w:r>
              <w:rPr>
                <w:rFonts w:hint="eastAsia" w:ascii="宋体" w:hAnsi="宋体" w:cs="宋体"/>
                <w:i w:val="0"/>
                <w:iCs w:val="0"/>
                <w:color w:val="auto"/>
                <w:kern w:val="0"/>
                <w:sz w:val="21"/>
                <w:szCs w:val="21"/>
                <w:highlight w:val="none"/>
                <w:u w:val="none"/>
                <w:lang w:val="en-US" w:eastAsia="zh-CN" w:bidi="ar"/>
              </w:rPr>
              <w:t>1套</w:t>
            </w:r>
          </w:p>
        </w:tc>
        <w:tc>
          <w:tcPr>
            <w:tcW w:w="5379" w:type="dxa"/>
            <w:vAlign w:val="center"/>
          </w:tcPr>
          <w:p w14:paraId="1CDA43E3">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一、</w:t>
            </w:r>
            <w:r>
              <w:rPr>
                <w:rFonts w:hint="eastAsia" w:ascii="宋体" w:hAnsi="宋体" w:eastAsia="宋体" w:cs="宋体"/>
                <w:b/>
                <w:bCs w:val="0"/>
                <w:color w:val="auto"/>
                <w:sz w:val="21"/>
                <w:szCs w:val="21"/>
                <w:highlight w:val="none"/>
              </w:rPr>
              <w:t>基本要求</w:t>
            </w:r>
          </w:p>
          <w:p w14:paraId="33D16DFF">
            <w:pPr>
              <w:pageBreakBefore w:val="0"/>
              <w:widowControl w:val="0"/>
              <w:kinsoku/>
              <w:wordWrap/>
              <w:overflowPunct/>
              <w:topLinePunct w:val="0"/>
              <w:autoSpaceDE/>
              <w:autoSpaceDN/>
              <w:bidi w:val="0"/>
              <w:adjustRightInd/>
              <w:snapToGrid/>
              <w:spacing w:line="440" w:lineRule="exact"/>
              <w:ind w:left="0" w:firstLine="420" w:firstLineChars="20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能直观观察消化道情况，应用于消化道疾病的诊断和治疗，如消化道早癌精查、EMR(内镜下粘膜切 除术)、ESD(内镜下粘膜剥离术)等治疗。</w:t>
            </w:r>
          </w:p>
          <w:p w14:paraId="3209B983">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val="en-US" w:eastAsia="zh-CN"/>
              </w:rPr>
              <w:t>二</w:t>
            </w:r>
            <w:r>
              <w:rPr>
                <w:rFonts w:hint="eastAsia" w:ascii="宋体" w:hAnsi="宋体" w:eastAsia="宋体" w:cs="宋体"/>
                <w:b/>
                <w:bCs w:val="0"/>
                <w:color w:val="auto"/>
                <w:sz w:val="21"/>
                <w:szCs w:val="21"/>
                <w:highlight w:val="none"/>
              </w:rPr>
              <w:t>、具体参数要求</w:t>
            </w:r>
          </w:p>
          <w:p w14:paraId="68A0C837">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val="en-US" w:eastAsia="zh-CN"/>
              </w:rPr>
              <w:t>1</w:t>
            </w:r>
            <w:r>
              <w:rPr>
                <w:rFonts w:hint="eastAsia" w:ascii="宋体" w:hAnsi="宋体" w:eastAsia="宋体" w:cs="宋体"/>
                <w:b/>
                <w:bCs w:val="0"/>
                <w:color w:val="auto"/>
                <w:sz w:val="21"/>
                <w:szCs w:val="21"/>
                <w:highlight w:val="none"/>
              </w:rPr>
              <w:t>）图像处理器 ：</w:t>
            </w:r>
          </w:p>
          <w:p w14:paraId="658BC458">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有LED光源和图像处理器</w:t>
            </w:r>
            <w:r>
              <w:rPr>
                <w:rFonts w:hint="eastAsia" w:ascii="宋体" w:hAnsi="宋体" w:eastAsia="宋体" w:cs="宋体"/>
                <w:bCs/>
                <w:color w:val="auto"/>
                <w:sz w:val="21"/>
                <w:szCs w:val="21"/>
                <w:highlight w:val="none"/>
                <w:lang w:eastAsia="zh-CN"/>
              </w:rPr>
              <w:t>。</w:t>
            </w:r>
          </w:p>
          <w:p w14:paraId="0FBC2966">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2.高清内镜图像：像素分辨率</w:t>
            </w:r>
            <w:r>
              <w:rPr>
                <w:rFonts w:hint="eastAsia" w:ascii="宋体" w:hAnsi="宋体" w:cs="宋体"/>
                <w:bCs/>
                <w:color w:val="auto"/>
                <w:sz w:val="21"/>
                <w:szCs w:val="21"/>
                <w:highlight w:val="none"/>
                <w:lang w:val="en-US" w:eastAsia="zh-CN"/>
              </w:rPr>
              <w:t>≥</w:t>
            </w:r>
            <w:r>
              <w:rPr>
                <w:rFonts w:hint="eastAsia" w:ascii="宋体" w:hAnsi="宋体" w:eastAsia="宋体" w:cs="宋体"/>
                <w:bCs/>
                <w:color w:val="auto"/>
                <w:sz w:val="21"/>
                <w:szCs w:val="21"/>
                <w:highlight w:val="none"/>
                <w:lang w:val="en-US" w:eastAsia="zh-CN"/>
              </w:rPr>
              <w:t>1900</w:t>
            </w:r>
            <w:r>
              <w:rPr>
                <w:rFonts w:hint="eastAsia" w:ascii="宋体" w:hAnsi="宋体" w:eastAsia="宋体" w:cs="宋体"/>
                <w:bCs/>
                <w:color w:val="auto"/>
                <w:sz w:val="21"/>
                <w:szCs w:val="21"/>
                <w:highlight w:val="none"/>
              </w:rPr>
              <w:t>x</w:t>
            </w:r>
            <w:r>
              <w:rPr>
                <w:rFonts w:hint="eastAsia" w:ascii="宋体" w:hAnsi="宋体" w:eastAsia="宋体" w:cs="宋体"/>
                <w:bCs/>
                <w:color w:val="auto"/>
                <w:sz w:val="21"/>
                <w:szCs w:val="21"/>
                <w:highlight w:val="none"/>
                <w:lang w:val="en-US" w:eastAsia="zh-CN"/>
              </w:rPr>
              <w:t>1080</w:t>
            </w:r>
            <w:r>
              <w:rPr>
                <w:rFonts w:hint="eastAsia" w:ascii="宋体" w:hAnsi="宋体" w:eastAsia="宋体" w:cs="宋体"/>
                <w:bCs/>
                <w:color w:val="auto"/>
                <w:sz w:val="21"/>
                <w:szCs w:val="21"/>
                <w:highlight w:val="none"/>
              </w:rPr>
              <w:t>。</w:t>
            </w:r>
          </w:p>
          <w:p w14:paraId="72265821">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3.有白平衡功能</w:t>
            </w:r>
            <w:r>
              <w:rPr>
                <w:rFonts w:hint="eastAsia" w:ascii="宋体" w:hAnsi="宋体" w:eastAsia="宋体" w:cs="宋体"/>
                <w:bCs/>
                <w:color w:val="auto"/>
                <w:sz w:val="21"/>
                <w:szCs w:val="21"/>
                <w:highlight w:val="none"/>
                <w:lang w:eastAsia="zh-CN"/>
              </w:rPr>
              <w:t>。</w:t>
            </w:r>
          </w:p>
          <w:p w14:paraId="10932D9E">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 xml:space="preserve">4.具有均值测光、峰值测光、自动测光三种测光方式可选：每种测光方式下，可提高或降低图像的亮度 </w:t>
            </w:r>
            <w:r>
              <w:rPr>
                <w:rFonts w:hint="eastAsia" w:ascii="宋体" w:hAnsi="宋体" w:eastAsia="宋体" w:cs="宋体"/>
                <w:bCs/>
                <w:color w:val="auto"/>
                <w:sz w:val="21"/>
                <w:szCs w:val="21"/>
                <w:highlight w:val="none"/>
                <w:lang w:eastAsia="zh-CN"/>
              </w:rPr>
              <w:t>。</w:t>
            </w:r>
          </w:p>
          <w:p w14:paraId="3FD18090">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5.具有光染色功能，支持白光及≥3种特殊光染色，实现光学染色观察模式</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 xml:space="preserve"> </w:t>
            </w:r>
          </w:p>
          <w:p w14:paraId="1FCD8A55">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6.图像冻结：可冻结实时图像，并内置储存，回放图片，录制视频，也可将图像及视频导出到外接存储设备。</w:t>
            </w:r>
          </w:p>
          <w:p w14:paraId="6F67DCCE">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7.图像处理器可兼容多种内窥镜，如放大镜、治疗镜</w:t>
            </w:r>
            <w:r>
              <w:rPr>
                <w:rFonts w:hint="eastAsia" w:ascii="宋体" w:hAnsi="宋体" w:cs="宋体"/>
                <w:bCs/>
                <w:color w:val="auto"/>
                <w:sz w:val="21"/>
                <w:szCs w:val="21"/>
                <w:highlight w:val="none"/>
                <w:lang w:val="en-US" w:eastAsia="zh-CN"/>
              </w:rPr>
              <w:t>、</w:t>
            </w:r>
            <w:r>
              <w:rPr>
                <w:rFonts w:hint="eastAsia" w:ascii="宋体" w:hAnsi="宋体" w:eastAsia="宋体" w:cs="宋体"/>
                <w:bCs/>
                <w:color w:val="auto"/>
                <w:sz w:val="21"/>
                <w:szCs w:val="21"/>
                <w:highlight w:val="none"/>
                <w:lang w:val="en-US" w:eastAsia="zh-CN"/>
              </w:rPr>
              <w:t>超声小探头、电子十二指肠内窥镜等</w:t>
            </w:r>
            <w:r>
              <w:rPr>
                <w:rFonts w:hint="eastAsia" w:ascii="宋体" w:hAnsi="宋体" w:cs="宋体"/>
                <w:bCs/>
                <w:color w:val="auto"/>
                <w:sz w:val="21"/>
                <w:szCs w:val="21"/>
                <w:highlight w:val="none"/>
                <w:lang w:val="en-US" w:eastAsia="zh-CN"/>
              </w:rPr>
              <w:t>（至少能兼容其中2种）</w:t>
            </w:r>
            <w:r>
              <w:rPr>
                <w:rFonts w:hint="eastAsia" w:ascii="宋体" w:hAnsi="宋体" w:eastAsia="宋体" w:cs="宋体"/>
                <w:bCs/>
                <w:color w:val="auto"/>
                <w:sz w:val="21"/>
                <w:szCs w:val="21"/>
                <w:highlight w:val="none"/>
                <w:lang w:val="en-US" w:eastAsia="zh-CN"/>
              </w:rPr>
              <w:t>。</w:t>
            </w:r>
          </w:p>
          <w:p w14:paraId="73DA9B41">
            <w:pPr>
              <w:pageBreakBefore w:val="0"/>
              <w:widowControl w:val="0"/>
              <w:numPr>
                <w:ilvl w:val="0"/>
                <w:numId w:val="3"/>
              </w:numPr>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具有 Y/C、VIDEO 信号输入接口。具有SDI、DVI、VIDEO、Y/C、分量（RGB、</w:t>
            </w: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rPr>
              <w:t>SYNC）视频接口。</w:t>
            </w:r>
          </w:p>
          <w:p w14:paraId="002BB936">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9</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rPr>
              <w:t>具有电子放大功能，可将内镜图像进行放大。</w:t>
            </w:r>
          </w:p>
          <w:p w14:paraId="6BBA2FDE">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10.具有内置储存功能。</w:t>
            </w:r>
          </w:p>
          <w:p w14:paraId="7E00258A">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val="en-US" w:eastAsia="zh-CN"/>
              </w:rPr>
              <w:t>2</w:t>
            </w:r>
            <w:r>
              <w:rPr>
                <w:rFonts w:hint="eastAsia" w:ascii="宋体" w:hAnsi="宋体" w:eastAsia="宋体" w:cs="宋体"/>
                <w:b/>
                <w:bCs w:val="0"/>
                <w:color w:val="auto"/>
                <w:sz w:val="21"/>
                <w:szCs w:val="21"/>
                <w:highlight w:val="none"/>
              </w:rPr>
              <w:t>）光源：</w:t>
            </w:r>
          </w:p>
          <w:p w14:paraId="20F68FD6">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val="en-US" w:eastAsia="zh-CN"/>
              </w:rPr>
              <w:t>.</w:t>
            </w:r>
            <w:r>
              <w:rPr>
                <w:rFonts w:hint="eastAsia" w:ascii="宋体" w:hAnsi="宋体" w:eastAsia="宋体" w:cs="宋体"/>
                <w:bCs/>
                <w:color w:val="auto"/>
                <w:sz w:val="21"/>
                <w:szCs w:val="21"/>
                <w:highlight w:val="none"/>
              </w:rPr>
              <w:t>灯泡：LED灯，</w:t>
            </w:r>
            <w:r>
              <w:rPr>
                <w:rFonts w:hint="eastAsia" w:ascii="宋体" w:hAnsi="宋体" w:eastAsia="宋体" w:cs="宋体"/>
                <w:color w:val="auto"/>
                <w:sz w:val="21"/>
                <w:szCs w:val="21"/>
                <w:highlight w:val="none"/>
              </w:rPr>
              <w:t>≥四路LED光源</w:t>
            </w:r>
            <w:r>
              <w:rPr>
                <w:rFonts w:hint="eastAsia" w:ascii="宋体" w:hAnsi="宋体" w:eastAsia="宋体" w:cs="宋体"/>
                <w:color w:val="auto"/>
                <w:sz w:val="21"/>
                <w:szCs w:val="21"/>
                <w:highlight w:val="none"/>
                <w:lang w:eastAsia="zh-CN"/>
              </w:rPr>
              <w:t>，</w:t>
            </w:r>
            <w:r>
              <w:rPr>
                <w:rFonts w:hint="eastAsia" w:ascii="宋体" w:hAnsi="宋体" w:eastAsia="宋体" w:cs="宋体"/>
                <w:bCs/>
                <w:color w:val="auto"/>
                <w:sz w:val="21"/>
                <w:szCs w:val="21"/>
                <w:highlight w:val="none"/>
              </w:rPr>
              <w:t>将白光及多种波长光通过图像处理器进行操控。</w:t>
            </w:r>
          </w:p>
          <w:p w14:paraId="03E4E6F6">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2.气泵，压力范围可调节，气流量可调节。</w:t>
            </w:r>
          </w:p>
          <w:p w14:paraId="611A62A6">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3.具备光染色功能，多种窄带光电子染色，满足精查内镜早癌筛查。</w:t>
            </w:r>
          </w:p>
          <w:p w14:paraId="35966E25">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.具备一键插拔</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热插拔保护功能，防水防喷溅：冷光源可支持内窥镜连接热插拔保护功能。</w:t>
            </w:r>
          </w:p>
          <w:p w14:paraId="72C071E0">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lang w:val="en-US" w:eastAsia="zh-CN"/>
              </w:rPr>
              <w:t>3</w:t>
            </w:r>
            <w:r>
              <w:rPr>
                <w:rFonts w:hint="eastAsia" w:ascii="宋体" w:hAnsi="宋体" w:eastAsia="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rPr>
              <w:t>显示器</w:t>
            </w:r>
          </w:p>
          <w:p w14:paraId="72BAA016">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医用液晶显示器，尺寸≥32寸，屏幕分辨率：≥</w:t>
            </w:r>
            <w:r>
              <w:rPr>
                <w:rFonts w:hint="eastAsia" w:ascii="宋体" w:hAnsi="宋体" w:eastAsia="宋体" w:cs="宋体"/>
                <w:bCs/>
                <w:color w:val="auto"/>
                <w:sz w:val="21"/>
                <w:szCs w:val="21"/>
                <w:highlight w:val="none"/>
                <w:lang w:val="en-US" w:eastAsia="zh-CN"/>
              </w:rPr>
              <w:t>1900x1080</w:t>
            </w:r>
            <w:r>
              <w:rPr>
                <w:rFonts w:hint="eastAsia" w:ascii="宋体" w:hAnsi="宋体" w:eastAsia="宋体" w:cs="宋体"/>
                <w:bCs/>
                <w:color w:val="auto"/>
                <w:sz w:val="21"/>
                <w:szCs w:val="21"/>
                <w:highlight w:val="none"/>
              </w:rPr>
              <w:t>，安装上使用场地现有吊塔</w:t>
            </w:r>
            <w:r>
              <w:rPr>
                <w:rFonts w:hint="eastAsia" w:ascii="宋体" w:hAnsi="宋体" w:eastAsia="宋体" w:cs="宋体"/>
                <w:bCs/>
                <w:color w:val="auto"/>
                <w:sz w:val="21"/>
                <w:szCs w:val="21"/>
                <w:highlight w:val="none"/>
                <w:lang w:eastAsia="zh-CN"/>
              </w:rPr>
              <w:t>。</w:t>
            </w:r>
          </w:p>
          <w:p w14:paraId="2DDD10D1">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
                <w:bCs w:val="0"/>
                <w:color w:val="auto"/>
                <w:sz w:val="21"/>
                <w:szCs w:val="21"/>
                <w:highlight w:val="none"/>
                <w:lang w:eastAsia="zh-CN"/>
              </w:rPr>
            </w:pPr>
            <w:r>
              <w:rPr>
                <w:rFonts w:hint="eastAsia" w:ascii="宋体" w:hAnsi="宋体" w:eastAsia="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lang w:val="en-US" w:eastAsia="zh-CN"/>
              </w:rPr>
              <w:t>4</w:t>
            </w:r>
            <w:r>
              <w:rPr>
                <w:rFonts w:hint="eastAsia" w:ascii="宋体" w:hAnsi="宋体" w:eastAsia="宋体" w:cs="宋体"/>
                <w:b/>
                <w:bCs w:val="0"/>
                <w:color w:val="auto"/>
                <w:sz w:val="21"/>
                <w:szCs w:val="21"/>
                <w:highlight w:val="none"/>
                <w:lang w:eastAsia="zh-CN"/>
              </w:rPr>
              <w:t>）专用台车</w:t>
            </w:r>
          </w:p>
          <w:p w14:paraId="28D28990">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耐腐蚀性和防水性，防锈</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一键开关电源，万向轮，推拉省力</w:t>
            </w:r>
            <w:r>
              <w:rPr>
                <w:rFonts w:hint="eastAsia" w:ascii="宋体" w:hAnsi="宋体" w:eastAsia="宋体" w:cs="宋体"/>
                <w:bCs/>
                <w:color w:val="auto"/>
                <w:sz w:val="21"/>
                <w:szCs w:val="21"/>
                <w:highlight w:val="none"/>
                <w:lang w:eastAsia="zh-CN"/>
              </w:rPr>
              <w:t>。</w:t>
            </w:r>
          </w:p>
          <w:p w14:paraId="16F1F93A">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
                <w:bCs w:val="0"/>
                <w:color w:val="auto"/>
                <w:sz w:val="21"/>
                <w:szCs w:val="21"/>
                <w:highlight w:val="none"/>
                <w:lang w:eastAsia="zh-CN"/>
              </w:rPr>
            </w:pPr>
            <w:r>
              <w:rPr>
                <w:rFonts w:hint="eastAsia" w:ascii="宋体" w:hAnsi="宋体" w:eastAsia="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lang w:val="en-US" w:eastAsia="zh-CN"/>
              </w:rPr>
              <w:t>5</w:t>
            </w:r>
            <w:r>
              <w:rPr>
                <w:rFonts w:hint="eastAsia" w:ascii="宋体" w:hAnsi="宋体" w:eastAsia="宋体" w:cs="宋体"/>
                <w:b/>
                <w:bCs w:val="0"/>
                <w:color w:val="auto"/>
                <w:sz w:val="21"/>
                <w:szCs w:val="21"/>
                <w:highlight w:val="none"/>
                <w:lang w:eastAsia="zh-CN"/>
              </w:rPr>
              <w:t>）、电子上消化道内窥镜（治疗型）：</w:t>
            </w:r>
          </w:p>
          <w:p w14:paraId="070A0721">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1.视野角：≥145°。</w:t>
            </w:r>
          </w:p>
          <w:p w14:paraId="40F3ECE5">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2.头端部外径≤</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mm，主软管外径：≤10mm。</w:t>
            </w:r>
          </w:p>
          <w:p w14:paraId="23E4F77A">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3.弯曲角度 ：上≥210° 下≥120° 左右各≥100°。</w:t>
            </w:r>
          </w:p>
          <w:p w14:paraId="083E1C1C">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4.钳道孔径：≥3mm，工作长度：≥1050mm。</w:t>
            </w:r>
          </w:p>
          <w:p w14:paraId="0DE9E4AD">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.一体式插拔，无需防水盖，方便浸泡消毒</w:t>
            </w:r>
            <w:r>
              <w:rPr>
                <w:rFonts w:hint="eastAsia" w:ascii="宋体" w:hAnsi="宋体" w:eastAsia="宋体" w:cs="宋体"/>
                <w:bCs/>
                <w:color w:val="auto"/>
                <w:sz w:val="21"/>
                <w:szCs w:val="21"/>
                <w:highlight w:val="none"/>
                <w:lang w:eastAsia="zh-CN"/>
              </w:rPr>
              <w:t>。</w:t>
            </w:r>
          </w:p>
          <w:p w14:paraId="18BF424F">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
                <w:bCs w:val="0"/>
                <w:color w:val="auto"/>
                <w:sz w:val="21"/>
                <w:szCs w:val="21"/>
                <w:highlight w:val="none"/>
                <w:lang w:eastAsia="zh-CN"/>
              </w:rPr>
            </w:pPr>
            <w:r>
              <w:rPr>
                <w:rFonts w:hint="eastAsia" w:ascii="宋体" w:hAnsi="宋体" w:eastAsia="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lang w:val="en-US" w:eastAsia="zh-CN"/>
              </w:rPr>
              <w:t>6</w:t>
            </w:r>
            <w:r>
              <w:rPr>
                <w:rFonts w:hint="eastAsia" w:ascii="宋体" w:hAnsi="宋体" w:eastAsia="宋体" w:cs="宋体"/>
                <w:b/>
                <w:bCs w:val="0"/>
                <w:color w:val="auto"/>
                <w:sz w:val="21"/>
                <w:szCs w:val="21"/>
                <w:highlight w:val="none"/>
                <w:lang w:eastAsia="zh-CN"/>
              </w:rPr>
              <w:t>）、电子上消化道内窥镜（放大型）：</w:t>
            </w:r>
          </w:p>
          <w:p w14:paraId="73EF8FCE">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1.视</w:t>
            </w:r>
            <w:r>
              <w:rPr>
                <w:rFonts w:hint="eastAsia" w:ascii="宋体" w:hAnsi="宋体" w:cs="宋体"/>
                <w:bCs/>
                <w:color w:val="auto"/>
                <w:sz w:val="21"/>
                <w:szCs w:val="21"/>
                <w:highlight w:val="none"/>
                <w:lang w:val="en-US" w:eastAsia="zh-CN"/>
              </w:rPr>
              <w:t>野</w:t>
            </w:r>
            <w:r>
              <w:rPr>
                <w:rFonts w:hint="eastAsia" w:ascii="宋体" w:hAnsi="宋体" w:eastAsia="宋体" w:cs="宋体"/>
                <w:bCs/>
                <w:color w:val="auto"/>
                <w:sz w:val="21"/>
                <w:szCs w:val="21"/>
                <w:highlight w:val="none"/>
              </w:rPr>
              <w:t>角：</w:t>
            </w:r>
            <w:r>
              <w:rPr>
                <w:rFonts w:hint="eastAsia" w:ascii="宋体" w:hAnsi="宋体" w:cs="宋体"/>
                <w:bCs/>
                <w:color w:val="auto"/>
                <w:sz w:val="21"/>
                <w:szCs w:val="21"/>
                <w:highlight w:val="none"/>
                <w:lang w:val="en-US" w:eastAsia="zh-CN"/>
              </w:rPr>
              <w:t>放大</w:t>
            </w:r>
            <w:r>
              <w:rPr>
                <w:rFonts w:hint="eastAsia" w:ascii="宋体" w:hAnsi="宋体" w:eastAsia="宋体" w:cs="宋体"/>
                <w:bCs/>
                <w:color w:val="auto"/>
                <w:sz w:val="21"/>
                <w:szCs w:val="21"/>
                <w:highlight w:val="none"/>
              </w:rPr>
              <w:t>长焦（广角）≥90°、广角（普通）≥140°。</w:t>
            </w:r>
          </w:p>
          <w:p w14:paraId="2FAB473C">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2.头端部外径≤10.</w:t>
            </w:r>
            <w:r>
              <w:rPr>
                <w:rFonts w:hint="eastAsia" w:ascii="宋体" w:hAns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rPr>
              <w:t>mm，主软管外径：≤10</w:t>
            </w:r>
            <w:r>
              <w:rPr>
                <w:rFonts w:hint="eastAsia" w:ascii="宋体" w:hAns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rPr>
              <w:t>mm。</w:t>
            </w:r>
          </w:p>
          <w:p w14:paraId="4175F3E1">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lang w:eastAsia="zh-CN"/>
              </w:rPr>
            </w:pPr>
            <w:r>
              <w:rPr>
                <w:rFonts w:hint="eastAsia" w:ascii="宋体" w:hAnsi="宋体" w:eastAsia="宋体" w:cs="宋体"/>
                <w:b/>
                <w:bCs/>
                <w:color w:val="auto"/>
                <w:highlight w:val="none"/>
              </w:rPr>
              <w:t>▉</w:t>
            </w:r>
            <w:r>
              <w:rPr>
                <w:rFonts w:hint="eastAsia" w:ascii="宋体" w:hAnsi="宋体" w:eastAsia="宋体" w:cs="宋体"/>
                <w:bCs/>
                <w:color w:val="auto"/>
                <w:sz w:val="21"/>
                <w:szCs w:val="21"/>
                <w:highlight w:val="none"/>
              </w:rPr>
              <w:t>3.景深（放大）：长焦（放大）1.5-3 mm、广角（普通）</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-100 mm。</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投标时提供相关证明材料</w:t>
            </w:r>
            <w:r>
              <w:rPr>
                <w:rFonts w:hint="eastAsia" w:ascii="宋体" w:hAnsi="宋体" w:cs="宋体"/>
                <w:bCs/>
                <w:color w:val="auto"/>
                <w:sz w:val="21"/>
                <w:szCs w:val="21"/>
                <w:highlight w:val="none"/>
                <w:lang w:eastAsia="zh-CN"/>
              </w:rPr>
              <w:t>）</w:t>
            </w:r>
          </w:p>
          <w:p w14:paraId="200A8F51">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4.弯曲角度 ：上≥210° 下≥90° 左右各≥100°</w:t>
            </w:r>
            <w:r>
              <w:rPr>
                <w:rFonts w:hint="eastAsia" w:ascii="宋体" w:hAnsi="宋体" w:eastAsia="宋体" w:cs="宋体"/>
                <w:bCs/>
                <w:color w:val="auto"/>
                <w:sz w:val="21"/>
                <w:szCs w:val="21"/>
                <w:highlight w:val="none"/>
                <w:lang w:eastAsia="zh-CN"/>
              </w:rPr>
              <w:t>。</w:t>
            </w:r>
          </w:p>
          <w:p w14:paraId="265A213C">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5.钳道孔径：≥2.8mm，工作长度：≥1050mm。</w:t>
            </w:r>
          </w:p>
          <w:p w14:paraId="1ED6ED43">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eastAsia="zh-Hans"/>
              </w:rPr>
              <w:t>具备≥</w:t>
            </w:r>
            <w:r>
              <w:rPr>
                <w:rFonts w:hint="eastAsia" w:ascii="宋体" w:hAnsi="宋体" w:eastAsia="宋体" w:cs="宋体"/>
                <w:bCs/>
                <w:color w:val="auto"/>
                <w:sz w:val="21"/>
                <w:szCs w:val="21"/>
                <w:highlight w:val="none"/>
              </w:rPr>
              <w:t>85</w:t>
            </w:r>
            <w:r>
              <w:rPr>
                <w:rFonts w:hint="eastAsia" w:ascii="宋体" w:hAnsi="宋体" w:eastAsia="宋体" w:cs="宋体"/>
                <w:bCs/>
                <w:color w:val="auto"/>
                <w:sz w:val="21"/>
                <w:szCs w:val="21"/>
                <w:highlight w:val="none"/>
                <w:lang w:eastAsia="zh-Hans"/>
              </w:rPr>
              <w:t>倍光学放大功能</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具备连续变焦功能。</w:t>
            </w:r>
          </w:p>
          <w:p w14:paraId="028E9B34">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7.副注水功能。</w:t>
            </w:r>
          </w:p>
          <w:p w14:paraId="7021D708">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
                <w:bCs w:val="0"/>
                <w:color w:val="auto"/>
                <w:sz w:val="21"/>
                <w:szCs w:val="21"/>
                <w:highlight w:val="none"/>
                <w:lang w:eastAsia="zh-CN"/>
              </w:rPr>
            </w:pPr>
            <w:r>
              <w:rPr>
                <w:rFonts w:hint="eastAsia" w:ascii="宋体" w:hAnsi="宋体" w:eastAsia="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lang w:val="en-US" w:eastAsia="zh-CN"/>
              </w:rPr>
              <w:t>7</w:t>
            </w:r>
            <w:r>
              <w:rPr>
                <w:rFonts w:hint="eastAsia" w:ascii="宋体" w:hAnsi="宋体" w:eastAsia="宋体" w:cs="宋体"/>
                <w:b/>
                <w:bCs w:val="0"/>
                <w:color w:val="auto"/>
                <w:sz w:val="21"/>
                <w:szCs w:val="21"/>
                <w:highlight w:val="none"/>
                <w:lang w:eastAsia="zh-CN"/>
              </w:rPr>
              <w:t>）、电子结肠内窥镜（放大型）：</w:t>
            </w:r>
          </w:p>
          <w:p w14:paraId="070B73E0">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1.视场角：普通≥1</w:t>
            </w:r>
            <w:r>
              <w:rPr>
                <w:rFonts w:hint="eastAsia" w:ascii="宋体" w:hAnsi="宋体" w:eastAsia="宋体" w:cs="宋体"/>
                <w:bCs/>
                <w:color w:val="auto"/>
                <w:sz w:val="21"/>
                <w:szCs w:val="21"/>
                <w:highlight w:val="none"/>
                <w:lang w:val="en-US" w:eastAsia="zh-CN"/>
              </w:rPr>
              <w:t>40</w:t>
            </w:r>
            <w:r>
              <w:rPr>
                <w:rFonts w:hint="eastAsia" w:ascii="宋体" w:hAnsi="宋体" w:eastAsia="宋体" w:cs="宋体"/>
                <w:bCs/>
                <w:color w:val="auto"/>
                <w:sz w:val="21"/>
                <w:szCs w:val="21"/>
                <w:highlight w:val="none"/>
              </w:rPr>
              <w:t>°，放大≥90°</w:t>
            </w:r>
            <w:r>
              <w:rPr>
                <w:rFonts w:hint="eastAsia" w:ascii="宋体" w:hAnsi="宋体" w:eastAsia="宋体" w:cs="宋体"/>
                <w:bCs/>
                <w:color w:val="auto"/>
                <w:sz w:val="21"/>
                <w:szCs w:val="21"/>
                <w:highlight w:val="none"/>
                <w:lang w:val="en-US" w:eastAsia="zh-CN"/>
              </w:rPr>
              <w:t>。</w:t>
            </w:r>
          </w:p>
          <w:p w14:paraId="651B0F33">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2.头端部外径：≤12.</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mm，主软管外径：≤</w:t>
            </w:r>
            <w:r>
              <w:rPr>
                <w:rFonts w:hint="eastAsia" w:ascii="宋体" w:hAnsi="宋体" w:eastAsia="宋体" w:cs="宋体"/>
                <w:bCs/>
                <w:color w:val="auto"/>
                <w:sz w:val="21"/>
                <w:szCs w:val="21"/>
                <w:highlight w:val="none"/>
                <w:lang w:val="en-US" w:eastAsia="zh-CN"/>
              </w:rPr>
              <w:t>12.8mm</w:t>
            </w:r>
            <w:r>
              <w:rPr>
                <w:rFonts w:hint="eastAsia" w:ascii="宋体" w:hAnsi="宋体" w:eastAsia="宋体" w:cs="宋体"/>
                <w:bCs/>
                <w:color w:val="auto"/>
                <w:sz w:val="21"/>
                <w:szCs w:val="21"/>
                <w:highlight w:val="none"/>
              </w:rPr>
              <w:t>。</w:t>
            </w:r>
          </w:p>
          <w:p w14:paraId="5F8F3F93">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3.带副</w:t>
            </w:r>
            <w:r>
              <w:rPr>
                <w:rFonts w:hint="eastAsia" w:ascii="宋体" w:hAnsi="宋体" w:eastAsia="宋体" w:cs="宋体"/>
                <w:bCs/>
                <w:color w:val="auto"/>
                <w:sz w:val="21"/>
                <w:szCs w:val="21"/>
                <w:highlight w:val="none"/>
                <w:lang w:val="en-US" w:eastAsia="zh-CN"/>
              </w:rPr>
              <w:t>注</w:t>
            </w:r>
            <w:r>
              <w:rPr>
                <w:rFonts w:hint="eastAsia" w:ascii="宋体" w:hAnsi="宋体" w:eastAsia="宋体" w:cs="宋体"/>
                <w:bCs/>
                <w:color w:val="auto"/>
                <w:sz w:val="21"/>
                <w:szCs w:val="21"/>
                <w:highlight w:val="none"/>
              </w:rPr>
              <w:t>水功能</w:t>
            </w:r>
            <w:r>
              <w:rPr>
                <w:rFonts w:hint="eastAsia" w:ascii="宋体" w:hAnsi="宋体" w:eastAsia="宋体" w:cs="宋体"/>
                <w:bCs/>
                <w:color w:val="auto"/>
                <w:sz w:val="21"/>
                <w:szCs w:val="21"/>
                <w:highlight w:val="none"/>
                <w:lang w:eastAsia="zh-CN"/>
              </w:rPr>
              <w:t>。</w:t>
            </w:r>
          </w:p>
          <w:p w14:paraId="2D67958F">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lang w:eastAsia="zh-CN"/>
              </w:rPr>
            </w:pPr>
            <w:r>
              <w:rPr>
                <w:rFonts w:hint="eastAsia" w:ascii="宋体" w:hAnsi="宋体" w:eastAsia="宋体" w:cs="宋体"/>
                <w:b/>
                <w:bCs/>
                <w:color w:val="auto"/>
                <w:highlight w:val="none"/>
              </w:rPr>
              <w:t>▉</w:t>
            </w:r>
            <w:r>
              <w:rPr>
                <w:rFonts w:hint="eastAsia" w:ascii="宋体" w:hAnsi="宋体" w:eastAsia="宋体" w:cs="宋体"/>
                <w:bCs/>
                <w:color w:val="auto"/>
                <w:sz w:val="21"/>
                <w:szCs w:val="21"/>
                <w:highlight w:val="none"/>
              </w:rPr>
              <w:t>4.景深：普通</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-100mm，放大时</w:t>
            </w:r>
            <w:r>
              <w:rPr>
                <w:rFonts w:hint="eastAsia" w:ascii="宋体" w:hAnsi="宋体" w:eastAsia="宋体" w:cs="宋体"/>
                <w:bCs/>
                <w:color w:val="auto"/>
                <w:sz w:val="21"/>
                <w:szCs w:val="21"/>
                <w:highlight w:val="none"/>
                <w:lang w:val="en-US" w:eastAsia="zh-CN"/>
              </w:rPr>
              <w:t>1.5</w:t>
            </w:r>
            <w:r>
              <w:rPr>
                <w:rFonts w:hint="eastAsia" w:ascii="宋体" w:hAnsi="宋体" w:eastAsia="宋体" w:cs="宋体"/>
                <w:bCs/>
                <w:color w:val="auto"/>
                <w:sz w:val="21"/>
                <w:szCs w:val="21"/>
                <w:highlight w:val="none"/>
              </w:rPr>
              <w:t>-3.</w:t>
            </w:r>
            <w:r>
              <w:rPr>
                <w:rFonts w:hint="eastAsia" w:ascii="宋体" w:hAnsi="宋体" w:eastAsia="宋体" w:cs="宋体"/>
                <w:bCs/>
                <w:color w:val="auto"/>
                <w:sz w:val="21"/>
                <w:szCs w:val="21"/>
                <w:highlight w:val="none"/>
                <w:lang w:val="en-US" w:eastAsia="zh-CN"/>
              </w:rPr>
              <w:t>0</w:t>
            </w:r>
            <w:r>
              <w:rPr>
                <w:rFonts w:hint="eastAsia" w:ascii="宋体" w:hAnsi="宋体" w:eastAsia="宋体" w:cs="宋体"/>
                <w:bCs/>
                <w:color w:val="auto"/>
                <w:sz w:val="21"/>
                <w:szCs w:val="21"/>
                <w:highlight w:val="none"/>
              </w:rPr>
              <w:t>mm</w:t>
            </w:r>
            <w:r>
              <w:rPr>
                <w:rFonts w:hint="eastAsia" w:ascii="宋体" w:hAnsi="宋体" w:eastAsia="宋体" w:cs="宋体"/>
                <w:bCs/>
                <w:color w:val="auto"/>
                <w:sz w:val="21"/>
                <w:szCs w:val="21"/>
                <w:highlight w:val="none"/>
                <w:lang w:eastAsia="zh-CN"/>
              </w:rPr>
              <w:t>。</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投标时提供相关证明材料</w:t>
            </w:r>
            <w:r>
              <w:rPr>
                <w:rFonts w:hint="eastAsia" w:ascii="宋体" w:hAnsi="宋体" w:cs="宋体"/>
                <w:bCs/>
                <w:color w:val="auto"/>
                <w:sz w:val="21"/>
                <w:szCs w:val="21"/>
                <w:highlight w:val="none"/>
                <w:lang w:eastAsia="zh-CN"/>
              </w:rPr>
              <w:t>）</w:t>
            </w:r>
          </w:p>
          <w:p w14:paraId="7C17AF85">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5.弯曲角度上下各≥180°左右各≥160°。</w:t>
            </w:r>
          </w:p>
          <w:p w14:paraId="73F69AE3">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6.钳道孔径：≥</w:t>
            </w:r>
            <w:r>
              <w:rPr>
                <w:rFonts w:hint="eastAsia" w:ascii="宋体" w:hAnsi="宋体" w:cs="宋体"/>
                <w:bCs/>
                <w:color w:val="auto"/>
                <w:sz w:val="21"/>
                <w:szCs w:val="21"/>
                <w:highlight w:val="none"/>
                <w:lang w:val="en-US" w:eastAsia="zh-CN"/>
              </w:rPr>
              <w:t>3.2</w:t>
            </w:r>
            <w:r>
              <w:rPr>
                <w:rFonts w:hint="eastAsia" w:ascii="宋体" w:hAnsi="宋体" w:eastAsia="宋体" w:cs="宋体"/>
                <w:bCs/>
                <w:color w:val="auto"/>
                <w:sz w:val="21"/>
                <w:szCs w:val="21"/>
                <w:highlight w:val="none"/>
              </w:rPr>
              <w:t>mm，工作长度：≥1300mm。</w:t>
            </w:r>
          </w:p>
          <w:p w14:paraId="7404ED23">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w:t>
            </w:r>
            <w:r>
              <w:rPr>
                <w:rFonts w:hint="eastAsia" w:ascii="宋体" w:hAnsi="宋体" w:eastAsia="宋体" w:cs="宋体"/>
                <w:bCs/>
                <w:color w:val="auto"/>
                <w:sz w:val="21"/>
                <w:szCs w:val="21"/>
                <w:highlight w:val="none"/>
              </w:rPr>
              <w:t>.</w:t>
            </w:r>
            <w:r>
              <w:rPr>
                <w:rFonts w:hint="eastAsia" w:ascii="宋体" w:hAnsi="宋体" w:eastAsia="宋体" w:cs="宋体"/>
                <w:bCs/>
                <w:color w:val="auto"/>
                <w:sz w:val="21"/>
                <w:szCs w:val="21"/>
                <w:highlight w:val="none"/>
                <w:lang w:eastAsia="zh-Hans"/>
              </w:rPr>
              <w:t>具备≥</w:t>
            </w:r>
            <w:r>
              <w:rPr>
                <w:rFonts w:hint="eastAsia" w:ascii="宋体" w:hAnsi="宋体" w:eastAsia="宋体" w:cs="宋体"/>
                <w:bCs/>
                <w:color w:val="auto"/>
                <w:sz w:val="21"/>
                <w:szCs w:val="21"/>
                <w:highlight w:val="none"/>
              </w:rPr>
              <w:t>85</w:t>
            </w:r>
            <w:r>
              <w:rPr>
                <w:rFonts w:hint="eastAsia" w:ascii="宋体" w:hAnsi="宋体" w:eastAsia="宋体" w:cs="宋体"/>
                <w:bCs/>
                <w:color w:val="auto"/>
                <w:sz w:val="21"/>
                <w:szCs w:val="21"/>
                <w:highlight w:val="none"/>
                <w:lang w:eastAsia="zh-Hans"/>
              </w:rPr>
              <w:t>倍光学放大功能</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具有连续变焦功能。</w:t>
            </w:r>
          </w:p>
          <w:p w14:paraId="29BC9068">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val="en-US" w:eastAsia="zh-CN"/>
              </w:rPr>
              <w:t>8</w:t>
            </w:r>
            <w:r>
              <w:rPr>
                <w:rFonts w:hint="eastAsia" w:ascii="宋体" w:hAnsi="宋体" w:eastAsia="宋体" w:cs="宋体"/>
                <w:b/>
                <w:bCs w:val="0"/>
                <w:color w:val="auto"/>
                <w:sz w:val="21"/>
                <w:szCs w:val="21"/>
                <w:highlight w:val="none"/>
              </w:rPr>
              <w:t>）电子结肠内窥镜（治疗型）：</w:t>
            </w:r>
          </w:p>
          <w:p w14:paraId="5D5ED3A5">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1.视</w:t>
            </w:r>
            <w:r>
              <w:rPr>
                <w:rFonts w:hint="eastAsia" w:ascii="宋体" w:hAnsi="宋体" w:cs="宋体"/>
                <w:bCs/>
                <w:color w:val="auto"/>
                <w:sz w:val="21"/>
                <w:szCs w:val="21"/>
                <w:highlight w:val="none"/>
                <w:lang w:val="en-US" w:eastAsia="zh-CN"/>
              </w:rPr>
              <w:t>野</w:t>
            </w:r>
            <w:r>
              <w:rPr>
                <w:rFonts w:hint="eastAsia" w:ascii="宋体" w:hAnsi="宋体" w:eastAsia="宋体" w:cs="宋体"/>
                <w:bCs/>
                <w:color w:val="auto"/>
                <w:sz w:val="21"/>
                <w:szCs w:val="21"/>
                <w:highlight w:val="none"/>
              </w:rPr>
              <w:t>角：≥170°</w:t>
            </w:r>
            <w:r>
              <w:rPr>
                <w:rFonts w:hint="eastAsia" w:ascii="宋体" w:hAnsi="宋体" w:eastAsia="宋体" w:cs="宋体"/>
                <w:bCs/>
                <w:color w:val="auto"/>
                <w:sz w:val="21"/>
                <w:szCs w:val="21"/>
                <w:highlight w:val="none"/>
                <w:lang w:eastAsia="zh-CN"/>
              </w:rPr>
              <w:t>。</w:t>
            </w:r>
          </w:p>
          <w:p w14:paraId="1993D205">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2.头端部外径：≤1</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.0mm，主软管外径：≤</w:t>
            </w:r>
            <w:r>
              <w:rPr>
                <w:rFonts w:hint="eastAsia" w:ascii="宋体" w:hAnsi="宋体" w:eastAsia="宋体" w:cs="宋体"/>
                <w:bCs/>
                <w:color w:val="auto"/>
                <w:sz w:val="21"/>
                <w:szCs w:val="21"/>
                <w:highlight w:val="none"/>
                <w:lang w:val="en-US" w:eastAsia="zh-CN"/>
              </w:rPr>
              <w:t>12.8</w:t>
            </w:r>
            <w:r>
              <w:rPr>
                <w:rFonts w:hint="eastAsia" w:ascii="宋体" w:hAnsi="宋体" w:eastAsia="宋体" w:cs="宋体"/>
                <w:bCs/>
                <w:color w:val="auto"/>
                <w:sz w:val="21"/>
                <w:szCs w:val="21"/>
                <w:highlight w:val="none"/>
              </w:rPr>
              <w:t>mm。</w:t>
            </w:r>
          </w:p>
          <w:p w14:paraId="742BCA1F">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3.带副</w:t>
            </w:r>
            <w:r>
              <w:rPr>
                <w:rFonts w:hint="eastAsia" w:ascii="宋体" w:hAnsi="宋体" w:eastAsia="宋体" w:cs="宋体"/>
                <w:bCs/>
                <w:color w:val="auto"/>
                <w:sz w:val="21"/>
                <w:szCs w:val="21"/>
                <w:highlight w:val="none"/>
                <w:lang w:val="en-US" w:eastAsia="zh-CN"/>
              </w:rPr>
              <w:t>注</w:t>
            </w:r>
            <w:r>
              <w:rPr>
                <w:rFonts w:hint="eastAsia" w:ascii="宋体" w:hAnsi="宋体" w:eastAsia="宋体" w:cs="宋体"/>
                <w:bCs/>
                <w:color w:val="auto"/>
                <w:sz w:val="21"/>
                <w:szCs w:val="21"/>
                <w:highlight w:val="none"/>
              </w:rPr>
              <w:t>水功能</w:t>
            </w:r>
            <w:r>
              <w:rPr>
                <w:rFonts w:hint="eastAsia" w:ascii="宋体" w:hAnsi="宋体" w:eastAsia="宋体" w:cs="宋体"/>
                <w:bCs/>
                <w:color w:val="auto"/>
                <w:sz w:val="21"/>
                <w:szCs w:val="21"/>
                <w:highlight w:val="none"/>
                <w:lang w:eastAsia="zh-CN"/>
              </w:rPr>
              <w:t>。</w:t>
            </w:r>
          </w:p>
          <w:p w14:paraId="0CE96271">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4.景深：≥2-100 mm。</w:t>
            </w:r>
          </w:p>
          <w:p w14:paraId="65A79BA0">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rPr>
              <w:t>5.弯曲角度上下各≥180°左右各≥160°</w:t>
            </w:r>
            <w:r>
              <w:rPr>
                <w:rFonts w:hint="eastAsia" w:ascii="宋体" w:hAnsi="宋体" w:eastAsia="宋体" w:cs="宋体"/>
                <w:bCs/>
                <w:color w:val="auto"/>
                <w:sz w:val="21"/>
                <w:szCs w:val="21"/>
                <w:highlight w:val="none"/>
                <w:lang w:eastAsia="zh-CN"/>
              </w:rPr>
              <w:t>。</w:t>
            </w:r>
          </w:p>
          <w:p w14:paraId="72C26FD8">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6.钳道孔径：≥</w:t>
            </w:r>
            <w:r>
              <w:rPr>
                <w:rFonts w:hint="eastAsia" w:ascii="宋体" w:hAnsi="宋体" w:eastAsia="宋体" w:cs="宋体"/>
                <w:bCs/>
                <w:color w:val="auto"/>
                <w:sz w:val="21"/>
                <w:szCs w:val="21"/>
                <w:highlight w:val="none"/>
                <w:lang w:val="en-US" w:eastAsia="zh-CN"/>
              </w:rPr>
              <w:t>3.2</w:t>
            </w:r>
            <w:r>
              <w:rPr>
                <w:rFonts w:hint="eastAsia" w:ascii="宋体" w:hAnsi="宋体" w:eastAsia="宋体" w:cs="宋体"/>
                <w:bCs/>
                <w:color w:val="auto"/>
                <w:sz w:val="21"/>
                <w:szCs w:val="21"/>
                <w:highlight w:val="none"/>
              </w:rPr>
              <w:t>mm，工作长度：≥1300mm。</w:t>
            </w:r>
          </w:p>
          <w:p w14:paraId="74759F83">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color w:val="auto"/>
                <w:highlight w:val="none"/>
              </w:rPr>
              <w:t>▉</w:t>
            </w:r>
            <w:r>
              <w:rPr>
                <w:rFonts w:hint="eastAsia" w:ascii="宋体" w:hAnsi="宋体" w:eastAsia="宋体" w:cs="宋体"/>
                <w:b/>
                <w:bCs w:val="0"/>
                <w:color w:val="auto"/>
                <w:sz w:val="21"/>
                <w:szCs w:val="21"/>
                <w:highlight w:val="none"/>
              </w:rPr>
              <w:t>（</w:t>
            </w:r>
            <w:r>
              <w:rPr>
                <w:rFonts w:hint="eastAsia" w:ascii="宋体" w:hAnsi="宋体" w:eastAsia="宋体" w:cs="宋体"/>
                <w:b/>
                <w:bCs w:val="0"/>
                <w:color w:val="auto"/>
                <w:sz w:val="21"/>
                <w:szCs w:val="21"/>
                <w:highlight w:val="none"/>
                <w:lang w:val="en-US" w:eastAsia="zh-CN"/>
              </w:rPr>
              <w:t>9</w:t>
            </w:r>
            <w:r>
              <w:rPr>
                <w:rFonts w:hint="eastAsia" w:ascii="宋体" w:hAnsi="宋体" w:eastAsia="宋体" w:cs="宋体"/>
                <w:b/>
                <w:bCs w:val="0"/>
                <w:color w:val="auto"/>
                <w:sz w:val="21"/>
                <w:szCs w:val="21"/>
                <w:highlight w:val="none"/>
              </w:rPr>
              <w:t>）与内镜系统兼容内窥镜二氧化碳泵</w:t>
            </w:r>
            <w:r>
              <w:rPr>
                <w:rFonts w:hint="eastAsia" w:ascii="宋体" w:hAnsi="宋体" w:eastAsia="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lang w:val="en-US" w:eastAsia="zh-CN"/>
              </w:rPr>
              <w:t>水泵。</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投标时提供相关证明材料</w:t>
            </w:r>
            <w:r>
              <w:rPr>
                <w:rFonts w:hint="eastAsia" w:ascii="宋体" w:hAnsi="宋体" w:cs="宋体"/>
                <w:bCs/>
                <w:color w:val="auto"/>
                <w:sz w:val="21"/>
                <w:szCs w:val="21"/>
                <w:highlight w:val="none"/>
                <w:lang w:eastAsia="zh-CN"/>
              </w:rPr>
              <w:t>）</w:t>
            </w:r>
          </w:p>
          <w:p w14:paraId="3ADE94D7">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三、配置清单：</w:t>
            </w:r>
          </w:p>
          <w:p w14:paraId="343B235B">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1、图像处理装置                      3 台</w:t>
            </w:r>
          </w:p>
          <w:p w14:paraId="057A1DE4">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2、冷光源                            3 台</w:t>
            </w:r>
          </w:p>
          <w:p w14:paraId="0E284F60">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3、电子上消化道内窥镜（放大型）     </w:t>
            </w:r>
            <w:r>
              <w:rPr>
                <w:rFonts w:hint="eastAsia" w:ascii="宋体" w:hAnsi="宋体" w:eastAsia="宋体" w:cs="宋体"/>
                <w:bCs/>
                <w:color w:val="auto"/>
                <w:sz w:val="21"/>
                <w:szCs w:val="21"/>
                <w:highlight w:val="none"/>
                <w:lang w:val="en-US" w:eastAsia="zh-CN"/>
              </w:rPr>
              <w:t xml:space="preserve"> 2</w:t>
            </w:r>
            <w:r>
              <w:rPr>
                <w:rFonts w:hint="eastAsia" w:ascii="宋体" w:hAnsi="宋体" w:eastAsia="宋体" w:cs="宋体"/>
                <w:bCs/>
                <w:color w:val="auto"/>
                <w:sz w:val="21"/>
                <w:szCs w:val="21"/>
                <w:highlight w:val="none"/>
              </w:rPr>
              <w:t>条</w:t>
            </w:r>
          </w:p>
          <w:p w14:paraId="39774BFB">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4、电子上消化道内窥镜（治疗型）      </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 xml:space="preserve"> 条</w:t>
            </w:r>
          </w:p>
          <w:p w14:paraId="27F95EBE">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5、电子下消化道内窥镜（放大型）      3 条</w:t>
            </w:r>
          </w:p>
          <w:p w14:paraId="75053435">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6、电子结肠内窥镜（治疗型）          2 条</w:t>
            </w:r>
          </w:p>
          <w:p w14:paraId="30234366">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7</w:t>
            </w:r>
            <w:r>
              <w:rPr>
                <w:rFonts w:hint="eastAsia" w:ascii="宋体" w:hAnsi="宋体" w:eastAsia="宋体" w:cs="宋体"/>
                <w:bCs/>
                <w:color w:val="auto"/>
                <w:sz w:val="21"/>
                <w:szCs w:val="21"/>
                <w:highlight w:val="none"/>
              </w:rPr>
              <w:t xml:space="preserve">、显示器                          </w:t>
            </w: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rPr>
              <w:t xml:space="preserve"> 3 台</w:t>
            </w:r>
          </w:p>
          <w:p w14:paraId="0AAEE13A">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8、台车                            </w:t>
            </w: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rPr>
              <w:t xml:space="preserve"> 3 台</w:t>
            </w:r>
          </w:p>
          <w:p w14:paraId="06163AB5">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9、测漏器                          </w:t>
            </w: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rPr>
              <w:t xml:space="preserve"> 3 个</w:t>
            </w:r>
          </w:p>
          <w:p w14:paraId="55954925">
            <w:pPr>
              <w:pageBreakBefore w:val="0"/>
              <w:widowControl w:val="0"/>
              <w:kinsoku/>
              <w:wordWrap/>
              <w:overflowPunct/>
              <w:topLinePunct w:val="0"/>
              <w:autoSpaceDE/>
              <w:autoSpaceDN/>
              <w:bidi w:val="0"/>
              <w:adjustRightInd/>
              <w:snapToGrid/>
              <w:spacing w:line="440" w:lineRule="exact"/>
              <w:ind w:left="0" w:firstLine="0" w:firstLineChars="0"/>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 xml:space="preserve">10、水泵                           </w:t>
            </w: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rPr>
              <w:t xml:space="preserve"> 3台</w:t>
            </w:r>
          </w:p>
          <w:p w14:paraId="2CA13B03">
            <w:pPr>
              <w:pageBreakBefore w:val="0"/>
              <w:widowControl w:val="0"/>
              <w:kinsoku/>
              <w:wordWrap/>
              <w:overflowPunct/>
              <w:topLinePunct w:val="0"/>
              <w:autoSpaceDE/>
              <w:autoSpaceDN/>
              <w:bidi w:val="0"/>
              <w:adjustRightInd/>
              <w:snapToGrid/>
              <w:spacing w:line="440" w:lineRule="exact"/>
              <w:rPr>
                <w:rFonts w:hint="eastAsia" w:ascii="宋体" w:hAnsi="宋体" w:eastAsia="宋体" w:cs="宋体"/>
                <w:b w:val="0"/>
                <w:bCs w:val="0"/>
                <w:color w:val="auto"/>
                <w:sz w:val="21"/>
                <w:szCs w:val="21"/>
                <w:highlight w:val="none"/>
                <w:u w:val="none"/>
              </w:rPr>
            </w:pPr>
            <w:r>
              <w:rPr>
                <w:rFonts w:hint="eastAsia" w:ascii="宋体" w:hAnsi="宋体" w:eastAsia="宋体" w:cs="宋体"/>
                <w:bCs/>
                <w:color w:val="auto"/>
                <w:sz w:val="21"/>
                <w:szCs w:val="21"/>
                <w:highlight w:val="none"/>
                <w:lang w:val="en-US" w:eastAsia="zh-CN"/>
              </w:rPr>
              <w:t>11、气泵                             3台</w:t>
            </w:r>
          </w:p>
        </w:tc>
      </w:tr>
      <w:tr w14:paraId="271B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20" w:type="dxa"/>
            <w:gridSpan w:val="6"/>
          </w:tcPr>
          <w:p w14:paraId="11ECBF51">
            <w:pPr>
              <w:keepNext w:val="0"/>
              <w:keepLines w:val="0"/>
              <w:pageBreakBefore w:val="0"/>
              <w:widowControl/>
              <w:kinsoku/>
              <w:wordWrap/>
              <w:overflowPunct/>
              <w:topLinePunct w:val="0"/>
              <w:autoSpaceDE/>
              <w:autoSpaceDN/>
              <w:bidi w:val="0"/>
              <w:adjustRightInd/>
              <w:spacing w:line="360" w:lineRule="exact"/>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b/>
                <w:color w:val="auto"/>
                <w:sz w:val="21"/>
                <w:szCs w:val="21"/>
                <w:highlight w:val="none"/>
              </w:rPr>
              <w:t>二、商务要求表</w:t>
            </w:r>
          </w:p>
        </w:tc>
      </w:tr>
      <w:tr w14:paraId="4C15D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24" w:type="dxa"/>
            <w:gridSpan w:val="2"/>
            <w:vAlign w:val="center"/>
          </w:tcPr>
          <w:p w14:paraId="5B4FEEA9">
            <w:pPr>
              <w:keepNext w:val="0"/>
              <w:keepLines w:val="0"/>
              <w:pageBreakBefore w:val="0"/>
              <w:kinsoku/>
              <w:wordWrap/>
              <w:overflowPunct/>
              <w:topLinePunct w:val="0"/>
              <w:autoSpaceDE/>
              <w:autoSpaceDN/>
              <w:bidi w:val="0"/>
              <w:adjustRightInd/>
              <w:snapToGrid w:val="0"/>
              <w:spacing w:line="36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合同签订</w:t>
            </w:r>
          </w:p>
        </w:tc>
        <w:tc>
          <w:tcPr>
            <w:tcW w:w="7596" w:type="dxa"/>
            <w:gridSpan w:val="4"/>
            <w:vAlign w:val="center"/>
          </w:tcPr>
          <w:p w14:paraId="288041C4">
            <w:pPr>
              <w:pStyle w:val="25"/>
              <w:keepNext w:val="0"/>
              <w:keepLines w:val="0"/>
              <w:pageBreakBefore w:val="0"/>
              <w:kinsoku/>
              <w:wordWrap/>
              <w:overflowPunct/>
              <w:topLinePunct w:val="0"/>
              <w:autoSpaceDE/>
              <w:autoSpaceDN/>
              <w:bidi w:val="0"/>
              <w:adjustRightInd/>
              <w:snapToGrid w:val="0"/>
              <w:spacing w:line="360" w:lineRule="exact"/>
              <w:outlineLvl w:val="0"/>
              <w:rPr>
                <w:rFonts w:hint="eastAsia" w:ascii="宋体" w:hAnsi="宋体" w:eastAsia="宋体" w:cs="宋体"/>
                <w:color w:val="auto"/>
                <w:sz w:val="21"/>
                <w:szCs w:val="21"/>
                <w:highlight w:val="none"/>
              </w:rPr>
            </w:pPr>
            <w:r>
              <w:rPr>
                <w:rFonts w:hint="eastAsia" w:hAnsi="宋体" w:cs="宋体"/>
                <w:color w:val="auto"/>
                <w:szCs w:val="21"/>
                <w:highlight w:val="none"/>
                <w:lang w:val="en-US" w:eastAsia="zh-CN"/>
              </w:rPr>
              <w:t>中标</w:t>
            </w:r>
            <w:r>
              <w:rPr>
                <w:rFonts w:hint="eastAsia" w:ascii="宋体" w:hAnsi="宋体" w:eastAsia="宋体" w:cs="宋体"/>
                <w:color w:val="auto"/>
                <w:szCs w:val="21"/>
                <w:highlight w:val="none"/>
                <w:lang w:val="en-US" w:eastAsia="zh-CN"/>
              </w:rPr>
              <w:t>通知书发出</w:t>
            </w:r>
            <w:r>
              <w:rPr>
                <w:rFonts w:hint="eastAsia" w:ascii="宋体" w:hAnsi="宋体" w:cs="宋体"/>
                <w:color w:val="auto"/>
                <w:szCs w:val="21"/>
                <w:highlight w:val="none"/>
                <w:lang w:val="en-US" w:eastAsia="zh-CN"/>
              </w:rPr>
              <w:t>25</w:t>
            </w:r>
            <w:r>
              <w:rPr>
                <w:rFonts w:hint="eastAsia" w:ascii="宋体" w:hAnsi="宋体" w:eastAsia="宋体" w:cs="宋体"/>
                <w:color w:val="auto"/>
                <w:szCs w:val="21"/>
                <w:highlight w:val="none"/>
                <w:lang w:val="en-US" w:eastAsia="zh-CN"/>
              </w:rPr>
              <w:t>个日历日内签订合同。</w:t>
            </w:r>
          </w:p>
        </w:tc>
      </w:tr>
      <w:tr w14:paraId="6C469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24" w:type="dxa"/>
            <w:gridSpan w:val="2"/>
            <w:shd w:val="clear" w:color="auto" w:fill="auto"/>
            <w:vAlign w:val="center"/>
          </w:tcPr>
          <w:p w14:paraId="10342241">
            <w:pPr>
              <w:keepNext w:val="0"/>
              <w:keepLines w:val="0"/>
              <w:pageBreakBefore w:val="0"/>
              <w:kinsoku/>
              <w:wordWrap/>
              <w:overflowPunct/>
              <w:topLinePunct w:val="0"/>
              <w:autoSpaceDE/>
              <w:autoSpaceDN/>
              <w:bidi w:val="0"/>
              <w:adjustRightInd/>
              <w:snapToGrid w:val="0"/>
              <w:spacing w:line="36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sz w:val="21"/>
                <w:szCs w:val="21"/>
                <w:highlight w:val="none"/>
              </w:rPr>
              <w:t>质保期</w:t>
            </w:r>
          </w:p>
        </w:tc>
        <w:tc>
          <w:tcPr>
            <w:tcW w:w="7596" w:type="dxa"/>
            <w:gridSpan w:val="4"/>
            <w:shd w:val="clear" w:color="auto" w:fill="auto"/>
            <w:vAlign w:val="center"/>
          </w:tcPr>
          <w:p w14:paraId="3229916B">
            <w:pPr>
              <w:pStyle w:val="25"/>
              <w:keepNext w:val="0"/>
              <w:keepLines w:val="0"/>
              <w:pageBreakBefore w:val="0"/>
              <w:kinsoku/>
              <w:wordWrap/>
              <w:overflowPunct/>
              <w:topLinePunct w:val="0"/>
              <w:autoSpaceDE/>
              <w:autoSpaceDN/>
              <w:bidi w:val="0"/>
              <w:adjustRightInd/>
              <w:snapToGrid w:val="0"/>
              <w:spacing w:line="360" w:lineRule="exact"/>
              <w:outlineLvl w:val="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t>除“技术需求及要求”中另有约定外，其余货物按国家有关产品“三包”规定执行“三包”，质保期自货物验收合格之日起计算，</w:t>
            </w:r>
            <w:r>
              <w:rPr>
                <w:rFonts w:hint="eastAsia" w:hAnsi="宋体" w:cs="宋体"/>
                <w:color w:val="auto"/>
                <w:sz w:val="21"/>
                <w:szCs w:val="21"/>
                <w:highlight w:val="none"/>
                <w:lang w:val="en-US" w:eastAsia="zh-CN"/>
              </w:rPr>
              <w:t>≥4</w:t>
            </w:r>
            <w:r>
              <w:rPr>
                <w:rFonts w:hint="eastAsia" w:ascii="宋体" w:hAnsi="宋体" w:eastAsia="宋体" w:cs="宋体"/>
                <w:color w:val="auto"/>
                <w:sz w:val="21"/>
                <w:szCs w:val="21"/>
                <w:highlight w:val="none"/>
              </w:rPr>
              <w:t>年（若产品生产厂家免费质保期超过此年限的，合同履行过程中按厂家规定执行；若中标人质保期承诺优于产品生产厂家质保年限的，以中标人承诺执行）。</w:t>
            </w:r>
          </w:p>
        </w:tc>
      </w:tr>
      <w:tr w14:paraId="54ACD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24" w:type="dxa"/>
            <w:gridSpan w:val="2"/>
            <w:vAlign w:val="center"/>
          </w:tcPr>
          <w:p w14:paraId="2660E321">
            <w:pPr>
              <w:keepNext w:val="0"/>
              <w:keepLines w:val="0"/>
              <w:pageBreakBefore w:val="0"/>
              <w:kinsoku/>
              <w:wordWrap/>
              <w:overflowPunct/>
              <w:topLinePunct w:val="0"/>
              <w:autoSpaceDE/>
              <w:autoSpaceDN/>
              <w:bidi w:val="0"/>
              <w:adjustRightInd/>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sz w:val="21"/>
                <w:szCs w:val="21"/>
                <w:highlight w:val="none"/>
              </w:rPr>
              <w:t>售后服务要求</w:t>
            </w:r>
          </w:p>
        </w:tc>
        <w:tc>
          <w:tcPr>
            <w:tcW w:w="7596" w:type="dxa"/>
            <w:gridSpan w:val="4"/>
            <w:vAlign w:val="center"/>
          </w:tcPr>
          <w:p w14:paraId="5D84530F">
            <w:pPr>
              <w:keepNext w:val="0"/>
              <w:keepLines w:val="0"/>
              <w:pageBreakBefore w:val="0"/>
              <w:kinsoku/>
              <w:wordWrap/>
              <w:overflowPunct/>
              <w:topLinePunct w:val="0"/>
              <w:autoSpaceDE/>
              <w:autoSpaceDN/>
              <w:bidi w:val="0"/>
              <w:adjustRightInd/>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1.提供维护手册、维修手册、软件备份、故障代码表、备件清单。保修期外，无偿提供维修密码及所附软件在该项目的永久使用权。</w:t>
            </w:r>
          </w:p>
          <w:p w14:paraId="6A30446C">
            <w:pPr>
              <w:keepNext w:val="0"/>
              <w:keepLines w:val="0"/>
              <w:pageBreakBefore w:val="0"/>
              <w:kinsoku/>
              <w:wordWrap/>
              <w:overflowPunct/>
              <w:topLinePunct w:val="0"/>
              <w:autoSpaceDE/>
              <w:autoSpaceDN/>
              <w:bidi w:val="0"/>
              <w:adjustRightInd/>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2.相关人员培训:标的包含医护人员及工程人员的培训计划费用，设备装机验收后，现场提供对院方的1次或多次基本培训，使院方使用人员及工程人员，熟练掌握全部功能及基本维修。</w:t>
            </w:r>
          </w:p>
          <w:p w14:paraId="3B2B37D3">
            <w:pPr>
              <w:keepNext w:val="0"/>
              <w:keepLines w:val="0"/>
              <w:pageBreakBefore w:val="0"/>
              <w:kinsoku/>
              <w:wordWrap/>
              <w:overflowPunct/>
              <w:topLinePunct w:val="0"/>
              <w:autoSpaceDE/>
              <w:autoSpaceDN/>
              <w:bidi w:val="0"/>
              <w:adjustRightInd/>
              <w:spacing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其中医务人员专项培训1人次，工程人员专项培训1人次，视甲方时间安排确定。</w:t>
            </w:r>
          </w:p>
          <w:p w14:paraId="58FD34DB">
            <w:pPr>
              <w:keepNext w:val="0"/>
              <w:keepLines w:val="0"/>
              <w:pageBreakBefore w:val="0"/>
              <w:kinsoku/>
              <w:wordWrap/>
              <w:overflowPunct/>
              <w:topLinePunct w:val="0"/>
              <w:autoSpaceDE/>
              <w:autoSpaceDN/>
              <w:bidi w:val="0"/>
              <w:adjustRightInd/>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提供7*24小时售后服务，接到用户通知后2小时内作出实质响应（远程解决或做出预备维护动作），并在24小时内恢复设备运行；</w:t>
            </w:r>
          </w:p>
          <w:p w14:paraId="48599843">
            <w:pPr>
              <w:keepNext w:val="0"/>
              <w:keepLines w:val="0"/>
              <w:pageBreakBefore w:val="0"/>
              <w:kinsoku/>
              <w:wordWrap/>
              <w:overflowPunct/>
              <w:topLinePunct w:val="0"/>
              <w:autoSpaceDE/>
              <w:autoSpaceDN/>
              <w:bidi w:val="0"/>
              <w:adjustRightInd/>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保修期内发生故障的设备如无法在24小时内修复，则应提供备用设备以保证系统的连续稳定运行，并在5个工作日内修复故障设备或更换新设备，5个工作日内不能解决的，由成交供应商提供替代设备。保障系统正常运行，在无相同型号的同种设备时，则应更换同类设备中较高型号的产品。所产生的的费用，均包含在响应报价中，采购人不再承担任何费用；</w:t>
            </w:r>
          </w:p>
          <w:p w14:paraId="33F49B4A">
            <w:pPr>
              <w:keepNext w:val="0"/>
              <w:keepLines w:val="0"/>
              <w:pageBreakBefore w:val="0"/>
              <w:kinsoku/>
              <w:wordWrap/>
              <w:overflowPunct/>
              <w:topLinePunct w:val="0"/>
              <w:autoSpaceDE/>
              <w:autoSpaceDN/>
              <w:bidi w:val="0"/>
              <w:adjustRightInd/>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设备保修期（质保期）内因售后服务（包括但不限于原厂商服务和非原厂商服务，其中硬件的售后服务包括但不限于，硬件维护维修、配件更换、整机更换、硬件升级、提供替代品；应用软件的售后服务包括但不限于应用软件维护升级以及非结构性修改）所产生的的费用，均包含在响应报价中，采购人不再承担任何费用。</w:t>
            </w:r>
          </w:p>
          <w:p w14:paraId="1AF71D7F">
            <w:pPr>
              <w:keepNext w:val="0"/>
              <w:keepLines w:val="0"/>
              <w:pageBreakBefore w:val="0"/>
              <w:kinsoku/>
              <w:wordWrap/>
              <w:overflowPunct/>
              <w:topLinePunct w:val="0"/>
              <w:autoSpaceDE/>
              <w:autoSpaceDN/>
              <w:bidi w:val="0"/>
              <w:adjustRightInd/>
              <w:spacing w:line="360" w:lineRule="exact"/>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r>
              <w:rPr>
                <w:rFonts w:hint="eastAsia" w:ascii="宋体" w:hAnsi="宋体" w:cs="宋体"/>
                <w:color w:val="auto"/>
                <w:szCs w:val="21"/>
                <w:highlight w:val="none"/>
              </w:rPr>
              <w:t>交钥匙工程：供应商负责全部产品的安装调试后直接交付运行。在质保期内，供应商保证采购人能够合法应用该器械/服务。在此过程中，采购人应当提供一切必要支持。若可能出现的后续证件、手续，供应商必须提供办理的流程及方法。</w:t>
            </w:r>
          </w:p>
        </w:tc>
      </w:tr>
      <w:tr w14:paraId="1C1CA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24" w:type="dxa"/>
            <w:gridSpan w:val="2"/>
            <w:vAlign w:val="center"/>
          </w:tcPr>
          <w:p w14:paraId="5A022410">
            <w:pPr>
              <w:keepNext w:val="0"/>
              <w:keepLines w:val="0"/>
              <w:pageBreakBefore w:val="0"/>
              <w:kinsoku/>
              <w:wordWrap/>
              <w:overflowPunct/>
              <w:topLinePunct w:val="0"/>
              <w:autoSpaceDE/>
              <w:autoSpaceDN/>
              <w:bidi w:val="0"/>
              <w:adjustRightInd/>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sz w:val="21"/>
                <w:szCs w:val="21"/>
                <w:highlight w:val="none"/>
              </w:rPr>
              <w:t>交货时间及地点</w:t>
            </w:r>
          </w:p>
        </w:tc>
        <w:tc>
          <w:tcPr>
            <w:tcW w:w="7596" w:type="dxa"/>
            <w:gridSpan w:val="4"/>
            <w:vAlign w:val="center"/>
          </w:tcPr>
          <w:p w14:paraId="5E8A4330">
            <w:pPr>
              <w:numPr>
                <w:ilvl w:val="0"/>
                <w:numId w:val="0"/>
              </w:numPr>
              <w:spacing w:line="360" w:lineRule="exact"/>
              <w:ind w:right="-107" w:rightChars="-51"/>
              <w:rPr>
                <w:rFonts w:hint="eastAsia" w:ascii="宋体" w:hAnsi="宋体" w:eastAsia="宋体" w:cs="宋体"/>
                <w:color w:val="auto"/>
                <w:szCs w:val="21"/>
                <w:highlight w:val="none"/>
                <w:lang w:eastAsia="zh-CN"/>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交货时间：自合同签订之日起</w:t>
            </w:r>
            <w:r>
              <w:rPr>
                <w:rFonts w:hint="eastAsia" w:ascii="宋体" w:hAnsi="宋体" w:cs="宋体"/>
                <w:color w:val="auto"/>
                <w:sz w:val="21"/>
                <w:szCs w:val="21"/>
                <w:highlight w:val="none"/>
                <w:lang w:val="en-US" w:eastAsia="zh-CN"/>
              </w:rPr>
              <w:t>30</w:t>
            </w:r>
            <w:r>
              <w:rPr>
                <w:rFonts w:hint="eastAsia" w:ascii="宋体" w:hAnsi="宋体" w:cs="宋体"/>
                <w:color w:val="auto"/>
                <w:sz w:val="21"/>
                <w:szCs w:val="21"/>
                <w:highlight w:val="none"/>
                <w:lang w:eastAsia="zh-CN"/>
              </w:rPr>
              <w:t>天内全部货物交货并安装调试完毕</w:t>
            </w:r>
          </w:p>
          <w:p w14:paraId="063F9F35">
            <w:pPr>
              <w:pStyle w:val="25"/>
              <w:keepNext w:val="0"/>
              <w:keepLines w:val="0"/>
              <w:pageBreakBefore w:val="0"/>
              <w:kinsoku/>
              <w:wordWrap/>
              <w:overflowPunct/>
              <w:topLinePunct w:val="0"/>
              <w:autoSpaceDE/>
              <w:autoSpaceDN/>
              <w:bidi w:val="0"/>
              <w:adjustRightInd/>
              <w:snapToGrid w:val="0"/>
              <w:spacing w:line="360" w:lineRule="exact"/>
              <w:outlineLvl w:val="0"/>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交货地点：广西区内采购人指定地点。</w:t>
            </w:r>
          </w:p>
        </w:tc>
      </w:tr>
      <w:tr w14:paraId="7636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24" w:type="dxa"/>
            <w:gridSpan w:val="2"/>
            <w:vAlign w:val="center"/>
          </w:tcPr>
          <w:p w14:paraId="65BF3278">
            <w:pPr>
              <w:keepNext w:val="0"/>
              <w:keepLines w:val="0"/>
              <w:pageBreakBefore w:val="0"/>
              <w:kinsoku/>
              <w:wordWrap/>
              <w:overflowPunct/>
              <w:topLinePunct w:val="0"/>
              <w:autoSpaceDE/>
              <w:autoSpaceDN/>
              <w:bidi w:val="0"/>
              <w:adjustRightInd/>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sz w:val="21"/>
                <w:szCs w:val="21"/>
                <w:highlight w:val="none"/>
              </w:rPr>
              <w:t>付款条件</w:t>
            </w:r>
          </w:p>
        </w:tc>
        <w:tc>
          <w:tcPr>
            <w:tcW w:w="7596" w:type="dxa"/>
            <w:gridSpan w:val="4"/>
            <w:vAlign w:val="center"/>
          </w:tcPr>
          <w:p w14:paraId="2075CC42">
            <w:pPr>
              <w:keepNext w:val="0"/>
              <w:keepLines w:val="0"/>
              <w:pageBreakBefore w:val="0"/>
              <w:kinsoku/>
              <w:wordWrap/>
              <w:overflowPunct/>
              <w:topLinePunct w:val="0"/>
              <w:autoSpaceDE/>
              <w:autoSpaceDN/>
              <w:bidi w:val="0"/>
              <w:adjustRightInd/>
              <w:spacing w:line="360" w:lineRule="exact"/>
              <w:jc w:val="left"/>
              <w:rPr>
                <w:rFonts w:hint="eastAsia" w:ascii="宋体" w:hAnsi="宋体" w:eastAsia="宋体" w:cs="宋体"/>
                <w:color w:val="auto"/>
                <w:sz w:val="21"/>
                <w:szCs w:val="21"/>
                <w:highlight w:val="none"/>
              </w:rPr>
            </w:pPr>
            <w:r>
              <w:rPr>
                <w:rFonts w:hint="eastAsia" w:ascii="宋体" w:hAnsi="宋体" w:cs="宋体"/>
                <w:color w:val="auto"/>
                <w:szCs w:val="21"/>
                <w:highlight w:val="none"/>
                <w:lang w:val="en-US" w:eastAsia="zh-CN"/>
              </w:rPr>
              <w:t>合同签订后，采购人支付合同金额的30%作为预付款，</w:t>
            </w:r>
            <w:r>
              <w:rPr>
                <w:rFonts w:hint="eastAsia" w:ascii="宋体" w:hAnsi="宋体" w:cs="宋体"/>
                <w:color w:val="auto"/>
                <w:szCs w:val="21"/>
                <w:highlight w:val="none"/>
              </w:rPr>
              <w:t>中标供应商所有货物交货安装调试完毕并验收合格后支付</w:t>
            </w:r>
            <w:r>
              <w:rPr>
                <w:rFonts w:hint="eastAsia" w:ascii="宋体" w:hAnsi="宋体" w:cs="宋体"/>
                <w:color w:val="auto"/>
                <w:szCs w:val="21"/>
                <w:highlight w:val="none"/>
                <w:lang w:val="en-US" w:eastAsia="zh-CN"/>
              </w:rPr>
              <w:t>剩余</w:t>
            </w:r>
            <w:r>
              <w:rPr>
                <w:rFonts w:hint="eastAsia" w:ascii="宋体" w:hAnsi="宋体" w:cs="宋体"/>
                <w:color w:val="auto"/>
                <w:szCs w:val="21"/>
                <w:highlight w:val="none"/>
              </w:rPr>
              <w:t>合同款。</w:t>
            </w:r>
            <w:r>
              <w:rPr>
                <w:rFonts w:hint="eastAsia" w:ascii="宋体" w:hAnsi="宋体" w:cs="宋体"/>
                <w:color w:val="auto"/>
                <w:szCs w:val="21"/>
                <w:highlight w:val="none"/>
                <w:lang w:val="en-US" w:eastAsia="zh-CN"/>
              </w:rPr>
              <w:t>每次支付前，中标供应商需开</w:t>
            </w:r>
            <w:r>
              <w:rPr>
                <w:rFonts w:hint="eastAsia" w:ascii="宋体" w:hAnsi="宋体" w:cs="宋体"/>
                <w:color w:val="auto"/>
                <w:szCs w:val="21"/>
                <w:highlight w:val="none"/>
              </w:rPr>
              <w:t>具合法有效的全额发票</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中标供应商未开具合法有效的全额发票的，采购人有权不支付合同款。</w:t>
            </w:r>
          </w:p>
        </w:tc>
      </w:tr>
      <w:tr w14:paraId="085F5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24" w:type="dxa"/>
            <w:gridSpan w:val="2"/>
            <w:vAlign w:val="center"/>
          </w:tcPr>
          <w:p w14:paraId="02260EA2">
            <w:pPr>
              <w:keepNext w:val="0"/>
              <w:keepLines w:val="0"/>
              <w:pageBreakBefore w:val="0"/>
              <w:kinsoku/>
              <w:wordWrap/>
              <w:overflowPunct/>
              <w:topLinePunct w:val="0"/>
              <w:autoSpaceDE/>
              <w:autoSpaceDN/>
              <w:bidi w:val="0"/>
              <w:adjustRightInd/>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其他要求</w:t>
            </w:r>
          </w:p>
        </w:tc>
        <w:tc>
          <w:tcPr>
            <w:tcW w:w="7596" w:type="dxa"/>
            <w:gridSpan w:val="4"/>
            <w:vAlign w:val="center"/>
          </w:tcPr>
          <w:p w14:paraId="5F408587">
            <w:pPr>
              <w:keepNext w:val="0"/>
              <w:keepLines w:val="0"/>
              <w:pageBreakBefore w:val="0"/>
              <w:kinsoku/>
              <w:wordWrap/>
              <w:overflowPunct/>
              <w:topLinePunct w:val="0"/>
              <w:autoSpaceDE/>
              <w:autoSpaceDN/>
              <w:bidi w:val="0"/>
              <w:adjustRightInd/>
              <w:spacing w:line="360" w:lineRule="exact"/>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sz w:val="21"/>
                <w:szCs w:val="21"/>
                <w:highlight w:val="none"/>
              </w:rPr>
              <w:t>1、所投产品若属《节能产品政府采购清单》中强制采购节能产品范围的，必须提供节能产品，并提供相关证明材料（如：所投产品列入的《节能产品政府采购清单》截图）。</w:t>
            </w:r>
          </w:p>
          <w:p w14:paraId="4893E54E">
            <w:pPr>
              <w:keepNext w:val="0"/>
              <w:keepLines w:val="0"/>
              <w:pageBreakBefore w:val="0"/>
              <w:kinsoku/>
              <w:wordWrap/>
              <w:overflowPunct/>
              <w:topLinePunct w:val="0"/>
              <w:autoSpaceDE/>
              <w:autoSpaceDN/>
              <w:bidi w:val="0"/>
              <w:adjustRightInd/>
              <w:spacing w:line="36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时提供产品的说明书或彩页（体现重要的技术参数）；与投标文件一并装订，也可以是从生产厂家网页下载的PDF或HTML文件，彩页上应有详细的产品技术介绍、技术参数、产品图样照片等。（本项要求如有，请提供）</w:t>
            </w:r>
          </w:p>
          <w:p w14:paraId="1BA05035">
            <w:pPr>
              <w:keepNext w:val="0"/>
              <w:keepLines w:val="0"/>
              <w:pageBreakBefore w:val="0"/>
              <w:kinsoku/>
              <w:wordWrap/>
              <w:overflowPunct/>
              <w:topLinePunct w:val="0"/>
              <w:autoSpaceDE/>
              <w:autoSpaceDN/>
              <w:bidi w:val="0"/>
              <w:adjustRightInd/>
              <w:spacing w:line="360" w:lineRule="exact"/>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3、投标文件中所承诺的货物性能参数、技术规格应该与生产厂家公开印发该货物产品说明书或产品彩页相一致；如不一致，投标人必须提供由生产厂家或其合法派出机构出具的说明其原因的有效证明文件。投标人必须根据招标要求的技术参数（配置）及要求中的每项指标要求，如实逐项填写技术要求偏离表。</w:t>
            </w:r>
          </w:p>
          <w:p w14:paraId="59DF7920">
            <w:pPr>
              <w:keepNext w:val="0"/>
              <w:keepLines w:val="0"/>
              <w:pageBreakBefore w:val="0"/>
              <w:kinsoku/>
              <w:wordWrap/>
              <w:overflowPunct/>
              <w:topLinePunct w:val="0"/>
              <w:autoSpaceDE/>
              <w:autoSpaceDN/>
              <w:bidi w:val="0"/>
              <w:adjustRightInd/>
              <w:spacing w:line="360" w:lineRule="exact"/>
              <w:jc w:val="left"/>
              <w:rPr>
                <w:rFonts w:hint="eastAsia" w:ascii="宋体" w:hAnsi="宋体" w:eastAsia="宋体" w:cs="宋体"/>
                <w:color w:val="auto"/>
                <w:kern w:val="0"/>
                <w:sz w:val="21"/>
                <w:szCs w:val="21"/>
                <w:highlight w:val="none"/>
                <w:lang w:bidi="ar"/>
              </w:rPr>
            </w:pPr>
            <w:r>
              <w:rPr>
                <w:rFonts w:hint="eastAsia" w:ascii="宋体" w:hAnsi="宋体" w:eastAsia="宋体" w:cs="宋体"/>
                <w:b w:val="0"/>
                <w:bCs w:val="0"/>
                <w:color w:val="auto"/>
                <w:kern w:val="0"/>
                <w:szCs w:val="21"/>
                <w:highlight w:val="none"/>
                <w:lang w:bidi="ar"/>
              </w:rPr>
              <w:t>▲</w:t>
            </w:r>
            <w:r>
              <w:rPr>
                <w:rFonts w:hint="eastAsia" w:ascii="宋体" w:hAnsi="宋体" w:cs="宋体"/>
                <w:b w:val="0"/>
                <w:bCs w:val="0"/>
                <w:color w:val="auto"/>
                <w:kern w:val="0"/>
                <w:szCs w:val="21"/>
                <w:highlight w:val="none"/>
                <w:lang w:val="en-US" w:eastAsia="zh-CN" w:bidi="ar"/>
              </w:rPr>
              <w:t>4</w:t>
            </w:r>
            <w:r>
              <w:rPr>
                <w:rFonts w:hint="eastAsia" w:ascii="宋体" w:hAnsi="宋体" w:eastAsia="宋体" w:cs="宋体"/>
                <w:b w:val="0"/>
                <w:bCs w:val="0"/>
                <w:color w:val="auto"/>
                <w:kern w:val="0"/>
                <w:szCs w:val="21"/>
                <w:highlight w:val="none"/>
                <w:lang w:bidi="ar"/>
              </w:rPr>
              <w:t>.投标人在供货时必须提供所投标产品生产厂家或国内代理商出具的授权书复印件，原件供货时备查。</w:t>
            </w:r>
          </w:p>
        </w:tc>
      </w:tr>
      <w:tr w14:paraId="76C31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24" w:type="dxa"/>
            <w:gridSpan w:val="2"/>
            <w:vAlign w:val="center"/>
          </w:tcPr>
          <w:p w14:paraId="35A1465C">
            <w:pPr>
              <w:spacing w:line="360" w:lineRule="auto"/>
              <w:jc w:val="left"/>
              <w:rPr>
                <w:rFonts w:hint="eastAsia" w:ascii="宋体" w:hAnsi="宋体" w:eastAsia="宋体" w:cs="宋体"/>
                <w:color w:val="auto"/>
                <w:kern w:val="0"/>
                <w:sz w:val="21"/>
                <w:szCs w:val="21"/>
                <w:highlight w:val="none"/>
                <w:lang w:bidi="ar"/>
              </w:rPr>
            </w:pPr>
            <w:r>
              <w:rPr>
                <w:rFonts w:hint="eastAsia" w:ascii="宋体" w:hAnsi="宋体" w:eastAsia="宋体" w:cs="宋体"/>
                <w:b w:val="0"/>
                <w:bCs w:val="0"/>
                <w:color w:val="auto"/>
                <w:kern w:val="0"/>
                <w:szCs w:val="21"/>
                <w:highlight w:val="none"/>
                <w:lang w:bidi="ar"/>
              </w:rPr>
              <w:t>▲</w:t>
            </w:r>
            <w:r>
              <w:rPr>
                <w:rFonts w:hint="eastAsia" w:ascii="宋体" w:hAnsi="宋体" w:cs="宋体"/>
                <w:b/>
                <w:color w:val="auto"/>
                <w:szCs w:val="21"/>
                <w:highlight w:val="none"/>
              </w:rPr>
              <w:t>医疗器械注册证</w:t>
            </w:r>
          </w:p>
        </w:tc>
        <w:tc>
          <w:tcPr>
            <w:tcW w:w="7596" w:type="dxa"/>
            <w:gridSpan w:val="4"/>
            <w:vAlign w:val="center"/>
          </w:tcPr>
          <w:p w14:paraId="2AF19F6B">
            <w:pPr>
              <w:spacing w:line="360" w:lineRule="auto"/>
              <w:rPr>
                <w:rFonts w:hint="eastAsia" w:ascii="宋体" w:hAnsi="宋体" w:eastAsia="宋体" w:cs="宋体"/>
                <w:color w:val="auto"/>
                <w:sz w:val="21"/>
                <w:szCs w:val="21"/>
                <w:highlight w:val="none"/>
              </w:rPr>
            </w:pPr>
            <w:r>
              <w:rPr>
                <w:rFonts w:hint="eastAsia" w:ascii="宋体" w:hAnsi="宋体" w:cs="宋体"/>
                <w:b/>
                <w:color w:val="auto"/>
                <w:szCs w:val="21"/>
                <w:highlight w:val="none"/>
              </w:rPr>
              <w:t>投标产品属第一类医疗器械产品的，投标文件中须按《医疗器械注册与备案管理办法》（国家市场监督管理总局令第47号）提供该设备在负责药品监督管理的部门提交备案资料证明材料复印件（或扫描件）加盖投标人电子签章；投标产品属第二、三类医疗器械产品的，投标文件中须按《医疗器械注册与备案管理办法》（国家市场监督管理总局令第47号）提供该设备有效的药品监督管理部门出具的医疗器械注册证复印件（或扫描件）加盖投标人电子签章，否则投标无效。</w:t>
            </w:r>
          </w:p>
        </w:tc>
      </w:tr>
      <w:tr w14:paraId="1A493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24" w:type="dxa"/>
            <w:gridSpan w:val="2"/>
            <w:vAlign w:val="center"/>
          </w:tcPr>
          <w:p w14:paraId="2D974C15">
            <w:pPr>
              <w:keepNext w:val="0"/>
              <w:keepLines w:val="0"/>
              <w:pageBreakBefore w:val="0"/>
              <w:kinsoku/>
              <w:wordWrap/>
              <w:overflowPunct/>
              <w:topLinePunct w:val="0"/>
              <w:autoSpaceDE/>
              <w:autoSpaceDN/>
              <w:bidi w:val="0"/>
              <w:adjustRightInd/>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sz w:val="21"/>
                <w:szCs w:val="21"/>
                <w:highlight w:val="none"/>
              </w:rPr>
              <w:t>核心产品</w:t>
            </w:r>
          </w:p>
        </w:tc>
        <w:tc>
          <w:tcPr>
            <w:tcW w:w="7596" w:type="dxa"/>
            <w:gridSpan w:val="4"/>
            <w:vAlign w:val="center"/>
          </w:tcPr>
          <w:p w14:paraId="67390DDE">
            <w:pPr>
              <w:keepNext w:val="0"/>
              <w:keepLines w:val="0"/>
              <w:pageBreakBefore w:val="0"/>
              <w:kinsoku/>
              <w:wordWrap/>
              <w:overflowPunct/>
              <w:topLinePunct w:val="0"/>
              <w:autoSpaceDE/>
              <w:autoSpaceDN/>
              <w:bidi w:val="0"/>
              <w:adjustRightInd/>
              <w:snapToGrid w:val="0"/>
              <w:spacing w:line="36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本项目第</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1</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项设备“</w:t>
            </w:r>
            <w:r>
              <w:rPr>
                <w:rFonts w:hint="eastAsia" w:ascii="宋体" w:hAnsi="宋体"/>
                <w:color w:val="auto"/>
                <w:szCs w:val="21"/>
                <w:highlight w:val="none"/>
                <w:u w:val="single"/>
                <w:lang w:eastAsia="zh-CN"/>
              </w:rPr>
              <w:t>电子内窥镜系统（高清电子内镜系统）</w:t>
            </w:r>
            <w:r>
              <w:rPr>
                <w:rFonts w:hint="eastAsia" w:ascii="宋体" w:hAnsi="宋体" w:eastAsia="宋体" w:cs="宋体"/>
                <w:color w:val="auto"/>
                <w:sz w:val="21"/>
                <w:szCs w:val="21"/>
                <w:highlight w:val="none"/>
              </w:rPr>
              <w:t>”为本次采购的核心产品。</w:t>
            </w:r>
          </w:p>
          <w:p w14:paraId="585C4F8A">
            <w:pPr>
              <w:keepNext w:val="0"/>
              <w:keepLines w:val="0"/>
              <w:pageBreakBefore w:val="0"/>
              <w:kinsoku/>
              <w:wordWrap/>
              <w:overflowPunct/>
              <w:topLinePunct w:val="0"/>
              <w:autoSpaceDE/>
              <w:autoSpaceDN/>
              <w:bidi w:val="0"/>
              <w:adjustRightInd/>
              <w:spacing w:line="360" w:lineRule="exact"/>
              <w:jc w:val="left"/>
              <w:rPr>
                <w:rFonts w:hint="eastAsia" w:ascii="宋体" w:hAnsi="宋体" w:eastAsia="宋体" w:cs="宋体"/>
                <w:color w:val="auto"/>
                <w:kern w:val="0"/>
                <w:sz w:val="21"/>
                <w:szCs w:val="21"/>
                <w:highlight w:val="none"/>
                <w:lang w:bidi="ar"/>
              </w:rPr>
            </w:pPr>
            <w:r>
              <w:rPr>
                <w:rFonts w:hint="eastAsia" w:ascii="宋体" w:hAnsi="宋体" w:eastAsia="宋体" w:cs="宋体"/>
                <w:color w:val="auto"/>
                <w:sz w:val="21"/>
                <w:szCs w:val="21"/>
                <w:highlight w:val="none"/>
              </w:rPr>
              <w:t xml:space="preserve">   提供相同品牌产品且通过资格审查、符合性审查的不同投标人参加同一合同项下投标的，按一家投标人计算，评审后得分最高的同品牌投标人获得中标人推荐资格；评审得分相同的，由采购人或者采购人委托评标委员会按照采购文件规定的方式确定一个投标人获得中标人推荐资格，采购文件未规定的采取随机抽取方式确定，其他同品牌投标人不作为中标候选人。</w:t>
            </w:r>
          </w:p>
        </w:tc>
      </w:tr>
      <w:tr w14:paraId="48F25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24" w:type="dxa"/>
            <w:gridSpan w:val="2"/>
            <w:vAlign w:val="center"/>
          </w:tcPr>
          <w:p w14:paraId="729D4BBF">
            <w:pPr>
              <w:spacing w:line="360" w:lineRule="auto"/>
              <w:jc w:val="center"/>
              <w:rPr>
                <w:rFonts w:hint="eastAsia" w:ascii="宋体" w:hAnsi="宋体" w:eastAsia="宋体" w:cs="宋体"/>
                <w:color w:val="auto"/>
                <w:kern w:val="0"/>
                <w:sz w:val="21"/>
                <w:szCs w:val="21"/>
                <w:highlight w:val="none"/>
                <w:lang w:bidi="ar"/>
              </w:rPr>
            </w:pPr>
            <w:r>
              <w:rPr>
                <w:rFonts w:hint="eastAsia" w:ascii="宋体" w:hAnsi="宋体" w:cs="宋体"/>
                <w:bCs/>
                <w:color w:val="auto"/>
                <w:szCs w:val="21"/>
                <w:highlight w:val="none"/>
              </w:rPr>
              <w:t>规范标准</w:t>
            </w:r>
          </w:p>
        </w:tc>
        <w:tc>
          <w:tcPr>
            <w:tcW w:w="7596" w:type="dxa"/>
            <w:gridSpan w:val="4"/>
            <w:vAlign w:val="center"/>
          </w:tcPr>
          <w:p w14:paraId="1DF1286E">
            <w:pPr>
              <w:spacing w:line="360" w:lineRule="auto"/>
              <w:rPr>
                <w:rFonts w:hint="eastAsia" w:ascii="宋体" w:hAnsi="宋体" w:eastAsia="宋体" w:cs="宋体"/>
                <w:color w:val="auto"/>
                <w:sz w:val="21"/>
                <w:szCs w:val="21"/>
                <w:highlight w:val="none"/>
              </w:rPr>
            </w:pPr>
            <w:r>
              <w:rPr>
                <w:rFonts w:hint="eastAsia" w:ascii="宋体" w:hAnsi="宋体" w:cs="宋体"/>
                <w:bCs/>
                <w:color w:val="auto"/>
                <w:szCs w:val="21"/>
                <w:highlight w:val="none"/>
              </w:rPr>
              <w:t>执行现行的强制执行的国家、行业、地方标准</w:t>
            </w:r>
          </w:p>
        </w:tc>
      </w:tr>
      <w:tr w14:paraId="3A1A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20" w:type="dxa"/>
            <w:gridSpan w:val="6"/>
          </w:tcPr>
          <w:p w14:paraId="7E64D1CD">
            <w:pPr>
              <w:keepNext w:val="0"/>
              <w:keepLines w:val="0"/>
              <w:pageBreakBefore w:val="0"/>
              <w:widowControl/>
              <w:tabs>
                <w:tab w:val="left" w:pos="2257"/>
              </w:tabs>
              <w:kinsoku/>
              <w:wordWrap/>
              <w:overflowPunct/>
              <w:topLinePunct w:val="0"/>
              <w:autoSpaceDE/>
              <w:autoSpaceDN/>
              <w:bidi w:val="0"/>
              <w:adjustRightInd/>
              <w:spacing w:line="360" w:lineRule="exac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b/>
                <w:color w:val="auto"/>
                <w:sz w:val="21"/>
                <w:szCs w:val="21"/>
                <w:highlight w:val="none"/>
              </w:rPr>
              <w:t>三、进口产品说明</w:t>
            </w:r>
          </w:p>
        </w:tc>
      </w:tr>
      <w:tr w14:paraId="58410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620" w:type="dxa"/>
            <w:gridSpan w:val="6"/>
          </w:tcPr>
          <w:p w14:paraId="357F868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bidi="ar"/>
              </w:rPr>
              <w:t>本分标货物不接受进口产品（即通过中国海关报关验放进入中国境内且产自关境外的产品）参与响应，</w:t>
            </w:r>
            <w:r>
              <w:rPr>
                <w:rFonts w:hint="eastAsia" w:ascii="宋体" w:hAnsi="宋体" w:eastAsia="宋体" w:cs="宋体"/>
                <w:b/>
                <w:color w:val="auto"/>
                <w:sz w:val="21"/>
                <w:szCs w:val="21"/>
                <w:highlight w:val="none"/>
                <w:lang w:bidi="ar"/>
              </w:rPr>
              <w:t>如有进口产品参与竞标的，其响应文件作无效处理</w:t>
            </w:r>
            <w:r>
              <w:rPr>
                <w:rFonts w:hint="eastAsia" w:ascii="宋体" w:hAnsi="宋体" w:eastAsia="宋体" w:cs="宋体"/>
                <w:color w:val="auto"/>
                <w:sz w:val="21"/>
                <w:szCs w:val="21"/>
                <w:highlight w:val="none"/>
                <w:lang w:bidi="ar"/>
              </w:rPr>
              <w:t>。</w:t>
            </w:r>
          </w:p>
        </w:tc>
      </w:tr>
    </w:tbl>
    <w:p w14:paraId="6A1D7529">
      <w:pPr>
        <w:spacing w:line="360" w:lineRule="auto"/>
        <w:ind w:firstLine="310" w:firstLineChars="147"/>
        <w:jc w:val="left"/>
        <w:rPr>
          <w:rFonts w:ascii="宋体" w:hAnsi="宋体"/>
          <w:b/>
          <w:bCs/>
          <w:color w:val="auto"/>
          <w:highlight w:val="none"/>
        </w:rPr>
      </w:pPr>
    </w:p>
    <w:bookmarkEnd w:id="43"/>
    <w:bookmarkEnd w:id="44"/>
    <w:p w14:paraId="0AA61C06">
      <w:pPr>
        <w:rPr>
          <w:rFonts w:hint="eastAsia" w:ascii="宋体" w:hAnsi="宋体" w:cs="黑体"/>
          <w:color w:val="auto"/>
          <w:sz w:val="32"/>
          <w:szCs w:val="32"/>
          <w:highlight w:val="none"/>
        </w:rPr>
      </w:pPr>
      <w:bookmarkStart w:id="45" w:name="_Toc74320802"/>
      <w:r>
        <w:rPr>
          <w:rFonts w:hint="eastAsia" w:ascii="宋体" w:hAnsi="宋体" w:cs="黑体"/>
          <w:color w:val="auto"/>
          <w:sz w:val="32"/>
          <w:szCs w:val="32"/>
          <w:highlight w:val="none"/>
        </w:rPr>
        <w:br w:type="page"/>
      </w:r>
    </w:p>
    <w:p w14:paraId="6550CA23">
      <w:pPr>
        <w:spacing w:line="360" w:lineRule="auto"/>
        <w:ind w:firstLine="470" w:firstLineChars="147"/>
        <w:jc w:val="left"/>
        <w:rPr>
          <w:rFonts w:ascii="宋体" w:hAnsi="宋体" w:cs="Arial Unicode MS"/>
          <w:color w:val="auto"/>
          <w:sz w:val="32"/>
          <w:szCs w:val="32"/>
          <w:highlight w:val="none"/>
        </w:rPr>
      </w:pPr>
      <w:r>
        <w:rPr>
          <w:rFonts w:hint="eastAsia" w:ascii="宋体" w:hAnsi="宋体" w:cs="黑体"/>
          <w:color w:val="auto"/>
          <w:sz w:val="32"/>
          <w:szCs w:val="32"/>
          <w:highlight w:val="none"/>
        </w:rPr>
        <w:t>附件：</w:t>
      </w:r>
    </w:p>
    <w:p w14:paraId="33723CF6">
      <w:pPr>
        <w:spacing w:before="7"/>
        <w:rPr>
          <w:rFonts w:ascii="宋体" w:hAnsi="宋体" w:cs="Arial Unicode MS"/>
          <w:color w:val="auto"/>
          <w:sz w:val="17"/>
          <w:szCs w:val="17"/>
          <w:highlight w:val="none"/>
        </w:rPr>
      </w:pPr>
    </w:p>
    <w:p w14:paraId="6A90043C">
      <w:pPr>
        <w:spacing w:line="528" w:lineRule="exact"/>
        <w:jc w:val="center"/>
        <w:rPr>
          <w:rFonts w:ascii="宋体" w:hAnsi="宋体" w:cs="宋体"/>
          <w:color w:val="auto"/>
          <w:sz w:val="32"/>
          <w:szCs w:val="32"/>
          <w:highlight w:val="none"/>
        </w:rPr>
      </w:pPr>
      <w:r>
        <w:rPr>
          <w:rFonts w:hint="eastAsia" w:ascii="宋体" w:hAnsi="宋体" w:cs="宋体"/>
          <w:color w:val="auto"/>
          <w:sz w:val="32"/>
          <w:szCs w:val="32"/>
          <w:highlight w:val="none"/>
        </w:rPr>
        <w:t>节能产品政府采购品目清单</w:t>
      </w:r>
    </w:p>
    <w:tbl>
      <w:tblPr>
        <w:tblStyle w:val="46"/>
        <w:tblW w:w="89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015"/>
        <w:gridCol w:w="1554"/>
        <w:gridCol w:w="1769"/>
        <w:gridCol w:w="3910"/>
      </w:tblGrid>
      <w:tr w14:paraId="1D4D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Align w:val="center"/>
          </w:tcPr>
          <w:p w14:paraId="097D640E">
            <w:pPr>
              <w:pStyle w:val="128"/>
              <w:spacing w:before="124" w:line="283" w:lineRule="auto"/>
              <w:ind w:left="7" w:right="4"/>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品目序号</w:t>
            </w:r>
          </w:p>
        </w:tc>
        <w:tc>
          <w:tcPr>
            <w:tcW w:w="4338" w:type="dxa"/>
            <w:gridSpan w:val="3"/>
            <w:vAlign w:val="center"/>
          </w:tcPr>
          <w:p w14:paraId="711422B0">
            <w:pPr>
              <w:pStyle w:val="128"/>
              <w:spacing w:before="124" w:line="283" w:lineRule="auto"/>
              <w:ind w:left="7" w:right="4"/>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名称</w:t>
            </w:r>
          </w:p>
        </w:tc>
        <w:tc>
          <w:tcPr>
            <w:tcW w:w="3910" w:type="dxa"/>
            <w:vAlign w:val="center"/>
          </w:tcPr>
          <w:p w14:paraId="4C06B7CB">
            <w:pPr>
              <w:pStyle w:val="128"/>
              <w:spacing w:before="124" w:line="283" w:lineRule="auto"/>
              <w:ind w:left="7" w:right="4"/>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依据的标准</w:t>
            </w:r>
          </w:p>
        </w:tc>
      </w:tr>
      <w:tr w14:paraId="1997B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restart"/>
            <w:vAlign w:val="center"/>
          </w:tcPr>
          <w:p w14:paraId="43833BEE">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1015" w:type="dxa"/>
            <w:vMerge w:val="restart"/>
            <w:vAlign w:val="center"/>
          </w:tcPr>
          <w:p w14:paraId="6686C052">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A020101计算机设备</w:t>
            </w:r>
          </w:p>
        </w:tc>
        <w:tc>
          <w:tcPr>
            <w:tcW w:w="1554" w:type="dxa"/>
            <w:vAlign w:val="center"/>
          </w:tcPr>
          <w:p w14:paraId="15AE789F">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★A02010104台式计算机</w:t>
            </w:r>
          </w:p>
        </w:tc>
        <w:tc>
          <w:tcPr>
            <w:tcW w:w="1769" w:type="dxa"/>
            <w:vAlign w:val="center"/>
          </w:tcPr>
          <w:p w14:paraId="3F90117D">
            <w:pPr>
              <w:pStyle w:val="128"/>
              <w:spacing w:before="124" w:line="283" w:lineRule="auto"/>
              <w:ind w:left="7" w:right="4"/>
              <w:jc w:val="center"/>
              <w:rPr>
                <w:rFonts w:ascii="宋体" w:hAnsi="宋体" w:cs="宋体"/>
                <w:color w:val="auto"/>
                <w:sz w:val="21"/>
                <w:szCs w:val="21"/>
                <w:highlight w:val="none"/>
              </w:rPr>
            </w:pPr>
          </w:p>
        </w:tc>
        <w:tc>
          <w:tcPr>
            <w:tcW w:w="3910" w:type="dxa"/>
            <w:vAlign w:val="center"/>
          </w:tcPr>
          <w:p w14:paraId="312C9136">
            <w:pPr>
              <w:pStyle w:val="128"/>
              <w:spacing w:before="124"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《微型计算机能效限定值及能效等级》（GB28380）</w:t>
            </w:r>
          </w:p>
        </w:tc>
      </w:tr>
      <w:tr w14:paraId="599C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11BEEE71">
            <w:pPr>
              <w:widowControl/>
              <w:jc w:val="center"/>
              <w:rPr>
                <w:rFonts w:ascii="宋体" w:hAnsi="宋体" w:cs="宋体"/>
                <w:color w:val="auto"/>
                <w:kern w:val="0"/>
                <w:szCs w:val="21"/>
                <w:highlight w:val="none"/>
              </w:rPr>
            </w:pPr>
          </w:p>
        </w:tc>
        <w:tc>
          <w:tcPr>
            <w:tcW w:w="1015" w:type="dxa"/>
            <w:vMerge w:val="continue"/>
            <w:vAlign w:val="center"/>
          </w:tcPr>
          <w:p w14:paraId="496A04E4">
            <w:pPr>
              <w:widowControl/>
              <w:jc w:val="center"/>
              <w:rPr>
                <w:rFonts w:ascii="宋体" w:hAnsi="宋体" w:cs="宋体"/>
                <w:color w:val="auto"/>
                <w:kern w:val="0"/>
                <w:szCs w:val="21"/>
                <w:highlight w:val="none"/>
              </w:rPr>
            </w:pPr>
          </w:p>
        </w:tc>
        <w:tc>
          <w:tcPr>
            <w:tcW w:w="1554" w:type="dxa"/>
            <w:vAlign w:val="center"/>
          </w:tcPr>
          <w:p w14:paraId="0AB64C62">
            <w:pPr>
              <w:pStyle w:val="128"/>
              <w:spacing w:before="44" w:line="283" w:lineRule="auto"/>
              <w:ind w:left="7" w:right="5"/>
              <w:jc w:val="center"/>
              <w:rPr>
                <w:rFonts w:ascii="宋体" w:hAnsi="宋体" w:cs="宋体"/>
                <w:color w:val="auto"/>
                <w:sz w:val="21"/>
                <w:szCs w:val="21"/>
                <w:highlight w:val="none"/>
              </w:rPr>
            </w:pPr>
            <w:r>
              <w:rPr>
                <w:rFonts w:hint="eastAsia" w:ascii="宋体" w:hAnsi="宋体" w:cs="宋体"/>
                <w:color w:val="auto"/>
                <w:sz w:val="21"/>
                <w:szCs w:val="21"/>
                <w:highlight w:val="none"/>
              </w:rPr>
              <w:t>★A02010105便携式计算机</w:t>
            </w:r>
          </w:p>
        </w:tc>
        <w:tc>
          <w:tcPr>
            <w:tcW w:w="1769" w:type="dxa"/>
            <w:vAlign w:val="center"/>
          </w:tcPr>
          <w:p w14:paraId="67BF4BB1">
            <w:pPr>
              <w:jc w:val="center"/>
              <w:rPr>
                <w:rFonts w:ascii="宋体" w:hAnsi="宋体" w:cs="宋体"/>
                <w:color w:val="auto"/>
                <w:kern w:val="0"/>
                <w:szCs w:val="21"/>
                <w:highlight w:val="none"/>
                <w:lang w:eastAsia="en-US"/>
              </w:rPr>
            </w:pPr>
          </w:p>
        </w:tc>
        <w:tc>
          <w:tcPr>
            <w:tcW w:w="3910" w:type="dxa"/>
            <w:vAlign w:val="center"/>
          </w:tcPr>
          <w:p w14:paraId="43DCDAB1">
            <w:pPr>
              <w:pStyle w:val="128"/>
              <w:spacing w:before="44"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《微型计算机能效限定值及能效等级》（GB28380）</w:t>
            </w:r>
          </w:p>
        </w:tc>
      </w:tr>
      <w:tr w14:paraId="59DF8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421377F8">
            <w:pPr>
              <w:widowControl/>
              <w:jc w:val="center"/>
              <w:rPr>
                <w:rFonts w:ascii="宋体" w:hAnsi="宋体" w:cs="宋体"/>
                <w:color w:val="auto"/>
                <w:kern w:val="0"/>
                <w:szCs w:val="21"/>
                <w:highlight w:val="none"/>
              </w:rPr>
            </w:pPr>
          </w:p>
        </w:tc>
        <w:tc>
          <w:tcPr>
            <w:tcW w:w="1015" w:type="dxa"/>
            <w:vMerge w:val="continue"/>
            <w:vAlign w:val="center"/>
          </w:tcPr>
          <w:p w14:paraId="183E966A">
            <w:pPr>
              <w:widowControl/>
              <w:jc w:val="center"/>
              <w:rPr>
                <w:rFonts w:ascii="宋体" w:hAnsi="宋体" w:cs="宋体"/>
                <w:color w:val="auto"/>
                <w:kern w:val="0"/>
                <w:szCs w:val="21"/>
                <w:highlight w:val="none"/>
              </w:rPr>
            </w:pPr>
          </w:p>
        </w:tc>
        <w:tc>
          <w:tcPr>
            <w:tcW w:w="1554" w:type="dxa"/>
            <w:vAlign w:val="center"/>
          </w:tcPr>
          <w:p w14:paraId="7B04D8CE">
            <w:pPr>
              <w:pStyle w:val="128"/>
              <w:spacing w:before="64" w:line="283" w:lineRule="auto"/>
              <w:ind w:left="7" w:right="5"/>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★A02010107平板式微型计算机</w:t>
            </w:r>
          </w:p>
        </w:tc>
        <w:tc>
          <w:tcPr>
            <w:tcW w:w="1769" w:type="dxa"/>
            <w:vAlign w:val="center"/>
          </w:tcPr>
          <w:p w14:paraId="1D292F6B">
            <w:pPr>
              <w:jc w:val="center"/>
              <w:rPr>
                <w:rFonts w:ascii="宋体" w:hAnsi="宋体" w:cs="宋体"/>
                <w:color w:val="auto"/>
                <w:kern w:val="0"/>
                <w:szCs w:val="21"/>
                <w:highlight w:val="none"/>
              </w:rPr>
            </w:pPr>
          </w:p>
        </w:tc>
        <w:tc>
          <w:tcPr>
            <w:tcW w:w="3910" w:type="dxa"/>
            <w:vAlign w:val="center"/>
          </w:tcPr>
          <w:p w14:paraId="5B64BB2C">
            <w:pPr>
              <w:pStyle w:val="128"/>
              <w:spacing w:before="64"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《微型计算机能效限定值及能效等级》（GB28380）</w:t>
            </w:r>
          </w:p>
        </w:tc>
      </w:tr>
      <w:tr w14:paraId="6DBEF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restart"/>
            <w:vAlign w:val="center"/>
          </w:tcPr>
          <w:p w14:paraId="20538AEB">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1015" w:type="dxa"/>
            <w:vMerge w:val="restart"/>
            <w:vAlign w:val="center"/>
          </w:tcPr>
          <w:p w14:paraId="706BBB90">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A020106输入输出设备</w:t>
            </w:r>
          </w:p>
        </w:tc>
        <w:tc>
          <w:tcPr>
            <w:tcW w:w="1554" w:type="dxa"/>
            <w:vMerge w:val="restart"/>
            <w:vAlign w:val="center"/>
          </w:tcPr>
          <w:p w14:paraId="19CD97B6">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A02010601打印设备</w:t>
            </w:r>
          </w:p>
        </w:tc>
        <w:tc>
          <w:tcPr>
            <w:tcW w:w="1769" w:type="dxa"/>
            <w:vAlign w:val="center"/>
          </w:tcPr>
          <w:p w14:paraId="2EDAF74E">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A0201060101喷墨打</w:t>
            </w:r>
          </w:p>
          <w:p w14:paraId="5C794F73">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印机</w:t>
            </w:r>
          </w:p>
        </w:tc>
        <w:tc>
          <w:tcPr>
            <w:tcW w:w="3910" w:type="dxa"/>
            <w:vAlign w:val="center"/>
          </w:tcPr>
          <w:p w14:paraId="7A4EB38A">
            <w:pPr>
              <w:pStyle w:val="128"/>
              <w:spacing w:before="124"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《复印机、打印机和传真机能效限定值及能效等级》（GB21521）</w:t>
            </w:r>
          </w:p>
        </w:tc>
      </w:tr>
      <w:tr w14:paraId="46916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5AF4D88A">
            <w:pPr>
              <w:widowControl/>
              <w:jc w:val="center"/>
              <w:rPr>
                <w:rFonts w:ascii="宋体" w:hAnsi="宋体" w:cs="宋体"/>
                <w:color w:val="auto"/>
                <w:kern w:val="0"/>
                <w:szCs w:val="21"/>
                <w:highlight w:val="none"/>
              </w:rPr>
            </w:pPr>
          </w:p>
        </w:tc>
        <w:tc>
          <w:tcPr>
            <w:tcW w:w="1015" w:type="dxa"/>
            <w:vMerge w:val="continue"/>
            <w:vAlign w:val="center"/>
          </w:tcPr>
          <w:p w14:paraId="6DCF4078">
            <w:pPr>
              <w:widowControl/>
              <w:jc w:val="center"/>
              <w:rPr>
                <w:rFonts w:ascii="宋体" w:hAnsi="宋体" w:cs="宋体"/>
                <w:color w:val="auto"/>
                <w:kern w:val="0"/>
                <w:szCs w:val="21"/>
                <w:highlight w:val="none"/>
              </w:rPr>
            </w:pPr>
          </w:p>
        </w:tc>
        <w:tc>
          <w:tcPr>
            <w:tcW w:w="1554" w:type="dxa"/>
            <w:vMerge w:val="continue"/>
            <w:vAlign w:val="center"/>
          </w:tcPr>
          <w:p w14:paraId="298E9C9E">
            <w:pPr>
              <w:widowControl/>
              <w:jc w:val="center"/>
              <w:rPr>
                <w:rFonts w:ascii="宋体" w:hAnsi="宋体" w:cs="宋体"/>
                <w:color w:val="auto"/>
                <w:kern w:val="0"/>
                <w:szCs w:val="21"/>
                <w:highlight w:val="none"/>
              </w:rPr>
            </w:pPr>
          </w:p>
        </w:tc>
        <w:tc>
          <w:tcPr>
            <w:tcW w:w="1769" w:type="dxa"/>
            <w:vAlign w:val="center"/>
          </w:tcPr>
          <w:p w14:paraId="3A090F1C">
            <w:pPr>
              <w:pStyle w:val="128"/>
              <w:spacing w:before="52"/>
              <w:ind w:left="7"/>
              <w:jc w:val="center"/>
              <w:rPr>
                <w:rFonts w:ascii="宋体" w:hAnsi="宋体" w:cs="宋体"/>
                <w:color w:val="auto"/>
                <w:sz w:val="21"/>
                <w:szCs w:val="21"/>
                <w:highlight w:val="none"/>
              </w:rPr>
            </w:pPr>
            <w:r>
              <w:rPr>
                <w:rFonts w:hint="eastAsia" w:ascii="宋体" w:hAnsi="宋体" w:cs="宋体"/>
                <w:color w:val="auto"/>
                <w:sz w:val="21"/>
                <w:szCs w:val="21"/>
                <w:highlight w:val="none"/>
              </w:rPr>
              <w:t>★A0201060102激光</w:t>
            </w:r>
          </w:p>
          <w:p w14:paraId="071FA71F">
            <w:pPr>
              <w:pStyle w:val="128"/>
              <w:spacing w:before="50"/>
              <w:ind w:left="7"/>
              <w:jc w:val="center"/>
              <w:rPr>
                <w:rFonts w:ascii="宋体" w:hAnsi="宋体" w:cs="宋体"/>
                <w:color w:val="auto"/>
                <w:sz w:val="21"/>
                <w:szCs w:val="21"/>
                <w:highlight w:val="none"/>
              </w:rPr>
            </w:pPr>
            <w:r>
              <w:rPr>
                <w:rFonts w:hint="eastAsia" w:ascii="宋体" w:hAnsi="宋体" w:cs="宋体"/>
                <w:color w:val="auto"/>
                <w:sz w:val="21"/>
                <w:szCs w:val="21"/>
                <w:highlight w:val="none"/>
              </w:rPr>
              <w:t>打印机</w:t>
            </w:r>
          </w:p>
        </w:tc>
        <w:tc>
          <w:tcPr>
            <w:tcW w:w="3910" w:type="dxa"/>
            <w:vAlign w:val="center"/>
          </w:tcPr>
          <w:p w14:paraId="3F8D69F4">
            <w:pPr>
              <w:pStyle w:val="128"/>
              <w:spacing w:before="52" w:line="283" w:lineRule="auto"/>
              <w:ind w:left="7" w:right="7"/>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《复印机、打印机和传真机能效限定值及能效等级》（GB21521）</w:t>
            </w:r>
          </w:p>
        </w:tc>
      </w:tr>
      <w:tr w14:paraId="3D2A2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4B1F0893">
            <w:pPr>
              <w:widowControl/>
              <w:jc w:val="center"/>
              <w:rPr>
                <w:rFonts w:ascii="宋体" w:hAnsi="宋体" w:cs="宋体"/>
                <w:color w:val="auto"/>
                <w:kern w:val="0"/>
                <w:szCs w:val="21"/>
                <w:highlight w:val="none"/>
              </w:rPr>
            </w:pPr>
          </w:p>
        </w:tc>
        <w:tc>
          <w:tcPr>
            <w:tcW w:w="1015" w:type="dxa"/>
            <w:vMerge w:val="continue"/>
            <w:vAlign w:val="center"/>
          </w:tcPr>
          <w:p w14:paraId="1DA740A8">
            <w:pPr>
              <w:widowControl/>
              <w:jc w:val="center"/>
              <w:rPr>
                <w:rFonts w:ascii="宋体" w:hAnsi="宋体" w:cs="宋体"/>
                <w:color w:val="auto"/>
                <w:kern w:val="0"/>
                <w:szCs w:val="21"/>
                <w:highlight w:val="none"/>
              </w:rPr>
            </w:pPr>
          </w:p>
        </w:tc>
        <w:tc>
          <w:tcPr>
            <w:tcW w:w="1554" w:type="dxa"/>
            <w:vMerge w:val="continue"/>
            <w:vAlign w:val="center"/>
          </w:tcPr>
          <w:p w14:paraId="641360B4">
            <w:pPr>
              <w:widowControl/>
              <w:jc w:val="center"/>
              <w:rPr>
                <w:rFonts w:ascii="宋体" w:hAnsi="宋体" w:cs="宋体"/>
                <w:color w:val="auto"/>
                <w:kern w:val="0"/>
                <w:szCs w:val="21"/>
                <w:highlight w:val="none"/>
              </w:rPr>
            </w:pPr>
          </w:p>
        </w:tc>
        <w:tc>
          <w:tcPr>
            <w:tcW w:w="1769" w:type="dxa"/>
            <w:vAlign w:val="center"/>
          </w:tcPr>
          <w:p w14:paraId="54EF5E87">
            <w:pPr>
              <w:pStyle w:val="128"/>
              <w:spacing w:before="52"/>
              <w:ind w:left="7"/>
              <w:jc w:val="center"/>
              <w:rPr>
                <w:rFonts w:ascii="宋体" w:hAnsi="宋体" w:cs="宋体"/>
                <w:color w:val="auto"/>
                <w:sz w:val="21"/>
                <w:szCs w:val="21"/>
                <w:highlight w:val="none"/>
              </w:rPr>
            </w:pPr>
            <w:r>
              <w:rPr>
                <w:rFonts w:hint="eastAsia" w:ascii="宋体" w:hAnsi="宋体" w:cs="宋体"/>
                <w:color w:val="auto"/>
                <w:sz w:val="21"/>
                <w:szCs w:val="21"/>
                <w:highlight w:val="none"/>
              </w:rPr>
              <w:t>★A0201060104针式</w:t>
            </w:r>
          </w:p>
          <w:p w14:paraId="1E1F9068">
            <w:pPr>
              <w:pStyle w:val="128"/>
              <w:spacing w:before="50"/>
              <w:ind w:left="7"/>
              <w:jc w:val="center"/>
              <w:rPr>
                <w:rFonts w:ascii="宋体" w:hAnsi="宋体" w:cs="宋体"/>
                <w:color w:val="auto"/>
                <w:sz w:val="21"/>
                <w:szCs w:val="21"/>
                <w:highlight w:val="none"/>
              </w:rPr>
            </w:pPr>
            <w:r>
              <w:rPr>
                <w:rFonts w:hint="eastAsia" w:ascii="宋体" w:hAnsi="宋体" w:cs="宋体"/>
                <w:color w:val="auto"/>
                <w:sz w:val="21"/>
                <w:szCs w:val="21"/>
                <w:highlight w:val="none"/>
              </w:rPr>
              <w:t>打印机</w:t>
            </w:r>
          </w:p>
        </w:tc>
        <w:tc>
          <w:tcPr>
            <w:tcW w:w="3910" w:type="dxa"/>
            <w:vAlign w:val="center"/>
          </w:tcPr>
          <w:p w14:paraId="7CBDF441">
            <w:pPr>
              <w:pStyle w:val="128"/>
              <w:spacing w:before="52" w:line="283" w:lineRule="auto"/>
              <w:ind w:left="7" w:right="7"/>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《复印机、打印机和传真机能效限定值及能效等级》（GB21521）</w:t>
            </w:r>
          </w:p>
        </w:tc>
      </w:tr>
      <w:tr w14:paraId="606E6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629CB3C3">
            <w:pPr>
              <w:widowControl/>
              <w:jc w:val="center"/>
              <w:rPr>
                <w:rFonts w:ascii="宋体" w:hAnsi="宋体" w:cs="宋体"/>
                <w:color w:val="auto"/>
                <w:kern w:val="0"/>
                <w:szCs w:val="21"/>
                <w:highlight w:val="none"/>
              </w:rPr>
            </w:pPr>
          </w:p>
        </w:tc>
        <w:tc>
          <w:tcPr>
            <w:tcW w:w="1015" w:type="dxa"/>
            <w:vMerge w:val="continue"/>
            <w:vAlign w:val="center"/>
          </w:tcPr>
          <w:p w14:paraId="5203624A">
            <w:pPr>
              <w:widowControl/>
              <w:jc w:val="center"/>
              <w:rPr>
                <w:rFonts w:ascii="宋体" w:hAnsi="宋体" w:cs="宋体"/>
                <w:color w:val="auto"/>
                <w:kern w:val="0"/>
                <w:szCs w:val="21"/>
                <w:highlight w:val="none"/>
              </w:rPr>
            </w:pPr>
          </w:p>
        </w:tc>
        <w:tc>
          <w:tcPr>
            <w:tcW w:w="1554" w:type="dxa"/>
            <w:vAlign w:val="center"/>
          </w:tcPr>
          <w:p w14:paraId="7980F59B">
            <w:pPr>
              <w:pStyle w:val="128"/>
              <w:jc w:val="center"/>
              <w:rPr>
                <w:rFonts w:ascii="宋体" w:hAnsi="宋体" w:cs="宋体"/>
                <w:color w:val="auto"/>
                <w:sz w:val="21"/>
                <w:szCs w:val="21"/>
                <w:highlight w:val="none"/>
              </w:rPr>
            </w:pPr>
            <w:r>
              <w:rPr>
                <w:rFonts w:hint="eastAsia" w:ascii="宋体" w:hAnsi="宋体" w:cs="宋体"/>
                <w:color w:val="auto"/>
                <w:sz w:val="21"/>
                <w:szCs w:val="21"/>
                <w:highlight w:val="none"/>
              </w:rPr>
              <w:t>A02010604显示设备</w:t>
            </w:r>
          </w:p>
        </w:tc>
        <w:tc>
          <w:tcPr>
            <w:tcW w:w="1769" w:type="dxa"/>
            <w:vAlign w:val="center"/>
          </w:tcPr>
          <w:p w14:paraId="0922B5FC">
            <w:pPr>
              <w:pStyle w:val="128"/>
              <w:spacing w:before="68"/>
              <w:ind w:left="7"/>
              <w:jc w:val="center"/>
              <w:rPr>
                <w:rFonts w:ascii="宋体" w:hAnsi="宋体" w:cs="宋体"/>
                <w:color w:val="auto"/>
                <w:sz w:val="21"/>
                <w:szCs w:val="21"/>
                <w:highlight w:val="none"/>
              </w:rPr>
            </w:pPr>
            <w:r>
              <w:rPr>
                <w:rFonts w:hint="eastAsia" w:ascii="宋体" w:hAnsi="宋体" w:cs="宋体"/>
                <w:color w:val="auto"/>
                <w:sz w:val="21"/>
                <w:szCs w:val="21"/>
                <w:highlight w:val="none"/>
              </w:rPr>
              <w:t>★A0201060401液晶</w:t>
            </w:r>
          </w:p>
          <w:p w14:paraId="73565396">
            <w:pPr>
              <w:pStyle w:val="128"/>
              <w:spacing w:before="50"/>
              <w:ind w:left="7"/>
              <w:jc w:val="center"/>
              <w:rPr>
                <w:rFonts w:ascii="宋体" w:hAnsi="宋体" w:cs="宋体"/>
                <w:color w:val="auto"/>
                <w:sz w:val="21"/>
                <w:szCs w:val="21"/>
                <w:highlight w:val="none"/>
              </w:rPr>
            </w:pPr>
            <w:r>
              <w:rPr>
                <w:rFonts w:hint="eastAsia" w:ascii="宋体" w:hAnsi="宋体" w:cs="宋体"/>
                <w:color w:val="auto"/>
                <w:sz w:val="21"/>
                <w:szCs w:val="21"/>
                <w:highlight w:val="none"/>
              </w:rPr>
              <w:t>显示器</w:t>
            </w:r>
          </w:p>
        </w:tc>
        <w:tc>
          <w:tcPr>
            <w:tcW w:w="3910" w:type="dxa"/>
            <w:vAlign w:val="center"/>
          </w:tcPr>
          <w:p w14:paraId="65128063">
            <w:pPr>
              <w:pStyle w:val="128"/>
              <w:spacing w:before="68"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《计算机显示器能效限定值及能效等级》（GB21520）</w:t>
            </w:r>
          </w:p>
        </w:tc>
      </w:tr>
      <w:tr w14:paraId="74FEE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38489551">
            <w:pPr>
              <w:widowControl/>
              <w:jc w:val="center"/>
              <w:rPr>
                <w:rFonts w:ascii="宋体" w:hAnsi="宋体" w:cs="宋体"/>
                <w:color w:val="auto"/>
                <w:kern w:val="0"/>
                <w:szCs w:val="21"/>
                <w:highlight w:val="none"/>
              </w:rPr>
            </w:pPr>
          </w:p>
        </w:tc>
        <w:tc>
          <w:tcPr>
            <w:tcW w:w="1015" w:type="dxa"/>
            <w:vMerge w:val="continue"/>
            <w:vAlign w:val="center"/>
          </w:tcPr>
          <w:p w14:paraId="56DF95D5">
            <w:pPr>
              <w:widowControl/>
              <w:jc w:val="center"/>
              <w:rPr>
                <w:rFonts w:ascii="宋体" w:hAnsi="宋体" w:cs="宋体"/>
                <w:color w:val="auto"/>
                <w:kern w:val="0"/>
                <w:szCs w:val="21"/>
                <w:highlight w:val="none"/>
              </w:rPr>
            </w:pPr>
          </w:p>
        </w:tc>
        <w:tc>
          <w:tcPr>
            <w:tcW w:w="1554" w:type="dxa"/>
            <w:vAlign w:val="center"/>
          </w:tcPr>
          <w:p w14:paraId="2F39A16F">
            <w:pPr>
              <w:pStyle w:val="128"/>
              <w:spacing w:line="283" w:lineRule="auto"/>
              <w:ind w:right="5"/>
              <w:jc w:val="center"/>
              <w:rPr>
                <w:rFonts w:ascii="宋体" w:hAnsi="宋体" w:cs="宋体"/>
                <w:color w:val="auto"/>
                <w:sz w:val="21"/>
                <w:szCs w:val="21"/>
                <w:highlight w:val="none"/>
              </w:rPr>
            </w:pPr>
            <w:r>
              <w:rPr>
                <w:rFonts w:hint="eastAsia" w:ascii="宋体" w:hAnsi="宋体" w:cs="宋体"/>
                <w:color w:val="auto"/>
                <w:sz w:val="21"/>
                <w:szCs w:val="21"/>
                <w:highlight w:val="none"/>
              </w:rPr>
              <w:t>A02010609图形图像输入设备</w:t>
            </w:r>
          </w:p>
        </w:tc>
        <w:tc>
          <w:tcPr>
            <w:tcW w:w="1769" w:type="dxa"/>
            <w:vAlign w:val="center"/>
          </w:tcPr>
          <w:p w14:paraId="1F12E0F6">
            <w:pPr>
              <w:pStyle w:val="128"/>
              <w:jc w:val="center"/>
              <w:rPr>
                <w:rFonts w:ascii="宋体" w:hAnsi="宋体" w:cs="宋体"/>
                <w:color w:val="auto"/>
                <w:sz w:val="21"/>
                <w:szCs w:val="21"/>
                <w:highlight w:val="none"/>
              </w:rPr>
            </w:pPr>
            <w:r>
              <w:rPr>
                <w:rFonts w:hint="eastAsia" w:ascii="宋体" w:hAnsi="宋体" w:cs="宋体"/>
                <w:color w:val="auto"/>
                <w:sz w:val="21"/>
                <w:szCs w:val="21"/>
                <w:highlight w:val="none"/>
              </w:rPr>
              <w:t>A0201060901扫描仪</w:t>
            </w:r>
          </w:p>
        </w:tc>
        <w:tc>
          <w:tcPr>
            <w:tcW w:w="3910" w:type="dxa"/>
            <w:vAlign w:val="center"/>
          </w:tcPr>
          <w:p w14:paraId="6D7900F1">
            <w:pPr>
              <w:pStyle w:val="128"/>
              <w:spacing w:before="49" w:line="283" w:lineRule="auto"/>
              <w:ind w:left="7" w:right="7"/>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参照《复印机、打印机和传真机能效限定值及能效等级》（GB21521</w:t>
            </w:r>
          </w:p>
          <w:p w14:paraId="05409D70">
            <w:pPr>
              <w:pStyle w:val="128"/>
              <w:spacing w:before="12" w:line="283" w:lineRule="auto"/>
              <w:ind w:left="7" w:right="5"/>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中打印速度为15页/分的针式打印机相关要求</w:t>
            </w:r>
          </w:p>
        </w:tc>
      </w:tr>
      <w:tr w14:paraId="65CEE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Align w:val="center"/>
          </w:tcPr>
          <w:p w14:paraId="2F0EEA1A">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3</w:t>
            </w:r>
          </w:p>
        </w:tc>
        <w:tc>
          <w:tcPr>
            <w:tcW w:w="1015" w:type="dxa"/>
            <w:vAlign w:val="center"/>
          </w:tcPr>
          <w:p w14:paraId="13AAC8BA">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A020202投影仪</w:t>
            </w:r>
          </w:p>
        </w:tc>
        <w:tc>
          <w:tcPr>
            <w:tcW w:w="1554" w:type="dxa"/>
            <w:vAlign w:val="center"/>
          </w:tcPr>
          <w:p w14:paraId="0D0571A0">
            <w:pPr>
              <w:pStyle w:val="128"/>
              <w:spacing w:before="124" w:line="283" w:lineRule="auto"/>
              <w:ind w:left="7" w:right="4"/>
              <w:jc w:val="center"/>
              <w:rPr>
                <w:rFonts w:ascii="宋体" w:hAnsi="宋体" w:cs="宋体"/>
                <w:color w:val="auto"/>
                <w:sz w:val="21"/>
                <w:szCs w:val="21"/>
                <w:highlight w:val="none"/>
              </w:rPr>
            </w:pPr>
          </w:p>
        </w:tc>
        <w:tc>
          <w:tcPr>
            <w:tcW w:w="1769" w:type="dxa"/>
            <w:vAlign w:val="center"/>
          </w:tcPr>
          <w:p w14:paraId="2B4AEEE9">
            <w:pPr>
              <w:pStyle w:val="128"/>
              <w:spacing w:before="124" w:line="283" w:lineRule="auto"/>
              <w:ind w:left="7" w:right="4"/>
              <w:jc w:val="center"/>
              <w:rPr>
                <w:rFonts w:ascii="宋体" w:hAnsi="宋体" w:cs="宋体"/>
                <w:color w:val="auto"/>
                <w:sz w:val="21"/>
                <w:szCs w:val="21"/>
                <w:highlight w:val="none"/>
              </w:rPr>
            </w:pPr>
          </w:p>
        </w:tc>
        <w:tc>
          <w:tcPr>
            <w:tcW w:w="3910" w:type="dxa"/>
            <w:vAlign w:val="center"/>
          </w:tcPr>
          <w:p w14:paraId="706B723D">
            <w:pPr>
              <w:pStyle w:val="128"/>
              <w:spacing w:before="124"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《投影机能效限定值及能效等级</w:t>
            </w:r>
          </w:p>
          <w:p w14:paraId="1926650E">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（GB32028）</w:t>
            </w:r>
          </w:p>
        </w:tc>
      </w:tr>
      <w:tr w14:paraId="1DD76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Align w:val="center"/>
          </w:tcPr>
          <w:p w14:paraId="21E34503">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4</w:t>
            </w:r>
          </w:p>
        </w:tc>
        <w:tc>
          <w:tcPr>
            <w:tcW w:w="1015" w:type="dxa"/>
            <w:vAlign w:val="center"/>
          </w:tcPr>
          <w:p w14:paraId="69C005EE">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A020204多功能一体机</w:t>
            </w:r>
          </w:p>
        </w:tc>
        <w:tc>
          <w:tcPr>
            <w:tcW w:w="1554" w:type="dxa"/>
            <w:vAlign w:val="center"/>
          </w:tcPr>
          <w:p w14:paraId="5A9757BB">
            <w:pPr>
              <w:pStyle w:val="128"/>
              <w:spacing w:before="124" w:line="283" w:lineRule="auto"/>
              <w:ind w:left="7" w:right="4"/>
              <w:jc w:val="center"/>
              <w:rPr>
                <w:rFonts w:ascii="宋体" w:hAnsi="宋体" w:cs="宋体"/>
                <w:color w:val="auto"/>
                <w:sz w:val="21"/>
                <w:szCs w:val="21"/>
                <w:highlight w:val="none"/>
              </w:rPr>
            </w:pPr>
          </w:p>
        </w:tc>
        <w:tc>
          <w:tcPr>
            <w:tcW w:w="1769" w:type="dxa"/>
            <w:vAlign w:val="center"/>
          </w:tcPr>
          <w:p w14:paraId="057580F3">
            <w:pPr>
              <w:pStyle w:val="128"/>
              <w:spacing w:before="124" w:line="283" w:lineRule="auto"/>
              <w:ind w:left="7" w:right="4"/>
              <w:jc w:val="center"/>
              <w:rPr>
                <w:rFonts w:ascii="宋体" w:hAnsi="宋体" w:cs="宋体"/>
                <w:color w:val="auto"/>
                <w:sz w:val="21"/>
                <w:szCs w:val="21"/>
                <w:highlight w:val="none"/>
              </w:rPr>
            </w:pPr>
          </w:p>
        </w:tc>
        <w:tc>
          <w:tcPr>
            <w:tcW w:w="3910" w:type="dxa"/>
            <w:vAlign w:val="center"/>
          </w:tcPr>
          <w:p w14:paraId="2DCC0921">
            <w:pPr>
              <w:pStyle w:val="128"/>
              <w:spacing w:before="124"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《复印机、打印机和传真机能效限定值及能效等级》（GB21521）</w:t>
            </w:r>
          </w:p>
        </w:tc>
      </w:tr>
      <w:tr w14:paraId="72ADE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Align w:val="center"/>
          </w:tcPr>
          <w:p w14:paraId="7D442D4A">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5</w:t>
            </w:r>
          </w:p>
        </w:tc>
        <w:tc>
          <w:tcPr>
            <w:tcW w:w="1015" w:type="dxa"/>
            <w:vAlign w:val="center"/>
          </w:tcPr>
          <w:p w14:paraId="33439D7A">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A020519泵</w:t>
            </w:r>
          </w:p>
        </w:tc>
        <w:tc>
          <w:tcPr>
            <w:tcW w:w="1554" w:type="dxa"/>
            <w:vAlign w:val="center"/>
          </w:tcPr>
          <w:p w14:paraId="2B737E26">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A02051901离心泵</w:t>
            </w:r>
          </w:p>
        </w:tc>
        <w:tc>
          <w:tcPr>
            <w:tcW w:w="1769" w:type="dxa"/>
            <w:vAlign w:val="center"/>
          </w:tcPr>
          <w:p w14:paraId="1215A52F">
            <w:pPr>
              <w:pStyle w:val="128"/>
              <w:spacing w:before="124" w:line="283" w:lineRule="auto"/>
              <w:ind w:left="7" w:right="4"/>
              <w:jc w:val="center"/>
              <w:rPr>
                <w:rFonts w:ascii="宋体" w:hAnsi="宋体" w:cs="宋体"/>
                <w:color w:val="auto"/>
                <w:sz w:val="21"/>
                <w:szCs w:val="21"/>
                <w:highlight w:val="none"/>
              </w:rPr>
            </w:pPr>
          </w:p>
        </w:tc>
        <w:tc>
          <w:tcPr>
            <w:tcW w:w="3910" w:type="dxa"/>
            <w:vAlign w:val="center"/>
          </w:tcPr>
          <w:p w14:paraId="6B3F6106">
            <w:pPr>
              <w:pStyle w:val="128"/>
              <w:spacing w:before="124"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《清水离心泵能效限定值及节能评价值》（GB19762）</w:t>
            </w:r>
          </w:p>
        </w:tc>
      </w:tr>
      <w:tr w14:paraId="5DD77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restart"/>
            <w:vAlign w:val="center"/>
          </w:tcPr>
          <w:p w14:paraId="79137DA9">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6</w:t>
            </w:r>
          </w:p>
        </w:tc>
        <w:tc>
          <w:tcPr>
            <w:tcW w:w="1015" w:type="dxa"/>
            <w:vMerge w:val="restart"/>
            <w:vAlign w:val="center"/>
          </w:tcPr>
          <w:p w14:paraId="63D17C77">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A020523制冷空调设备</w:t>
            </w:r>
          </w:p>
        </w:tc>
        <w:tc>
          <w:tcPr>
            <w:tcW w:w="1554" w:type="dxa"/>
            <w:vMerge w:val="restart"/>
            <w:vAlign w:val="center"/>
          </w:tcPr>
          <w:p w14:paraId="41C7E217">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★A02052301制冷压缩机</w:t>
            </w:r>
          </w:p>
        </w:tc>
        <w:tc>
          <w:tcPr>
            <w:tcW w:w="1769" w:type="dxa"/>
            <w:vAlign w:val="center"/>
          </w:tcPr>
          <w:p w14:paraId="7436F8F6">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冷水机组</w:t>
            </w:r>
          </w:p>
        </w:tc>
        <w:tc>
          <w:tcPr>
            <w:tcW w:w="3910" w:type="dxa"/>
            <w:vAlign w:val="center"/>
          </w:tcPr>
          <w:p w14:paraId="230F5275">
            <w:pPr>
              <w:pStyle w:val="128"/>
              <w:spacing w:before="124"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《冷水机组能效限定值及能效等级》（GB19577），《低环境温度空气源热泵（冷水）机组能效限定值及能效等级》（GB37480）</w:t>
            </w:r>
          </w:p>
        </w:tc>
      </w:tr>
      <w:tr w14:paraId="7E6BD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78092FFD">
            <w:pPr>
              <w:widowControl/>
              <w:jc w:val="center"/>
              <w:rPr>
                <w:rFonts w:ascii="宋体" w:hAnsi="宋体" w:cs="宋体"/>
                <w:color w:val="auto"/>
                <w:kern w:val="0"/>
                <w:szCs w:val="21"/>
                <w:highlight w:val="none"/>
              </w:rPr>
            </w:pPr>
          </w:p>
        </w:tc>
        <w:tc>
          <w:tcPr>
            <w:tcW w:w="1015" w:type="dxa"/>
            <w:vMerge w:val="continue"/>
            <w:vAlign w:val="center"/>
          </w:tcPr>
          <w:p w14:paraId="0FF3AE19">
            <w:pPr>
              <w:widowControl/>
              <w:jc w:val="center"/>
              <w:rPr>
                <w:rFonts w:ascii="宋体" w:hAnsi="宋体" w:cs="宋体"/>
                <w:color w:val="auto"/>
                <w:kern w:val="0"/>
                <w:szCs w:val="21"/>
                <w:highlight w:val="none"/>
              </w:rPr>
            </w:pPr>
          </w:p>
        </w:tc>
        <w:tc>
          <w:tcPr>
            <w:tcW w:w="1554" w:type="dxa"/>
            <w:vMerge w:val="continue"/>
            <w:vAlign w:val="center"/>
          </w:tcPr>
          <w:p w14:paraId="5CA93F05">
            <w:pPr>
              <w:widowControl/>
              <w:jc w:val="center"/>
              <w:rPr>
                <w:rFonts w:ascii="宋体" w:hAnsi="宋体" w:cs="宋体"/>
                <w:color w:val="auto"/>
                <w:kern w:val="0"/>
                <w:szCs w:val="21"/>
                <w:highlight w:val="none"/>
              </w:rPr>
            </w:pPr>
          </w:p>
        </w:tc>
        <w:tc>
          <w:tcPr>
            <w:tcW w:w="1769" w:type="dxa"/>
            <w:vAlign w:val="center"/>
          </w:tcPr>
          <w:p w14:paraId="0D80DA43">
            <w:pPr>
              <w:pStyle w:val="128"/>
              <w:jc w:val="center"/>
              <w:rPr>
                <w:rFonts w:ascii="宋体" w:hAnsi="宋体" w:cs="宋体"/>
                <w:color w:val="auto"/>
                <w:sz w:val="21"/>
                <w:szCs w:val="21"/>
                <w:highlight w:val="none"/>
              </w:rPr>
            </w:pPr>
            <w:r>
              <w:rPr>
                <w:rFonts w:hint="eastAsia" w:ascii="宋体" w:hAnsi="宋体" w:cs="宋体"/>
                <w:color w:val="auto"/>
                <w:sz w:val="21"/>
                <w:szCs w:val="21"/>
                <w:highlight w:val="none"/>
              </w:rPr>
              <w:t>水源热泵机组</w:t>
            </w:r>
          </w:p>
        </w:tc>
        <w:tc>
          <w:tcPr>
            <w:tcW w:w="3910" w:type="dxa"/>
            <w:vAlign w:val="center"/>
          </w:tcPr>
          <w:p w14:paraId="49D97CA8">
            <w:pPr>
              <w:pStyle w:val="128"/>
              <w:spacing w:before="52" w:line="283" w:lineRule="auto"/>
              <w:ind w:left="7" w:right="7"/>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《水（地）源热泵机组能效限定值及能效等级》（GB30721）</w:t>
            </w:r>
          </w:p>
        </w:tc>
      </w:tr>
      <w:tr w14:paraId="069B2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7" w:hRule="atLeast"/>
          <w:jc w:val="center"/>
        </w:trPr>
        <w:tc>
          <w:tcPr>
            <w:tcW w:w="716" w:type="dxa"/>
            <w:vMerge w:val="continue"/>
            <w:vAlign w:val="center"/>
          </w:tcPr>
          <w:p w14:paraId="2FC4D0BE">
            <w:pPr>
              <w:jc w:val="center"/>
              <w:rPr>
                <w:rFonts w:ascii="宋体" w:hAnsi="宋体" w:cs="宋体"/>
                <w:color w:val="auto"/>
                <w:kern w:val="0"/>
                <w:szCs w:val="21"/>
                <w:highlight w:val="none"/>
              </w:rPr>
            </w:pPr>
          </w:p>
        </w:tc>
        <w:tc>
          <w:tcPr>
            <w:tcW w:w="1015" w:type="dxa"/>
            <w:vMerge w:val="continue"/>
            <w:vAlign w:val="center"/>
          </w:tcPr>
          <w:p w14:paraId="208CC025">
            <w:pPr>
              <w:jc w:val="center"/>
              <w:rPr>
                <w:rFonts w:ascii="宋体" w:hAnsi="宋体" w:cs="宋体"/>
                <w:color w:val="auto"/>
                <w:kern w:val="0"/>
                <w:szCs w:val="21"/>
                <w:highlight w:val="none"/>
              </w:rPr>
            </w:pPr>
          </w:p>
        </w:tc>
        <w:tc>
          <w:tcPr>
            <w:tcW w:w="1554" w:type="dxa"/>
            <w:vMerge w:val="continue"/>
            <w:vAlign w:val="center"/>
          </w:tcPr>
          <w:p w14:paraId="170AC89E">
            <w:pPr>
              <w:jc w:val="center"/>
              <w:rPr>
                <w:rFonts w:ascii="宋体" w:hAnsi="宋体" w:cs="宋体"/>
                <w:color w:val="auto"/>
                <w:kern w:val="0"/>
                <w:szCs w:val="21"/>
                <w:highlight w:val="none"/>
              </w:rPr>
            </w:pPr>
          </w:p>
        </w:tc>
        <w:tc>
          <w:tcPr>
            <w:tcW w:w="1769" w:type="dxa"/>
            <w:vAlign w:val="center"/>
          </w:tcPr>
          <w:p w14:paraId="6DCBB285">
            <w:pPr>
              <w:pStyle w:val="128"/>
              <w:spacing w:before="93"/>
              <w:ind w:left="7"/>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溴化锂吸收式冷水机组</w:t>
            </w:r>
          </w:p>
        </w:tc>
        <w:tc>
          <w:tcPr>
            <w:tcW w:w="3910" w:type="dxa"/>
            <w:vAlign w:val="center"/>
          </w:tcPr>
          <w:p w14:paraId="7A1AF34D">
            <w:pPr>
              <w:pStyle w:val="128"/>
              <w:spacing w:before="93"/>
              <w:ind w:left="7"/>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《溴化锂吸收式冷水机组能效限定值及能效等级》（GB29540）</w:t>
            </w:r>
          </w:p>
        </w:tc>
      </w:tr>
      <w:tr w14:paraId="2434D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4154231F">
            <w:pPr>
              <w:widowControl/>
              <w:jc w:val="center"/>
              <w:rPr>
                <w:rFonts w:ascii="宋体" w:hAnsi="宋体" w:cs="宋体"/>
                <w:color w:val="auto"/>
                <w:kern w:val="0"/>
                <w:szCs w:val="21"/>
                <w:highlight w:val="none"/>
              </w:rPr>
            </w:pPr>
          </w:p>
        </w:tc>
        <w:tc>
          <w:tcPr>
            <w:tcW w:w="1015" w:type="dxa"/>
            <w:vMerge w:val="continue"/>
            <w:vAlign w:val="center"/>
          </w:tcPr>
          <w:p w14:paraId="57595C19">
            <w:pPr>
              <w:widowControl/>
              <w:jc w:val="center"/>
              <w:rPr>
                <w:rFonts w:ascii="宋体" w:hAnsi="宋体" w:cs="宋体"/>
                <w:color w:val="auto"/>
                <w:kern w:val="0"/>
                <w:szCs w:val="21"/>
                <w:highlight w:val="none"/>
              </w:rPr>
            </w:pPr>
          </w:p>
        </w:tc>
        <w:tc>
          <w:tcPr>
            <w:tcW w:w="1554" w:type="dxa"/>
            <w:vMerge w:val="restart"/>
            <w:vAlign w:val="center"/>
          </w:tcPr>
          <w:p w14:paraId="7BE14B22">
            <w:pPr>
              <w:pStyle w:val="128"/>
              <w:spacing w:line="283" w:lineRule="auto"/>
              <w:ind w:right="5"/>
              <w:jc w:val="center"/>
              <w:rPr>
                <w:rFonts w:ascii="宋体" w:hAnsi="宋体" w:cs="宋体"/>
                <w:color w:val="auto"/>
                <w:sz w:val="21"/>
                <w:szCs w:val="21"/>
                <w:highlight w:val="none"/>
              </w:rPr>
            </w:pPr>
            <w:r>
              <w:rPr>
                <w:rFonts w:hint="eastAsia" w:ascii="宋体" w:hAnsi="宋体" w:cs="宋体"/>
                <w:color w:val="auto"/>
                <w:sz w:val="21"/>
                <w:szCs w:val="21"/>
                <w:highlight w:val="none"/>
              </w:rPr>
              <w:t>★A02052305空调机组</w:t>
            </w:r>
          </w:p>
        </w:tc>
        <w:tc>
          <w:tcPr>
            <w:tcW w:w="1769" w:type="dxa"/>
            <w:vAlign w:val="center"/>
          </w:tcPr>
          <w:p w14:paraId="506F33E3">
            <w:pPr>
              <w:pStyle w:val="128"/>
              <w:spacing w:before="4" w:line="283" w:lineRule="auto"/>
              <w:ind w:left="7" w:right="7"/>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多联式空调（热泵）机组(制冷量&gt;14000W)</w:t>
            </w:r>
          </w:p>
        </w:tc>
        <w:tc>
          <w:tcPr>
            <w:tcW w:w="3910" w:type="dxa"/>
            <w:vAlign w:val="center"/>
          </w:tcPr>
          <w:p w14:paraId="6B03818A">
            <w:pPr>
              <w:pStyle w:val="128"/>
              <w:spacing w:before="160" w:line="283" w:lineRule="auto"/>
              <w:ind w:left="7" w:right="7"/>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《多联式空调（热泵）机组能效限定值及能源效率等级》（GB21454</w:t>
            </w:r>
          </w:p>
        </w:tc>
      </w:tr>
      <w:tr w14:paraId="4E9F1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716" w:type="dxa"/>
            <w:vMerge w:val="continue"/>
            <w:vAlign w:val="center"/>
          </w:tcPr>
          <w:p w14:paraId="6E75A82A">
            <w:pPr>
              <w:widowControl/>
              <w:jc w:val="center"/>
              <w:rPr>
                <w:rFonts w:ascii="宋体" w:hAnsi="宋体" w:cs="宋体"/>
                <w:color w:val="auto"/>
                <w:kern w:val="0"/>
                <w:szCs w:val="21"/>
                <w:highlight w:val="none"/>
              </w:rPr>
            </w:pPr>
          </w:p>
        </w:tc>
        <w:tc>
          <w:tcPr>
            <w:tcW w:w="1015" w:type="dxa"/>
            <w:vMerge w:val="continue"/>
            <w:vAlign w:val="center"/>
          </w:tcPr>
          <w:p w14:paraId="2A53C2A3">
            <w:pPr>
              <w:widowControl/>
              <w:jc w:val="center"/>
              <w:rPr>
                <w:rFonts w:ascii="宋体" w:hAnsi="宋体" w:cs="宋体"/>
                <w:color w:val="auto"/>
                <w:kern w:val="0"/>
                <w:szCs w:val="21"/>
                <w:highlight w:val="none"/>
              </w:rPr>
            </w:pPr>
          </w:p>
        </w:tc>
        <w:tc>
          <w:tcPr>
            <w:tcW w:w="1554" w:type="dxa"/>
            <w:vMerge w:val="continue"/>
            <w:vAlign w:val="center"/>
          </w:tcPr>
          <w:p w14:paraId="3B98E5D4">
            <w:pPr>
              <w:widowControl/>
              <w:jc w:val="center"/>
              <w:rPr>
                <w:rFonts w:ascii="宋体" w:hAnsi="宋体" w:cs="宋体"/>
                <w:color w:val="auto"/>
                <w:kern w:val="0"/>
                <w:szCs w:val="21"/>
                <w:highlight w:val="none"/>
              </w:rPr>
            </w:pPr>
          </w:p>
        </w:tc>
        <w:tc>
          <w:tcPr>
            <w:tcW w:w="1769" w:type="dxa"/>
            <w:vAlign w:val="center"/>
          </w:tcPr>
          <w:p w14:paraId="76EAF4BC">
            <w:pPr>
              <w:pStyle w:val="128"/>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单元式空气调节机</w:t>
            </w:r>
          </w:p>
          <w:p w14:paraId="2F3008C9">
            <w:pPr>
              <w:pStyle w:val="128"/>
              <w:spacing w:line="256" w:lineRule="exact"/>
              <w:ind w:left="7"/>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(制冷量&gt;14000W)</w:t>
            </w:r>
          </w:p>
        </w:tc>
        <w:tc>
          <w:tcPr>
            <w:tcW w:w="3910" w:type="dxa"/>
            <w:vAlign w:val="center"/>
          </w:tcPr>
          <w:p w14:paraId="104E4388">
            <w:pPr>
              <w:pStyle w:val="128"/>
              <w:spacing w:before="9"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《单元式空气调节机能效限定值及能效等级》（GB19576）《风管送风式空调机组能效限定值及能效等级》（GB37479）</w:t>
            </w:r>
          </w:p>
        </w:tc>
      </w:tr>
      <w:tr w14:paraId="7C1A6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7" w:hRule="atLeast"/>
          <w:jc w:val="center"/>
        </w:trPr>
        <w:tc>
          <w:tcPr>
            <w:tcW w:w="716" w:type="dxa"/>
            <w:vMerge w:val="continue"/>
            <w:vAlign w:val="center"/>
          </w:tcPr>
          <w:p w14:paraId="4FECFBAD">
            <w:pPr>
              <w:widowControl/>
              <w:jc w:val="center"/>
              <w:rPr>
                <w:rFonts w:ascii="宋体" w:hAnsi="宋体" w:cs="宋体"/>
                <w:color w:val="auto"/>
                <w:kern w:val="0"/>
                <w:szCs w:val="21"/>
                <w:highlight w:val="none"/>
              </w:rPr>
            </w:pPr>
          </w:p>
        </w:tc>
        <w:tc>
          <w:tcPr>
            <w:tcW w:w="1015" w:type="dxa"/>
            <w:vMerge w:val="continue"/>
            <w:vAlign w:val="center"/>
          </w:tcPr>
          <w:p w14:paraId="243275A9">
            <w:pPr>
              <w:widowControl/>
              <w:jc w:val="center"/>
              <w:rPr>
                <w:rFonts w:ascii="宋体" w:hAnsi="宋体" w:cs="宋体"/>
                <w:color w:val="auto"/>
                <w:kern w:val="0"/>
                <w:szCs w:val="21"/>
                <w:highlight w:val="none"/>
              </w:rPr>
            </w:pPr>
          </w:p>
        </w:tc>
        <w:tc>
          <w:tcPr>
            <w:tcW w:w="1554" w:type="dxa"/>
            <w:vAlign w:val="center"/>
          </w:tcPr>
          <w:p w14:paraId="4BB301D7">
            <w:pPr>
              <w:pStyle w:val="128"/>
              <w:spacing w:before="83"/>
              <w:ind w:left="7"/>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★A02052309专用制冷、空调设备</w:t>
            </w:r>
          </w:p>
        </w:tc>
        <w:tc>
          <w:tcPr>
            <w:tcW w:w="1769" w:type="dxa"/>
            <w:vAlign w:val="center"/>
          </w:tcPr>
          <w:p w14:paraId="6E355866">
            <w:pPr>
              <w:pStyle w:val="128"/>
              <w:jc w:val="center"/>
              <w:rPr>
                <w:rFonts w:ascii="宋体" w:hAnsi="宋体" w:cs="宋体"/>
                <w:color w:val="auto"/>
                <w:sz w:val="21"/>
                <w:szCs w:val="21"/>
                <w:highlight w:val="none"/>
              </w:rPr>
            </w:pPr>
            <w:r>
              <w:rPr>
                <w:rFonts w:hint="eastAsia" w:ascii="宋体" w:hAnsi="宋体" w:cs="宋体"/>
                <w:color w:val="auto"/>
                <w:sz w:val="21"/>
                <w:szCs w:val="21"/>
                <w:highlight w:val="none"/>
              </w:rPr>
              <w:t>机房空调</w:t>
            </w:r>
          </w:p>
        </w:tc>
        <w:tc>
          <w:tcPr>
            <w:tcW w:w="3910" w:type="dxa"/>
            <w:vAlign w:val="center"/>
          </w:tcPr>
          <w:p w14:paraId="56E398D9">
            <w:pPr>
              <w:pStyle w:val="128"/>
              <w:spacing w:before="83"/>
              <w:ind w:left="7"/>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《单元式空气调节机能效限定值及能效等级》（GB19576）</w:t>
            </w:r>
          </w:p>
        </w:tc>
      </w:tr>
      <w:tr w14:paraId="29B30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0" w:hRule="atLeast"/>
          <w:jc w:val="center"/>
        </w:trPr>
        <w:tc>
          <w:tcPr>
            <w:tcW w:w="716" w:type="dxa"/>
            <w:vMerge w:val="continue"/>
            <w:vAlign w:val="center"/>
          </w:tcPr>
          <w:p w14:paraId="3D48BE75">
            <w:pPr>
              <w:widowControl/>
              <w:jc w:val="center"/>
              <w:rPr>
                <w:rFonts w:ascii="宋体" w:hAnsi="宋体" w:cs="宋体"/>
                <w:color w:val="auto"/>
                <w:kern w:val="0"/>
                <w:szCs w:val="21"/>
                <w:highlight w:val="none"/>
              </w:rPr>
            </w:pPr>
          </w:p>
        </w:tc>
        <w:tc>
          <w:tcPr>
            <w:tcW w:w="1015" w:type="dxa"/>
            <w:vMerge w:val="continue"/>
            <w:vAlign w:val="center"/>
          </w:tcPr>
          <w:p w14:paraId="100C46F6">
            <w:pPr>
              <w:widowControl/>
              <w:jc w:val="center"/>
              <w:rPr>
                <w:rFonts w:ascii="宋体" w:hAnsi="宋体" w:cs="宋体"/>
                <w:color w:val="auto"/>
                <w:kern w:val="0"/>
                <w:szCs w:val="21"/>
                <w:highlight w:val="none"/>
              </w:rPr>
            </w:pPr>
          </w:p>
        </w:tc>
        <w:tc>
          <w:tcPr>
            <w:tcW w:w="1554" w:type="dxa"/>
            <w:vAlign w:val="center"/>
          </w:tcPr>
          <w:p w14:paraId="7FFDC602">
            <w:pPr>
              <w:pStyle w:val="128"/>
              <w:jc w:val="center"/>
              <w:rPr>
                <w:rFonts w:ascii="宋体" w:hAnsi="宋体" w:cs="宋体"/>
                <w:color w:val="auto"/>
                <w:sz w:val="21"/>
                <w:szCs w:val="21"/>
                <w:highlight w:val="none"/>
              </w:rPr>
            </w:pPr>
            <w:r>
              <w:rPr>
                <w:rFonts w:hint="eastAsia" w:ascii="宋体" w:hAnsi="宋体" w:cs="宋体"/>
                <w:color w:val="auto"/>
                <w:sz w:val="21"/>
                <w:szCs w:val="21"/>
                <w:highlight w:val="none"/>
              </w:rPr>
              <w:t>A02052399其他制冷空调设备</w:t>
            </w:r>
          </w:p>
        </w:tc>
        <w:tc>
          <w:tcPr>
            <w:tcW w:w="1769" w:type="dxa"/>
            <w:vAlign w:val="center"/>
          </w:tcPr>
          <w:p w14:paraId="000697F1">
            <w:pPr>
              <w:pStyle w:val="128"/>
              <w:spacing w:before="164"/>
              <w:jc w:val="center"/>
              <w:rPr>
                <w:rFonts w:ascii="宋体" w:hAnsi="宋体" w:cs="宋体"/>
                <w:color w:val="auto"/>
                <w:sz w:val="21"/>
                <w:szCs w:val="21"/>
                <w:highlight w:val="none"/>
              </w:rPr>
            </w:pPr>
            <w:r>
              <w:rPr>
                <w:rFonts w:hint="eastAsia" w:ascii="宋体" w:hAnsi="宋体" w:cs="宋体"/>
                <w:color w:val="auto"/>
                <w:sz w:val="21"/>
                <w:szCs w:val="21"/>
                <w:highlight w:val="none"/>
              </w:rPr>
              <w:t>冷却塔</w:t>
            </w:r>
          </w:p>
        </w:tc>
        <w:tc>
          <w:tcPr>
            <w:tcW w:w="3910" w:type="dxa"/>
            <w:vAlign w:val="center"/>
          </w:tcPr>
          <w:p w14:paraId="55FFE058">
            <w:pPr>
              <w:pStyle w:val="128"/>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《机械通风冷却塔第1部分：中小型开式冷却塔》（GB/T7190.1）</w:t>
            </w:r>
          </w:p>
          <w:p w14:paraId="2AFE7674">
            <w:pPr>
              <w:pStyle w:val="128"/>
              <w:spacing w:line="256" w:lineRule="exact"/>
              <w:ind w:left="7"/>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《机械通风冷却塔第2部分：大型开式冷却塔》（GB/T7190.2</w:t>
            </w:r>
          </w:p>
        </w:tc>
      </w:tr>
      <w:tr w14:paraId="2BD8F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Align w:val="center"/>
          </w:tcPr>
          <w:p w14:paraId="2B52392F">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7</w:t>
            </w:r>
          </w:p>
        </w:tc>
        <w:tc>
          <w:tcPr>
            <w:tcW w:w="1015" w:type="dxa"/>
            <w:vAlign w:val="center"/>
          </w:tcPr>
          <w:p w14:paraId="46BD017D">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A020601电机</w:t>
            </w:r>
          </w:p>
        </w:tc>
        <w:tc>
          <w:tcPr>
            <w:tcW w:w="1554" w:type="dxa"/>
            <w:vAlign w:val="center"/>
          </w:tcPr>
          <w:p w14:paraId="29845534">
            <w:pPr>
              <w:pStyle w:val="128"/>
              <w:spacing w:before="124" w:line="283" w:lineRule="auto"/>
              <w:ind w:left="7" w:right="4"/>
              <w:jc w:val="center"/>
              <w:rPr>
                <w:rFonts w:ascii="宋体" w:hAnsi="宋体" w:cs="宋体"/>
                <w:color w:val="auto"/>
                <w:sz w:val="21"/>
                <w:szCs w:val="21"/>
                <w:highlight w:val="none"/>
              </w:rPr>
            </w:pPr>
          </w:p>
        </w:tc>
        <w:tc>
          <w:tcPr>
            <w:tcW w:w="1769" w:type="dxa"/>
            <w:vAlign w:val="center"/>
          </w:tcPr>
          <w:p w14:paraId="1E881908">
            <w:pPr>
              <w:pStyle w:val="128"/>
              <w:spacing w:before="124" w:line="283" w:lineRule="auto"/>
              <w:ind w:left="7" w:right="4"/>
              <w:jc w:val="center"/>
              <w:rPr>
                <w:rFonts w:ascii="宋体" w:hAnsi="宋体" w:cs="宋体"/>
                <w:color w:val="auto"/>
                <w:sz w:val="21"/>
                <w:szCs w:val="21"/>
                <w:highlight w:val="none"/>
              </w:rPr>
            </w:pPr>
          </w:p>
        </w:tc>
        <w:tc>
          <w:tcPr>
            <w:tcW w:w="3910" w:type="dxa"/>
            <w:vAlign w:val="center"/>
          </w:tcPr>
          <w:p w14:paraId="0448D57E">
            <w:pPr>
              <w:pStyle w:val="128"/>
              <w:spacing w:before="124"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《中小型三相异步电动机能效限定值及能效等级》（GB18613）</w:t>
            </w:r>
          </w:p>
        </w:tc>
      </w:tr>
      <w:tr w14:paraId="36318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8" w:hRule="atLeast"/>
          <w:jc w:val="center"/>
        </w:trPr>
        <w:tc>
          <w:tcPr>
            <w:tcW w:w="716" w:type="dxa"/>
            <w:vAlign w:val="center"/>
          </w:tcPr>
          <w:p w14:paraId="3F2E5FF9">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8</w:t>
            </w:r>
          </w:p>
        </w:tc>
        <w:tc>
          <w:tcPr>
            <w:tcW w:w="1015" w:type="dxa"/>
            <w:vAlign w:val="center"/>
          </w:tcPr>
          <w:p w14:paraId="037533F5">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A020602变压器</w:t>
            </w:r>
          </w:p>
        </w:tc>
        <w:tc>
          <w:tcPr>
            <w:tcW w:w="1554" w:type="dxa"/>
            <w:vAlign w:val="center"/>
          </w:tcPr>
          <w:p w14:paraId="2023554E">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配电变压器</w:t>
            </w:r>
          </w:p>
        </w:tc>
        <w:tc>
          <w:tcPr>
            <w:tcW w:w="1769" w:type="dxa"/>
            <w:vAlign w:val="center"/>
          </w:tcPr>
          <w:p w14:paraId="68DB8FCC">
            <w:pPr>
              <w:pStyle w:val="128"/>
              <w:spacing w:before="124" w:line="283" w:lineRule="auto"/>
              <w:ind w:left="7" w:right="4"/>
              <w:jc w:val="center"/>
              <w:rPr>
                <w:rFonts w:ascii="宋体" w:hAnsi="宋体" w:cs="宋体"/>
                <w:color w:val="auto"/>
                <w:sz w:val="21"/>
                <w:szCs w:val="21"/>
                <w:highlight w:val="none"/>
              </w:rPr>
            </w:pPr>
          </w:p>
        </w:tc>
        <w:tc>
          <w:tcPr>
            <w:tcW w:w="3910" w:type="dxa"/>
            <w:vAlign w:val="center"/>
          </w:tcPr>
          <w:p w14:paraId="6E954A81">
            <w:pPr>
              <w:pStyle w:val="128"/>
              <w:spacing w:before="124"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《三相配电变压器能效限定值及能效等级》（GB20052）</w:t>
            </w:r>
          </w:p>
        </w:tc>
      </w:tr>
      <w:tr w14:paraId="1EC90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716" w:type="dxa"/>
            <w:vAlign w:val="center"/>
          </w:tcPr>
          <w:p w14:paraId="279E865B">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9</w:t>
            </w:r>
          </w:p>
        </w:tc>
        <w:tc>
          <w:tcPr>
            <w:tcW w:w="1015" w:type="dxa"/>
            <w:vAlign w:val="center"/>
          </w:tcPr>
          <w:p w14:paraId="7581D4FC">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★A020609镇流器</w:t>
            </w:r>
          </w:p>
        </w:tc>
        <w:tc>
          <w:tcPr>
            <w:tcW w:w="1554" w:type="dxa"/>
            <w:vAlign w:val="center"/>
          </w:tcPr>
          <w:p w14:paraId="48B98920">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管型荧光灯镇流器</w:t>
            </w:r>
          </w:p>
        </w:tc>
        <w:tc>
          <w:tcPr>
            <w:tcW w:w="1769" w:type="dxa"/>
            <w:vAlign w:val="center"/>
          </w:tcPr>
          <w:p w14:paraId="05930DCC">
            <w:pPr>
              <w:pStyle w:val="128"/>
              <w:spacing w:before="124" w:line="283" w:lineRule="auto"/>
              <w:ind w:left="7" w:right="4"/>
              <w:jc w:val="center"/>
              <w:rPr>
                <w:rFonts w:ascii="宋体" w:hAnsi="宋体" w:cs="宋体"/>
                <w:color w:val="auto"/>
                <w:sz w:val="21"/>
                <w:szCs w:val="21"/>
                <w:highlight w:val="none"/>
              </w:rPr>
            </w:pPr>
          </w:p>
        </w:tc>
        <w:tc>
          <w:tcPr>
            <w:tcW w:w="3910" w:type="dxa"/>
            <w:vAlign w:val="center"/>
          </w:tcPr>
          <w:p w14:paraId="55246176">
            <w:pPr>
              <w:pStyle w:val="128"/>
              <w:spacing w:before="124"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《管形荧光灯镇流器能效限定值及能效等级》（GB17896）</w:t>
            </w:r>
          </w:p>
        </w:tc>
      </w:tr>
      <w:tr w14:paraId="0647D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716" w:type="dxa"/>
            <w:vMerge w:val="restart"/>
            <w:vAlign w:val="center"/>
          </w:tcPr>
          <w:p w14:paraId="0161D405">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10</w:t>
            </w:r>
          </w:p>
        </w:tc>
        <w:tc>
          <w:tcPr>
            <w:tcW w:w="1015" w:type="dxa"/>
            <w:vMerge w:val="restart"/>
            <w:vAlign w:val="center"/>
          </w:tcPr>
          <w:p w14:paraId="1647EE1A">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A020618生活用电器</w:t>
            </w:r>
          </w:p>
        </w:tc>
        <w:tc>
          <w:tcPr>
            <w:tcW w:w="1554" w:type="dxa"/>
            <w:vAlign w:val="center"/>
          </w:tcPr>
          <w:p w14:paraId="58FE9D12">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A0206180101电冰箱</w:t>
            </w:r>
          </w:p>
        </w:tc>
        <w:tc>
          <w:tcPr>
            <w:tcW w:w="1769" w:type="dxa"/>
            <w:vAlign w:val="center"/>
          </w:tcPr>
          <w:p w14:paraId="5CB83E97">
            <w:pPr>
              <w:pStyle w:val="128"/>
              <w:spacing w:before="124" w:line="283" w:lineRule="auto"/>
              <w:ind w:left="7" w:right="4"/>
              <w:jc w:val="center"/>
              <w:rPr>
                <w:rFonts w:ascii="宋体" w:hAnsi="宋体" w:cs="宋体"/>
                <w:color w:val="auto"/>
                <w:sz w:val="21"/>
                <w:szCs w:val="21"/>
                <w:highlight w:val="none"/>
              </w:rPr>
            </w:pPr>
          </w:p>
        </w:tc>
        <w:tc>
          <w:tcPr>
            <w:tcW w:w="3910" w:type="dxa"/>
            <w:vAlign w:val="center"/>
          </w:tcPr>
          <w:p w14:paraId="700EE0D6">
            <w:pPr>
              <w:pStyle w:val="128"/>
              <w:spacing w:before="124"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《家用电冰箱耗电量限定值及能效等级》（GB12021.2）</w:t>
            </w:r>
          </w:p>
        </w:tc>
      </w:tr>
      <w:tr w14:paraId="43E3F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96" w:hRule="atLeast"/>
          <w:jc w:val="center"/>
        </w:trPr>
        <w:tc>
          <w:tcPr>
            <w:tcW w:w="716" w:type="dxa"/>
            <w:vMerge w:val="continue"/>
            <w:vAlign w:val="center"/>
          </w:tcPr>
          <w:p w14:paraId="03CC6D52">
            <w:pPr>
              <w:widowControl/>
              <w:jc w:val="center"/>
              <w:rPr>
                <w:rFonts w:ascii="宋体" w:hAnsi="宋体" w:cs="宋体"/>
                <w:color w:val="auto"/>
                <w:kern w:val="0"/>
                <w:szCs w:val="21"/>
                <w:highlight w:val="none"/>
              </w:rPr>
            </w:pPr>
          </w:p>
        </w:tc>
        <w:tc>
          <w:tcPr>
            <w:tcW w:w="1015" w:type="dxa"/>
            <w:vMerge w:val="continue"/>
            <w:vAlign w:val="center"/>
          </w:tcPr>
          <w:p w14:paraId="25D439D5">
            <w:pPr>
              <w:widowControl/>
              <w:jc w:val="center"/>
              <w:rPr>
                <w:rFonts w:ascii="宋体" w:hAnsi="宋体" w:cs="宋体"/>
                <w:color w:val="auto"/>
                <w:kern w:val="0"/>
                <w:szCs w:val="21"/>
                <w:highlight w:val="none"/>
              </w:rPr>
            </w:pPr>
          </w:p>
        </w:tc>
        <w:tc>
          <w:tcPr>
            <w:tcW w:w="1554" w:type="dxa"/>
            <w:vMerge w:val="restart"/>
            <w:vAlign w:val="center"/>
          </w:tcPr>
          <w:p w14:paraId="37933241">
            <w:pPr>
              <w:pStyle w:val="128"/>
              <w:spacing w:before="171"/>
              <w:jc w:val="center"/>
              <w:rPr>
                <w:rFonts w:ascii="宋体" w:hAnsi="宋体" w:cs="宋体"/>
                <w:color w:val="auto"/>
                <w:sz w:val="21"/>
                <w:szCs w:val="21"/>
                <w:highlight w:val="none"/>
              </w:rPr>
            </w:pPr>
            <w:r>
              <w:rPr>
                <w:rFonts w:hint="eastAsia" w:ascii="宋体" w:hAnsi="宋体" w:cs="宋体"/>
                <w:color w:val="auto"/>
                <w:sz w:val="21"/>
                <w:szCs w:val="21"/>
                <w:highlight w:val="none"/>
              </w:rPr>
              <w:t>★A0206180203空调</w:t>
            </w:r>
          </w:p>
          <w:p w14:paraId="2494A0D0">
            <w:pPr>
              <w:pStyle w:val="128"/>
              <w:spacing w:before="50"/>
              <w:ind w:left="7"/>
              <w:jc w:val="center"/>
              <w:rPr>
                <w:rFonts w:ascii="宋体" w:hAnsi="宋体" w:cs="宋体"/>
                <w:color w:val="auto"/>
                <w:sz w:val="21"/>
                <w:szCs w:val="21"/>
                <w:highlight w:val="none"/>
              </w:rPr>
            </w:pPr>
            <w:r>
              <w:rPr>
                <w:rFonts w:hint="eastAsia" w:ascii="宋体" w:hAnsi="宋体" w:cs="宋体"/>
                <w:color w:val="auto"/>
                <w:sz w:val="21"/>
                <w:szCs w:val="21"/>
                <w:highlight w:val="none"/>
              </w:rPr>
              <w:t>机</w:t>
            </w:r>
          </w:p>
        </w:tc>
        <w:tc>
          <w:tcPr>
            <w:tcW w:w="1769" w:type="dxa"/>
            <w:vAlign w:val="center"/>
          </w:tcPr>
          <w:p w14:paraId="60CE1BA8">
            <w:pPr>
              <w:pStyle w:val="128"/>
              <w:jc w:val="center"/>
              <w:rPr>
                <w:rFonts w:ascii="宋体" w:hAnsi="宋体" w:cs="宋体"/>
                <w:color w:val="auto"/>
                <w:sz w:val="21"/>
                <w:szCs w:val="21"/>
                <w:highlight w:val="none"/>
              </w:rPr>
            </w:pPr>
            <w:r>
              <w:rPr>
                <w:rFonts w:hint="eastAsia" w:ascii="宋体" w:hAnsi="宋体" w:cs="宋体"/>
                <w:color w:val="auto"/>
                <w:sz w:val="21"/>
                <w:szCs w:val="21"/>
                <w:highlight w:val="none"/>
              </w:rPr>
              <w:t>房间空气调节器</w:t>
            </w:r>
          </w:p>
        </w:tc>
        <w:tc>
          <w:tcPr>
            <w:tcW w:w="3910" w:type="dxa"/>
            <w:vAlign w:val="center"/>
          </w:tcPr>
          <w:p w14:paraId="61C3A2BE">
            <w:pPr>
              <w:pStyle w:val="128"/>
              <w:spacing w:before="4"/>
              <w:ind w:left="7"/>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《转速可控型房间空气调节器能效限定值及能效等级》（GB21455-2013），待2019年修订发布后，按《房间空气调节器能效限定值及能效等级》（GB21455-2019）实施。</w:t>
            </w:r>
          </w:p>
        </w:tc>
      </w:tr>
      <w:tr w14:paraId="2B6CB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0303E8D2">
            <w:pPr>
              <w:widowControl/>
              <w:jc w:val="center"/>
              <w:rPr>
                <w:rFonts w:ascii="宋体" w:hAnsi="宋体" w:cs="宋体"/>
                <w:color w:val="auto"/>
                <w:kern w:val="0"/>
                <w:szCs w:val="21"/>
                <w:highlight w:val="none"/>
              </w:rPr>
            </w:pPr>
          </w:p>
        </w:tc>
        <w:tc>
          <w:tcPr>
            <w:tcW w:w="1015" w:type="dxa"/>
            <w:vMerge w:val="continue"/>
            <w:vAlign w:val="center"/>
          </w:tcPr>
          <w:p w14:paraId="5EDF9316">
            <w:pPr>
              <w:widowControl/>
              <w:jc w:val="center"/>
              <w:rPr>
                <w:rFonts w:ascii="宋体" w:hAnsi="宋体" w:cs="宋体"/>
                <w:color w:val="auto"/>
                <w:kern w:val="0"/>
                <w:szCs w:val="21"/>
                <w:highlight w:val="none"/>
              </w:rPr>
            </w:pPr>
          </w:p>
        </w:tc>
        <w:tc>
          <w:tcPr>
            <w:tcW w:w="1554" w:type="dxa"/>
            <w:vMerge w:val="continue"/>
            <w:vAlign w:val="center"/>
          </w:tcPr>
          <w:p w14:paraId="3E53F702">
            <w:pPr>
              <w:widowControl/>
              <w:jc w:val="center"/>
              <w:rPr>
                <w:rFonts w:ascii="宋体" w:hAnsi="宋体" w:cs="宋体"/>
                <w:color w:val="auto"/>
                <w:kern w:val="0"/>
                <w:szCs w:val="21"/>
                <w:highlight w:val="none"/>
              </w:rPr>
            </w:pPr>
          </w:p>
        </w:tc>
        <w:tc>
          <w:tcPr>
            <w:tcW w:w="1769" w:type="dxa"/>
            <w:vAlign w:val="center"/>
          </w:tcPr>
          <w:p w14:paraId="75816AF6">
            <w:pPr>
              <w:pStyle w:val="128"/>
              <w:spacing w:before="4" w:line="283" w:lineRule="auto"/>
              <w:ind w:left="7" w:right="7"/>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多联式空调（热泵）机组（制冷量≤14000W）</w:t>
            </w:r>
          </w:p>
        </w:tc>
        <w:tc>
          <w:tcPr>
            <w:tcW w:w="3910" w:type="dxa"/>
            <w:vAlign w:val="center"/>
          </w:tcPr>
          <w:p w14:paraId="4E6D9712">
            <w:pPr>
              <w:pStyle w:val="128"/>
              <w:spacing w:before="160" w:line="283" w:lineRule="auto"/>
              <w:ind w:left="7" w:right="7"/>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《多联式空调（热泵）机组能效限定值及能源效率等级》（GB21454</w:t>
            </w:r>
          </w:p>
        </w:tc>
      </w:tr>
      <w:tr w14:paraId="21E6A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2" w:hRule="atLeast"/>
          <w:jc w:val="center"/>
        </w:trPr>
        <w:tc>
          <w:tcPr>
            <w:tcW w:w="716" w:type="dxa"/>
            <w:vMerge w:val="continue"/>
            <w:vAlign w:val="center"/>
          </w:tcPr>
          <w:p w14:paraId="19D97406">
            <w:pPr>
              <w:widowControl/>
              <w:jc w:val="center"/>
              <w:rPr>
                <w:rFonts w:ascii="宋体" w:hAnsi="宋体" w:cs="宋体"/>
                <w:color w:val="auto"/>
                <w:kern w:val="0"/>
                <w:szCs w:val="21"/>
                <w:highlight w:val="none"/>
              </w:rPr>
            </w:pPr>
          </w:p>
        </w:tc>
        <w:tc>
          <w:tcPr>
            <w:tcW w:w="1015" w:type="dxa"/>
            <w:vMerge w:val="continue"/>
            <w:vAlign w:val="center"/>
          </w:tcPr>
          <w:p w14:paraId="0AFB2BA9">
            <w:pPr>
              <w:widowControl/>
              <w:jc w:val="center"/>
              <w:rPr>
                <w:rFonts w:ascii="宋体" w:hAnsi="宋体" w:cs="宋体"/>
                <w:color w:val="auto"/>
                <w:kern w:val="0"/>
                <w:szCs w:val="21"/>
                <w:highlight w:val="none"/>
              </w:rPr>
            </w:pPr>
          </w:p>
        </w:tc>
        <w:tc>
          <w:tcPr>
            <w:tcW w:w="1554" w:type="dxa"/>
            <w:vMerge w:val="continue"/>
            <w:vAlign w:val="center"/>
          </w:tcPr>
          <w:p w14:paraId="79EDE00B">
            <w:pPr>
              <w:widowControl/>
              <w:jc w:val="center"/>
              <w:rPr>
                <w:rFonts w:ascii="宋体" w:hAnsi="宋体" w:cs="宋体"/>
                <w:color w:val="auto"/>
                <w:kern w:val="0"/>
                <w:szCs w:val="21"/>
                <w:highlight w:val="none"/>
              </w:rPr>
            </w:pPr>
          </w:p>
        </w:tc>
        <w:tc>
          <w:tcPr>
            <w:tcW w:w="1769" w:type="dxa"/>
            <w:vAlign w:val="center"/>
          </w:tcPr>
          <w:p w14:paraId="5DB1E5D9">
            <w:pPr>
              <w:pStyle w:val="128"/>
              <w:jc w:val="center"/>
              <w:rPr>
                <w:rFonts w:ascii="宋体" w:hAnsi="宋体" w:cs="宋体"/>
                <w:color w:val="auto"/>
                <w:sz w:val="21"/>
                <w:szCs w:val="21"/>
                <w:highlight w:val="none"/>
              </w:rPr>
            </w:pPr>
            <w:r>
              <w:rPr>
                <w:rFonts w:hint="eastAsia" w:ascii="宋体" w:hAnsi="宋体" w:cs="宋体"/>
                <w:color w:val="auto"/>
                <w:sz w:val="21"/>
                <w:szCs w:val="21"/>
                <w:highlight w:val="none"/>
              </w:rPr>
              <w:t>单元式空气调节机</w:t>
            </w:r>
          </w:p>
        </w:tc>
        <w:tc>
          <w:tcPr>
            <w:tcW w:w="3910" w:type="dxa"/>
            <w:vAlign w:val="center"/>
          </w:tcPr>
          <w:p w14:paraId="1CF3FBB6">
            <w:pPr>
              <w:pStyle w:val="128"/>
              <w:spacing w:before="4"/>
              <w:ind w:left="7"/>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《单元式空气调节机能效限定值及能源效率等级》（GB19576）《风</w:t>
            </w:r>
          </w:p>
        </w:tc>
      </w:tr>
      <w:tr w14:paraId="1A017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jc w:val="center"/>
        </w:trPr>
        <w:tc>
          <w:tcPr>
            <w:tcW w:w="716" w:type="dxa"/>
            <w:vMerge w:val="continue"/>
            <w:vAlign w:val="center"/>
          </w:tcPr>
          <w:p w14:paraId="4A42956C">
            <w:pPr>
              <w:widowControl/>
              <w:jc w:val="center"/>
              <w:rPr>
                <w:rFonts w:ascii="宋体" w:hAnsi="宋体" w:cs="宋体"/>
                <w:color w:val="auto"/>
                <w:kern w:val="0"/>
                <w:szCs w:val="21"/>
                <w:highlight w:val="none"/>
              </w:rPr>
            </w:pPr>
          </w:p>
        </w:tc>
        <w:tc>
          <w:tcPr>
            <w:tcW w:w="1015" w:type="dxa"/>
            <w:vMerge w:val="continue"/>
            <w:vAlign w:val="center"/>
          </w:tcPr>
          <w:p w14:paraId="6B2F3B9E">
            <w:pPr>
              <w:widowControl/>
              <w:jc w:val="center"/>
              <w:rPr>
                <w:rFonts w:ascii="宋体" w:hAnsi="宋体" w:cs="宋体"/>
                <w:color w:val="auto"/>
                <w:kern w:val="0"/>
                <w:szCs w:val="21"/>
                <w:highlight w:val="none"/>
              </w:rPr>
            </w:pPr>
          </w:p>
        </w:tc>
        <w:tc>
          <w:tcPr>
            <w:tcW w:w="1554" w:type="dxa"/>
            <w:vMerge w:val="continue"/>
            <w:vAlign w:val="center"/>
          </w:tcPr>
          <w:p w14:paraId="6C3EEC1C">
            <w:pPr>
              <w:widowControl/>
              <w:jc w:val="center"/>
              <w:rPr>
                <w:rFonts w:ascii="宋体" w:hAnsi="宋体" w:cs="宋体"/>
                <w:color w:val="auto"/>
                <w:kern w:val="0"/>
                <w:szCs w:val="21"/>
                <w:highlight w:val="none"/>
              </w:rPr>
            </w:pPr>
          </w:p>
        </w:tc>
        <w:tc>
          <w:tcPr>
            <w:tcW w:w="1769" w:type="dxa"/>
            <w:vAlign w:val="center"/>
          </w:tcPr>
          <w:p w14:paraId="2F328B84">
            <w:pPr>
              <w:pStyle w:val="128"/>
              <w:spacing w:line="256" w:lineRule="exact"/>
              <w:ind w:left="7"/>
              <w:jc w:val="center"/>
              <w:rPr>
                <w:rFonts w:ascii="宋体" w:hAnsi="宋体" w:cs="宋体"/>
                <w:color w:val="auto"/>
                <w:sz w:val="21"/>
                <w:szCs w:val="21"/>
                <w:highlight w:val="none"/>
              </w:rPr>
            </w:pPr>
            <w:r>
              <w:rPr>
                <w:rFonts w:hint="eastAsia" w:ascii="宋体" w:hAnsi="宋体" w:cs="宋体"/>
                <w:color w:val="auto"/>
                <w:sz w:val="21"/>
                <w:szCs w:val="21"/>
                <w:highlight w:val="none"/>
              </w:rPr>
              <w:t>(制冷量≤14000W)</w:t>
            </w:r>
          </w:p>
        </w:tc>
        <w:tc>
          <w:tcPr>
            <w:tcW w:w="3910" w:type="dxa"/>
            <w:vAlign w:val="center"/>
          </w:tcPr>
          <w:p w14:paraId="26F1BE13">
            <w:pPr>
              <w:pStyle w:val="128"/>
              <w:spacing w:line="256" w:lineRule="exact"/>
              <w:ind w:left="7"/>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管送风式空调机组能效限定值及能效等级》（GB37479）</w:t>
            </w:r>
          </w:p>
        </w:tc>
      </w:tr>
      <w:tr w14:paraId="331A2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01190A82">
            <w:pPr>
              <w:widowControl/>
              <w:jc w:val="center"/>
              <w:rPr>
                <w:rFonts w:ascii="宋体" w:hAnsi="宋体" w:cs="宋体"/>
                <w:color w:val="auto"/>
                <w:kern w:val="0"/>
                <w:szCs w:val="21"/>
                <w:highlight w:val="none"/>
              </w:rPr>
            </w:pPr>
          </w:p>
        </w:tc>
        <w:tc>
          <w:tcPr>
            <w:tcW w:w="1015" w:type="dxa"/>
            <w:vMerge w:val="continue"/>
            <w:vAlign w:val="center"/>
          </w:tcPr>
          <w:p w14:paraId="49540028">
            <w:pPr>
              <w:widowControl/>
              <w:jc w:val="center"/>
              <w:rPr>
                <w:rFonts w:ascii="宋体" w:hAnsi="宋体" w:cs="宋体"/>
                <w:color w:val="auto"/>
                <w:kern w:val="0"/>
                <w:szCs w:val="21"/>
                <w:highlight w:val="none"/>
              </w:rPr>
            </w:pPr>
          </w:p>
        </w:tc>
        <w:tc>
          <w:tcPr>
            <w:tcW w:w="1554" w:type="dxa"/>
            <w:vAlign w:val="center"/>
          </w:tcPr>
          <w:p w14:paraId="1B07F775">
            <w:pPr>
              <w:pStyle w:val="128"/>
              <w:spacing w:before="162"/>
              <w:ind w:left="7"/>
              <w:jc w:val="center"/>
              <w:rPr>
                <w:rFonts w:ascii="宋体" w:hAnsi="宋体" w:cs="宋体"/>
                <w:color w:val="auto"/>
                <w:sz w:val="21"/>
                <w:szCs w:val="21"/>
                <w:highlight w:val="none"/>
              </w:rPr>
            </w:pPr>
            <w:r>
              <w:rPr>
                <w:rFonts w:hint="eastAsia" w:ascii="宋体" w:hAnsi="宋体" w:cs="宋体"/>
                <w:color w:val="auto"/>
                <w:sz w:val="21"/>
                <w:szCs w:val="21"/>
                <w:highlight w:val="none"/>
              </w:rPr>
              <w:t>A0206180301洗衣机</w:t>
            </w:r>
          </w:p>
        </w:tc>
        <w:tc>
          <w:tcPr>
            <w:tcW w:w="1769" w:type="dxa"/>
            <w:vAlign w:val="center"/>
          </w:tcPr>
          <w:p w14:paraId="49433146">
            <w:pPr>
              <w:jc w:val="center"/>
              <w:rPr>
                <w:rFonts w:ascii="宋体" w:hAnsi="宋体" w:cs="宋体"/>
                <w:color w:val="auto"/>
                <w:kern w:val="0"/>
                <w:szCs w:val="21"/>
                <w:highlight w:val="none"/>
                <w:lang w:eastAsia="en-US"/>
              </w:rPr>
            </w:pPr>
          </w:p>
        </w:tc>
        <w:tc>
          <w:tcPr>
            <w:tcW w:w="3910" w:type="dxa"/>
            <w:vAlign w:val="center"/>
          </w:tcPr>
          <w:p w14:paraId="4E926879">
            <w:pPr>
              <w:pStyle w:val="128"/>
              <w:spacing w:before="6"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《电动洗衣机能效水效限定值及等级》（GB12021.4）</w:t>
            </w:r>
          </w:p>
        </w:tc>
      </w:tr>
      <w:tr w14:paraId="26953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21DA3D24">
            <w:pPr>
              <w:jc w:val="center"/>
              <w:rPr>
                <w:rFonts w:ascii="宋体" w:hAnsi="宋体" w:cs="宋体"/>
                <w:color w:val="auto"/>
                <w:kern w:val="0"/>
                <w:szCs w:val="21"/>
                <w:highlight w:val="none"/>
              </w:rPr>
            </w:pPr>
          </w:p>
        </w:tc>
        <w:tc>
          <w:tcPr>
            <w:tcW w:w="1015" w:type="dxa"/>
            <w:vMerge w:val="continue"/>
            <w:vAlign w:val="center"/>
          </w:tcPr>
          <w:p w14:paraId="42DA3AC4">
            <w:pPr>
              <w:jc w:val="center"/>
              <w:rPr>
                <w:rFonts w:ascii="宋体" w:hAnsi="宋体" w:cs="宋体"/>
                <w:color w:val="auto"/>
                <w:kern w:val="0"/>
                <w:szCs w:val="21"/>
                <w:highlight w:val="none"/>
              </w:rPr>
            </w:pPr>
          </w:p>
        </w:tc>
        <w:tc>
          <w:tcPr>
            <w:tcW w:w="1554" w:type="dxa"/>
            <w:vMerge w:val="restart"/>
            <w:vAlign w:val="center"/>
          </w:tcPr>
          <w:p w14:paraId="570A512B">
            <w:pPr>
              <w:pStyle w:val="128"/>
              <w:spacing w:before="161"/>
              <w:jc w:val="center"/>
              <w:rPr>
                <w:rFonts w:ascii="宋体" w:hAnsi="宋体" w:cs="宋体"/>
                <w:color w:val="auto"/>
                <w:sz w:val="21"/>
                <w:szCs w:val="21"/>
                <w:highlight w:val="none"/>
              </w:rPr>
            </w:pPr>
            <w:r>
              <w:rPr>
                <w:rFonts w:hint="eastAsia" w:ascii="宋体" w:hAnsi="宋体" w:cs="宋体"/>
                <w:color w:val="auto"/>
                <w:sz w:val="21"/>
                <w:szCs w:val="21"/>
                <w:highlight w:val="none"/>
              </w:rPr>
              <w:t>A02061808热水器</w:t>
            </w:r>
          </w:p>
        </w:tc>
        <w:tc>
          <w:tcPr>
            <w:tcW w:w="1769" w:type="dxa"/>
            <w:vAlign w:val="center"/>
          </w:tcPr>
          <w:p w14:paraId="595B7FF6">
            <w:pPr>
              <w:pStyle w:val="128"/>
              <w:jc w:val="center"/>
              <w:rPr>
                <w:rFonts w:ascii="宋体" w:hAnsi="宋体" w:cs="宋体"/>
                <w:color w:val="auto"/>
                <w:sz w:val="21"/>
                <w:szCs w:val="21"/>
                <w:highlight w:val="none"/>
              </w:rPr>
            </w:pPr>
            <w:r>
              <w:rPr>
                <w:rFonts w:hint="eastAsia" w:ascii="宋体" w:hAnsi="宋体" w:cs="宋体"/>
                <w:color w:val="auto"/>
                <w:sz w:val="21"/>
                <w:szCs w:val="21"/>
                <w:highlight w:val="none"/>
              </w:rPr>
              <w:t>★电热水器</w:t>
            </w:r>
          </w:p>
        </w:tc>
        <w:tc>
          <w:tcPr>
            <w:tcW w:w="3904" w:type="dxa"/>
            <w:vAlign w:val="center"/>
          </w:tcPr>
          <w:p w14:paraId="41327C20">
            <w:pPr>
              <w:pStyle w:val="128"/>
              <w:tabs>
                <w:tab w:val="left" w:pos="1608"/>
              </w:tabs>
              <w:spacing w:before="52"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《储水式电热水器能效限定值及能效等级》（GB21519）</w:t>
            </w:r>
          </w:p>
        </w:tc>
      </w:tr>
      <w:tr w14:paraId="02CDE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1BABCDEF">
            <w:pPr>
              <w:widowControl/>
              <w:jc w:val="center"/>
              <w:rPr>
                <w:rFonts w:ascii="宋体" w:hAnsi="宋体" w:cs="宋体"/>
                <w:color w:val="auto"/>
                <w:kern w:val="0"/>
                <w:szCs w:val="21"/>
                <w:highlight w:val="none"/>
              </w:rPr>
            </w:pPr>
          </w:p>
        </w:tc>
        <w:tc>
          <w:tcPr>
            <w:tcW w:w="1015" w:type="dxa"/>
            <w:vMerge w:val="continue"/>
            <w:vAlign w:val="center"/>
          </w:tcPr>
          <w:p w14:paraId="53DB219F">
            <w:pPr>
              <w:widowControl/>
              <w:jc w:val="center"/>
              <w:rPr>
                <w:rFonts w:ascii="宋体" w:hAnsi="宋体" w:cs="宋体"/>
                <w:color w:val="auto"/>
                <w:kern w:val="0"/>
                <w:szCs w:val="21"/>
                <w:highlight w:val="none"/>
              </w:rPr>
            </w:pPr>
          </w:p>
        </w:tc>
        <w:tc>
          <w:tcPr>
            <w:tcW w:w="1554" w:type="dxa"/>
            <w:vMerge w:val="continue"/>
            <w:vAlign w:val="center"/>
          </w:tcPr>
          <w:p w14:paraId="0969F4B5">
            <w:pPr>
              <w:widowControl/>
              <w:jc w:val="center"/>
              <w:rPr>
                <w:rFonts w:ascii="宋体" w:hAnsi="宋体" w:cs="宋体"/>
                <w:color w:val="auto"/>
                <w:kern w:val="0"/>
                <w:szCs w:val="21"/>
                <w:highlight w:val="none"/>
              </w:rPr>
            </w:pPr>
          </w:p>
        </w:tc>
        <w:tc>
          <w:tcPr>
            <w:tcW w:w="1769" w:type="dxa"/>
            <w:vAlign w:val="center"/>
          </w:tcPr>
          <w:p w14:paraId="6FE666FD">
            <w:pPr>
              <w:pStyle w:val="128"/>
              <w:jc w:val="center"/>
              <w:rPr>
                <w:rFonts w:ascii="宋体" w:hAnsi="宋体" w:cs="宋体"/>
                <w:color w:val="auto"/>
                <w:sz w:val="21"/>
                <w:szCs w:val="21"/>
                <w:highlight w:val="none"/>
              </w:rPr>
            </w:pPr>
            <w:r>
              <w:rPr>
                <w:rFonts w:hint="eastAsia" w:ascii="宋体" w:hAnsi="宋体" w:cs="宋体"/>
                <w:color w:val="auto"/>
                <w:sz w:val="21"/>
                <w:szCs w:val="21"/>
                <w:highlight w:val="none"/>
              </w:rPr>
              <w:t>燃气热水器</w:t>
            </w:r>
          </w:p>
        </w:tc>
        <w:tc>
          <w:tcPr>
            <w:tcW w:w="3904" w:type="dxa"/>
            <w:vAlign w:val="center"/>
          </w:tcPr>
          <w:p w14:paraId="18E487F0">
            <w:pPr>
              <w:pStyle w:val="128"/>
              <w:spacing w:before="4"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《家用燃气快速热水器和燃气采暖热水炉能效限定值及能效等级》</w:t>
            </w:r>
          </w:p>
          <w:p w14:paraId="4BC983BD">
            <w:pPr>
              <w:pStyle w:val="128"/>
              <w:spacing w:before="12"/>
              <w:ind w:left="7"/>
              <w:jc w:val="center"/>
              <w:rPr>
                <w:rFonts w:ascii="宋体" w:hAnsi="宋体" w:cs="宋体"/>
                <w:color w:val="auto"/>
                <w:sz w:val="21"/>
                <w:szCs w:val="21"/>
                <w:highlight w:val="none"/>
              </w:rPr>
            </w:pPr>
            <w:r>
              <w:rPr>
                <w:rFonts w:hint="eastAsia" w:ascii="宋体" w:hAnsi="宋体" w:cs="宋体"/>
                <w:color w:val="auto"/>
                <w:sz w:val="21"/>
                <w:szCs w:val="21"/>
                <w:highlight w:val="none"/>
              </w:rPr>
              <w:t>（GB20665）</w:t>
            </w:r>
          </w:p>
        </w:tc>
      </w:tr>
      <w:tr w14:paraId="2D384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28FFCA0E">
            <w:pPr>
              <w:widowControl/>
              <w:jc w:val="center"/>
              <w:rPr>
                <w:rFonts w:ascii="宋体" w:hAnsi="宋体" w:cs="宋体"/>
                <w:color w:val="auto"/>
                <w:kern w:val="0"/>
                <w:szCs w:val="21"/>
                <w:highlight w:val="none"/>
                <w:lang w:eastAsia="en-US"/>
              </w:rPr>
            </w:pPr>
          </w:p>
        </w:tc>
        <w:tc>
          <w:tcPr>
            <w:tcW w:w="1015" w:type="dxa"/>
            <w:vMerge w:val="continue"/>
            <w:vAlign w:val="center"/>
          </w:tcPr>
          <w:p w14:paraId="04C03CB5">
            <w:pPr>
              <w:widowControl/>
              <w:jc w:val="center"/>
              <w:rPr>
                <w:rFonts w:ascii="宋体" w:hAnsi="宋体" w:cs="宋体"/>
                <w:color w:val="auto"/>
                <w:kern w:val="0"/>
                <w:szCs w:val="21"/>
                <w:highlight w:val="none"/>
                <w:lang w:eastAsia="en-US"/>
              </w:rPr>
            </w:pPr>
          </w:p>
        </w:tc>
        <w:tc>
          <w:tcPr>
            <w:tcW w:w="1554" w:type="dxa"/>
            <w:vMerge w:val="continue"/>
            <w:vAlign w:val="center"/>
          </w:tcPr>
          <w:p w14:paraId="2F15ED29">
            <w:pPr>
              <w:widowControl/>
              <w:jc w:val="center"/>
              <w:rPr>
                <w:rFonts w:ascii="宋体" w:hAnsi="宋体" w:cs="宋体"/>
                <w:color w:val="auto"/>
                <w:kern w:val="0"/>
                <w:szCs w:val="21"/>
                <w:highlight w:val="none"/>
                <w:lang w:eastAsia="en-US"/>
              </w:rPr>
            </w:pPr>
          </w:p>
        </w:tc>
        <w:tc>
          <w:tcPr>
            <w:tcW w:w="1769" w:type="dxa"/>
            <w:vAlign w:val="center"/>
          </w:tcPr>
          <w:p w14:paraId="46D11625">
            <w:pPr>
              <w:pStyle w:val="128"/>
              <w:jc w:val="center"/>
              <w:rPr>
                <w:rFonts w:ascii="宋体" w:hAnsi="宋体" w:cs="宋体"/>
                <w:color w:val="auto"/>
                <w:sz w:val="21"/>
                <w:szCs w:val="21"/>
                <w:highlight w:val="none"/>
              </w:rPr>
            </w:pPr>
            <w:r>
              <w:rPr>
                <w:rFonts w:hint="eastAsia" w:ascii="宋体" w:hAnsi="宋体" w:cs="宋体"/>
                <w:color w:val="auto"/>
                <w:sz w:val="21"/>
                <w:szCs w:val="21"/>
                <w:highlight w:val="none"/>
              </w:rPr>
              <w:t>热泵热水器</w:t>
            </w:r>
          </w:p>
        </w:tc>
        <w:tc>
          <w:tcPr>
            <w:tcW w:w="3904" w:type="dxa"/>
            <w:vAlign w:val="center"/>
          </w:tcPr>
          <w:p w14:paraId="6DD5F27A">
            <w:pPr>
              <w:pStyle w:val="128"/>
              <w:spacing w:before="93" w:line="283" w:lineRule="auto"/>
              <w:ind w:left="7" w:right="7"/>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《热泵热水机（器）能效限定值及能效等级》（GB29541）</w:t>
            </w:r>
          </w:p>
        </w:tc>
      </w:tr>
      <w:tr w14:paraId="6142B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572B510E">
            <w:pPr>
              <w:widowControl/>
              <w:jc w:val="center"/>
              <w:rPr>
                <w:rFonts w:ascii="宋体" w:hAnsi="宋体" w:cs="宋体"/>
                <w:color w:val="auto"/>
                <w:kern w:val="0"/>
                <w:szCs w:val="21"/>
                <w:highlight w:val="none"/>
              </w:rPr>
            </w:pPr>
          </w:p>
        </w:tc>
        <w:tc>
          <w:tcPr>
            <w:tcW w:w="1015" w:type="dxa"/>
            <w:vMerge w:val="continue"/>
            <w:vAlign w:val="center"/>
          </w:tcPr>
          <w:p w14:paraId="3D730497">
            <w:pPr>
              <w:widowControl/>
              <w:jc w:val="center"/>
              <w:rPr>
                <w:rFonts w:ascii="宋体" w:hAnsi="宋体" w:cs="宋体"/>
                <w:color w:val="auto"/>
                <w:kern w:val="0"/>
                <w:szCs w:val="21"/>
                <w:highlight w:val="none"/>
              </w:rPr>
            </w:pPr>
          </w:p>
        </w:tc>
        <w:tc>
          <w:tcPr>
            <w:tcW w:w="1554" w:type="dxa"/>
            <w:vMerge w:val="continue"/>
            <w:vAlign w:val="center"/>
          </w:tcPr>
          <w:p w14:paraId="6B6541D2">
            <w:pPr>
              <w:widowControl/>
              <w:jc w:val="center"/>
              <w:rPr>
                <w:rFonts w:ascii="宋体" w:hAnsi="宋体" w:cs="宋体"/>
                <w:color w:val="auto"/>
                <w:kern w:val="0"/>
                <w:szCs w:val="21"/>
                <w:highlight w:val="none"/>
              </w:rPr>
            </w:pPr>
          </w:p>
        </w:tc>
        <w:tc>
          <w:tcPr>
            <w:tcW w:w="1769" w:type="dxa"/>
            <w:vAlign w:val="center"/>
          </w:tcPr>
          <w:p w14:paraId="1F35B91A">
            <w:pPr>
              <w:pStyle w:val="128"/>
              <w:jc w:val="center"/>
              <w:rPr>
                <w:rFonts w:ascii="宋体" w:hAnsi="宋体" w:cs="宋体"/>
                <w:color w:val="auto"/>
                <w:sz w:val="21"/>
                <w:szCs w:val="21"/>
                <w:highlight w:val="none"/>
              </w:rPr>
            </w:pPr>
            <w:r>
              <w:rPr>
                <w:rFonts w:hint="eastAsia" w:ascii="宋体" w:hAnsi="宋体" w:cs="宋体"/>
                <w:color w:val="auto"/>
                <w:sz w:val="21"/>
                <w:szCs w:val="21"/>
                <w:highlight w:val="none"/>
              </w:rPr>
              <w:t>太阳能热水系统</w:t>
            </w:r>
          </w:p>
        </w:tc>
        <w:tc>
          <w:tcPr>
            <w:tcW w:w="3904" w:type="dxa"/>
            <w:vAlign w:val="center"/>
          </w:tcPr>
          <w:p w14:paraId="11067A27">
            <w:pPr>
              <w:pStyle w:val="128"/>
              <w:spacing w:before="52"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《家用太阳能热水系统能效限定值及能效等级》（GB26969）</w:t>
            </w:r>
          </w:p>
        </w:tc>
      </w:tr>
      <w:tr w14:paraId="59325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restart"/>
            <w:vAlign w:val="center"/>
          </w:tcPr>
          <w:p w14:paraId="6D423310">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11</w:t>
            </w:r>
          </w:p>
        </w:tc>
        <w:tc>
          <w:tcPr>
            <w:tcW w:w="1015" w:type="dxa"/>
            <w:vMerge w:val="restart"/>
            <w:vAlign w:val="center"/>
          </w:tcPr>
          <w:p w14:paraId="4E5291BE">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A020619照明设备</w:t>
            </w:r>
          </w:p>
        </w:tc>
        <w:tc>
          <w:tcPr>
            <w:tcW w:w="1554" w:type="dxa"/>
            <w:vAlign w:val="center"/>
          </w:tcPr>
          <w:p w14:paraId="43105AEC">
            <w:pPr>
              <w:pStyle w:val="128"/>
              <w:spacing w:before="124"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★普通照明用双端荧光灯</w:t>
            </w:r>
          </w:p>
        </w:tc>
        <w:tc>
          <w:tcPr>
            <w:tcW w:w="1769" w:type="dxa"/>
            <w:vAlign w:val="center"/>
          </w:tcPr>
          <w:p w14:paraId="57D12303">
            <w:pPr>
              <w:pStyle w:val="128"/>
              <w:spacing w:before="124" w:line="283" w:lineRule="auto"/>
              <w:ind w:left="7" w:right="4"/>
              <w:jc w:val="center"/>
              <w:rPr>
                <w:rFonts w:ascii="宋体" w:hAnsi="宋体" w:cs="宋体"/>
                <w:color w:val="auto"/>
                <w:sz w:val="21"/>
                <w:szCs w:val="21"/>
                <w:highlight w:val="none"/>
                <w:lang w:eastAsia="zh-CN"/>
              </w:rPr>
            </w:pPr>
          </w:p>
        </w:tc>
        <w:tc>
          <w:tcPr>
            <w:tcW w:w="3904" w:type="dxa"/>
            <w:vAlign w:val="center"/>
          </w:tcPr>
          <w:p w14:paraId="4AB36868">
            <w:pPr>
              <w:pStyle w:val="128"/>
              <w:spacing w:before="124"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《普通照明用双端荧光灯能效限定值及能效等级》（GB19043）</w:t>
            </w:r>
          </w:p>
        </w:tc>
      </w:tr>
      <w:tr w14:paraId="21C89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1FFB8AFE">
            <w:pPr>
              <w:widowControl/>
              <w:jc w:val="center"/>
              <w:rPr>
                <w:rFonts w:ascii="宋体" w:hAnsi="宋体" w:cs="宋体"/>
                <w:color w:val="auto"/>
                <w:kern w:val="0"/>
                <w:szCs w:val="21"/>
                <w:highlight w:val="none"/>
              </w:rPr>
            </w:pPr>
          </w:p>
        </w:tc>
        <w:tc>
          <w:tcPr>
            <w:tcW w:w="1015" w:type="dxa"/>
            <w:vMerge w:val="continue"/>
            <w:vAlign w:val="center"/>
          </w:tcPr>
          <w:p w14:paraId="3FA837E9">
            <w:pPr>
              <w:widowControl/>
              <w:jc w:val="center"/>
              <w:rPr>
                <w:rFonts w:ascii="宋体" w:hAnsi="宋体" w:cs="宋体"/>
                <w:color w:val="auto"/>
                <w:kern w:val="0"/>
                <w:szCs w:val="21"/>
                <w:highlight w:val="none"/>
              </w:rPr>
            </w:pPr>
          </w:p>
        </w:tc>
        <w:tc>
          <w:tcPr>
            <w:tcW w:w="1554" w:type="dxa"/>
            <w:vAlign w:val="center"/>
          </w:tcPr>
          <w:p w14:paraId="1AEA0419">
            <w:pPr>
              <w:pStyle w:val="128"/>
              <w:spacing w:before="92" w:line="283" w:lineRule="auto"/>
              <w:ind w:left="7" w:right="2"/>
              <w:jc w:val="center"/>
              <w:rPr>
                <w:rFonts w:ascii="宋体" w:hAnsi="宋体" w:cs="宋体"/>
                <w:color w:val="auto"/>
                <w:sz w:val="21"/>
                <w:szCs w:val="21"/>
                <w:highlight w:val="none"/>
              </w:rPr>
            </w:pPr>
            <w:r>
              <w:rPr>
                <w:rFonts w:hint="eastAsia" w:ascii="宋体" w:hAnsi="宋体" w:cs="宋体"/>
                <w:color w:val="auto"/>
                <w:sz w:val="21"/>
                <w:szCs w:val="21"/>
                <w:highlight w:val="none"/>
              </w:rPr>
              <w:t>LED道路/隧道照明产品</w:t>
            </w:r>
          </w:p>
        </w:tc>
        <w:tc>
          <w:tcPr>
            <w:tcW w:w="1769" w:type="dxa"/>
            <w:vAlign w:val="center"/>
          </w:tcPr>
          <w:p w14:paraId="47722570">
            <w:pPr>
              <w:jc w:val="center"/>
              <w:rPr>
                <w:rFonts w:ascii="宋体" w:hAnsi="宋体" w:cs="宋体"/>
                <w:color w:val="auto"/>
                <w:kern w:val="0"/>
                <w:szCs w:val="21"/>
                <w:highlight w:val="none"/>
                <w:lang w:eastAsia="en-US"/>
              </w:rPr>
            </w:pPr>
          </w:p>
        </w:tc>
        <w:tc>
          <w:tcPr>
            <w:tcW w:w="3904" w:type="dxa"/>
            <w:vAlign w:val="center"/>
          </w:tcPr>
          <w:p w14:paraId="48ECD270">
            <w:pPr>
              <w:pStyle w:val="128"/>
              <w:spacing w:before="92" w:line="283" w:lineRule="auto"/>
              <w:ind w:left="7" w:right="7"/>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《道路和隧道照明用LED灯具能效限定值及能效等级》（GB37478</w:t>
            </w:r>
          </w:p>
        </w:tc>
      </w:tr>
      <w:tr w14:paraId="050DE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2C98E35F">
            <w:pPr>
              <w:widowControl/>
              <w:jc w:val="center"/>
              <w:rPr>
                <w:rFonts w:ascii="宋体" w:hAnsi="宋体" w:cs="宋体"/>
                <w:color w:val="auto"/>
                <w:kern w:val="0"/>
                <w:szCs w:val="21"/>
                <w:highlight w:val="none"/>
              </w:rPr>
            </w:pPr>
          </w:p>
        </w:tc>
        <w:tc>
          <w:tcPr>
            <w:tcW w:w="1015" w:type="dxa"/>
            <w:vMerge w:val="continue"/>
            <w:vAlign w:val="center"/>
          </w:tcPr>
          <w:p w14:paraId="3C6062EF">
            <w:pPr>
              <w:widowControl/>
              <w:jc w:val="center"/>
              <w:rPr>
                <w:rFonts w:ascii="宋体" w:hAnsi="宋体" w:cs="宋体"/>
                <w:color w:val="auto"/>
                <w:kern w:val="0"/>
                <w:szCs w:val="21"/>
                <w:highlight w:val="none"/>
              </w:rPr>
            </w:pPr>
          </w:p>
        </w:tc>
        <w:tc>
          <w:tcPr>
            <w:tcW w:w="1554" w:type="dxa"/>
            <w:vAlign w:val="center"/>
          </w:tcPr>
          <w:p w14:paraId="081AC071">
            <w:pPr>
              <w:pStyle w:val="128"/>
              <w:jc w:val="center"/>
              <w:rPr>
                <w:rFonts w:ascii="宋体" w:hAnsi="宋体" w:cs="宋体"/>
                <w:color w:val="auto"/>
                <w:sz w:val="21"/>
                <w:szCs w:val="21"/>
                <w:highlight w:val="none"/>
              </w:rPr>
            </w:pPr>
            <w:r>
              <w:rPr>
                <w:rFonts w:hint="eastAsia" w:ascii="宋体" w:hAnsi="宋体" w:cs="宋体"/>
                <w:color w:val="auto"/>
                <w:sz w:val="21"/>
                <w:szCs w:val="21"/>
                <w:highlight w:val="none"/>
              </w:rPr>
              <w:t>LED筒灯</w:t>
            </w:r>
          </w:p>
        </w:tc>
        <w:tc>
          <w:tcPr>
            <w:tcW w:w="1769" w:type="dxa"/>
            <w:vAlign w:val="center"/>
          </w:tcPr>
          <w:p w14:paraId="27564E77">
            <w:pPr>
              <w:jc w:val="center"/>
              <w:rPr>
                <w:rFonts w:ascii="宋体" w:hAnsi="宋体" w:cs="宋体"/>
                <w:color w:val="auto"/>
                <w:kern w:val="0"/>
                <w:szCs w:val="21"/>
                <w:highlight w:val="none"/>
                <w:lang w:eastAsia="en-US"/>
              </w:rPr>
            </w:pPr>
          </w:p>
        </w:tc>
        <w:tc>
          <w:tcPr>
            <w:tcW w:w="3904" w:type="dxa"/>
            <w:vAlign w:val="center"/>
          </w:tcPr>
          <w:p w14:paraId="0F4DF809">
            <w:pPr>
              <w:pStyle w:val="128"/>
              <w:spacing w:before="83" w:line="283" w:lineRule="auto"/>
              <w:ind w:left="7" w:right="7"/>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《室内照明用LED产品能效限定值及能效等级》（GB30255）</w:t>
            </w:r>
          </w:p>
        </w:tc>
      </w:tr>
      <w:tr w14:paraId="2C216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2CB8566A">
            <w:pPr>
              <w:widowControl/>
              <w:jc w:val="center"/>
              <w:rPr>
                <w:rFonts w:ascii="宋体" w:hAnsi="宋体" w:cs="宋体"/>
                <w:color w:val="auto"/>
                <w:kern w:val="0"/>
                <w:szCs w:val="21"/>
                <w:highlight w:val="none"/>
              </w:rPr>
            </w:pPr>
          </w:p>
        </w:tc>
        <w:tc>
          <w:tcPr>
            <w:tcW w:w="1015" w:type="dxa"/>
            <w:vMerge w:val="continue"/>
            <w:vAlign w:val="center"/>
          </w:tcPr>
          <w:p w14:paraId="463B5C6D">
            <w:pPr>
              <w:widowControl/>
              <w:jc w:val="center"/>
              <w:rPr>
                <w:rFonts w:ascii="宋体" w:hAnsi="宋体" w:cs="宋体"/>
                <w:color w:val="auto"/>
                <w:kern w:val="0"/>
                <w:szCs w:val="21"/>
                <w:highlight w:val="none"/>
              </w:rPr>
            </w:pPr>
          </w:p>
        </w:tc>
        <w:tc>
          <w:tcPr>
            <w:tcW w:w="1554" w:type="dxa"/>
            <w:vAlign w:val="center"/>
          </w:tcPr>
          <w:p w14:paraId="10D77E48">
            <w:pPr>
              <w:pStyle w:val="128"/>
              <w:spacing w:line="283" w:lineRule="auto"/>
              <w:ind w:right="7"/>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普通照明用非定向自镇流LED灯</w:t>
            </w:r>
          </w:p>
        </w:tc>
        <w:tc>
          <w:tcPr>
            <w:tcW w:w="1769" w:type="dxa"/>
            <w:vAlign w:val="center"/>
          </w:tcPr>
          <w:p w14:paraId="246B9560">
            <w:pPr>
              <w:jc w:val="center"/>
              <w:rPr>
                <w:rFonts w:ascii="宋体" w:hAnsi="宋体" w:cs="宋体"/>
                <w:color w:val="auto"/>
                <w:kern w:val="0"/>
                <w:szCs w:val="21"/>
                <w:highlight w:val="none"/>
              </w:rPr>
            </w:pPr>
          </w:p>
        </w:tc>
        <w:tc>
          <w:tcPr>
            <w:tcW w:w="3904" w:type="dxa"/>
            <w:vAlign w:val="center"/>
          </w:tcPr>
          <w:p w14:paraId="6B5C3460">
            <w:pPr>
              <w:pStyle w:val="128"/>
              <w:spacing w:line="283" w:lineRule="auto"/>
              <w:ind w:right="7"/>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《室内照明用LED产品能效限定值及能效等级》（GB30255）</w:t>
            </w:r>
          </w:p>
        </w:tc>
      </w:tr>
      <w:tr w14:paraId="5760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Align w:val="center"/>
          </w:tcPr>
          <w:p w14:paraId="36D3BFBB">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12</w:t>
            </w:r>
          </w:p>
        </w:tc>
        <w:tc>
          <w:tcPr>
            <w:tcW w:w="1015" w:type="dxa"/>
            <w:vAlign w:val="center"/>
          </w:tcPr>
          <w:p w14:paraId="3E9618E0">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★A020910电视设备</w:t>
            </w:r>
          </w:p>
        </w:tc>
        <w:tc>
          <w:tcPr>
            <w:tcW w:w="1554" w:type="dxa"/>
            <w:vAlign w:val="center"/>
          </w:tcPr>
          <w:p w14:paraId="4A57A35F">
            <w:pPr>
              <w:pStyle w:val="128"/>
              <w:spacing w:before="124"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A02091001普通电视设备（电视机）</w:t>
            </w:r>
          </w:p>
        </w:tc>
        <w:tc>
          <w:tcPr>
            <w:tcW w:w="1769" w:type="dxa"/>
            <w:vAlign w:val="center"/>
          </w:tcPr>
          <w:p w14:paraId="29AC74F9">
            <w:pPr>
              <w:pStyle w:val="128"/>
              <w:spacing w:before="124" w:line="283" w:lineRule="auto"/>
              <w:ind w:left="7" w:right="4"/>
              <w:jc w:val="center"/>
              <w:rPr>
                <w:rFonts w:ascii="宋体" w:hAnsi="宋体" w:cs="宋体"/>
                <w:color w:val="auto"/>
                <w:sz w:val="21"/>
                <w:szCs w:val="21"/>
                <w:highlight w:val="none"/>
                <w:lang w:eastAsia="zh-CN"/>
              </w:rPr>
            </w:pPr>
          </w:p>
        </w:tc>
        <w:tc>
          <w:tcPr>
            <w:tcW w:w="3904" w:type="dxa"/>
            <w:vAlign w:val="center"/>
          </w:tcPr>
          <w:p w14:paraId="52C19FB6">
            <w:pPr>
              <w:pStyle w:val="128"/>
              <w:spacing w:before="124"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《平板电视能效限定值及能效等级》（GB24850）</w:t>
            </w:r>
          </w:p>
        </w:tc>
      </w:tr>
      <w:tr w14:paraId="3743C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Align w:val="center"/>
          </w:tcPr>
          <w:p w14:paraId="3AB9EB8A">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13</w:t>
            </w:r>
          </w:p>
        </w:tc>
        <w:tc>
          <w:tcPr>
            <w:tcW w:w="1015" w:type="dxa"/>
            <w:vAlign w:val="center"/>
          </w:tcPr>
          <w:p w14:paraId="706F7B19">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★A020911视频设备</w:t>
            </w:r>
          </w:p>
        </w:tc>
        <w:tc>
          <w:tcPr>
            <w:tcW w:w="1554" w:type="dxa"/>
            <w:vAlign w:val="center"/>
          </w:tcPr>
          <w:p w14:paraId="4796D169">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A02091107视频监控设备</w:t>
            </w:r>
          </w:p>
        </w:tc>
        <w:tc>
          <w:tcPr>
            <w:tcW w:w="1769" w:type="dxa"/>
            <w:vAlign w:val="center"/>
          </w:tcPr>
          <w:p w14:paraId="00A374FE">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监视器</w:t>
            </w:r>
          </w:p>
        </w:tc>
        <w:tc>
          <w:tcPr>
            <w:tcW w:w="3904" w:type="dxa"/>
            <w:vAlign w:val="center"/>
          </w:tcPr>
          <w:p w14:paraId="35E0DAF7">
            <w:pPr>
              <w:pStyle w:val="128"/>
              <w:spacing w:before="124"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以射频信号为主要信号输入的监视器应符合《平板电视能效限定值及能效等级》（GB24850），以数字信号为主要信号输入的监视器应符合《计算机显示器能效限定值及能效等级》（GB21520）</w:t>
            </w:r>
          </w:p>
        </w:tc>
      </w:tr>
      <w:tr w14:paraId="0D631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Align w:val="center"/>
          </w:tcPr>
          <w:p w14:paraId="43D10C35">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14</w:t>
            </w:r>
          </w:p>
        </w:tc>
        <w:tc>
          <w:tcPr>
            <w:tcW w:w="1015" w:type="dxa"/>
            <w:vAlign w:val="center"/>
          </w:tcPr>
          <w:p w14:paraId="776C86B1">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A031210饮食炊事机械</w:t>
            </w:r>
          </w:p>
        </w:tc>
        <w:tc>
          <w:tcPr>
            <w:tcW w:w="1554" w:type="dxa"/>
            <w:vAlign w:val="center"/>
          </w:tcPr>
          <w:p w14:paraId="10BB2911">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商用燃气灶具</w:t>
            </w:r>
          </w:p>
        </w:tc>
        <w:tc>
          <w:tcPr>
            <w:tcW w:w="1769" w:type="dxa"/>
            <w:vAlign w:val="center"/>
          </w:tcPr>
          <w:p w14:paraId="3233C1AF">
            <w:pPr>
              <w:pStyle w:val="128"/>
              <w:spacing w:before="124" w:line="283" w:lineRule="auto"/>
              <w:ind w:left="7" w:right="4"/>
              <w:jc w:val="center"/>
              <w:rPr>
                <w:rFonts w:ascii="宋体" w:hAnsi="宋体" w:cs="宋体"/>
                <w:color w:val="auto"/>
                <w:sz w:val="21"/>
                <w:szCs w:val="21"/>
                <w:highlight w:val="none"/>
              </w:rPr>
            </w:pPr>
          </w:p>
        </w:tc>
        <w:tc>
          <w:tcPr>
            <w:tcW w:w="3904" w:type="dxa"/>
            <w:vAlign w:val="center"/>
          </w:tcPr>
          <w:p w14:paraId="0B2742B3">
            <w:pPr>
              <w:pStyle w:val="128"/>
              <w:spacing w:before="124"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《商用燃气灶具能效限定值及能效等级》（GB30531）</w:t>
            </w:r>
          </w:p>
        </w:tc>
      </w:tr>
      <w:tr w14:paraId="4C181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restart"/>
            <w:vAlign w:val="center"/>
          </w:tcPr>
          <w:p w14:paraId="5A37B145">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15</w:t>
            </w:r>
          </w:p>
        </w:tc>
        <w:tc>
          <w:tcPr>
            <w:tcW w:w="1015" w:type="dxa"/>
            <w:vMerge w:val="restart"/>
            <w:vAlign w:val="center"/>
          </w:tcPr>
          <w:p w14:paraId="461CBD52">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★A060805便器</w:t>
            </w:r>
          </w:p>
        </w:tc>
        <w:tc>
          <w:tcPr>
            <w:tcW w:w="1554" w:type="dxa"/>
            <w:vAlign w:val="center"/>
          </w:tcPr>
          <w:p w14:paraId="338F84E0">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坐便器</w:t>
            </w:r>
          </w:p>
        </w:tc>
        <w:tc>
          <w:tcPr>
            <w:tcW w:w="1769" w:type="dxa"/>
            <w:vAlign w:val="center"/>
          </w:tcPr>
          <w:p w14:paraId="4B6C19CF">
            <w:pPr>
              <w:pStyle w:val="128"/>
              <w:spacing w:before="124" w:line="283" w:lineRule="auto"/>
              <w:ind w:left="7" w:right="4"/>
              <w:jc w:val="center"/>
              <w:rPr>
                <w:rFonts w:ascii="宋体" w:hAnsi="宋体" w:cs="宋体"/>
                <w:color w:val="auto"/>
                <w:sz w:val="21"/>
                <w:szCs w:val="21"/>
                <w:highlight w:val="none"/>
              </w:rPr>
            </w:pPr>
          </w:p>
        </w:tc>
        <w:tc>
          <w:tcPr>
            <w:tcW w:w="3904" w:type="dxa"/>
            <w:vAlign w:val="center"/>
          </w:tcPr>
          <w:p w14:paraId="21D04256">
            <w:pPr>
              <w:pStyle w:val="128"/>
              <w:spacing w:before="124"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《坐便器水效限定值及水效等级》</w:t>
            </w:r>
          </w:p>
          <w:p w14:paraId="5DBFE8BC">
            <w:pPr>
              <w:pStyle w:val="128"/>
              <w:spacing w:before="124" w:line="283" w:lineRule="auto"/>
              <w:ind w:left="7" w:right="4"/>
              <w:jc w:val="center"/>
              <w:rPr>
                <w:rFonts w:ascii="宋体" w:hAnsi="宋体" w:cs="宋体"/>
                <w:color w:val="auto"/>
                <w:sz w:val="21"/>
                <w:szCs w:val="21"/>
                <w:highlight w:val="none"/>
              </w:rPr>
            </w:pPr>
            <w:r>
              <w:rPr>
                <w:rFonts w:hint="eastAsia" w:ascii="宋体" w:hAnsi="宋体" w:cs="宋体"/>
                <w:color w:val="auto"/>
                <w:sz w:val="21"/>
                <w:szCs w:val="21"/>
                <w:highlight w:val="none"/>
              </w:rPr>
              <w:t>（GB25502）</w:t>
            </w:r>
          </w:p>
        </w:tc>
      </w:tr>
      <w:tr w14:paraId="39917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4F48AAF1">
            <w:pPr>
              <w:widowControl/>
              <w:jc w:val="center"/>
              <w:rPr>
                <w:rFonts w:ascii="宋体" w:hAnsi="宋体" w:cs="宋体"/>
                <w:color w:val="auto"/>
                <w:kern w:val="0"/>
                <w:szCs w:val="21"/>
                <w:highlight w:val="none"/>
                <w:lang w:eastAsia="en-US"/>
              </w:rPr>
            </w:pPr>
          </w:p>
        </w:tc>
        <w:tc>
          <w:tcPr>
            <w:tcW w:w="1015" w:type="dxa"/>
            <w:vMerge w:val="continue"/>
            <w:vAlign w:val="center"/>
          </w:tcPr>
          <w:p w14:paraId="55AE0CAE">
            <w:pPr>
              <w:widowControl/>
              <w:jc w:val="center"/>
              <w:rPr>
                <w:rFonts w:ascii="宋体" w:hAnsi="宋体" w:cs="宋体"/>
                <w:color w:val="auto"/>
                <w:kern w:val="0"/>
                <w:szCs w:val="21"/>
                <w:highlight w:val="none"/>
                <w:lang w:eastAsia="en-US"/>
              </w:rPr>
            </w:pPr>
          </w:p>
        </w:tc>
        <w:tc>
          <w:tcPr>
            <w:tcW w:w="1554" w:type="dxa"/>
            <w:vAlign w:val="center"/>
          </w:tcPr>
          <w:p w14:paraId="76C573BE">
            <w:pPr>
              <w:pStyle w:val="128"/>
              <w:jc w:val="center"/>
              <w:rPr>
                <w:rFonts w:ascii="宋体" w:hAnsi="宋体" w:cs="宋体"/>
                <w:color w:val="auto"/>
                <w:sz w:val="21"/>
                <w:szCs w:val="21"/>
                <w:highlight w:val="none"/>
              </w:rPr>
            </w:pPr>
            <w:r>
              <w:rPr>
                <w:rFonts w:hint="eastAsia" w:ascii="宋体" w:hAnsi="宋体" w:cs="宋体"/>
                <w:color w:val="auto"/>
                <w:sz w:val="21"/>
                <w:szCs w:val="21"/>
                <w:highlight w:val="none"/>
              </w:rPr>
              <w:t>蹲便器</w:t>
            </w:r>
          </w:p>
        </w:tc>
        <w:tc>
          <w:tcPr>
            <w:tcW w:w="1769" w:type="dxa"/>
            <w:vAlign w:val="center"/>
          </w:tcPr>
          <w:p w14:paraId="0A7DFF9A">
            <w:pPr>
              <w:jc w:val="center"/>
              <w:rPr>
                <w:rFonts w:ascii="宋体" w:hAnsi="宋体" w:cs="宋体"/>
                <w:color w:val="auto"/>
                <w:kern w:val="0"/>
                <w:szCs w:val="21"/>
                <w:highlight w:val="none"/>
                <w:lang w:eastAsia="en-US"/>
              </w:rPr>
            </w:pPr>
          </w:p>
        </w:tc>
        <w:tc>
          <w:tcPr>
            <w:tcW w:w="3904" w:type="dxa"/>
            <w:vAlign w:val="center"/>
          </w:tcPr>
          <w:p w14:paraId="213EC47A">
            <w:pPr>
              <w:pStyle w:val="128"/>
              <w:spacing w:before="124"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《蹲便器用水效率限定值及用水效率等级》（GB30717）</w:t>
            </w:r>
          </w:p>
        </w:tc>
      </w:tr>
      <w:tr w14:paraId="7426C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Merge w:val="continue"/>
            <w:vAlign w:val="center"/>
          </w:tcPr>
          <w:p w14:paraId="326D6053">
            <w:pPr>
              <w:widowControl/>
              <w:jc w:val="center"/>
              <w:rPr>
                <w:rFonts w:ascii="宋体" w:hAnsi="宋体" w:cs="宋体"/>
                <w:color w:val="auto"/>
                <w:kern w:val="0"/>
                <w:szCs w:val="21"/>
                <w:highlight w:val="none"/>
              </w:rPr>
            </w:pPr>
          </w:p>
        </w:tc>
        <w:tc>
          <w:tcPr>
            <w:tcW w:w="1015" w:type="dxa"/>
            <w:vMerge w:val="continue"/>
            <w:vAlign w:val="center"/>
          </w:tcPr>
          <w:p w14:paraId="3EAF8B9B">
            <w:pPr>
              <w:widowControl/>
              <w:jc w:val="center"/>
              <w:rPr>
                <w:rFonts w:ascii="宋体" w:hAnsi="宋体" w:cs="宋体"/>
                <w:color w:val="auto"/>
                <w:kern w:val="0"/>
                <w:szCs w:val="21"/>
                <w:highlight w:val="none"/>
              </w:rPr>
            </w:pPr>
          </w:p>
        </w:tc>
        <w:tc>
          <w:tcPr>
            <w:tcW w:w="1554" w:type="dxa"/>
            <w:vAlign w:val="center"/>
          </w:tcPr>
          <w:p w14:paraId="760528C9">
            <w:pPr>
              <w:pStyle w:val="128"/>
              <w:jc w:val="center"/>
              <w:rPr>
                <w:rFonts w:ascii="宋体" w:hAnsi="宋体" w:cs="宋体"/>
                <w:color w:val="auto"/>
                <w:sz w:val="21"/>
                <w:szCs w:val="21"/>
                <w:highlight w:val="none"/>
              </w:rPr>
            </w:pPr>
            <w:r>
              <w:rPr>
                <w:rFonts w:hint="eastAsia" w:ascii="宋体" w:hAnsi="宋体" w:cs="宋体"/>
                <w:color w:val="auto"/>
                <w:sz w:val="21"/>
                <w:szCs w:val="21"/>
                <w:highlight w:val="none"/>
              </w:rPr>
              <w:t>小便器</w:t>
            </w:r>
          </w:p>
        </w:tc>
        <w:tc>
          <w:tcPr>
            <w:tcW w:w="1769" w:type="dxa"/>
            <w:vAlign w:val="center"/>
          </w:tcPr>
          <w:p w14:paraId="67CECC9C">
            <w:pPr>
              <w:jc w:val="center"/>
              <w:rPr>
                <w:rFonts w:ascii="宋体" w:hAnsi="宋体" w:cs="宋体"/>
                <w:color w:val="auto"/>
                <w:kern w:val="0"/>
                <w:szCs w:val="21"/>
                <w:highlight w:val="none"/>
                <w:lang w:eastAsia="en-US"/>
              </w:rPr>
            </w:pPr>
          </w:p>
        </w:tc>
        <w:tc>
          <w:tcPr>
            <w:tcW w:w="3904" w:type="dxa"/>
            <w:vAlign w:val="center"/>
          </w:tcPr>
          <w:p w14:paraId="50301943">
            <w:pPr>
              <w:pStyle w:val="128"/>
              <w:spacing w:before="124"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《小便器用水效率限定值及用水效率等级》（GB28377）</w:t>
            </w:r>
          </w:p>
        </w:tc>
      </w:tr>
      <w:tr w14:paraId="1EB3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Align w:val="center"/>
          </w:tcPr>
          <w:p w14:paraId="233794B5">
            <w:pPr>
              <w:pStyle w:val="128"/>
              <w:spacing w:before="124"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16</w:t>
            </w:r>
          </w:p>
        </w:tc>
        <w:tc>
          <w:tcPr>
            <w:tcW w:w="1015" w:type="dxa"/>
            <w:vAlign w:val="center"/>
          </w:tcPr>
          <w:p w14:paraId="638E8F1B">
            <w:pPr>
              <w:pStyle w:val="128"/>
              <w:spacing w:before="124"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A060806水嘴</w:t>
            </w:r>
          </w:p>
        </w:tc>
        <w:tc>
          <w:tcPr>
            <w:tcW w:w="1554" w:type="dxa"/>
            <w:vAlign w:val="center"/>
          </w:tcPr>
          <w:p w14:paraId="7268C022">
            <w:pPr>
              <w:pStyle w:val="128"/>
              <w:spacing w:before="124" w:line="283" w:lineRule="auto"/>
              <w:ind w:left="7" w:right="4"/>
              <w:jc w:val="center"/>
              <w:rPr>
                <w:rFonts w:ascii="宋体" w:hAnsi="宋体" w:cs="宋体"/>
                <w:color w:val="auto"/>
                <w:sz w:val="21"/>
                <w:szCs w:val="21"/>
                <w:highlight w:val="none"/>
              </w:rPr>
            </w:pPr>
          </w:p>
        </w:tc>
        <w:tc>
          <w:tcPr>
            <w:tcW w:w="1769" w:type="dxa"/>
            <w:vAlign w:val="center"/>
          </w:tcPr>
          <w:p w14:paraId="17229801">
            <w:pPr>
              <w:pStyle w:val="128"/>
              <w:spacing w:before="124" w:line="283" w:lineRule="auto"/>
              <w:ind w:left="7" w:right="4"/>
              <w:jc w:val="center"/>
              <w:rPr>
                <w:rFonts w:ascii="宋体" w:hAnsi="宋体" w:cs="宋体"/>
                <w:color w:val="auto"/>
                <w:sz w:val="21"/>
                <w:szCs w:val="21"/>
                <w:highlight w:val="none"/>
              </w:rPr>
            </w:pPr>
          </w:p>
        </w:tc>
        <w:tc>
          <w:tcPr>
            <w:tcW w:w="3904" w:type="dxa"/>
            <w:vAlign w:val="center"/>
          </w:tcPr>
          <w:p w14:paraId="1CFEDE3E">
            <w:pPr>
              <w:pStyle w:val="128"/>
              <w:spacing w:before="124"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《水嘴用水效率限定值及用水效率等级》（GB 25501）</w:t>
            </w:r>
          </w:p>
        </w:tc>
      </w:tr>
      <w:tr w14:paraId="3DB5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vAlign w:val="center"/>
          </w:tcPr>
          <w:p w14:paraId="3CC65062">
            <w:pPr>
              <w:pStyle w:val="128"/>
              <w:spacing w:before="124"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17</w:t>
            </w:r>
          </w:p>
        </w:tc>
        <w:tc>
          <w:tcPr>
            <w:tcW w:w="1015" w:type="dxa"/>
            <w:vAlign w:val="center"/>
          </w:tcPr>
          <w:p w14:paraId="3DE7ADC1">
            <w:pPr>
              <w:pStyle w:val="128"/>
              <w:spacing w:before="124"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A060807便器冲洗阀</w:t>
            </w:r>
          </w:p>
        </w:tc>
        <w:tc>
          <w:tcPr>
            <w:tcW w:w="1554" w:type="dxa"/>
            <w:vAlign w:val="center"/>
          </w:tcPr>
          <w:p w14:paraId="1BECA5A1">
            <w:pPr>
              <w:pStyle w:val="128"/>
              <w:spacing w:before="124" w:line="283" w:lineRule="auto"/>
              <w:ind w:left="7" w:right="4"/>
              <w:jc w:val="center"/>
              <w:rPr>
                <w:rFonts w:ascii="宋体" w:hAnsi="宋体" w:cs="宋体"/>
                <w:color w:val="auto"/>
                <w:sz w:val="21"/>
                <w:szCs w:val="21"/>
                <w:highlight w:val="none"/>
              </w:rPr>
            </w:pPr>
          </w:p>
        </w:tc>
        <w:tc>
          <w:tcPr>
            <w:tcW w:w="1769" w:type="dxa"/>
            <w:vAlign w:val="center"/>
          </w:tcPr>
          <w:p w14:paraId="1AC2C351">
            <w:pPr>
              <w:pStyle w:val="128"/>
              <w:spacing w:before="124" w:line="283" w:lineRule="auto"/>
              <w:ind w:left="7" w:right="4"/>
              <w:jc w:val="center"/>
              <w:rPr>
                <w:rFonts w:ascii="宋体" w:hAnsi="宋体" w:cs="宋体"/>
                <w:color w:val="auto"/>
                <w:sz w:val="21"/>
                <w:szCs w:val="21"/>
                <w:highlight w:val="none"/>
              </w:rPr>
            </w:pPr>
          </w:p>
        </w:tc>
        <w:tc>
          <w:tcPr>
            <w:tcW w:w="3904" w:type="dxa"/>
            <w:vAlign w:val="center"/>
          </w:tcPr>
          <w:p w14:paraId="41EB4A4E">
            <w:pPr>
              <w:pStyle w:val="128"/>
              <w:spacing w:before="124"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《便器冲洗阀用水效率限定值及用水效率等级》（GB28379）</w:t>
            </w:r>
          </w:p>
        </w:tc>
      </w:tr>
      <w:tr w14:paraId="2F0A7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2" w:hRule="exact"/>
          <w:jc w:val="center"/>
        </w:trPr>
        <w:tc>
          <w:tcPr>
            <w:tcW w:w="716" w:type="dxa"/>
            <w:vAlign w:val="center"/>
          </w:tcPr>
          <w:p w14:paraId="785C16D7">
            <w:pPr>
              <w:pStyle w:val="128"/>
              <w:spacing w:before="124"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18</w:t>
            </w:r>
          </w:p>
        </w:tc>
        <w:tc>
          <w:tcPr>
            <w:tcW w:w="1015" w:type="dxa"/>
            <w:vAlign w:val="center"/>
          </w:tcPr>
          <w:p w14:paraId="36B288B8">
            <w:pPr>
              <w:pStyle w:val="128"/>
              <w:spacing w:before="124"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A060810淋浴器</w:t>
            </w:r>
          </w:p>
        </w:tc>
        <w:tc>
          <w:tcPr>
            <w:tcW w:w="1554" w:type="dxa"/>
            <w:vAlign w:val="center"/>
          </w:tcPr>
          <w:p w14:paraId="10432F55">
            <w:pPr>
              <w:pStyle w:val="128"/>
              <w:spacing w:before="124" w:line="283" w:lineRule="auto"/>
              <w:ind w:left="7" w:right="4"/>
              <w:jc w:val="center"/>
              <w:rPr>
                <w:rFonts w:ascii="宋体" w:hAnsi="宋体" w:cs="宋体"/>
                <w:color w:val="auto"/>
                <w:sz w:val="21"/>
                <w:szCs w:val="21"/>
                <w:highlight w:val="none"/>
                <w:lang w:eastAsia="zh-CN"/>
              </w:rPr>
            </w:pPr>
          </w:p>
        </w:tc>
        <w:tc>
          <w:tcPr>
            <w:tcW w:w="1769" w:type="dxa"/>
            <w:vAlign w:val="center"/>
          </w:tcPr>
          <w:p w14:paraId="54CCF21B">
            <w:pPr>
              <w:pStyle w:val="128"/>
              <w:spacing w:before="124" w:line="283" w:lineRule="auto"/>
              <w:ind w:left="7" w:right="4"/>
              <w:jc w:val="center"/>
              <w:rPr>
                <w:rFonts w:ascii="宋体" w:hAnsi="宋体" w:cs="宋体"/>
                <w:color w:val="auto"/>
                <w:sz w:val="21"/>
                <w:szCs w:val="21"/>
                <w:highlight w:val="none"/>
              </w:rPr>
            </w:pPr>
          </w:p>
        </w:tc>
        <w:tc>
          <w:tcPr>
            <w:tcW w:w="3904" w:type="dxa"/>
            <w:vAlign w:val="center"/>
          </w:tcPr>
          <w:p w14:paraId="4BFA8B27">
            <w:pPr>
              <w:pStyle w:val="128"/>
              <w:spacing w:before="124" w:line="283" w:lineRule="auto"/>
              <w:ind w:left="7" w:right="4"/>
              <w:jc w:val="center"/>
              <w:rPr>
                <w:rFonts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《淋浴器用水效率限定值及用水效率等级》（GB28378）</w:t>
            </w:r>
          </w:p>
        </w:tc>
      </w:tr>
    </w:tbl>
    <w:p w14:paraId="2B88ADA8">
      <w:pPr>
        <w:pStyle w:val="20"/>
        <w:spacing w:line="240" w:lineRule="auto"/>
        <w:rPr>
          <w:rFonts w:ascii="宋体" w:hAnsi="宋体" w:cs="宋体"/>
          <w:color w:val="auto"/>
          <w:sz w:val="21"/>
          <w:szCs w:val="21"/>
          <w:highlight w:val="none"/>
        </w:rPr>
      </w:pPr>
      <w:r>
        <w:rPr>
          <w:rFonts w:hint="eastAsia" w:ascii="宋体" w:hAnsi="宋体" w:cs="宋体"/>
          <w:color w:val="auto"/>
          <w:spacing w:val="-3"/>
          <w:sz w:val="21"/>
          <w:szCs w:val="21"/>
          <w:highlight w:val="none"/>
        </w:rPr>
        <w:t>注：1.节能产品认证应依据相关国家标准的最新版本，依据国家标准中二级能效（水效）</w:t>
      </w:r>
      <w:r>
        <w:rPr>
          <w:rFonts w:hint="eastAsia" w:ascii="宋体" w:hAnsi="宋体" w:cs="宋体"/>
          <w:color w:val="auto"/>
          <w:sz w:val="21"/>
          <w:szCs w:val="21"/>
          <w:highlight w:val="none"/>
        </w:rPr>
        <w:t>指标。</w:t>
      </w:r>
    </w:p>
    <w:p w14:paraId="7A5F5A16">
      <w:pPr>
        <w:snapToGrid w:val="0"/>
        <w:jc w:val="left"/>
        <w:rPr>
          <w:rFonts w:ascii="宋体" w:hAnsi="宋体" w:cs="宋体"/>
          <w:color w:val="auto"/>
          <w:szCs w:val="21"/>
          <w:highlight w:val="none"/>
        </w:rPr>
      </w:pPr>
      <w:r>
        <w:rPr>
          <w:rFonts w:hint="eastAsia" w:ascii="宋体" w:hAnsi="宋体" w:cs="宋体"/>
          <w:color w:val="auto"/>
          <w:szCs w:val="21"/>
          <w:highlight w:val="none"/>
        </w:rPr>
        <w:t xml:space="preserve">    2.以“★”标注的为政府强制采购产品。</w:t>
      </w:r>
    </w:p>
    <w:p w14:paraId="668013D4">
      <w:pPr>
        <w:rPr>
          <w:rFonts w:ascii="宋体" w:hAnsi="宋体" w:cs="Arial Unicode MS"/>
          <w:color w:val="auto"/>
          <w:sz w:val="20"/>
          <w:szCs w:val="20"/>
          <w:highlight w:val="none"/>
        </w:rPr>
      </w:pPr>
    </w:p>
    <w:p w14:paraId="570471E3">
      <w:pPr>
        <w:spacing w:line="528" w:lineRule="exact"/>
        <w:jc w:val="left"/>
        <w:rPr>
          <w:color w:val="auto"/>
          <w:highlight w:val="none"/>
        </w:rPr>
      </w:pPr>
      <w:r>
        <w:rPr>
          <w:color w:val="auto"/>
          <w:highlight w:val="none"/>
        </w:rPr>
        <w:t xml:space="preserve"> </w:t>
      </w:r>
    </w:p>
    <w:p w14:paraId="4C1A3409">
      <w:pPr>
        <w:pStyle w:val="5"/>
        <w:jc w:val="center"/>
        <w:rPr>
          <w:color w:val="auto"/>
          <w:highlight w:val="none"/>
        </w:rPr>
      </w:pPr>
      <w:r>
        <w:rPr>
          <w:rFonts w:hint="eastAsia"/>
          <w:color w:val="auto"/>
          <w:highlight w:val="none"/>
        </w:rPr>
        <w:br w:type="page"/>
      </w:r>
    </w:p>
    <w:p w14:paraId="7D8E80CB">
      <w:pPr>
        <w:pStyle w:val="5"/>
        <w:jc w:val="center"/>
        <w:rPr>
          <w:color w:val="auto"/>
          <w:highlight w:val="none"/>
        </w:rPr>
      </w:pPr>
    </w:p>
    <w:p w14:paraId="656E2BD1">
      <w:pPr>
        <w:pStyle w:val="5"/>
        <w:jc w:val="center"/>
        <w:rPr>
          <w:color w:val="auto"/>
          <w:highlight w:val="none"/>
        </w:rPr>
      </w:pPr>
    </w:p>
    <w:p w14:paraId="76BBBD5C">
      <w:pPr>
        <w:pStyle w:val="5"/>
        <w:jc w:val="center"/>
        <w:rPr>
          <w:color w:val="auto"/>
          <w:highlight w:val="none"/>
        </w:rPr>
      </w:pPr>
      <w:r>
        <w:rPr>
          <w:rFonts w:hint="eastAsia" w:ascii="宋体" w:hAnsi="宋体"/>
          <w:color w:val="auto"/>
          <w:highlight w:val="none"/>
        </w:rPr>
        <w:t>第三章  投标人须知</w:t>
      </w:r>
      <w:bookmarkEnd w:id="45"/>
    </w:p>
    <w:p w14:paraId="5C0B60AC">
      <w:pPr>
        <w:jc w:val="center"/>
        <w:rPr>
          <w:rFonts w:ascii="宋体" w:hAnsi="宋体"/>
          <w:color w:val="auto"/>
          <w:sz w:val="36"/>
          <w:szCs w:val="36"/>
          <w:highlight w:val="none"/>
        </w:rPr>
      </w:pPr>
      <w:bookmarkStart w:id="46" w:name="_Toc254970526"/>
      <w:bookmarkStart w:id="47" w:name="_Toc254970667"/>
      <w:r>
        <w:rPr>
          <w:rFonts w:ascii="宋体" w:hAnsi="宋体"/>
          <w:color w:val="auto"/>
          <w:sz w:val="36"/>
          <w:szCs w:val="36"/>
          <w:highlight w:val="none"/>
        </w:rPr>
        <w:br w:type="page"/>
      </w:r>
      <w:r>
        <w:rPr>
          <w:rFonts w:hint="eastAsia" w:ascii="宋体" w:hAnsi="宋体"/>
          <w:color w:val="auto"/>
          <w:sz w:val="36"/>
          <w:szCs w:val="36"/>
          <w:highlight w:val="none"/>
        </w:rPr>
        <w:t>投标人须知前附表</w:t>
      </w:r>
      <w:bookmarkEnd w:id="46"/>
      <w:bookmarkEnd w:id="47"/>
    </w:p>
    <w:p w14:paraId="6977FAC5">
      <w:pPr>
        <w:jc w:val="center"/>
        <w:rPr>
          <w:rFonts w:ascii="宋体" w:hAnsi="宋体"/>
          <w:color w:val="auto"/>
          <w:sz w:val="36"/>
          <w:szCs w:val="36"/>
          <w:highlight w:val="none"/>
        </w:rPr>
      </w:pPr>
    </w:p>
    <w:tbl>
      <w:tblPr>
        <w:tblStyle w:val="46"/>
        <w:tblW w:w="960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5"/>
        <w:gridCol w:w="8708"/>
      </w:tblGrid>
      <w:tr w14:paraId="72A923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594716A8">
            <w:pPr>
              <w:snapToGrid w:val="0"/>
              <w:spacing w:line="400" w:lineRule="exact"/>
              <w:jc w:val="left"/>
              <w:rPr>
                <w:rFonts w:ascii="宋体" w:hAnsi="宋体"/>
                <w:color w:val="auto"/>
                <w:szCs w:val="21"/>
                <w:highlight w:val="none"/>
              </w:rPr>
            </w:pPr>
            <w:r>
              <w:rPr>
                <w:rFonts w:hint="eastAsia" w:ascii="宋体" w:hAnsi="宋体"/>
                <w:color w:val="auto"/>
                <w:szCs w:val="21"/>
                <w:highlight w:val="none"/>
              </w:rPr>
              <w:t>条款号</w:t>
            </w:r>
          </w:p>
        </w:tc>
        <w:tc>
          <w:tcPr>
            <w:tcW w:w="8708" w:type="dxa"/>
            <w:tcBorders>
              <w:top w:val="single" w:color="auto" w:sz="4" w:space="0"/>
              <w:left w:val="single" w:color="auto" w:sz="4" w:space="0"/>
              <w:bottom w:val="single" w:color="auto" w:sz="4" w:space="0"/>
              <w:right w:val="single" w:color="auto" w:sz="4" w:space="0"/>
            </w:tcBorders>
            <w:vAlign w:val="center"/>
          </w:tcPr>
          <w:p w14:paraId="1A3040CA">
            <w:pPr>
              <w:snapToGrid w:val="0"/>
              <w:spacing w:line="400" w:lineRule="exact"/>
              <w:jc w:val="center"/>
              <w:rPr>
                <w:rFonts w:ascii="宋体" w:hAnsi="宋体"/>
                <w:color w:val="auto"/>
                <w:szCs w:val="21"/>
                <w:highlight w:val="none"/>
              </w:rPr>
            </w:pPr>
            <w:r>
              <w:rPr>
                <w:rFonts w:hint="eastAsia" w:ascii="宋体" w:hAnsi="宋体"/>
                <w:color w:val="auto"/>
                <w:szCs w:val="21"/>
                <w:highlight w:val="none"/>
              </w:rPr>
              <w:t>编列内容</w:t>
            </w:r>
          </w:p>
        </w:tc>
      </w:tr>
      <w:tr w14:paraId="3819C1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556E714A">
            <w:pPr>
              <w:spacing w:line="400" w:lineRule="exact"/>
              <w:jc w:val="center"/>
              <w:rPr>
                <w:rFonts w:ascii="宋体" w:hAnsi="宋体"/>
                <w:color w:val="auto"/>
                <w:szCs w:val="21"/>
                <w:highlight w:val="none"/>
              </w:rPr>
            </w:pPr>
            <w:r>
              <w:rPr>
                <w:rFonts w:hint="eastAsia" w:ascii="宋体" w:hAnsi="宋体"/>
                <w:color w:val="auto"/>
                <w:szCs w:val="21"/>
                <w:highlight w:val="none"/>
              </w:rPr>
              <w:t>3</w:t>
            </w:r>
          </w:p>
        </w:tc>
        <w:tc>
          <w:tcPr>
            <w:tcW w:w="8708" w:type="dxa"/>
            <w:tcBorders>
              <w:top w:val="single" w:color="auto" w:sz="4" w:space="0"/>
              <w:left w:val="single" w:color="auto" w:sz="4" w:space="0"/>
              <w:bottom w:val="single" w:color="auto" w:sz="4" w:space="0"/>
              <w:right w:val="single" w:color="auto" w:sz="4" w:space="0"/>
            </w:tcBorders>
            <w:vAlign w:val="center"/>
          </w:tcPr>
          <w:p w14:paraId="5118FFF6">
            <w:pPr>
              <w:snapToGrid w:val="0"/>
              <w:spacing w:line="400" w:lineRule="exact"/>
              <w:jc w:val="left"/>
              <w:rPr>
                <w:rFonts w:ascii="宋体" w:hAnsi="宋体"/>
                <w:color w:val="auto"/>
                <w:szCs w:val="21"/>
                <w:highlight w:val="none"/>
              </w:rPr>
            </w:pPr>
            <w:r>
              <w:rPr>
                <w:rFonts w:hint="eastAsia" w:ascii="宋体" w:hAnsi="宋体"/>
                <w:color w:val="auto"/>
                <w:szCs w:val="21"/>
                <w:highlight w:val="none"/>
              </w:rPr>
              <w:t>投标人的资格要求：详见招标公告。</w:t>
            </w:r>
          </w:p>
        </w:tc>
      </w:tr>
      <w:tr w14:paraId="16BAC9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05C0B9B2">
            <w:pPr>
              <w:spacing w:line="400" w:lineRule="exact"/>
              <w:jc w:val="center"/>
              <w:rPr>
                <w:rFonts w:ascii="宋体" w:hAnsi="宋体"/>
                <w:color w:val="auto"/>
                <w:szCs w:val="21"/>
                <w:highlight w:val="none"/>
              </w:rPr>
            </w:pPr>
            <w:bookmarkStart w:id="48" w:name="_9.2"/>
            <w:bookmarkEnd w:id="48"/>
            <w:bookmarkStart w:id="49" w:name="_8.1"/>
            <w:bookmarkEnd w:id="49"/>
            <w:bookmarkStart w:id="50" w:name="_5"/>
            <w:bookmarkEnd w:id="50"/>
            <w:r>
              <w:rPr>
                <w:rFonts w:hint="eastAsia" w:ascii="宋体" w:hAnsi="宋体"/>
                <w:color w:val="auto"/>
                <w:szCs w:val="21"/>
                <w:highlight w:val="none"/>
              </w:rPr>
              <w:t>6.1</w:t>
            </w:r>
          </w:p>
        </w:tc>
        <w:tc>
          <w:tcPr>
            <w:tcW w:w="8708" w:type="dxa"/>
            <w:tcBorders>
              <w:top w:val="single" w:color="auto" w:sz="4" w:space="0"/>
              <w:left w:val="single" w:color="auto" w:sz="4" w:space="0"/>
              <w:bottom w:val="single" w:color="auto" w:sz="4" w:space="0"/>
              <w:right w:val="single" w:color="auto" w:sz="4" w:space="0"/>
            </w:tcBorders>
            <w:vAlign w:val="center"/>
          </w:tcPr>
          <w:p w14:paraId="6076EE5D">
            <w:pPr>
              <w:pStyle w:val="18"/>
              <w:spacing w:line="400" w:lineRule="exact"/>
              <w:rPr>
                <w:rFonts w:ascii="宋体" w:hAnsi="宋体"/>
                <w:color w:val="auto"/>
                <w:szCs w:val="21"/>
                <w:highlight w:val="none"/>
              </w:rPr>
            </w:pPr>
            <w:r>
              <w:rPr>
                <w:rFonts w:hint="eastAsia" w:ascii="宋体" w:hAnsi="宋体"/>
                <w:color w:val="auto"/>
                <w:szCs w:val="21"/>
                <w:highlight w:val="none"/>
              </w:rPr>
              <w:t>本项目是否接受联合体投标：详见招标公告。</w:t>
            </w:r>
          </w:p>
        </w:tc>
      </w:tr>
      <w:tr w14:paraId="685241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4EA09349">
            <w:pPr>
              <w:spacing w:line="400" w:lineRule="exact"/>
              <w:jc w:val="center"/>
              <w:rPr>
                <w:rFonts w:ascii="宋体" w:hAnsi="宋体"/>
                <w:color w:val="auto"/>
                <w:szCs w:val="21"/>
                <w:highlight w:val="none"/>
              </w:rPr>
            </w:pPr>
            <w:r>
              <w:rPr>
                <w:rFonts w:ascii="宋体" w:hAnsi="宋体"/>
                <w:color w:val="auto"/>
                <w:szCs w:val="21"/>
                <w:highlight w:val="none"/>
              </w:rPr>
              <w:t>6.2</w:t>
            </w:r>
          </w:p>
        </w:tc>
        <w:tc>
          <w:tcPr>
            <w:tcW w:w="8708" w:type="dxa"/>
            <w:tcBorders>
              <w:top w:val="single" w:color="auto" w:sz="4" w:space="0"/>
              <w:left w:val="single" w:color="auto" w:sz="4" w:space="0"/>
              <w:bottom w:val="single" w:color="auto" w:sz="4" w:space="0"/>
              <w:right w:val="single" w:color="auto" w:sz="4" w:space="0"/>
            </w:tcBorders>
            <w:vAlign w:val="center"/>
          </w:tcPr>
          <w:p w14:paraId="2ABBB999">
            <w:pPr>
              <w:autoSpaceDE w:val="0"/>
              <w:autoSpaceDN w:val="0"/>
              <w:snapToGrid w:val="0"/>
              <w:spacing w:line="400" w:lineRule="exact"/>
              <w:textAlignment w:val="bottom"/>
              <w:rPr>
                <w:rFonts w:ascii="宋体" w:hAnsi="宋体"/>
                <w:color w:val="auto"/>
                <w:szCs w:val="21"/>
                <w:highlight w:val="none"/>
              </w:rPr>
            </w:pPr>
            <w:bookmarkStart w:id="51" w:name="_Hlk54105293"/>
            <w:r>
              <w:rPr>
                <w:rFonts w:hint="eastAsia" w:ascii="宋体" w:hAnsi="宋体"/>
                <w:color w:val="auto"/>
                <w:szCs w:val="21"/>
                <w:highlight w:val="none"/>
              </w:rPr>
              <w:t>如接受联合体投标，</w:t>
            </w:r>
            <w:bookmarkEnd w:id="51"/>
            <w:r>
              <w:rPr>
                <w:rFonts w:hint="eastAsia" w:ascii="宋体" w:hAnsi="宋体"/>
                <w:color w:val="auto"/>
                <w:szCs w:val="21"/>
                <w:highlight w:val="none"/>
              </w:rPr>
              <w:t>联合体投标要求如下：</w:t>
            </w:r>
          </w:p>
          <w:p w14:paraId="054E1063">
            <w:pPr>
              <w:autoSpaceDE w:val="0"/>
              <w:autoSpaceDN w:val="0"/>
              <w:snapToGrid w:val="0"/>
              <w:spacing w:line="400" w:lineRule="exact"/>
              <w:textAlignment w:val="bottom"/>
              <w:rPr>
                <w:rFonts w:ascii="宋体" w:hAnsi="宋体"/>
                <w:color w:val="auto"/>
                <w:szCs w:val="21"/>
                <w:highlight w:val="none"/>
              </w:rPr>
            </w:pPr>
            <w:r>
              <w:rPr>
                <w:rFonts w:hint="eastAsia" w:ascii="宋体" w:hAnsi="宋体"/>
                <w:color w:val="auto"/>
                <w:szCs w:val="21"/>
                <w:highlight w:val="none"/>
              </w:rPr>
              <w:t>1.两个以上供应商可以组成一个投标联合体，以一个投标人的身份共同参加投标，联合体投标人的名称应统一按“XXX 公司与 XXX 公司的联合体”的规则填写。</w:t>
            </w:r>
            <w:r>
              <w:rPr>
                <w:rFonts w:hint="eastAsia" w:ascii="宋体" w:hAnsi="宋体"/>
                <w:color w:val="auto"/>
                <w:szCs w:val="21"/>
                <w:highlight w:val="none"/>
              </w:rPr>
              <w:tab/>
            </w:r>
          </w:p>
          <w:p w14:paraId="56EA716A">
            <w:pPr>
              <w:autoSpaceDE w:val="0"/>
              <w:autoSpaceDN w:val="0"/>
              <w:snapToGrid w:val="0"/>
              <w:spacing w:line="400" w:lineRule="exact"/>
              <w:textAlignment w:val="bottom"/>
              <w:rPr>
                <w:rFonts w:ascii="宋体" w:hAnsi="宋体"/>
                <w:color w:val="auto"/>
                <w:szCs w:val="21"/>
                <w:highlight w:val="none"/>
              </w:rPr>
            </w:pPr>
            <w:r>
              <w:rPr>
                <w:rFonts w:hint="eastAsia" w:ascii="宋体" w:hAnsi="宋体"/>
                <w:color w:val="auto"/>
                <w:szCs w:val="21"/>
                <w:highlight w:val="none"/>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本项目招标公告“申请人的资格要求”第3点 “3、本项目的特定资格要求”的要求。</w:t>
            </w:r>
          </w:p>
          <w:p w14:paraId="661EC6B3">
            <w:pPr>
              <w:autoSpaceDE w:val="0"/>
              <w:autoSpaceDN w:val="0"/>
              <w:snapToGrid w:val="0"/>
              <w:spacing w:line="400" w:lineRule="exact"/>
              <w:textAlignment w:val="bottom"/>
              <w:rPr>
                <w:rFonts w:ascii="宋体" w:hAnsi="宋体"/>
                <w:color w:val="auto"/>
                <w:szCs w:val="21"/>
                <w:highlight w:val="none"/>
              </w:rPr>
            </w:pPr>
            <w:r>
              <w:rPr>
                <w:rFonts w:hint="eastAsia" w:ascii="宋体" w:hAnsi="宋体"/>
                <w:color w:val="auto"/>
                <w:szCs w:val="21"/>
                <w:highlight w:val="none"/>
              </w:rPr>
              <w:t>3、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r>
              <w:rPr>
                <w:rFonts w:hint="eastAsia" w:ascii="宋体" w:hAnsi="宋体"/>
                <w:color w:val="auto"/>
                <w:szCs w:val="21"/>
                <w:highlight w:val="none"/>
              </w:rPr>
              <w:tab/>
            </w:r>
          </w:p>
          <w:p w14:paraId="71C80BD4">
            <w:pPr>
              <w:autoSpaceDE w:val="0"/>
              <w:autoSpaceDN w:val="0"/>
              <w:snapToGrid w:val="0"/>
              <w:spacing w:line="400" w:lineRule="exact"/>
              <w:textAlignment w:val="bottom"/>
              <w:rPr>
                <w:rFonts w:ascii="宋体" w:hAnsi="宋体"/>
                <w:color w:val="auto"/>
                <w:szCs w:val="21"/>
                <w:highlight w:val="none"/>
              </w:rPr>
            </w:pPr>
            <w:r>
              <w:rPr>
                <w:rFonts w:hint="eastAsia" w:ascii="宋体" w:hAnsi="宋体"/>
                <w:color w:val="auto"/>
                <w:szCs w:val="21"/>
                <w:highlight w:val="none"/>
              </w:rPr>
              <w:t>4.以联合体形式参加政府采购活动的，联合体各方不得再单独参加或者与其他投标人另外组成联合体参加同一合同项下的政府采购活动，否则与之相关的投标文件作废。</w:t>
            </w:r>
            <w:r>
              <w:rPr>
                <w:rFonts w:hint="eastAsia" w:ascii="宋体" w:hAnsi="宋体"/>
                <w:color w:val="auto"/>
                <w:szCs w:val="21"/>
                <w:highlight w:val="none"/>
              </w:rPr>
              <w:tab/>
            </w:r>
            <w:r>
              <w:rPr>
                <w:rFonts w:hint="eastAsia" w:ascii="宋体" w:hAnsi="宋体"/>
                <w:color w:val="auto"/>
                <w:szCs w:val="21"/>
                <w:highlight w:val="none"/>
              </w:rPr>
              <w:tab/>
            </w:r>
          </w:p>
          <w:p w14:paraId="0E15956B">
            <w:pPr>
              <w:autoSpaceDE w:val="0"/>
              <w:autoSpaceDN w:val="0"/>
              <w:snapToGrid w:val="0"/>
              <w:spacing w:line="400" w:lineRule="exact"/>
              <w:textAlignment w:val="bottom"/>
              <w:rPr>
                <w:rFonts w:ascii="宋体" w:hAnsi="宋体"/>
                <w:color w:val="auto"/>
                <w:szCs w:val="21"/>
                <w:highlight w:val="none"/>
              </w:rPr>
            </w:pPr>
            <w:r>
              <w:rPr>
                <w:rFonts w:hint="eastAsia" w:ascii="宋体" w:hAnsi="宋体"/>
                <w:color w:val="auto"/>
                <w:szCs w:val="21"/>
                <w:highlight w:val="none"/>
              </w:rPr>
              <w:t>5.联合体中有同类资质的投标人按照联合体分工承担相同工作的，应当按照资质等级较低的投标人确定资质等级。</w:t>
            </w:r>
            <w:r>
              <w:rPr>
                <w:rFonts w:hint="eastAsia" w:ascii="宋体" w:hAnsi="宋体"/>
                <w:color w:val="auto"/>
                <w:szCs w:val="21"/>
                <w:highlight w:val="none"/>
              </w:rPr>
              <w:tab/>
            </w:r>
            <w:r>
              <w:rPr>
                <w:rFonts w:hint="eastAsia" w:ascii="宋体" w:hAnsi="宋体"/>
                <w:color w:val="auto"/>
                <w:szCs w:val="21"/>
                <w:highlight w:val="none"/>
              </w:rPr>
              <w:tab/>
            </w:r>
          </w:p>
          <w:p w14:paraId="2DF209DF">
            <w:pPr>
              <w:autoSpaceDE w:val="0"/>
              <w:autoSpaceDN w:val="0"/>
              <w:snapToGrid w:val="0"/>
              <w:spacing w:line="400" w:lineRule="exact"/>
              <w:textAlignment w:val="bottom"/>
              <w:rPr>
                <w:rFonts w:ascii="宋体" w:hAnsi="宋体"/>
                <w:color w:val="auto"/>
                <w:szCs w:val="21"/>
                <w:highlight w:val="none"/>
              </w:rPr>
            </w:pPr>
            <w:r>
              <w:rPr>
                <w:rFonts w:hint="eastAsia" w:ascii="宋体" w:hAnsi="宋体"/>
                <w:color w:val="auto"/>
                <w:szCs w:val="21"/>
                <w:highlight w:val="none"/>
              </w:rPr>
              <w:t>6.联合体投标业绩、履约能力按照联合体各方其中较高的一方认定并计算（招标文件另有规定的除外）。</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p>
          <w:p w14:paraId="6F806304">
            <w:pPr>
              <w:autoSpaceDE w:val="0"/>
              <w:autoSpaceDN w:val="0"/>
              <w:snapToGrid w:val="0"/>
              <w:spacing w:line="400" w:lineRule="exact"/>
              <w:textAlignment w:val="bottom"/>
              <w:rPr>
                <w:rFonts w:ascii="宋体" w:hAnsi="宋体"/>
                <w:color w:val="auto"/>
                <w:szCs w:val="21"/>
                <w:highlight w:val="none"/>
              </w:rPr>
            </w:pPr>
            <w:r>
              <w:rPr>
                <w:rFonts w:hint="eastAsia" w:ascii="宋体" w:hAnsi="宋体"/>
                <w:color w:val="auto"/>
                <w:szCs w:val="21"/>
                <w:highlight w:val="none"/>
              </w:rPr>
              <w:t>7.联合体各方均应按照招标文件的规定提交资格证明文件。</w:t>
            </w:r>
          </w:p>
        </w:tc>
      </w:tr>
      <w:tr w14:paraId="5A24D0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7A6838B7">
            <w:pPr>
              <w:spacing w:line="400" w:lineRule="exact"/>
              <w:jc w:val="center"/>
              <w:rPr>
                <w:rFonts w:ascii="宋体" w:hAnsi="宋体"/>
                <w:color w:val="auto"/>
                <w:szCs w:val="21"/>
                <w:highlight w:val="none"/>
              </w:rPr>
            </w:pPr>
            <w:r>
              <w:rPr>
                <w:rFonts w:hint="eastAsia" w:ascii="宋体" w:hAnsi="宋体"/>
                <w:color w:val="auto"/>
                <w:szCs w:val="21"/>
                <w:highlight w:val="none"/>
              </w:rPr>
              <w:t>7.2</w:t>
            </w:r>
          </w:p>
        </w:tc>
        <w:tc>
          <w:tcPr>
            <w:tcW w:w="8708" w:type="dxa"/>
            <w:tcBorders>
              <w:top w:val="single" w:color="auto" w:sz="4" w:space="0"/>
              <w:left w:val="single" w:color="auto" w:sz="4" w:space="0"/>
              <w:bottom w:val="single" w:color="auto" w:sz="4" w:space="0"/>
              <w:right w:val="single" w:color="auto" w:sz="4" w:space="0"/>
            </w:tcBorders>
            <w:vAlign w:val="center"/>
          </w:tcPr>
          <w:p w14:paraId="7C272AA1">
            <w:pPr>
              <w:pStyle w:val="18"/>
              <w:spacing w:line="400" w:lineRule="exact"/>
              <w:rPr>
                <w:rFonts w:ascii="宋体" w:hAnsi="宋体"/>
                <w:color w:val="auto"/>
                <w:szCs w:val="21"/>
                <w:highlight w:val="none"/>
                <w:u w:val="single"/>
              </w:rPr>
            </w:pPr>
            <w:r>
              <w:rPr>
                <w:rFonts w:hint="eastAsia" w:ascii="宋体" w:hAnsi="宋体"/>
                <w:color w:val="auto"/>
                <w:szCs w:val="21"/>
                <w:highlight w:val="none"/>
              </w:rPr>
              <w:t>本项目不允许分包。</w:t>
            </w:r>
          </w:p>
        </w:tc>
      </w:tr>
      <w:tr w14:paraId="7C6500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06" w:hRule="atLeast"/>
          <w:jc w:val="center"/>
        </w:trPr>
        <w:tc>
          <w:tcPr>
            <w:tcW w:w="895" w:type="dxa"/>
            <w:tcBorders>
              <w:top w:val="single" w:color="auto" w:sz="4" w:space="0"/>
              <w:left w:val="single" w:color="auto" w:sz="4" w:space="0"/>
              <w:bottom w:val="single" w:color="auto" w:sz="4" w:space="0"/>
              <w:right w:val="single" w:color="auto" w:sz="4" w:space="0"/>
            </w:tcBorders>
            <w:vAlign w:val="center"/>
          </w:tcPr>
          <w:p w14:paraId="4E5118F5">
            <w:pPr>
              <w:spacing w:line="400" w:lineRule="exact"/>
              <w:jc w:val="center"/>
              <w:rPr>
                <w:rFonts w:ascii="宋体" w:hAnsi="宋体"/>
                <w:color w:val="auto"/>
                <w:szCs w:val="21"/>
                <w:highlight w:val="none"/>
              </w:rPr>
            </w:pPr>
            <w:r>
              <w:rPr>
                <w:rFonts w:hint="eastAsia" w:ascii="宋体" w:hAnsi="宋体"/>
                <w:color w:val="auto"/>
                <w:szCs w:val="21"/>
                <w:highlight w:val="none"/>
              </w:rPr>
              <w:t>8.1</w:t>
            </w:r>
          </w:p>
        </w:tc>
        <w:tc>
          <w:tcPr>
            <w:tcW w:w="8708" w:type="dxa"/>
            <w:tcBorders>
              <w:top w:val="single" w:color="auto" w:sz="4" w:space="0"/>
              <w:left w:val="single" w:color="auto" w:sz="4" w:space="0"/>
              <w:bottom w:val="single" w:color="auto" w:sz="4" w:space="0"/>
              <w:right w:val="single" w:color="auto" w:sz="4" w:space="0"/>
            </w:tcBorders>
            <w:vAlign w:val="center"/>
          </w:tcPr>
          <w:p w14:paraId="6E059E43">
            <w:pPr>
              <w:autoSpaceDE w:val="0"/>
              <w:autoSpaceDN w:val="0"/>
              <w:snapToGrid w:val="0"/>
              <w:spacing w:line="400" w:lineRule="exact"/>
              <w:textAlignment w:val="bottom"/>
              <w:rPr>
                <w:rFonts w:ascii="宋体" w:hAnsi="宋体"/>
                <w:color w:val="auto"/>
                <w:szCs w:val="21"/>
                <w:highlight w:val="none"/>
              </w:rPr>
            </w:pPr>
            <w:r>
              <w:rPr>
                <w:rFonts w:hint="eastAsia" w:ascii="宋体" w:hAnsi="宋体"/>
                <w:color w:val="auto"/>
                <w:szCs w:val="21"/>
                <w:highlight w:val="none"/>
              </w:rPr>
              <w:t>采用综合评分法的采购项目，提供相同品牌产品（非单一产品采购项目的，指核心产品）的不同投标人评审得分相同时，按照下列方式确定一个投标人获得中标人推荐资格：评标委员会按</w:t>
            </w:r>
            <w:r>
              <w:rPr>
                <w:rFonts w:ascii="宋体" w:hAnsi="宋体"/>
                <w:color w:val="auto"/>
                <w:szCs w:val="21"/>
                <w:highlight w:val="none"/>
              </w:rPr>
              <w:t>投标报价低</w:t>
            </w:r>
            <w:r>
              <w:rPr>
                <w:rFonts w:hint="eastAsia" w:ascii="宋体" w:hAnsi="宋体"/>
                <w:color w:val="auto"/>
                <w:szCs w:val="21"/>
                <w:highlight w:val="none"/>
              </w:rPr>
              <w:t>的原则确定，</w:t>
            </w:r>
            <w:r>
              <w:rPr>
                <w:rFonts w:ascii="宋体" w:hAnsi="宋体"/>
                <w:color w:val="auto"/>
                <w:szCs w:val="21"/>
                <w:highlight w:val="none"/>
              </w:rPr>
              <w:t>投标报价相同的</w:t>
            </w:r>
            <w:r>
              <w:rPr>
                <w:rFonts w:hint="eastAsia" w:ascii="宋体" w:hAnsi="宋体"/>
                <w:color w:val="auto"/>
                <w:szCs w:val="21"/>
                <w:highlight w:val="none"/>
              </w:rPr>
              <w:t>按综合评分中技术水平、售后服务、信誉业绩、政策功能得分高低依次确定。</w:t>
            </w:r>
          </w:p>
        </w:tc>
      </w:tr>
      <w:tr w14:paraId="5BABE4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2" w:hRule="atLeast"/>
          <w:jc w:val="center"/>
        </w:trPr>
        <w:tc>
          <w:tcPr>
            <w:tcW w:w="895" w:type="dxa"/>
            <w:vMerge w:val="restart"/>
            <w:tcBorders>
              <w:top w:val="single" w:color="auto" w:sz="4" w:space="0"/>
              <w:left w:val="single" w:color="auto" w:sz="4" w:space="0"/>
              <w:right w:val="single" w:color="auto" w:sz="4" w:space="0"/>
            </w:tcBorders>
            <w:vAlign w:val="center"/>
          </w:tcPr>
          <w:p w14:paraId="21F80C14">
            <w:pPr>
              <w:spacing w:line="400" w:lineRule="exact"/>
              <w:jc w:val="center"/>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1.</w:t>
            </w:r>
            <w:r>
              <w:rPr>
                <w:rFonts w:hint="eastAsia" w:ascii="宋体" w:hAnsi="宋体"/>
                <w:color w:val="auto"/>
                <w:szCs w:val="21"/>
                <w:highlight w:val="none"/>
              </w:rPr>
              <w:t>5</w:t>
            </w:r>
          </w:p>
        </w:tc>
        <w:tc>
          <w:tcPr>
            <w:tcW w:w="8708" w:type="dxa"/>
            <w:tcBorders>
              <w:top w:val="single" w:color="auto" w:sz="4" w:space="0"/>
              <w:left w:val="single" w:color="auto" w:sz="4" w:space="0"/>
              <w:bottom w:val="single" w:color="auto" w:sz="4" w:space="0"/>
              <w:right w:val="single" w:color="auto" w:sz="4" w:space="0"/>
            </w:tcBorders>
            <w:vAlign w:val="center"/>
          </w:tcPr>
          <w:p w14:paraId="5AB9B82A">
            <w:pPr>
              <w:snapToGrid w:val="0"/>
              <w:spacing w:line="400" w:lineRule="exact"/>
              <w:rPr>
                <w:rFonts w:ascii="宋体" w:hAnsi="宋体"/>
                <w:color w:val="auto"/>
                <w:szCs w:val="21"/>
                <w:highlight w:val="none"/>
              </w:rPr>
            </w:pPr>
            <w:r>
              <w:rPr>
                <w:rFonts w:hint="eastAsia" w:ascii="宋体" w:hAnsi="宋体"/>
                <w:color w:val="auto"/>
                <w:szCs w:val="21"/>
                <w:highlight w:val="none"/>
              </w:rPr>
              <w:t>本项目不组织现场考察。</w:t>
            </w:r>
          </w:p>
        </w:tc>
      </w:tr>
      <w:tr w14:paraId="29D52D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895" w:type="dxa"/>
            <w:vMerge w:val="continue"/>
            <w:tcBorders>
              <w:left w:val="single" w:color="auto" w:sz="4" w:space="0"/>
              <w:bottom w:val="single" w:color="auto" w:sz="4" w:space="0"/>
              <w:right w:val="single" w:color="auto" w:sz="4" w:space="0"/>
            </w:tcBorders>
            <w:vAlign w:val="center"/>
          </w:tcPr>
          <w:p w14:paraId="4527F725">
            <w:pPr>
              <w:spacing w:line="400" w:lineRule="exact"/>
              <w:jc w:val="center"/>
              <w:rPr>
                <w:rFonts w:ascii="宋体" w:hAnsi="宋体"/>
                <w:color w:val="auto"/>
                <w:szCs w:val="21"/>
                <w:highlight w:val="none"/>
              </w:rPr>
            </w:pPr>
          </w:p>
        </w:tc>
        <w:tc>
          <w:tcPr>
            <w:tcW w:w="8708" w:type="dxa"/>
            <w:tcBorders>
              <w:top w:val="single" w:color="auto" w:sz="4" w:space="0"/>
              <w:left w:val="single" w:color="auto" w:sz="4" w:space="0"/>
              <w:bottom w:val="single" w:color="auto" w:sz="4" w:space="0"/>
              <w:right w:val="single" w:color="auto" w:sz="4" w:space="0"/>
            </w:tcBorders>
            <w:vAlign w:val="center"/>
          </w:tcPr>
          <w:p w14:paraId="6879F756">
            <w:pPr>
              <w:snapToGrid w:val="0"/>
              <w:spacing w:line="400" w:lineRule="exact"/>
              <w:rPr>
                <w:rFonts w:ascii="宋体" w:hAnsi="宋体"/>
                <w:color w:val="auto"/>
                <w:szCs w:val="21"/>
                <w:highlight w:val="none"/>
              </w:rPr>
            </w:pPr>
            <w:r>
              <w:rPr>
                <w:rFonts w:hint="eastAsia" w:ascii="宋体" w:hAnsi="宋体"/>
                <w:color w:val="auto"/>
                <w:szCs w:val="21"/>
                <w:highlight w:val="none"/>
              </w:rPr>
              <w:t>本项目不组织召开开标前答疑会</w:t>
            </w:r>
          </w:p>
        </w:tc>
      </w:tr>
      <w:tr w14:paraId="337EB9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restart"/>
            <w:tcBorders>
              <w:top w:val="single" w:color="auto" w:sz="4" w:space="0"/>
              <w:left w:val="single" w:color="auto" w:sz="4" w:space="0"/>
              <w:right w:val="single" w:color="auto" w:sz="4" w:space="0"/>
            </w:tcBorders>
            <w:vAlign w:val="center"/>
          </w:tcPr>
          <w:p w14:paraId="0766FB20">
            <w:pPr>
              <w:spacing w:line="400" w:lineRule="exact"/>
              <w:jc w:val="center"/>
              <w:rPr>
                <w:rFonts w:ascii="宋体" w:hAnsi="宋体"/>
                <w:color w:val="auto"/>
                <w:szCs w:val="21"/>
                <w:highlight w:val="none"/>
              </w:rPr>
            </w:pPr>
            <w:bookmarkStart w:id="52" w:name="_13.1"/>
            <w:bookmarkEnd w:id="52"/>
            <w:r>
              <w:rPr>
                <w:rFonts w:hint="eastAsia" w:ascii="宋体" w:hAnsi="宋体"/>
                <w:color w:val="auto"/>
                <w:szCs w:val="21"/>
                <w:highlight w:val="none"/>
              </w:rPr>
              <w:t>13.</w:t>
            </w:r>
            <w:bookmarkStart w:id="53" w:name="_Hlt19632543"/>
            <w:r>
              <w:rPr>
                <w:rFonts w:hint="eastAsia" w:ascii="宋体" w:hAnsi="宋体"/>
                <w:color w:val="auto"/>
                <w:szCs w:val="21"/>
                <w:highlight w:val="none"/>
              </w:rPr>
              <w:t>1</w:t>
            </w:r>
            <w:bookmarkEnd w:id="53"/>
          </w:p>
        </w:tc>
        <w:tc>
          <w:tcPr>
            <w:tcW w:w="8708" w:type="dxa"/>
            <w:tcBorders>
              <w:top w:val="single" w:color="auto" w:sz="4" w:space="0"/>
              <w:left w:val="single" w:color="auto" w:sz="4" w:space="0"/>
              <w:bottom w:val="single" w:color="auto" w:sz="4" w:space="0"/>
              <w:right w:val="single" w:color="auto" w:sz="4" w:space="0"/>
            </w:tcBorders>
            <w:vAlign w:val="center"/>
          </w:tcPr>
          <w:p w14:paraId="44C75B83">
            <w:pPr>
              <w:snapToGrid w:val="0"/>
              <w:spacing w:line="400" w:lineRule="exact"/>
              <w:jc w:val="left"/>
              <w:rPr>
                <w:rFonts w:ascii="宋体" w:hAnsi="宋体" w:cs="Courier New"/>
                <w:b/>
                <w:color w:val="auto"/>
                <w:szCs w:val="21"/>
                <w:highlight w:val="none"/>
              </w:rPr>
            </w:pPr>
            <w:r>
              <w:rPr>
                <w:rFonts w:hint="eastAsia" w:ascii="宋体" w:hAnsi="宋体" w:cs="Courier New"/>
                <w:b/>
                <w:color w:val="auto"/>
                <w:szCs w:val="21"/>
                <w:highlight w:val="none"/>
              </w:rPr>
              <w:t>报价文件:</w:t>
            </w:r>
          </w:p>
          <w:p w14:paraId="49FD0D9D">
            <w:pPr>
              <w:tabs>
                <w:tab w:val="left" w:pos="459"/>
              </w:tabs>
              <w:snapToGrid w:val="0"/>
              <w:spacing w:line="400" w:lineRule="exact"/>
              <w:jc w:val="left"/>
              <w:rPr>
                <w:rFonts w:ascii="宋体" w:hAnsi="宋体"/>
                <w:color w:val="auto"/>
                <w:szCs w:val="21"/>
                <w:highlight w:val="none"/>
              </w:rPr>
            </w:pPr>
            <w:r>
              <w:rPr>
                <w:rFonts w:hint="eastAsia" w:ascii="宋体" w:hAnsi="宋体"/>
                <w:color w:val="auto"/>
                <w:szCs w:val="21"/>
                <w:highlight w:val="none"/>
              </w:rPr>
              <w:t>1.投标函（格式后附）；</w:t>
            </w:r>
            <w:r>
              <w:rPr>
                <w:rFonts w:hint="eastAsia" w:ascii="宋体" w:hAnsi="宋体"/>
                <w:b/>
                <w:color w:val="auto"/>
                <w:szCs w:val="21"/>
                <w:highlight w:val="none"/>
              </w:rPr>
              <w:t>（必须提供，否则按无效投标处理）</w:t>
            </w:r>
          </w:p>
          <w:p w14:paraId="16B1786C">
            <w:pPr>
              <w:tabs>
                <w:tab w:val="left" w:pos="459"/>
              </w:tabs>
              <w:snapToGrid w:val="0"/>
              <w:spacing w:line="400" w:lineRule="exact"/>
              <w:jc w:val="left"/>
              <w:rPr>
                <w:rFonts w:ascii="宋体" w:hAnsi="宋体"/>
                <w:color w:val="auto"/>
                <w:szCs w:val="21"/>
                <w:highlight w:val="none"/>
              </w:rPr>
            </w:pPr>
            <w:bookmarkStart w:id="54" w:name="_Hlk71299233"/>
            <w:r>
              <w:rPr>
                <w:rFonts w:hint="eastAsia" w:ascii="宋体" w:hAnsi="宋体"/>
                <w:color w:val="auto"/>
                <w:szCs w:val="21"/>
                <w:highlight w:val="none"/>
              </w:rPr>
              <w:t>2.开标一览表</w:t>
            </w:r>
            <w:bookmarkEnd w:id="54"/>
            <w:r>
              <w:rPr>
                <w:rFonts w:hint="eastAsia" w:ascii="宋体" w:hAnsi="宋体"/>
                <w:color w:val="auto"/>
                <w:szCs w:val="21"/>
                <w:highlight w:val="none"/>
              </w:rPr>
              <w:t>（格式后附）； （</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5CEADF75">
            <w:pPr>
              <w:tabs>
                <w:tab w:val="left" w:pos="459"/>
              </w:tabs>
              <w:snapToGrid w:val="0"/>
              <w:spacing w:line="400" w:lineRule="exact"/>
              <w:jc w:val="left"/>
              <w:rPr>
                <w:rFonts w:ascii="宋体" w:hAnsi="宋体"/>
                <w:color w:val="auto"/>
                <w:szCs w:val="21"/>
                <w:highlight w:val="none"/>
              </w:rPr>
            </w:pPr>
            <w:r>
              <w:rPr>
                <w:rFonts w:hint="eastAsia" w:ascii="宋体" w:hAnsi="宋体"/>
                <w:color w:val="auto"/>
                <w:szCs w:val="21"/>
                <w:highlight w:val="none"/>
              </w:rPr>
              <w:t>3.中小企业声明函（格式后附）；</w:t>
            </w:r>
            <w:r>
              <w:rPr>
                <w:rFonts w:hint="eastAsia" w:ascii="宋体" w:hAnsi="宋体"/>
                <w:b/>
                <w:bCs/>
                <w:color w:val="auto"/>
                <w:szCs w:val="21"/>
                <w:highlight w:val="none"/>
              </w:rPr>
              <w:t>（如有请提供）</w:t>
            </w:r>
          </w:p>
          <w:p w14:paraId="5FAB4BC9">
            <w:pPr>
              <w:tabs>
                <w:tab w:val="left" w:pos="459"/>
              </w:tabs>
              <w:snapToGrid w:val="0"/>
              <w:spacing w:line="400" w:lineRule="exact"/>
              <w:jc w:val="left"/>
              <w:rPr>
                <w:rFonts w:ascii="宋体" w:hAnsi="宋体"/>
                <w:color w:val="auto"/>
                <w:szCs w:val="21"/>
                <w:highlight w:val="none"/>
              </w:rPr>
            </w:pPr>
            <w:r>
              <w:rPr>
                <w:rFonts w:hint="eastAsia" w:ascii="宋体" w:hAnsi="宋体"/>
                <w:color w:val="auto"/>
                <w:szCs w:val="21"/>
                <w:highlight w:val="none"/>
              </w:rPr>
              <w:t>4.投标人针对报价需要说明的其他文件和说明（格式自拟）。</w:t>
            </w:r>
            <w:r>
              <w:rPr>
                <w:rFonts w:hint="eastAsia" w:ascii="宋体" w:hAnsi="宋体"/>
                <w:b/>
                <w:bCs/>
                <w:color w:val="auto"/>
                <w:szCs w:val="21"/>
                <w:highlight w:val="none"/>
              </w:rPr>
              <w:t>（如有请提供）</w:t>
            </w:r>
          </w:p>
          <w:p w14:paraId="6D7F485B">
            <w:pPr>
              <w:snapToGrid w:val="0"/>
              <w:spacing w:line="400" w:lineRule="exact"/>
              <w:ind w:firstLine="420"/>
              <w:jc w:val="left"/>
              <w:rPr>
                <w:rFonts w:ascii="宋体" w:hAnsi="宋体"/>
                <w:color w:val="auto"/>
                <w:szCs w:val="21"/>
                <w:highlight w:val="none"/>
              </w:rPr>
            </w:pPr>
            <w:r>
              <w:rPr>
                <w:rFonts w:hint="eastAsia" w:ascii="宋体" w:hAnsi="宋体"/>
                <w:b/>
                <w:bCs/>
                <w:color w:val="auto"/>
                <w:szCs w:val="21"/>
                <w:highlight w:val="none"/>
              </w:rPr>
              <w:t>注：投标函、开标一览表必须由法定代表人或者委托代理人在规定签章处逐一签字并加盖投标人公章，否则按无效投标</w:t>
            </w:r>
            <w:r>
              <w:rPr>
                <w:rFonts w:hint="eastAsia" w:ascii="宋体" w:hAnsi="宋体" w:cs="Courier New"/>
                <w:b/>
                <w:color w:val="auto"/>
                <w:szCs w:val="21"/>
                <w:highlight w:val="none"/>
              </w:rPr>
              <w:t>处理</w:t>
            </w:r>
            <w:r>
              <w:rPr>
                <w:rFonts w:hint="eastAsia" w:ascii="宋体" w:hAnsi="宋体"/>
                <w:b/>
                <w:bCs/>
                <w:color w:val="auto"/>
                <w:szCs w:val="21"/>
                <w:highlight w:val="none"/>
              </w:rPr>
              <w:t>。</w:t>
            </w:r>
          </w:p>
        </w:tc>
      </w:tr>
      <w:tr w14:paraId="29E41E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continue"/>
            <w:tcBorders>
              <w:left w:val="single" w:color="auto" w:sz="4" w:space="0"/>
              <w:right w:val="single" w:color="auto" w:sz="4" w:space="0"/>
            </w:tcBorders>
            <w:vAlign w:val="center"/>
          </w:tcPr>
          <w:p w14:paraId="1BD0C3B4">
            <w:pPr>
              <w:spacing w:line="400" w:lineRule="exact"/>
              <w:rPr>
                <w:rFonts w:ascii="宋体" w:hAnsi="宋体"/>
                <w:color w:val="auto"/>
                <w:szCs w:val="21"/>
                <w:highlight w:val="none"/>
              </w:rPr>
            </w:pPr>
            <w:bookmarkStart w:id="55" w:name="_13.2"/>
            <w:bookmarkEnd w:id="55"/>
          </w:p>
        </w:tc>
        <w:tc>
          <w:tcPr>
            <w:tcW w:w="8708" w:type="dxa"/>
            <w:tcBorders>
              <w:top w:val="single" w:color="auto" w:sz="4" w:space="0"/>
              <w:left w:val="single" w:color="auto" w:sz="4" w:space="0"/>
              <w:bottom w:val="single" w:color="auto" w:sz="4" w:space="0"/>
              <w:right w:val="single" w:color="auto" w:sz="4" w:space="0"/>
            </w:tcBorders>
            <w:vAlign w:val="center"/>
          </w:tcPr>
          <w:p w14:paraId="436849E4">
            <w:pPr>
              <w:snapToGrid w:val="0"/>
              <w:spacing w:line="400" w:lineRule="exact"/>
              <w:jc w:val="left"/>
              <w:rPr>
                <w:rFonts w:ascii="宋体" w:hAnsi="宋体" w:cs="Courier New"/>
                <w:b/>
                <w:color w:val="auto"/>
                <w:szCs w:val="21"/>
                <w:highlight w:val="none"/>
              </w:rPr>
            </w:pPr>
            <w:r>
              <w:rPr>
                <w:rFonts w:hint="eastAsia" w:ascii="宋体" w:hAnsi="宋体" w:cs="Courier New"/>
                <w:b/>
                <w:color w:val="auto"/>
                <w:szCs w:val="21"/>
                <w:highlight w:val="none"/>
              </w:rPr>
              <w:t>资格证明文件:</w:t>
            </w:r>
          </w:p>
          <w:p w14:paraId="656B7D94">
            <w:pPr>
              <w:autoSpaceDE w:val="0"/>
              <w:autoSpaceDN w:val="0"/>
              <w:snapToGrid w:val="0"/>
              <w:spacing w:line="400" w:lineRule="exact"/>
              <w:textAlignment w:val="bottom"/>
              <w:rPr>
                <w:rFonts w:ascii="宋体" w:hAnsi="宋体"/>
                <w:b/>
                <w:color w:val="auto"/>
                <w:szCs w:val="21"/>
                <w:highlight w:val="none"/>
              </w:rPr>
            </w:pPr>
            <w:r>
              <w:rPr>
                <w:rFonts w:hint="eastAsia" w:ascii="宋体" w:hAnsi="宋体" w:cs="宋体"/>
                <w:color w:val="auto"/>
                <w:szCs w:val="21"/>
                <w:highlight w:val="none"/>
              </w:rPr>
              <w:t>1.供应商为法人或者其他组织的，</w:t>
            </w:r>
            <w:r>
              <w:rPr>
                <w:rFonts w:hint="eastAsia" w:ascii="宋体" w:hAnsi="宋体"/>
                <w:color w:val="auto"/>
                <w:szCs w:val="21"/>
                <w:highlight w:val="none"/>
              </w:rPr>
              <w:t>证明文件为其营业执照复印件（如营业执照或者事业单位法人证书或者执业许可证等）；供应商为自然人的，证明文件为其身份证复印件；</w:t>
            </w:r>
            <w:r>
              <w:rPr>
                <w:rFonts w:hint="eastAsia" w:ascii="宋体" w:hAnsi="宋体"/>
                <w:b/>
                <w:color w:val="auto"/>
                <w:szCs w:val="21"/>
                <w:highlight w:val="none"/>
              </w:rPr>
              <w:t>（必须提供，否则投标文件按无效响应处理</w:t>
            </w:r>
            <w:r>
              <w:rPr>
                <w:rFonts w:ascii="宋体" w:hAnsi="宋体"/>
                <w:b/>
                <w:color w:val="auto"/>
                <w:szCs w:val="21"/>
                <w:highlight w:val="none"/>
              </w:rPr>
              <w:t>）</w:t>
            </w:r>
          </w:p>
          <w:p w14:paraId="740981AB">
            <w:pPr>
              <w:autoSpaceDE w:val="0"/>
              <w:autoSpaceDN w:val="0"/>
              <w:snapToGrid w:val="0"/>
              <w:spacing w:line="400" w:lineRule="exact"/>
              <w:textAlignment w:val="bottom"/>
              <w:rPr>
                <w:rFonts w:ascii="宋体" w:hAnsi="宋体" w:cs="宋体"/>
                <w:b/>
                <w:color w:val="auto"/>
                <w:szCs w:val="21"/>
                <w:highlight w:val="none"/>
              </w:rPr>
            </w:pPr>
            <w:r>
              <w:rPr>
                <w:rFonts w:hint="eastAsia" w:ascii="宋体" w:hAnsi="宋体" w:cs="宋体"/>
                <w:color w:val="auto"/>
                <w:szCs w:val="21"/>
                <w:highlight w:val="none"/>
              </w:rPr>
              <w:t>2.投标人依法缴纳税收的相关材料（投标截止之日前半年内连续3个月的依法缴纳税收的凭据复印件；依法免税的供应商，必须提供相应文件证明其依法免税。从</w:t>
            </w:r>
            <w:r>
              <w:rPr>
                <w:rFonts w:ascii="宋体" w:hAnsi="宋体" w:cs="宋体"/>
                <w:color w:val="auto"/>
                <w:szCs w:val="21"/>
                <w:highlight w:val="none"/>
              </w:rPr>
              <w:t>成立</w:t>
            </w:r>
            <w:r>
              <w:rPr>
                <w:rFonts w:hint="eastAsia" w:ascii="宋体" w:hAnsi="宋体" w:cs="宋体"/>
                <w:color w:val="auto"/>
                <w:szCs w:val="21"/>
                <w:highlight w:val="none"/>
              </w:rPr>
              <w:t>之日起到投标文件提交截止时间止不足要求月数的，只需提供从</w:t>
            </w:r>
            <w:r>
              <w:rPr>
                <w:rFonts w:ascii="宋体" w:hAnsi="宋体" w:cs="宋体"/>
                <w:color w:val="auto"/>
                <w:szCs w:val="21"/>
                <w:highlight w:val="none"/>
              </w:rPr>
              <w:t>成立</w:t>
            </w:r>
            <w:r>
              <w:rPr>
                <w:rFonts w:hint="eastAsia" w:ascii="宋体" w:hAnsi="宋体" w:cs="宋体"/>
                <w:color w:val="auto"/>
                <w:szCs w:val="21"/>
                <w:highlight w:val="none"/>
              </w:rPr>
              <w:t>之日起的依法缴纳税收相应证明文件）；</w:t>
            </w:r>
            <w:r>
              <w:rPr>
                <w:rFonts w:hint="eastAsia" w:ascii="宋体" w:hAnsi="宋体" w:cs="宋体"/>
                <w:b/>
                <w:color w:val="auto"/>
                <w:szCs w:val="21"/>
                <w:highlight w:val="none"/>
              </w:rPr>
              <w:t>（必须提供，否则按无效投标处理）</w:t>
            </w:r>
          </w:p>
          <w:p w14:paraId="63D1D68F">
            <w:pPr>
              <w:autoSpaceDE w:val="0"/>
              <w:autoSpaceDN w:val="0"/>
              <w:snapToGrid w:val="0"/>
              <w:spacing w:line="400" w:lineRule="exact"/>
              <w:textAlignment w:val="bottom"/>
              <w:rPr>
                <w:rFonts w:ascii="宋体" w:hAnsi="宋体" w:cs="宋体"/>
                <w:b/>
                <w:color w:val="auto"/>
                <w:szCs w:val="21"/>
                <w:highlight w:val="none"/>
              </w:rPr>
            </w:pPr>
            <w:r>
              <w:rPr>
                <w:rFonts w:hint="eastAsia" w:ascii="宋体" w:hAnsi="宋体" w:cs="宋体"/>
                <w:color w:val="auto"/>
                <w:szCs w:val="21"/>
                <w:highlight w:val="none"/>
              </w:rPr>
              <w:t>3.投标人依法缴纳社会保障资金的相关材料[投标截止之日前半年内连续3个月的依法缴纳社会保障资金的缴费凭证（专用收据或者社会保险缴纳清单）复印件；依法不需要缴纳社会保障资金的供应商，必须提供相应文件证明不需要缴纳社会保障资金。从</w:t>
            </w:r>
            <w:r>
              <w:rPr>
                <w:rFonts w:ascii="宋体" w:hAnsi="宋体" w:cs="宋体"/>
                <w:color w:val="auto"/>
                <w:szCs w:val="21"/>
                <w:highlight w:val="none"/>
              </w:rPr>
              <w:t>成立</w:t>
            </w:r>
            <w:r>
              <w:rPr>
                <w:rFonts w:hint="eastAsia" w:ascii="宋体" w:hAnsi="宋体" w:cs="宋体"/>
                <w:color w:val="auto"/>
                <w:szCs w:val="21"/>
                <w:highlight w:val="none"/>
              </w:rPr>
              <w:t>之日起到投标文件提交截止时间止不足要求月数的只需提供从</w:t>
            </w:r>
            <w:r>
              <w:rPr>
                <w:rFonts w:ascii="宋体" w:hAnsi="宋体" w:cs="宋体"/>
                <w:color w:val="auto"/>
                <w:szCs w:val="21"/>
                <w:highlight w:val="none"/>
              </w:rPr>
              <w:t>成立</w:t>
            </w:r>
            <w:r>
              <w:rPr>
                <w:rFonts w:hint="eastAsia" w:ascii="宋体" w:hAnsi="宋体" w:cs="宋体"/>
                <w:color w:val="auto"/>
                <w:szCs w:val="21"/>
                <w:highlight w:val="none"/>
              </w:rPr>
              <w:t>之日起的依法缴纳社会保障资金的相应证明文件]；</w:t>
            </w:r>
            <w:r>
              <w:rPr>
                <w:rFonts w:hint="eastAsia" w:ascii="宋体" w:hAnsi="宋体" w:cs="宋体"/>
                <w:b/>
                <w:color w:val="auto"/>
                <w:szCs w:val="21"/>
                <w:highlight w:val="none"/>
              </w:rPr>
              <w:t>（必须提供，否则按无效投标处理）</w:t>
            </w:r>
          </w:p>
          <w:p w14:paraId="25FA53DF">
            <w:pPr>
              <w:autoSpaceDE w:val="0"/>
              <w:autoSpaceDN w:val="0"/>
              <w:snapToGrid w:val="0"/>
              <w:spacing w:line="400" w:lineRule="exact"/>
              <w:textAlignment w:val="bottom"/>
              <w:rPr>
                <w:rFonts w:ascii="宋体" w:hAnsi="宋体" w:cs="宋体"/>
                <w:b/>
                <w:color w:val="auto"/>
                <w:szCs w:val="21"/>
                <w:highlight w:val="none"/>
              </w:rPr>
            </w:pPr>
            <w:r>
              <w:rPr>
                <w:rFonts w:hint="eastAsia" w:ascii="宋体" w:hAnsi="宋体" w:cs="宋体"/>
                <w:color w:val="auto"/>
                <w:szCs w:val="21"/>
                <w:highlight w:val="none"/>
              </w:rPr>
              <w:t>4.投标人财务状况报告（</w:t>
            </w:r>
            <w:r>
              <w:rPr>
                <w:rFonts w:hint="eastAsia" w:ascii="宋体" w:hAnsi="宋体" w:cs="宋体"/>
                <w:color w:val="auto"/>
                <w:szCs w:val="21"/>
                <w:highlight w:val="none"/>
                <w:lang w:val="en-US" w:eastAsia="zh-CN"/>
              </w:rPr>
              <w:t>2024</w:t>
            </w:r>
            <w:r>
              <w:rPr>
                <w:rFonts w:hint="eastAsia" w:ascii="宋体" w:hAnsi="宋体" w:cs="宋体"/>
                <w:color w:val="auto"/>
                <w:szCs w:val="21"/>
                <w:highlight w:val="none"/>
              </w:rPr>
              <w:t>年度财务报表复印件或者银行出具的资信证明；投标人属于成立</w:t>
            </w:r>
            <w:r>
              <w:rPr>
                <w:rFonts w:ascii="宋体" w:hAnsi="宋体" w:cs="宋体"/>
                <w:color w:val="auto"/>
                <w:szCs w:val="21"/>
                <w:highlight w:val="none"/>
              </w:rPr>
              <w:t>时间</w:t>
            </w:r>
            <w:r>
              <w:rPr>
                <w:rFonts w:hint="eastAsia" w:ascii="宋体" w:hAnsi="宋体" w:cs="宋体"/>
                <w:color w:val="auto"/>
                <w:szCs w:val="21"/>
                <w:highlight w:val="none"/>
              </w:rPr>
              <w:t>在规定年度之后</w:t>
            </w:r>
            <w:r>
              <w:rPr>
                <w:rFonts w:ascii="宋体" w:hAnsi="宋体" w:cs="宋体"/>
                <w:color w:val="auto"/>
                <w:szCs w:val="21"/>
                <w:highlight w:val="none"/>
              </w:rPr>
              <w:t>的</w:t>
            </w:r>
            <w:r>
              <w:rPr>
                <w:rFonts w:hint="eastAsia" w:ascii="宋体" w:hAnsi="宋体" w:cs="宋体"/>
                <w:color w:val="auto"/>
                <w:szCs w:val="21"/>
                <w:highlight w:val="none"/>
              </w:rPr>
              <w:t>法人或其他组织</w:t>
            </w:r>
            <w:r>
              <w:rPr>
                <w:rFonts w:ascii="宋体" w:hAnsi="宋体" w:cs="宋体"/>
                <w:color w:val="auto"/>
                <w:szCs w:val="21"/>
                <w:highlight w:val="none"/>
              </w:rPr>
              <w:t>，需提供成立</w:t>
            </w:r>
            <w:r>
              <w:rPr>
                <w:rFonts w:hint="eastAsia" w:ascii="宋体" w:hAnsi="宋体" w:cs="宋体"/>
                <w:color w:val="auto"/>
                <w:szCs w:val="21"/>
                <w:highlight w:val="none"/>
              </w:rPr>
              <w:t>之日起至投标截止时间前</w:t>
            </w:r>
            <w:r>
              <w:rPr>
                <w:rFonts w:ascii="宋体" w:hAnsi="宋体" w:cs="宋体"/>
                <w:color w:val="auto"/>
                <w:szCs w:val="21"/>
                <w:highlight w:val="none"/>
              </w:rPr>
              <w:t>的月报表</w:t>
            </w:r>
            <w:r>
              <w:rPr>
                <w:rFonts w:hint="eastAsia" w:ascii="宋体" w:hAnsi="宋体" w:cs="宋体"/>
                <w:color w:val="auto"/>
                <w:szCs w:val="21"/>
                <w:highlight w:val="none"/>
              </w:rPr>
              <w:t>或银行出具的资信证明；资信证明应在有效期内，未注明有效期的，银行出具时间至投标截止时间不超过一年）；</w:t>
            </w:r>
            <w:r>
              <w:rPr>
                <w:rFonts w:hint="eastAsia" w:ascii="宋体" w:hAnsi="宋体" w:cs="宋体"/>
                <w:b/>
                <w:color w:val="auto"/>
                <w:szCs w:val="21"/>
                <w:highlight w:val="none"/>
              </w:rPr>
              <w:t>（除自然人外必须提供，否则按无效投标处理）</w:t>
            </w:r>
          </w:p>
          <w:p w14:paraId="5226C53F">
            <w:pPr>
              <w:autoSpaceDE w:val="0"/>
              <w:autoSpaceDN w:val="0"/>
              <w:snapToGrid w:val="0"/>
              <w:spacing w:line="400" w:lineRule="exact"/>
              <w:textAlignment w:val="bottom"/>
              <w:rPr>
                <w:rFonts w:ascii="宋体" w:hAnsi="宋体" w:cs="宋体"/>
                <w:b/>
                <w:color w:val="auto"/>
                <w:szCs w:val="21"/>
                <w:highlight w:val="none"/>
              </w:rPr>
            </w:pPr>
            <w:r>
              <w:rPr>
                <w:rFonts w:hint="eastAsia" w:ascii="宋体" w:hAnsi="宋体" w:cs="宋体"/>
                <w:color w:val="auto"/>
                <w:szCs w:val="21"/>
                <w:highlight w:val="none"/>
              </w:rPr>
              <w:t>5.投标人直接控股、管理关系信息表（格式后附）；</w:t>
            </w:r>
            <w:r>
              <w:rPr>
                <w:rFonts w:hint="eastAsia" w:ascii="宋体" w:hAnsi="宋体" w:cs="宋体"/>
                <w:b/>
                <w:color w:val="auto"/>
                <w:szCs w:val="21"/>
                <w:highlight w:val="none"/>
              </w:rPr>
              <w:t>（必须提供，否则按无效投标处理）</w:t>
            </w:r>
          </w:p>
          <w:p w14:paraId="7AD4B91B">
            <w:pPr>
              <w:autoSpaceDE w:val="0"/>
              <w:autoSpaceDN w:val="0"/>
              <w:snapToGrid w:val="0"/>
              <w:spacing w:line="400" w:lineRule="exact"/>
              <w:textAlignment w:val="bottom"/>
              <w:rPr>
                <w:rFonts w:ascii="宋体" w:hAnsi="宋体" w:cs="宋体"/>
                <w:b/>
                <w:color w:val="auto"/>
                <w:szCs w:val="21"/>
                <w:highlight w:val="none"/>
              </w:rPr>
            </w:pPr>
            <w:r>
              <w:rPr>
                <w:rFonts w:hint="eastAsia" w:ascii="宋体" w:hAnsi="宋体" w:cs="宋体"/>
                <w:color w:val="auto"/>
                <w:szCs w:val="21"/>
                <w:highlight w:val="none"/>
              </w:rPr>
              <w:t>6.投标声明（格式后附）；</w:t>
            </w:r>
            <w:r>
              <w:rPr>
                <w:rFonts w:hint="eastAsia" w:ascii="宋体" w:hAnsi="宋体" w:cs="宋体"/>
                <w:b/>
                <w:color w:val="auto"/>
                <w:szCs w:val="21"/>
                <w:highlight w:val="none"/>
              </w:rPr>
              <w:t>（必须提供，否则按无效投标处理）</w:t>
            </w:r>
          </w:p>
          <w:p w14:paraId="7CAD8749">
            <w:pPr>
              <w:tabs>
                <w:tab w:val="left" w:pos="459"/>
              </w:tabs>
              <w:snapToGrid w:val="0"/>
              <w:spacing w:line="400" w:lineRule="exact"/>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7.本项目的特定资格要求：投标人按《医疗器械监督管理条例》（国务院令第739号）医疗器械分类管理要求具备有效的医疗器械经营备案凭证或者经营许可证，且经营范围必须包含采购标的[符合《医疗器械监督管理条例》第四十一条第二款规定的除外]；或者投标人具有《医疗器械监督管理条例》第四十三条规定的注册人凭证</w:t>
            </w:r>
            <w:r>
              <w:rPr>
                <w:rFonts w:hint="eastAsia" w:ascii="宋体" w:hAnsi="宋体" w:cs="宋体"/>
                <w:color w:val="auto"/>
                <w:szCs w:val="21"/>
                <w:highlight w:val="none"/>
                <w:lang w:eastAsia="zh-CN"/>
              </w:rPr>
              <w:t>。</w:t>
            </w:r>
            <w:r>
              <w:rPr>
                <w:rFonts w:hint="eastAsia" w:ascii="宋体" w:hAnsi="宋体" w:cs="宋体"/>
                <w:b/>
                <w:color w:val="auto"/>
                <w:szCs w:val="21"/>
                <w:highlight w:val="none"/>
              </w:rPr>
              <w:t>（必须提供，否则按无效投标处理）</w:t>
            </w:r>
          </w:p>
          <w:p w14:paraId="47791529">
            <w:pPr>
              <w:tabs>
                <w:tab w:val="left" w:pos="459"/>
              </w:tabs>
              <w:snapToGrid w:val="0"/>
              <w:spacing w:line="400" w:lineRule="exact"/>
              <w:jc w:val="left"/>
              <w:rPr>
                <w:rFonts w:ascii="宋体" w:hAnsi="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除招标文件规定必须提供以外，投标人认为需要提供的其他证明材料。</w:t>
            </w:r>
            <w:r>
              <w:rPr>
                <w:rFonts w:hint="eastAsia" w:ascii="宋体" w:hAnsi="宋体"/>
                <w:b/>
                <w:bCs/>
                <w:color w:val="auto"/>
                <w:szCs w:val="21"/>
                <w:highlight w:val="none"/>
              </w:rPr>
              <w:t>（如有请提供）</w:t>
            </w:r>
          </w:p>
          <w:p w14:paraId="2FBEFC38">
            <w:pPr>
              <w:snapToGrid w:val="0"/>
              <w:spacing w:line="400" w:lineRule="exact"/>
              <w:ind w:firstLine="422" w:firstLineChars="200"/>
              <w:jc w:val="left"/>
              <w:rPr>
                <w:rFonts w:ascii="宋体" w:hAnsi="宋体"/>
                <w:b/>
                <w:bCs/>
                <w:color w:val="auto"/>
                <w:szCs w:val="21"/>
                <w:highlight w:val="none"/>
              </w:rPr>
            </w:pPr>
            <w:r>
              <w:rPr>
                <w:rFonts w:hint="eastAsia" w:ascii="宋体" w:hAnsi="宋体"/>
                <w:b/>
                <w:bCs/>
                <w:color w:val="auto"/>
                <w:szCs w:val="21"/>
                <w:highlight w:val="none"/>
              </w:rPr>
              <w:t>注：</w:t>
            </w:r>
          </w:p>
          <w:p w14:paraId="3A750871">
            <w:pPr>
              <w:snapToGrid w:val="0"/>
              <w:spacing w:line="400" w:lineRule="exact"/>
              <w:ind w:firstLine="422" w:firstLineChars="200"/>
              <w:jc w:val="left"/>
              <w:rPr>
                <w:rFonts w:ascii="宋体" w:hAnsi="宋体" w:cs="Courier New"/>
                <w:b/>
                <w:color w:val="auto"/>
                <w:szCs w:val="21"/>
                <w:highlight w:val="none"/>
              </w:rPr>
            </w:pPr>
            <w:r>
              <w:rPr>
                <w:rFonts w:hint="eastAsia" w:ascii="宋体" w:hAnsi="宋体"/>
                <w:b/>
                <w:bCs/>
                <w:color w:val="auto"/>
                <w:szCs w:val="21"/>
                <w:highlight w:val="none"/>
              </w:rPr>
              <w:t>1.以上标明“必须提供”的材料属于复印件的，必须加盖投标人公章，否则按无效投标</w:t>
            </w:r>
            <w:r>
              <w:rPr>
                <w:rFonts w:hint="eastAsia" w:ascii="宋体" w:hAnsi="宋体" w:cs="Courier New"/>
                <w:b/>
                <w:color w:val="auto"/>
                <w:szCs w:val="21"/>
                <w:highlight w:val="none"/>
              </w:rPr>
              <w:t>处理。</w:t>
            </w:r>
          </w:p>
          <w:p w14:paraId="33CB0F28">
            <w:pPr>
              <w:snapToGrid w:val="0"/>
              <w:spacing w:line="400" w:lineRule="exact"/>
              <w:ind w:firstLine="422" w:firstLineChars="200"/>
              <w:jc w:val="left"/>
              <w:rPr>
                <w:rFonts w:ascii="宋体" w:hAnsi="宋体"/>
                <w:b/>
                <w:bCs/>
                <w:color w:val="auto"/>
                <w:szCs w:val="21"/>
                <w:highlight w:val="none"/>
              </w:rPr>
            </w:pPr>
            <w:r>
              <w:rPr>
                <w:rFonts w:hint="eastAsia" w:ascii="宋体" w:hAnsi="宋体" w:cs="Courier New"/>
                <w:b/>
                <w:color w:val="auto"/>
                <w:szCs w:val="21"/>
                <w:highlight w:val="none"/>
              </w:rPr>
              <w:t>2.</w:t>
            </w:r>
            <w:r>
              <w:rPr>
                <w:rFonts w:hint="eastAsia" w:ascii="宋体" w:hAnsi="宋体"/>
                <w:b/>
                <w:bCs/>
                <w:color w:val="auto"/>
                <w:szCs w:val="21"/>
                <w:highlight w:val="none"/>
              </w:rPr>
              <w:t>投标声明必须由法定代表人在规定签章处签字并加盖投标人公章，否则按无效投标处理。</w:t>
            </w:r>
          </w:p>
          <w:p w14:paraId="50D394F6">
            <w:pPr>
              <w:snapToGrid w:val="0"/>
              <w:spacing w:line="400" w:lineRule="exact"/>
              <w:ind w:firstLine="422" w:firstLineChars="200"/>
              <w:jc w:val="left"/>
              <w:rPr>
                <w:rFonts w:ascii="宋体" w:hAnsi="宋体"/>
                <w:b/>
                <w:bCs/>
                <w:color w:val="auto"/>
                <w:szCs w:val="21"/>
                <w:highlight w:val="none"/>
              </w:rPr>
            </w:pPr>
            <w:r>
              <w:rPr>
                <w:rFonts w:hint="eastAsia" w:ascii="宋体" w:hAnsi="宋体"/>
                <w:b/>
                <w:bCs/>
                <w:color w:val="auto"/>
                <w:szCs w:val="21"/>
                <w:highlight w:val="none"/>
              </w:rPr>
              <w:t>3.投标人直接控股、管理关系信息表必须由法定代表人或者委托代理人在规定签章处签字并加盖投标人公章，否则按无效投标</w:t>
            </w:r>
            <w:r>
              <w:rPr>
                <w:rFonts w:hint="eastAsia" w:ascii="宋体" w:hAnsi="宋体" w:cs="Courier New"/>
                <w:b/>
                <w:color w:val="auto"/>
                <w:szCs w:val="21"/>
                <w:highlight w:val="none"/>
              </w:rPr>
              <w:t>处理</w:t>
            </w:r>
            <w:r>
              <w:rPr>
                <w:rFonts w:hint="eastAsia" w:ascii="宋体" w:hAnsi="宋体"/>
                <w:b/>
                <w:bCs/>
                <w:color w:val="auto"/>
                <w:szCs w:val="21"/>
                <w:highlight w:val="none"/>
              </w:rPr>
              <w:t>。</w:t>
            </w:r>
          </w:p>
          <w:p w14:paraId="6A596900">
            <w:pPr>
              <w:snapToGrid w:val="0"/>
              <w:spacing w:line="400" w:lineRule="exact"/>
              <w:ind w:firstLine="422" w:firstLineChars="200"/>
              <w:jc w:val="left"/>
              <w:rPr>
                <w:rFonts w:ascii="宋体" w:hAnsi="宋体"/>
                <w:b/>
                <w:bCs/>
                <w:color w:val="auto"/>
                <w:szCs w:val="21"/>
                <w:highlight w:val="none"/>
              </w:rPr>
            </w:pPr>
            <w:r>
              <w:rPr>
                <w:rFonts w:hint="eastAsia" w:ascii="宋体" w:hAnsi="宋体"/>
                <w:b/>
                <w:bCs/>
                <w:color w:val="auto"/>
                <w:szCs w:val="21"/>
                <w:highlight w:val="none"/>
              </w:rPr>
              <w:t>4.分公司参加投标的，应当取得总公司授权，否则按无效投标</w:t>
            </w:r>
            <w:r>
              <w:rPr>
                <w:rFonts w:hint="eastAsia" w:ascii="宋体" w:hAnsi="宋体" w:cs="Courier New"/>
                <w:b/>
                <w:color w:val="auto"/>
                <w:szCs w:val="21"/>
                <w:highlight w:val="none"/>
              </w:rPr>
              <w:t>处理</w:t>
            </w:r>
            <w:r>
              <w:rPr>
                <w:rFonts w:hint="eastAsia" w:ascii="宋体" w:hAnsi="宋体"/>
                <w:b/>
                <w:bCs/>
                <w:color w:val="auto"/>
                <w:szCs w:val="21"/>
                <w:highlight w:val="none"/>
              </w:rPr>
              <w:t>。</w:t>
            </w:r>
          </w:p>
        </w:tc>
      </w:tr>
      <w:tr w14:paraId="13FEBF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continue"/>
            <w:tcBorders>
              <w:left w:val="single" w:color="auto" w:sz="4" w:space="0"/>
              <w:right w:val="single" w:color="auto" w:sz="4" w:space="0"/>
            </w:tcBorders>
            <w:vAlign w:val="center"/>
          </w:tcPr>
          <w:p w14:paraId="17F63237">
            <w:pPr>
              <w:spacing w:line="400" w:lineRule="exact"/>
              <w:rPr>
                <w:rFonts w:ascii="宋体" w:hAnsi="宋体"/>
                <w:color w:val="auto"/>
                <w:szCs w:val="21"/>
                <w:highlight w:val="none"/>
              </w:rPr>
            </w:pPr>
            <w:bookmarkStart w:id="56" w:name="_13.3"/>
            <w:bookmarkEnd w:id="56"/>
          </w:p>
        </w:tc>
        <w:tc>
          <w:tcPr>
            <w:tcW w:w="8708" w:type="dxa"/>
            <w:tcBorders>
              <w:top w:val="single" w:color="auto" w:sz="4" w:space="0"/>
              <w:left w:val="single" w:color="auto" w:sz="4" w:space="0"/>
              <w:bottom w:val="single" w:color="auto" w:sz="4" w:space="0"/>
              <w:right w:val="single" w:color="auto" w:sz="4" w:space="0"/>
            </w:tcBorders>
            <w:vAlign w:val="center"/>
          </w:tcPr>
          <w:p w14:paraId="5D14158A">
            <w:pPr>
              <w:snapToGrid w:val="0"/>
              <w:spacing w:line="400" w:lineRule="exact"/>
              <w:jc w:val="left"/>
              <w:rPr>
                <w:rFonts w:ascii="宋体" w:hAnsi="宋体" w:cs="Courier New"/>
                <w:b/>
                <w:color w:val="auto"/>
                <w:szCs w:val="21"/>
                <w:highlight w:val="none"/>
              </w:rPr>
            </w:pPr>
            <w:r>
              <w:rPr>
                <w:rFonts w:hint="eastAsia" w:ascii="宋体" w:hAnsi="宋体" w:cs="Courier New"/>
                <w:b/>
                <w:color w:val="auto"/>
                <w:szCs w:val="21"/>
                <w:highlight w:val="none"/>
              </w:rPr>
              <w:t>商务文件：</w:t>
            </w:r>
          </w:p>
          <w:p w14:paraId="36A9ABCE">
            <w:pPr>
              <w:snapToGrid w:val="0"/>
              <w:spacing w:line="400" w:lineRule="exact"/>
              <w:jc w:val="left"/>
              <w:rPr>
                <w:rFonts w:ascii="宋体" w:hAnsi="宋体"/>
                <w:color w:val="auto"/>
                <w:szCs w:val="21"/>
                <w:highlight w:val="none"/>
              </w:rPr>
            </w:pPr>
            <w:r>
              <w:rPr>
                <w:rFonts w:hint="eastAsia" w:ascii="宋体" w:hAnsi="宋体"/>
                <w:color w:val="auto"/>
                <w:szCs w:val="21"/>
                <w:highlight w:val="none"/>
              </w:rPr>
              <w:t>1.无串通投标行为的承诺函（格式后附）；（</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06F56F2D">
            <w:pPr>
              <w:snapToGrid w:val="0"/>
              <w:spacing w:line="400" w:lineRule="exact"/>
              <w:jc w:val="left"/>
              <w:rPr>
                <w:rFonts w:ascii="宋体" w:hAnsi="宋体"/>
                <w:color w:val="auto"/>
                <w:szCs w:val="21"/>
                <w:highlight w:val="none"/>
              </w:rPr>
            </w:pPr>
            <w:r>
              <w:rPr>
                <w:rFonts w:hint="eastAsia" w:ascii="宋体" w:hAnsi="宋体"/>
                <w:color w:val="auto"/>
                <w:szCs w:val="21"/>
                <w:highlight w:val="none"/>
              </w:rPr>
              <w:t>2.投标保证金提交凭证；（</w:t>
            </w:r>
            <w:r>
              <w:rPr>
                <w:rFonts w:hint="eastAsia" w:ascii="宋体" w:hAnsi="宋体"/>
                <w:b/>
                <w:bCs/>
                <w:color w:val="auto"/>
                <w:highlight w:val="none"/>
              </w:rPr>
              <w:t>如要求提交投标保证金的则必须提供</w:t>
            </w:r>
            <w:r>
              <w:rPr>
                <w:rFonts w:hint="eastAsia" w:ascii="宋体" w:hAnsi="宋体"/>
                <w:b/>
                <w:color w:val="auto"/>
                <w:szCs w:val="21"/>
                <w:highlight w:val="none"/>
              </w:rPr>
              <w:t>，否则按无效投标处理</w:t>
            </w:r>
            <w:r>
              <w:rPr>
                <w:rFonts w:hint="eastAsia" w:ascii="宋体" w:hAnsi="宋体"/>
                <w:color w:val="auto"/>
                <w:szCs w:val="21"/>
                <w:highlight w:val="none"/>
              </w:rPr>
              <w:t>）</w:t>
            </w:r>
          </w:p>
          <w:p w14:paraId="547E4CD2">
            <w:pPr>
              <w:snapToGrid w:val="0"/>
              <w:spacing w:line="400" w:lineRule="exact"/>
              <w:jc w:val="left"/>
              <w:rPr>
                <w:rFonts w:ascii="宋体" w:hAnsi="宋体"/>
                <w:color w:val="auto"/>
                <w:szCs w:val="21"/>
                <w:highlight w:val="none"/>
              </w:rPr>
            </w:pPr>
            <w:r>
              <w:rPr>
                <w:rFonts w:hint="eastAsia" w:ascii="宋体" w:hAnsi="宋体"/>
                <w:color w:val="auto"/>
                <w:szCs w:val="21"/>
                <w:highlight w:val="none"/>
              </w:rPr>
              <w:t>3.法定代表人身份证明及法定代表人有效身份证正反面复印件（格式后附）；（</w:t>
            </w:r>
            <w:r>
              <w:rPr>
                <w:rFonts w:hint="eastAsia" w:ascii="宋体" w:hAnsi="宋体" w:cs="宋体"/>
                <w:b/>
                <w:bCs/>
                <w:color w:val="auto"/>
                <w:szCs w:val="21"/>
                <w:highlight w:val="none"/>
              </w:rPr>
              <w:t>除自然人投标外</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525DDFDC">
            <w:pPr>
              <w:snapToGrid w:val="0"/>
              <w:spacing w:line="400" w:lineRule="exact"/>
              <w:jc w:val="left"/>
              <w:rPr>
                <w:rFonts w:ascii="宋体" w:hAnsi="宋体"/>
                <w:color w:val="auto"/>
                <w:szCs w:val="21"/>
                <w:highlight w:val="none"/>
              </w:rPr>
            </w:pPr>
            <w:r>
              <w:rPr>
                <w:rFonts w:hint="eastAsia" w:ascii="宋体" w:hAnsi="宋体"/>
                <w:color w:val="auto"/>
                <w:szCs w:val="21"/>
                <w:highlight w:val="none"/>
              </w:rPr>
              <w:t>4.授权委托书及委托代理人有效身份证正反面复印件（格式后附）；（</w:t>
            </w:r>
            <w:r>
              <w:rPr>
                <w:rFonts w:hint="eastAsia" w:ascii="宋体" w:hAnsi="宋体"/>
                <w:b/>
                <w:color w:val="auto"/>
                <w:szCs w:val="21"/>
                <w:highlight w:val="none"/>
              </w:rPr>
              <w:t>委托时必须提供，否则按无效投标处理</w:t>
            </w:r>
            <w:r>
              <w:rPr>
                <w:rFonts w:hint="eastAsia" w:ascii="宋体" w:hAnsi="宋体"/>
                <w:color w:val="auto"/>
                <w:szCs w:val="21"/>
                <w:highlight w:val="none"/>
              </w:rPr>
              <w:t>）</w:t>
            </w:r>
          </w:p>
          <w:p w14:paraId="48E706A3">
            <w:pPr>
              <w:snapToGrid w:val="0"/>
              <w:spacing w:line="400" w:lineRule="exact"/>
              <w:jc w:val="left"/>
              <w:rPr>
                <w:rFonts w:ascii="宋体" w:hAnsi="宋体"/>
                <w:color w:val="auto"/>
                <w:szCs w:val="21"/>
                <w:highlight w:val="none"/>
              </w:rPr>
            </w:pPr>
            <w:r>
              <w:rPr>
                <w:rFonts w:hint="eastAsia" w:ascii="宋体" w:hAnsi="宋体"/>
                <w:color w:val="auto"/>
                <w:szCs w:val="21"/>
                <w:highlight w:val="none"/>
              </w:rPr>
              <w:t>5.商务要求偏离表（格式后附）；（</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647F2C40">
            <w:pPr>
              <w:snapToGrid w:val="0"/>
              <w:spacing w:line="400" w:lineRule="exact"/>
              <w:jc w:val="left"/>
              <w:rPr>
                <w:rFonts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.售后服务承诺（格式自拟）；（</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2E20CD2E">
            <w:pPr>
              <w:tabs>
                <w:tab w:val="left" w:pos="459"/>
              </w:tabs>
              <w:snapToGrid w:val="0"/>
              <w:spacing w:line="400" w:lineRule="exact"/>
              <w:jc w:val="left"/>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.投标人情况介绍（格式自拟）；</w:t>
            </w:r>
            <w:r>
              <w:rPr>
                <w:rFonts w:hint="eastAsia" w:ascii="宋体" w:hAnsi="宋体"/>
                <w:b/>
                <w:bCs/>
                <w:color w:val="auto"/>
                <w:szCs w:val="21"/>
                <w:highlight w:val="none"/>
              </w:rPr>
              <w:t>（如有请提供）</w:t>
            </w:r>
          </w:p>
          <w:p w14:paraId="006C7585">
            <w:pPr>
              <w:tabs>
                <w:tab w:val="left" w:pos="459"/>
              </w:tabs>
              <w:snapToGrid w:val="0"/>
              <w:spacing w:line="400" w:lineRule="exact"/>
              <w:jc w:val="left"/>
              <w:rPr>
                <w:rFonts w:ascii="宋体" w:hAnsi="宋体"/>
                <w:color w:val="auto"/>
                <w:szCs w:val="21"/>
                <w:highlight w:val="none"/>
              </w:rPr>
            </w:pPr>
            <w:r>
              <w:rPr>
                <w:rFonts w:ascii="宋体" w:hAnsi="宋体"/>
                <w:color w:val="auto"/>
                <w:szCs w:val="21"/>
                <w:highlight w:val="none"/>
              </w:rPr>
              <w:t>8</w:t>
            </w:r>
            <w:r>
              <w:rPr>
                <w:rFonts w:hint="eastAsia" w:ascii="宋体" w:hAnsi="宋体"/>
                <w:color w:val="auto"/>
                <w:szCs w:val="21"/>
                <w:highlight w:val="none"/>
              </w:rPr>
              <w:t>.除招标文件规定必须提供以外，投标人认为需要提供的其他证明材料（格式自拟）。（投标人根据“第二章 采购需求”及“第四章 评标方法及评标标准”提供有关证明材料）。</w:t>
            </w:r>
            <w:r>
              <w:rPr>
                <w:rFonts w:hint="eastAsia" w:ascii="宋体" w:hAnsi="宋体"/>
                <w:b/>
                <w:bCs/>
                <w:color w:val="auto"/>
                <w:szCs w:val="21"/>
                <w:highlight w:val="none"/>
              </w:rPr>
              <w:t>（如有请提供）</w:t>
            </w:r>
          </w:p>
          <w:p w14:paraId="7D4FC5CC">
            <w:pPr>
              <w:snapToGrid w:val="0"/>
              <w:spacing w:line="400" w:lineRule="exact"/>
              <w:ind w:firstLine="422" w:firstLineChars="200"/>
              <w:jc w:val="left"/>
              <w:rPr>
                <w:rFonts w:ascii="宋体" w:hAnsi="宋体"/>
                <w:color w:val="auto"/>
                <w:szCs w:val="21"/>
                <w:highlight w:val="none"/>
              </w:rPr>
            </w:pPr>
            <w:r>
              <w:rPr>
                <w:rFonts w:hint="eastAsia" w:ascii="宋体" w:hAnsi="宋体"/>
                <w:b/>
                <w:bCs/>
                <w:color w:val="auto"/>
                <w:szCs w:val="21"/>
                <w:highlight w:val="none"/>
              </w:rPr>
              <w:t>注：以上标明“必须提供”的材料属于复印件的，必须加盖投标人公章，否则按无效投标</w:t>
            </w:r>
            <w:r>
              <w:rPr>
                <w:rFonts w:hint="eastAsia" w:ascii="宋体" w:hAnsi="宋体" w:cs="Courier New"/>
                <w:b/>
                <w:color w:val="auto"/>
                <w:szCs w:val="21"/>
                <w:highlight w:val="none"/>
              </w:rPr>
              <w:t>处理</w:t>
            </w:r>
            <w:r>
              <w:rPr>
                <w:rFonts w:hint="eastAsia" w:ascii="宋体" w:hAnsi="宋体"/>
                <w:b/>
                <w:bCs/>
                <w:color w:val="auto"/>
                <w:szCs w:val="21"/>
                <w:highlight w:val="none"/>
              </w:rPr>
              <w:t>。</w:t>
            </w:r>
          </w:p>
        </w:tc>
      </w:tr>
      <w:tr w14:paraId="049F3C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continue"/>
            <w:tcBorders>
              <w:left w:val="single" w:color="auto" w:sz="4" w:space="0"/>
              <w:bottom w:val="single" w:color="auto" w:sz="4" w:space="0"/>
              <w:right w:val="single" w:color="auto" w:sz="4" w:space="0"/>
            </w:tcBorders>
            <w:vAlign w:val="center"/>
          </w:tcPr>
          <w:p w14:paraId="2D2D9089">
            <w:pPr>
              <w:spacing w:line="400" w:lineRule="exact"/>
              <w:rPr>
                <w:rFonts w:ascii="宋体" w:hAnsi="宋体"/>
                <w:color w:val="auto"/>
                <w:szCs w:val="21"/>
                <w:highlight w:val="none"/>
              </w:rPr>
            </w:pPr>
            <w:bookmarkStart w:id="57" w:name="_13.4"/>
            <w:bookmarkEnd w:id="57"/>
          </w:p>
        </w:tc>
        <w:tc>
          <w:tcPr>
            <w:tcW w:w="8708" w:type="dxa"/>
            <w:tcBorders>
              <w:top w:val="single" w:color="auto" w:sz="4" w:space="0"/>
              <w:left w:val="single" w:color="auto" w:sz="4" w:space="0"/>
              <w:bottom w:val="single" w:color="auto" w:sz="4" w:space="0"/>
              <w:right w:val="single" w:color="auto" w:sz="4" w:space="0"/>
            </w:tcBorders>
            <w:vAlign w:val="center"/>
          </w:tcPr>
          <w:p w14:paraId="6267E8DD">
            <w:pPr>
              <w:snapToGrid w:val="0"/>
              <w:spacing w:line="400" w:lineRule="exact"/>
              <w:jc w:val="left"/>
              <w:rPr>
                <w:rFonts w:ascii="宋体" w:hAnsi="宋体" w:cs="Courier New"/>
                <w:b/>
                <w:color w:val="auto"/>
                <w:szCs w:val="21"/>
                <w:highlight w:val="none"/>
              </w:rPr>
            </w:pPr>
            <w:r>
              <w:rPr>
                <w:rFonts w:hint="eastAsia" w:ascii="宋体" w:hAnsi="宋体" w:cs="Courier New"/>
                <w:b/>
                <w:color w:val="auto"/>
                <w:szCs w:val="21"/>
                <w:highlight w:val="none"/>
              </w:rPr>
              <w:t>技术文件：</w:t>
            </w:r>
          </w:p>
          <w:p w14:paraId="43589117">
            <w:pPr>
              <w:snapToGrid w:val="0"/>
              <w:spacing w:line="400" w:lineRule="exact"/>
              <w:jc w:val="left"/>
              <w:rPr>
                <w:rFonts w:ascii="宋体" w:hAnsi="宋体"/>
                <w:color w:val="auto"/>
                <w:szCs w:val="21"/>
                <w:highlight w:val="none"/>
              </w:rPr>
            </w:pPr>
            <w:r>
              <w:rPr>
                <w:rFonts w:hint="eastAsia" w:ascii="宋体" w:hAnsi="宋体"/>
                <w:color w:val="auto"/>
                <w:szCs w:val="21"/>
                <w:highlight w:val="none"/>
              </w:rPr>
              <w:t>1.设备性能配置清单（格式后附）；（</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2081A886">
            <w:pPr>
              <w:snapToGrid w:val="0"/>
              <w:spacing w:line="400" w:lineRule="exact"/>
              <w:jc w:val="left"/>
              <w:rPr>
                <w:rFonts w:ascii="宋体" w:hAnsi="宋体"/>
                <w:color w:val="auto"/>
                <w:szCs w:val="21"/>
                <w:highlight w:val="none"/>
              </w:rPr>
            </w:pPr>
            <w:r>
              <w:rPr>
                <w:rFonts w:hint="eastAsia" w:ascii="宋体" w:hAnsi="宋体"/>
                <w:color w:val="auto"/>
                <w:szCs w:val="21"/>
                <w:highlight w:val="none"/>
              </w:rPr>
              <w:t>2.技术要求偏离表（格式后附）；（</w:t>
            </w:r>
            <w:r>
              <w:rPr>
                <w:rFonts w:hint="eastAsia" w:ascii="宋体" w:hAnsi="宋体"/>
                <w:b/>
                <w:color w:val="auto"/>
                <w:szCs w:val="21"/>
                <w:highlight w:val="none"/>
              </w:rPr>
              <w:t>必须提供，否则按无效投标处理</w:t>
            </w:r>
            <w:r>
              <w:rPr>
                <w:rFonts w:hint="eastAsia" w:ascii="宋体" w:hAnsi="宋体"/>
                <w:color w:val="auto"/>
                <w:szCs w:val="21"/>
                <w:highlight w:val="none"/>
              </w:rPr>
              <w:t>）</w:t>
            </w:r>
          </w:p>
          <w:p w14:paraId="3A274D94">
            <w:pPr>
              <w:tabs>
                <w:tab w:val="left" w:pos="459"/>
              </w:tabs>
              <w:snapToGrid w:val="0"/>
              <w:spacing w:line="400" w:lineRule="exact"/>
              <w:jc w:val="left"/>
              <w:rPr>
                <w:rFonts w:ascii="宋体" w:hAnsi="宋体"/>
                <w:color w:val="auto"/>
                <w:szCs w:val="21"/>
                <w:highlight w:val="none"/>
              </w:rPr>
            </w:pPr>
            <w:r>
              <w:rPr>
                <w:rFonts w:hint="eastAsia" w:ascii="宋体" w:hAnsi="宋体"/>
                <w:color w:val="auto"/>
                <w:szCs w:val="21"/>
                <w:highlight w:val="none"/>
              </w:rPr>
              <w:t>3.项目实施方案（格式自拟）[项目前期准备、项目实施计划（项目实施人员一览表（格式后附）、技术服务、技术培训的内容和措施）]；</w:t>
            </w:r>
            <w:r>
              <w:rPr>
                <w:rFonts w:hint="eastAsia" w:ascii="宋体" w:hAnsi="宋体"/>
                <w:b/>
                <w:bCs/>
                <w:color w:val="auto"/>
                <w:szCs w:val="21"/>
                <w:highlight w:val="none"/>
              </w:rPr>
              <w:t>（如有请提供）</w:t>
            </w:r>
          </w:p>
          <w:p w14:paraId="18CC1593">
            <w:pPr>
              <w:tabs>
                <w:tab w:val="left" w:pos="459"/>
              </w:tabs>
              <w:snapToGrid w:val="0"/>
              <w:spacing w:line="400" w:lineRule="exact"/>
              <w:jc w:val="left"/>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.对本项目系统总体要求的理解。包括：功能说明、性能指标及设备选型说明（质量、性能、价格、外观、体积等方面进行比较和选择的理由及过程，格式自拟）；</w:t>
            </w:r>
            <w:r>
              <w:rPr>
                <w:rFonts w:hint="eastAsia" w:ascii="宋体" w:hAnsi="宋体"/>
                <w:b/>
                <w:bCs/>
                <w:color w:val="auto"/>
                <w:szCs w:val="21"/>
                <w:highlight w:val="none"/>
              </w:rPr>
              <w:t>（如有请提供）</w:t>
            </w:r>
          </w:p>
          <w:p w14:paraId="52866177">
            <w:pPr>
              <w:tabs>
                <w:tab w:val="left" w:pos="459"/>
              </w:tabs>
              <w:snapToGrid w:val="0"/>
              <w:spacing w:line="400" w:lineRule="exact"/>
              <w:jc w:val="left"/>
              <w:rPr>
                <w:rFonts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.产品出厂标准、质量检测报告[其中有精度要求的仪器设备类政府采购项目，应当要求投标人提供精度数据（</w:t>
            </w:r>
            <w:r>
              <w:rPr>
                <w:rFonts w:ascii="宋体" w:hAnsi="宋体"/>
                <w:color w:val="auto"/>
                <w:highlight w:val="none"/>
              </w:rPr>
              <w:t>国家认可的有资质的第三方检测机构出具的检测报告复印件</w:t>
            </w:r>
            <w:r>
              <w:rPr>
                <w:rFonts w:hint="eastAsia" w:ascii="宋体" w:hAnsi="宋体"/>
                <w:color w:val="auto"/>
                <w:szCs w:val="21"/>
                <w:highlight w:val="none"/>
              </w:rPr>
              <w:t>或者由采购人在投标前组织的实测获得）]；</w:t>
            </w:r>
            <w:r>
              <w:rPr>
                <w:rFonts w:hint="eastAsia" w:ascii="宋体" w:hAnsi="宋体"/>
                <w:b/>
                <w:bCs/>
                <w:color w:val="auto"/>
                <w:szCs w:val="21"/>
                <w:highlight w:val="none"/>
              </w:rPr>
              <w:t>（如有请提供）</w:t>
            </w:r>
          </w:p>
          <w:p w14:paraId="0D4E7321">
            <w:pPr>
              <w:tabs>
                <w:tab w:val="left" w:pos="459"/>
              </w:tabs>
              <w:snapToGrid w:val="0"/>
              <w:spacing w:line="400" w:lineRule="exact"/>
              <w:jc w:val="left"/>
              <w:rPr>
                <w:rFonts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.优惠条件：投标人承诺给予招标人的各种优惠条件，包括售后服务、备品备件、专用耗材等方面的优惠；投标人不得给予赠品或者与采购无关的其他商品、服务；</w:t>
            </w:r>
            <w:r>
              <w:rPr>
                <w:rFonts w:hint="eastAsia" w:ascii="宋体" w:hAnsi="宋体"/>
                <w:b/>
                <w:bCs/>
                <w:color w:val="auto"/>
                <w:szCs w:val="21"/>
                <w:highlight w:val="none"/>
              </w:rPr>
              <w:t>（如有请提供）</w:t>
            </w:r>
          </w:p>
          <w:p w14:paraId="3506843E">
            <w:pPr>
              <w:tabs>
                <w:tab w:val="left" w:pos="459"/>
              </w:tabs>
              <w:snapToGrid w:val="0"/>
              <w:spacing w:line="400" w:lineRule="exact"/>
              <w:jc w:val="left"/>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.投标人对本项目的合理化建议和改进措施（格式自拟）；</w:t>
            </w:r>
            <w:r>
              <w:rPr>
                <w:rFonts w:hint="eastAsia" w:ascii="宋体" w:hAnsi="宋体"/>
                <w:b/>
                <w:bCs/>
                <w:color w:val="auto"/>
                <w:szCs w:val="21"/>
                <w:highlight w:val="none"/>
              </w:rPr>
              <w:t>（如有请提供）</w:t>
            </w:r>
          </w:p>
          <w:p w14:paraId="3D1F6FDE">
            <w:pPr>
              <w:tabs>
                <w:tab w:val="left" w:pos="459"/>
              </w:tabs>
              <w:snapToGrid w:val="0"/>
              <w:spacing w:line="400" w:lineRule="exact"/>
              <w:jc w:val="left"/>
              <w:rPr>
                <w:rFonts w:ascii="宋体" w:hAnsi="宋体"/>
                <w:color w:val="auto"/>
                <w:szCs w:val="21"/>
                <w:highlight w:val="none"/>
              </w:rPr>
            </w:pPr>
            <w:r>
              <w:rPr>
                <w:rFonts w:ascii="宋体" w:hAnsi="宋体"/>
                <w:color w:val="auto"/>
                <w:szCs w:val="21"/>
                <w:highlight w:val="none"/>
              </w:rPr>
              <w:t>8</w:t>
            </w:r>
            <w:r>
              <w:rPr>
                <w:rFonts w:hint="eastAsia" w:ascii="宋体" w:hAnsi="宋体"/>
                <w:color w:val="auto"/>
                <w:szCs w:val="21"/>
                <w:highlight w:val="none"/>
              </w:rPr>
              <w:t>.除招标文件规定必须提供以外，投标人需要说明的其他文件和说明（格式自拟）。</w:t>
            </w:r>
            <w:r>
              <w:rPr>
                <w:rFonts w:hint="eastAsia" w:ascii="宋体" w:hAnsi="宋体"/>
                <w:b/>
                <w:bCs/>
                <w:color w:val="auto"/>
                <w:szCs w:val="21"/>
                <w:highlight w:val="none"/>
              </w:rPr>
              <w:t>（如有请提供）</w:t>
            </w:r>
          </w:p>
          <w:p w14:paraId="0224686F">
            <w:pPr>
              <w:snapToGrid w:val="0"/>
              <w:spacing w:line="400" w:lineRule="exact"/>
              <w:ind w:firstLine="422" w:firstLineChars="200"/>
              <w:jc w:val="left"/>
              <w:rPr>
                <w:rFonts w:ascii="宋体" w:hAnsi="宋体"/>
                <w:b/>
                <w:bCs/>
                <w:color w:val="auto"/>
                <w:szCs w:val="21"/>
                <w:highlight w:val="none"/>
              </w:rPr>
            </w:pPr>
            <w:r>
              <w:rPr>
                <w:rFonts w:hint="eastAsia" w:ascii="宋体" w:hAnsi="宋体"/>
                <w:b/>
                <w:bCs/>
                <w:color w:val="auto"/>
                <w:szCs w:val="21"/>
                <w:highlight w:val="none"/>
              </w:rPr>
              <w:t>注：以上标明“必须提供”的材料属于复印件的，必须加盖投标人公章，否则按无效投标</w:t>
            </w:r>
            <w:r>
              <w:rPr>
                <w:rFonts w:hint="eastAsia" w:ascii="宋体" w:hAnsi="宋体" w:cs="Courier New"/>
                <w:b/>
                <w:color w:val="auto"/>
                <w:szCs w:val="21"/>
                <w:highlight w:val="none"/>
              </w:rPr>
              <w:t>处理</w:t>
            </w:r>
            <w:r>
              <w:rPr>
                <w:rFonts w:hint="eastAsia" w:ascii="宋体" w:hAnsi="宋体"/>
                <w:b/>
                <w:bCs/>
                <w:color w:val="auto"/>
                <w:szCs w:val="21"/>
                <w:highlight w:val="none"/>
              </w:rPr>
              <w:t>。</w:t>
            </w:r>
          </w:p>
        </w:tc>
      </w:tr>
      <w:tr w14:paraId="335ACA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015F1A18">
            <w:pPr>
              <w:spacing w:line="400" w:lineRule="exact"/>
              <w:jc w:val="center"/>
              <w:rPr>
                <w:rFonts w:ascii="宋体" w:hAnsi="宋体"/>
                <w:color w:val="auto"/>
                <w:szCs w:val="21"/>
                <w:highlight w:val="none"/>
              </w:rPr>
            </w:pPr>
            <w:bookmarkStart w:id="58" w:name="_13.5"/>
            <w:bookmarkEnd w:id="58"/>
            <w:bookmarkStart w:id="59" w:name="_16.2"/>
            <w:bookmarkEnd w:id="59"/>
            <w:r>
              <w:rPr>
                <w:rFonts w:hint="eastAsia" w:ascii="宋体" w:hAnsi="宋体"/>
                <w:color w:val="auto"/>
                <w:szCs w:val="21"/>
                <w:highlight w:val="none"/>
              </w:rPr>
              <w:t>16</w:t>
            </w:r>
            <w:bookmarkStart w:id="60" w:name="_Hlt19194066"/>
            <w:bookmarkStart w:id="61" w:name="_Hlt19693759"/>
            <w:bookmarkStart w:id="62" w:name="_Hlt19194067"/>
            <w:bookmarkStart w:id="63" w:name="_Hlt19693758"/>
            <w:r>
              <w:rPr>
                <w:rFonts w:hint="eastAsia" w:ascii="宋体" w:hAnsi="宋体"/>
                <w:color w:val="auto"/>
                <w:szCs w:val="21"/>
                <w:highlight w:val="none"/>
              </w:rPr>
              <w:t>.</w:t>
            </w:r>
            <w:bookmarkEnd w:id="60"/>
            <w:bookmarkEnd w:id="61"/>
            <w:bookmarkEnd w:id="62"/>
            <w:bookmarkEnd w:id="63"/>
            <w:r>
              <w:rPr>
                <w:rFonts w:hint="eastAsia" w:ascii="宋体" w:hAnsi="宋体"/>
                <w:color w:val="auto"/>
                <w:szCs w:val="21"/>
                <w:highlight w:val="none"/>
              </w:rPr>
              <w:t>2</w:t>
            </w:r>
          </w:p>
        </w:tc>
        <w:tc>
          <w:tcPr>
            <w:tcW w:w="8708" w:type="dxa"/>
            <w:tcBorders>
              <w:top w:val="single" w:color="auto" w:sz="4" w:space="0"/>
              <w:left w:val="single" w:color="auto" w:sz="4" w:space="0"/>
              <w:bottom w:val="single" w:color="auto" w:sz="4" w:space="0"/>
              <w:right w:val="single" w:color="auto" w:sz="4" w:space="0"/>
            </w:tcBorders>
            <w:vAlign w:val="center"/>
          </w:tcPr>
          <w:p w14:paraId="30B85FD2">
            <w:pPr>
              <w:snapToGrid w:val="0"/>
              <w:spacing w:line="400" w:lineRule="exact"/>
              <w:rPr>
                <w:rFonts w:ascii="宋体" w:hAnsi="宋体"/>
                <w:b/>
                <w:color w:val="auto"/>
                <w:szCs w:val="21"/>
                <w:highlight w:val="none"/>
              </w:rPr>
            </w:pPr>
            <w:r>
              <w:rPr>
                <w:rFonts w:hint="eastAsia" w:ascii="宋体" w:hAnsi="宋体"/>
                <w:color w:val="auto"/>
                <w:szCs w:val="21"/>
                <w:highlight w:val="none"/>
              </w:rPr>
              <w:t>投标报价是履行合同的最终价格，包括投标货物（包括备品备件、专用工具等）的价格，投标货物运输（含保险）、安装（如有）、调试、检验、技术服务、培训和招标文件要求提供的所有伴随服务、工程等费用和税费。在合同实施时，采购人将不予支付供应商没有列入的项目费用，并认为此项目的费用已包括在投标报价中。</w:t>
            </w:r>
          </w:p>
        </w:tc>
      </w:tr>
      <w:tr w14:paraId="2E2A9C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65E7E61D">
            <w:pPr>
              <w:spacing w:line="400" w:lineRule="exact"/>
              <w:jc w:val="center"/>
              <w:rPr>
                <w:rFonts w:ascii="宋体" w:hAnsi="宋体"/>
                <w:color w:val="auto"/>
                <w:szCs w:val="21"/>
                <w:highlight w:val="none"/>
              </w:rPr>
            </w:pPr>
            <w:bookmarkStart w:id="64" w:name="_17.1"/>
            <w:bookmarkEnd w:id="64"/>
            <w:r>
              <w:rPr>
                <w:rFonts w:hint="eastAsia" w:ascii="宋体" w:hAnsi="宋体"/>
                <w:color w:val="auto"/>
                <w:szCs w:val="21"/>
                <w:highlight w:val="none"/>
              </w:rPr>
              <w:t>17.</w:t>
            </w:r>
            <w:r>
              <w:rPr>
                <w:rFonts w:ascii="宋体" w:hAnsi="宋体"/>
                <w:color w:val="auto"/>
                <w:szCs w:val="21"/>
                <w:highlight w:val="none"/>
              </w:rPr>
              <w:t>2</w:t>
            </w:r>
          </w:p>
        </w:tc>
        <w:tc>
          <w:tcPr>
            <w:tcW w:w="8708" w:type="dxa"/>
            <w:tcBorders>
              <w:top w:val="single" w:color="auto" w:sz="4" w:space="0"/>
              <w:left w:val="single" w:color="auto" w:sz="4" w:space="0"/>
              <w:bottom w:val="single" w:color="auto" w:sz="4" w:space="0"/>
              <w:right w:val="single" w:color="auto" w:sz="4" w:space="0"/>
            </w:tcBorders>
            <w:vAlign w:val="center"/>
          </w:tcPr>
          <w:p w14:paraId="40AD6CD5">
            <w:pPr>
              <w:snapToGrid w:val="0"/>
              <w:spacing w:line="400" w:lineRule="exact"/>
              <w:rPr>
                <w:rFonts w:ascii="宋体" w:hAnsi="宋体"/>
                <w:color w:val="auto"/>
                <w:szCs w:val="21"/>
                <w:highlight w:val="none"/>
              </w:rPr>
            </w:pPr>
            <w:r>
              <w:rPr>
                <w:rFonts w:hint="eastAsia" w:ascii="宋体" w:hAnsi="宋体"/>
                <w:color w:val="auto"/>
                <w:szCs w:val="21"/>
                <w:highlight w:val="none"/>
              </w:rPr>
              <w:t>投标有效期：投标截止之日起60天内。</w:t>
            </w:r>
          </w:p>
        </w:tc>
      </w:tr>
      <w:tr w14:paraId="1AF222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05B4BB76">
            <w:pPr>
              <w:spacing w:line="400" w:lineRule="exact"/>
              <w:jc w:val="center"/>
              <w:rPr>
                <w:rFonts w:ascii="宋体" w:hAnsi="宋体"/>
                <w:color w:val="auto"/>
                <w:szCs w:val="21"/>
                <w:highlight w:val="none"/>
              </w:rPr>
            </w:pPr>
            <w:bookmarkStart w:id="65" w:name="_18"/>
            <w:bookmarkEnd w:id="65"/>
            <w:r>
              <w:rPr>
                <w:rFonts w:hint="eastAsia" w:ascii="宋体" w:hAnsi="宋体"/>
                <w:color w:val="auto"/>
                <w:szCs w:val="21"/>
                <w:highlight w:val="none"/>
              </w:rPr>
              <w:t>18</w:t>
            </w:r>
            <w:r>
              <w:rPr>
                <w:rFonts w:ascii="宋体" w:hAnsi="宋体"/>
                <w:color w:val="auto"/>
                <w:szCs w:val="21"/>
                <w:highlight w:val="none"/>
              </w:rPr>
              <w:t>.1</w:t>
            </w:r>
          </w:p>
        </w:tc>
        <w:tc>
          <w:tcPr>
            <w:tcW w:w="8708" w:type="dxa"/>
            <w:tcBorders>
              <w:top w:val="single" w:color="auto" w:sz="4" w:space="0"/>
              <w:left w:val="single" w:color="auto" w:sz="4" w:space="0"/>
              <w:bottom w:val="single" w:color="auto" w:sz="4" w:space="0"/>
              <w:right w:val="single" w:color="auto" w:sz="4" w:space="0"/>
            </w:tcBorders>
            <w:vAlign w:val="center"/>
          </w:tcPr>
          <w:p w14:paraId="6F448FEB">
            <w:pPr>
              <w:snapToGrid w:val="0"/>
              <w:spacing w:line="400" w:lineRule="exact"/>
              <w:rPr>
                <w:rFonts w:ascii="宋体" w:hAnsi="宋体"/>
                <w:b/>
                <w:color w:val="auto"/>
                <w:szCs w:val="21"/>
                <w:highlight w:val="none"/>
              </w:rPr>
            </w:pPr>
            <w:r>
              <w:rPr>
                <w:rFonts w:hint="eastAsia" w:ascii="MS Mincho" w:hAnsi="MS Mincho" w:eastAsia="MS Mincho" w:cs="MS Mincho"/>
                <w:b/>
                <w:color w:val="auto"/>
                <w:szCs w:val="21"/>
                <w:highlight w:val="none"/>
              </w:rPr>
              <w:t>✔</w:t>
            </w:r>
            <w:r>
              <w:rPr>
                <w:rFonts w:hint="eastAsia" w:ascii="宋体" w:hAnsi="宋体" w:cs="宋体"/>
                <w:b/>
                <w:color w:val="auto"/>
                <w:szCs w:val="21"/>
                <w:highlight w:val="none"/>
              </w:rPr>
              <w:t>本项目收取投标保证金，具体规定如下：</w:t>
            </w:r>
          </w:p>
          <w:p w14:paraId="62043277">
            <w:pPr>
              <w:snapToGrid w:val="0"/>
              <w:spacing w:line="400" w:lineRule="exact"/>
              <w:rPr>
                <w:rFonts w:ascii="宋体" w:hAnsi="宋体" w:cs="宋体"/>
                <w:b/>
                <w:color w:val="auto"/>
                <w:kern w:val="0"/>
                <w:szCs w:val="21"/>
                <w:highlight w:val="none"/>
              </w:rPr>
            </w:pPr>
            <w:r>
              <w:rPr>
                <w:rFonts w:hint="eastAsia" w:ascii="宋体" w:hAnsi="宋体" w:cs="宋体"/>
                <w:b/>
                <w:color w:val="auto"/>
                <w:kern w:val="0"/>
                <w:szCs w:val="21"/>
                <w:highlight w:val="none"/>
              </w:rPr>
              <w:t>投标保证金：</w:t>
            </w:r>
            <w:r>
              <w:rPr>
                <w:rFonts w:hint="eastAsia" w:ascii="宋体" w:hAnsi="宋体" w:cs="宋体"/>
                <w:b/>
                <w:color w:val="auto"/>
                <w:kern w:val="0"/>
                <w:szCs w:val="21"/>
                <w:highlight w:val="none"/>
                <w:lang w:val="en-US" w:eastAsia="zh-CN"/>
              </w:rPr>
              <w:t>48000.00元</w:t>
            </w:r>
            <w:r>
              <w:rPr>
                <w:rFonts w:hint="eastAsia" w:ascii="宋体" w:hAnsi="宋体" w:cs="宋体"/>
                <w:b/>
                <w:color w:val="auto"/>
                <w:kern w:val="0"/>
                <w:szCs w:val="21"/>
                <w:highlight w:val="none"/>
              </w:rPr>
              <w:t>；</w:t>
            </w:r>
          </w:p>
          <w:p w14:paraId="7948F078">
            <w:pPr>
              <w:snapToGrid w:val="0"/>
              <w:spacing w:line="400" w:lineRule="exact"/>
              <w:rPr>
                <w:rFonts w:ascii="宋体" w:hAnsi="宋体"/>
                <w:color w:val="auto"/>
                <w:szCs w:val="21"/>
                <w:highlight w:val="none"/>
              </w:rPr>
            </w:pPr>
            <w:r>
              <w:rPr>
                <w:rFonts w:hint="eastAsia" w:ascii="宋体" w:hAnsi="宋体" w:cs="宋体"/>
                <w:color w:val="auto"/>
                <w:kern w:val="0"/>
                <w:szCs w:val="21"/>
                <w:highlight w:val="none"/>
              </w:rPr>
              <w:t>投标保证金的交纳方式：银行转账、支票、汇票、本票或者金融、担保机构出具的保函，禁止采用现钞方式。采用银行转账方式的，在投标截止时间前交至指定账户并且到账（</w:t>
            </w:r>
            <w:r>
              <w:rPr>
                <w:rFonts w:hint="eastAsia" w:ascii="宋体" w:hAnsi="宋体" w:cs="宋体"/>
                <w:color w:val="auto"/>
                <w:szCs w:val="21"/>
                <w:highlight w:val="none"/>
              </w:rPr>
              <w:t>开户名称：广西科文招标有限公司，开户银行：广西北部湾银行南宁分行营业部，银行账号：0101012090615689</w:t>
            </w:r>
            <w:r>
              <w:rPr>
                <w:rFonts w:hint="eastAsia" w:ascii="宋体" w:hAnsi="宋体" w:cs="宋体"/>
                <w:color w:val="auto"/>
                <w:kern w:val="0"/>
                <w:szCs w:val="21"/>
                <w:highlight w:val="none"/>
              </w:rPr>
              <w:t>）；采用支票、汇票、本票或者保函等方式的，在投标截止时间前，投标人必须递交支票、汇票、本票或者保函原件。否则视为无效投标保证金。</w:t>
            </w:r>
          </w:p>
          <w:p w14:paraId="409EEE34">
            <w:pPr>
              <w:snapToGrid w:val="0"/>
              <w:spacing w:line="400" w:lineRule="exact"/>
              <w:rPr>
                <w:rFonts w:ascii="宋体" w:hAnsi="宋体"/>
                <w:color w:val="auto"/>
                <w:szCs w:val="21"/>
                <w:highlight w:val="none"/>
              </w:rPr>
            </w:pPr>
            <w:r>
              <w:rPr>
                <w:rFonts w:hint="eastAsia" w:ascii="宋体" w:hAnsi="宋体"/>
                <w:color w:val="auto"/>
                <w:szCs w:val="21"/>
                <w:highlight w:val="none"/>
              </w:rPr>
              <w:t>相关要求：</w:t>
            </w:r>
          </w:p>
          <w:p w14:paraId="21987C73">
            <w:pPr>
              <w:pStyle w:val="18"/>
              <w:spacing w:line="400" w:lineRule="exact"/>
              <w:rPr>
                <w:rFonts w:ascii="宋体" w:hAnsi="宋体"/>
                <w:color w:val="auto"/>
                <w:szCs w:val="21"/>
                <w:highlight w:val="none"/>
              </w:rPr>
            </w:pPr>
            <w:r>
              <w:rPr>
                <w:rFonts w:hint="eastAsia" w:ascii="宋体" w:hAnsi="宋体"/>
                <w:color w:val="auto"/>
                <w:szCs w:val="21"/>
                <w:highlight w:val="none"/>
              </w:rPr>
              <w:t>1.投标保证金采用银行转账交纳方式的，投标人转帐时请在银行转账底单备注“</w:t>
            </w:r>
            <w:r>
              <w:rPr>
                <w:rFonts w:hint="eastAsia" w:ascii="宋体" w:hAnsi="宋体"/>
                <w:b/>
                <w:color w:val="auto"/>
                <w:szCs w:val="21"/>
                <w:highlight w:val="none"/>
                <w:u w:val="single"/>
                <w:lang w:eastAsia="zh-CN"/>
              </w:rPr>
              <w:t>GXZC2025-G1-003075-KWZB</w:t>
            </w:r>
            <w:r>
              <w:rPr>
                <w:rFonts w:hint="eastAsia" w:ascii="宋体" w:hAnsi="宋体"/>
                <w:b/>
                <w:color w:val="auto"/>
                <w:szCs w:val="21"/>
                <w:highlight w:val="none"/>
                <w:u w:val="single"/>
              </w:rPr>
              <w:t>投标保证金</w:t>
            </w:r>
            <w:r>
              <w:rPr>
                <w:rFonts w:hint="eastAsia" w:ascii="宋体" w:hAnsi="宋体"/>
                <w:color w:val="auto"/>
                <w:szCs w:val="21"/>
                <w:highlight w:val="none"/>
              </w:rPr>
              <w:t>”，在投标截止时间前交至指定账户并且到账，投标人应将银行转账底单的复印件作为投标保证金提交凭证，</w:t>
            </w:r>
            <w:r>
              <w:rPr>
                <w:rFonts w:ascii="宋体" w:hAnsi="宋体"/>
                <w:color w:val="auto"/>
                <w:szCs w:val="21"/>
                <w:highlight w:val="none"/>
              </w:rPr>
              <w:t>放置于</w:t>
            </w:r>
            <w:r>
              <w:rPr>
                <w:rFonts w:hint="eastAsia" w:ascii="宋体" w:hAnsi="宋体"/>
                <w:color w:val="auto"/>
                <w:szCs w:val="21"/>
                <w:highlight w:val="none"/>
              </w:rPr>
              <w:t>商务文件</w:t>
            </w:r>
            <w:r>
              <w:rPr>
                <w:rFonts w:ascii="宋体" w:hAnsi="宋体"/>
                <w:color w:val="auto"/>
                <w:szCs w:val="21"/>
                <w:highlight w:val="none"/>
              </w:rPr>
              <w:t>中</w:t>
            </w:r>
            <w:r>
              <w:rPr>
                <w:rFonts w:hint="eastAsia" w:ascii="宋体" w:hAnsi="宋体"/>
                <w:color w:val="auto"/>
                <w:szCs w:val="21"/>
                <w:highlight w:val="none"/>
              </w:rPr>
              <w:t>，</w:t>
            </w:r>
            <w:r>
              <w:rPr>
                <w:rFonts w:hint="eastAsia" w:ascii="宋体" w:hAnsi="宋体"/>
                <w:b/>
                <w:color w:val="auto"/>
                <w:szCs w:val="21"/>
                <w:highlight w:val="none"/>
              </w:rPr>
              <w:t>否则投标无效</w:t>
            </w:r>
            <w:r>
              <w:rPr>
                <w:rFonts w:hint="eastAsia" w:ascii="宋体" w:hAnsi="宋体"/>
                <w:color w:val="auto"/>
                <w:szCs w:val="21"/>
                <w:highlight w:val="none"/>
              </w:rPr>
              <w:t>。</w:t>
            </w:r>
          </w:p>
          <w:p w14:paraId="24D6162C">
            <w:pPr>
              <w:snapToGrid w:val="0"/>
              <w:spacing w:line="400" w:lineRule="exact"/>
              <w:rPr>
                <w:rFonts w:ascii="宋体" w:hAnsi="宋体"/>
                <w:color w:val="auto"/>
                <w:szCs w:val="21"/>
                <w:highlight w:val="none"/>
              </w:rPr>
            </w:pPr>
            <w:r>
              <w:rPr>
                <w:rFonts w:hint="eastAsia" w:ascii="宋体" w:hAnsi="宋体"/>
                <w:color w:val="auto"/>
                <w:szCs w:val="21"/>
                <w:highlight w:val="none"/>
              </w:rPr>
              <w:t>2.投标保证金采用支票、汇票、本票或者金融、担保机构出具的保函交纳方式的，投标人应将支票、汇票、本票或者金融、担保机构出具的保函的复印件作为投标保证金提交凭证，放置于商务文件中，</w:t>
            </w:r>
            <w:r>
              <w:rPr>
                <w:rFonts w:hint="eastAsia" w:ascii="宋体" w:hAnsi="宋体"/>
                <w:b/>
                <w:color w:val="auto"/>
                <w:szCs w:val="21"/>
                <w:highlight w:val="none"/>
              </w:rPr>
              <w:t>否则投标无效</w:t>
            </w:r>
            <w:r>
              <w:rPr>
                <w:rFonts w:hint="eastAsia" w:ascii="宋体" w:hAnsi="宋体"/>
                <w:color w:val="auto"/>
                <w:szCs w:val="21"/>
                <w:highlight w:val="none"/>
              </w:rPr>
              <w:t>。</w:t>
            </w:r>
            <w:r>
              <w:rPr>
                <w:rFonts w:hint="eastAsia" w:ascii="宋体" w:hAnsi="宋体"/>
                <w:b/>
                <w:color w:val="auto"/>
                <w:szCs w:val="21"/>
                <w:highlight w:val="none"/>
              </w:rPr>
              <w:t>投标人必须在投标截止时间前将支票、汇票、本票或者金融、担保机构出具的保函原件提交给采购代理机构，由采购代理机构向投标人出具回执，并妥善保管。</w:t>
            </w:r>
          </w:p>
          <w:p w14:paraId="47BB1519">
            <w:pPr>
              <w:snapToGrid w:val="0"/>
              <w:spacing w:line="400" w:lineRule="exact"/>
              <w:rPr>
                <w:rFonts w:ascii="宋体" w:hAnsi="宋体"/>
                <w:color w:val="auto"/>
                <w:szCs w:val="21"/>
                <w:highlight w:val="none"/>
              </w:rPr>
            </w:pPr>
            <w:r>
              <w:rPr>
                <w:rFonts w:hint="eastAsia" w:ascii="宋体" w:hAnsi="宋体" w:cs="宋体"/>
                <w:color w:val="auto"/>
                <w:szCs w:val="21"/>
                <w:highlight w:val="none"/>
              </w:rPr>
              <w:t>3.投标人为联合体的，可以由联合体中的一方或者多方共同交纳投标保证金，其交纳的保证金对联合体各方均具有约束力。</w:t>
            </w:r>
          </w:p>
          <w:p w14:paraId="055B04E4">
            <w:pPr>
              <w:snapToGrid w:val="0"/>
              <w:spacing w:line="400" w:lineRule="exact"/>
              <w:rPr>
                <w:rFonts w:ascii="宋体" w:hAnsi="宋体"/>
                <w:b/>
                <w:color w:val="auto"/>
                <w:szCs w:val="21"/>
                <w:highlight w:val="none"/>
              </w:rPr>
            </w:pPr>
            <w:r>
              <w:rPr>
                <w:rFonts w:hint="eastAsia" w:ascii="宋体" w:hAnsi="宋体"/>
                <w:b/>
                <w:color w:val="auto"/>
                <w:szCs w:val="21"/>
                <w:highlight w:val="none"/>
              </w:rPr>
              <w:t xml:space="preserve">备注： </w:t>
            </w:r>
          </w:p>
          <w:p w14:paraId="630E3041">
            <w:pPr>
              <w:snapToGrid w:val="0"/>
              <w:spacing w:line="400" w:lineRule="exact"/>
              <w:rPr>
                <w:rFonts w:ascii="宋体" w:hAnsi="宋体"/>
                <w:b/>
                <w:color w:val="auto"/>
                <w:szCs w:val="21"/>
                <w:highlight w:val="none"/>
              </w:rPr>
            </w:pPr>
            <w:r>
              <w:rPr>
                <w:rFonts w:hint="eastAsia" w:ascii="宋体" w:hAnsi="宋体"/>
                <w:b/>
                <w:color w:val="auto"/>
                <w:szCs w:val="21"/>
                <w:highlight w:val="none"/>
              </w:rPr>
              <w:t>1.投标保证金在投标截止时间后提交的，或者不按规定交纳方式交纳的，或者未足额交纳的（包含保函额度不足的），视为无效投标保证金。</w:t>
            </w:r>
          </w:p>
          <w:p w14:paraId="5503FC0A">
            <w:pPr>
              <w:snapToGrid w:val="0"/>
              <w:spacing w:line="400" w:lineRule="exact"/>
              <w:rPr>
                <w:rFonts w:ascii="宋体" w:hAnsi="宋体"/>
                <w:b/>
                <w:color w:val="auto"/>
                <w:szCs w:val="21"/>
                <w:highlight w:val="none"/>
              </w:rPr>
            </w:pPr>
            <w:r>
              <w:rPr>
                <w:rFonts w:hint="eastAsia" w:ascii="宋体" w:hAnsi="宋体"/>
                <w:b/>
                <w:color w:val="auto"/>
                <w:szCs w:val="21"/>
                <w:highlight w:val="none"/>
              </w:rPr>
              <w:t>2.投标人采用现钞方式或者从个人账户（自然人投标除外）转出的投标保证金，视为无效投标保证金。</w:t>
            </w:r>
          </w:p>
          <w:p w14:paraId="004D92AA">
            <w:pPr>
              <w:snapToGrid w:val="0"/>
              <w:spacing w:line="400" w:lineRule="exact"/>
              <w:rPr>
                <w:rFonts w:ascii="宋体" w:hAnsi="宋体"/>
                <w:b/>
                <w:color w:val="auto"/>
                <w:szCs w:val="21"/>
                <w:highlight w:val="none"/>
              </w:rPr>
            </w:pPr>
            <w:r>
              <w:rPr>
                <w:rFonts w:hint="eastAsia" w:ascii="宋体" w:hAnsi="宋体"/>
                <w:b/>
                <w:color w:val="auto"/>
                <w:szCs w:val="21"/>
                <w:highlight w:val="none"/>
              </w:rPr>
              <w:t>3.支票、汇票或者本票出现无效或者背书情形的，视为无效投标保证金。</w:t>
            </w:r>
          </w:p>
          <w:p w14:paraId="3ACD9138">
            <w:pPr>
              <w:snapToGrid w:val="0"/>
              <w:spacing w:line="400" w:lineRule="exact"/>
              <w:rPr>
                <w:rFonts w:ascii="宋体" w:hAnsi="宋体"/>
                <w:b/>
                <w:color w:val="auto"/>
                <w:szCs w:val="21"/>
                <w:highlight w:val="none"/>
              </w:rPr>
            </w:pPr>
            <w:r>
              <w:rPr>
                <w:rFonts w:hint="eastAsia" w:ascii="宋体" w:hAnsi="宋体"/>
                <w:b/>
                <w:color w:val="auto"/>
                <w:szCs w:val="21"/>
                <w:highlight w:val="none"/>
              </w:rPr>
              <w:t>4.保函有效期低于投标有效期的，视为无效投标保证金。</w:t>
            </w:r>
          </w:p>
          <w:p w14:paraId="4C512C76">
            <w:pPr>
              <w:snapToGrid w:val="0"/>
              <w:spacing w:line="400" w:lineRule="exact"/>
              <w:rPr>
                <w:rFonts w:ascii="宋体" w:hAnsi="宋体"/>
                <w:b/>
                <w:color w:val="auto"/>
                <w:szCs w:val="21"/>
                <w:highlight w:val="none"/>
              </w:rPr>
            </w:pPr>
            <w:r>
              <w:rPr>
                <w:rFonts w:hint="eastAsia" w:ascii="宋体" w:hAnsi="宋体"/>
                <w:b/>
                <w:color w:val="auto"/>
                <w:szCs w:val="21"/>
                <w:highlight w:val="none"/>
              </w:rPr>
              <w:t>5.采用金融、担保机构出具保函的，必须为无条件保函，否则视为无效投标保证金。</w:t>
            </w:r>
          </w:p>
        </w:tc>
      </w:tr>
      <w:tr w14:paraId="0B2477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5DB9461E">
            <w:pPr>
              <w:spacing w:line="400" w:lineRule="exact"/>
              <w:jc w:val="center"/>
              <w:rPr>
                <w:rFonts w:ascii="宋体" w:hAnsi="宋体"/>
                <w:color w:val="auto"/>
                <w:szCs w:val="21"/>
                <w:highlight w:val="none"/>
              </w:rPr>
            </w:pPr>
            <w:bookmarkStart w:id="66" w:name="_19.2"/>
            <w:bookmarkEnd w:id="66"/>
            <w:r>
              <w:rPr>
                <w:rFonts w:hint="eastAsia" w:ascii="宋体" w:hAnsi="宋体"/>
                <w:color w:val="auto"/>
                <w:szCs w:val="21"/>
                <w:highlight w:val="none"/>
              </w:rPr>
              <w:t>19.2</w:t>
            </w:r>
          </w:p>
        </w:tc>
        <w:tc>
          <w:tcPr>
            <w:tcW w:w="8708" w:type="dxa"/>
            <w:tcBorders>
              <w:top w:val="single" w:color="auto" w:sz="4" w:space="0"/>
              <w:left w:val="single" w:color="auto" w:sz="4" w:space="0"/>
              <w:bottom w:val="single" w:color="auto" w:sz="4" w:space="0"/>
              <w:right w:val="single" w:color="auto" w:sz="4" w:space="0"/>
            </w:tcBorders>
            <w:vAlign w:val="center"/>
          </w:tcPr>
          <w:p w14:paraId="06269ADE">
            <w:pPr>
              <w:autoSpaceDE w:val="0"/>
              <w:autoSpaceDN w:val="0"/>
              <w:snapToGrid w:val="0"/>
              <w:spacing w:line="400" w:lineRule="exact"/>
              <w:textAlignment w:val="bottom"/>
              <w:rPr>
                <w:rFonts w:ascii="宋体" w:hAnsi="宋体"/>
                <w:color w:val="auto"/>
                <w:szCs w:val="21"/>
                <w:highlight w:val="none"/>
              </w:rPr>
            </w:pPr>
            <w:r>
              <w:rPr>
                <w:rFonts w:hint="eastAsia" w:ascii="宋体" w:hAnsi="宋体"/>
                <w:color w:val="auto"/>
                <w:szCs w:val="21"/>
                <w:highlight w:val="none"/>
              </w:rPr>
              <w:t>投标文件应按报价文件、资格证明文件、商务文件、技术文件分别编制，</w:t>
            </w:r>
            <w:r>
              <w:rPr>
                <w:rFonts w:hint="eastAsia" w:ascii="宋体" w:hAnsi="宋体" w:cs="宋体"/>
                <w:color w:val="auto"/>
                <w:szCs w:val="21"/>
                <w:highlight w:val="none"/>
                <w:lang w:bidi="ar"/>
              </w:rPr>
              <w:t>并按广西政府采购云平台的要求编制、加密、上传。</w:t>
            </w:r>
          </w:p>
        </w:tc>
      </w:tr>
      <w:tr w14:paraId="3B6283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500A40BA">
            <w:pPr>
              <w:spacing w:line="400" w:lineRule="exact"/>
              <w:jc w:val="center"/>
              <w:rPr>
                <w:rFonts w:ascii="宋体" w:hAnsi="宋体"/>
                <w:color w:val="auto"/>
                <w:szCs w:val="21"/>
                <w:highlight w:val="none"/>
              </w:rPr>
            </w:pPr>
            <w:r>
              <w:rPr>
                <w:rFonts w:hint="eastAsia" w:ascii="宋体" w:hAnsi="宋体"/>
                <w:color w:val="auto"/>
                <w:szCs w:val="21"/>
                <w:highlight w:val="none"/>
              </w:rPr>
              <w:t>20.1</w:t>
            </w:r>
          </w:p>
        </w:tc>
        <w:tc>
          <w:tcPr>
            <w:tcW w:w="8708" w:type="dxa"/>
            <w:tcBorders>
              <w:top w:val="single" w:color="auto" w:sz="4" w:space="0"/>
              <w:left w:val="single" w:color="auto" w:sz="4" w:space="0"/>
              <w:bottom w:val="single" w:color="auto" w:sz="4" w:space="0"/>
              <w:right w:val="single" w:color="auto" w:sz="4" w:space="0"/>
            </w:tcBorders>
            <w:vAlign w:val="center"/>
          </w:tcPr>
          <w:p w14:paraId="7A8C3C52">
            <w:pPr>
              <w:autoSpaceDE w:val="0"/>
              <w:autoSpaceDN w:val="0"/>
              <w:snapToGrid w:val="0"/>
              <w:spacing w:line="400" w:lineRule="exact"/>
              <w:textAlignment w:val="bottom"/>
              <w:rPr>
                <w:rFonts w:ascii="宋体" w:hAnsi="宋体"/>
                <w:color w:val="auto"/>
                <w:szCs w:val="21"/>
                <w:highlight w:val="none"/>
              </w:rPr>
            </w:pPr>
            <w:r>
              <w:rPr>
                <w:rFonts w:hint="eastAsia" w:ascii="宋体" w:hAnsi="宋体"/>
                <w:color w:val="auto"/>
                <w:szCs w:val="21"/>
                <w:highlight w:val="none"/>
              </w:rPr>
              <w:t>电子投标文件应在制作完成后，投标人应按广西政府采购云平台的要求进行加密，并在规定时间内解密，否则，由此产生的后果由投标人自行负责。</w:t>
            </w:r>
          </w:p>
        </w:tc>
      </w:tr>
      <w:tr w14:paraId="02AA8D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jc w:val="center"/>
        </w:trPr>
        <w:tc>
          <w:tcPr>
            <w:tcW w:w="895" w:type="dxa"/>
            <w:tcBorders>
              <w:top w:val="single" w:color="auto" w:sz="4" w:space="0"/>
              <w:left w:val="single" w:color="auto" w:sz="4" w:space="0"/>
              <w:bottom w:val="single" w:color="auto" w:sz="4" w:space="0"/>
              <w:right w:val="single" w:color="auto" w:sz="4" w:space="0"/>
            </w:tcBorders>
            <w:vAlign w:val="center"/>
          </w:tcPr>
          <w:p w14:paraId="4AD9EC0A">
            <w:pPr>
              <w:spacing w:line="400" w:lineRule="exact"/>
              <w:jc w:val="center"/>
              <w:rPr>
                <w:rFonts w:ascii="宋体" w:hAnsi="宋体"/>
                <w:color w:val="auto"/>
                <w:szCs w:val="21"/>
                <w:highlight w:val="none"/>
              </w:rPr>
            </w:pPr>
            <w:bookmarkStart w:id="67" w:name="_21.1"/>
            <w:bookmarkEnd w:id="67"/>
            <w:r>
              <w:rPr>
                <w:rFonts w:hint="eastAsia" w:ascii="宋体" w:hAnsi="宋体"/>
                <w:color w:val="auto"/>
                <w:szCs w:val="21"/>
                <w:highlight w:val="none"/>
              </w:rPr>
              <w:t>21.1</w:t>
            </w:r>
          </w:p>
        </w:tc>
        <w:tc>
          <w:tcPr>
            <w:tcW w:w="8708" w:type="dxa"/>
            <w:tcBorders>
              <w:top w:val="single" w:color="auto" w:sz="4" w:space="0"/>
              <w:left w:val="single" w:color="auto" w:sz="4" w:space="0"/>
              <w:bottom w:val="single" w:color="auto" w:sz="4" w:space="0"/>
              <w:right w:val="single" w:color="auto" w:sz="4" w:space="0"/>
            </w:tcBorders>
            <w:vAlign w:val="center"/>
          </w:tcPr>
          <w:p w14:paraId="0DD62203">
            <w:pPr>
              <w:snapToGrid w:val="0"/>
              <w:spacing w:line="400" w:lineRule="exact"/>
              <w:rPr>
                <w:rFonts w:ascii="宋体" w:hAnsi="宋体"/>
                <w:color w:val="auto"/>
                <w:szCs w:val="21"/>
                <w:highlight w:val="none"/>
                <w:u w:val="single"/>
              </w:rPr>
            </w:pPr>
            <w:r>
              <w:rPr>
                <w:rFonts w:hint="eastAsia" w:ascii="宋体" w:hAnsi="宋体"/>
                <w:color w:val="auto"/>
                <w:szCs w:val="21"/>
                <w:highlight w:val="none"/>
              </w:rPr>
              <w:t>1.投标截止时间：详见招标公告</w:t>
            </w:r>
          </w:p>
          <w:p w14:paraId="0D5FD171">
            <w:pPr>
              <w:snapToGrid w:val="0"/>
              <w:spacing w:line="400" w:lineRule="exact"/>
              <w:rPr>
                <w:rFonts w:ascii="宋体" w:hAnsi="宋体"/>
                <w:color w:val="auto"/>
                <w:szCs w:val="21"/>
                <w:highlight w:val="none"/>
              </w:rPr>
            </w:pPr>
            <w:r>
              <w:rPr>
                <w:rFonts w:hint="eastAsia" w:ascii="宋体" w:hAnsi="宋体"/>
                <w:color w:val="auto"/>
                <w:szCs w:val="21"/>
                <w:highlight w:val="none"/>
              </w:rPr>
              <w:t>2.投标地点：详见招标公告</w:t>
            </w:r>
          </w:p>
        </w:tc>
      </w:tr>
      <w:tr w14:paraId="6E8D7D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120D00E6">
            <w:pPr>
              <w:spacing w:line="400" w:lineRule="exact"/>
              <w:jc w:val="center"/>
              <w:rPr>
                <w:rFonts w:ascii="宋体" w:hAnsi="宋体"/>
                <w:color w:val="auto"/>
                <w:szCs w:val="21"/>
                <w:highlight w:val="none"/>
              </w:rPr>
            </w:pPr>
            <w:bookmarkStart w:id="68" w:name="_23"/>
            <w:bookmarkEnd w:id="68"/>
            <w:r>
              <w:rPr>
                <w:rFonts w:hint="eastAsia" w:ascii="宋体" w:hAnsi="宋体"/>
                <w:color w:val="auto"/>
                <w:szCs w:val="21"/>
                <w:highlight w:val="none"/>
              </w:rPr>
              <w:t>23</w:t>
            </w:r>
          </w:p>
        </w:tc>
        <w:tc>
          <w:tcPr>
            <w:tcW w:w="8708" w:type="dxa"/>
            <w:tcBorders>
              <w:top w:val="single" w:color="auto" w:sz="4" w:space="0"/>
              <w:left w:val="single" w:color="auto" w:sz="4" w:space="0"/>
              <w:bottom w:val="single" w:color="auto" w:sz="4" w:space="0"/>
              <w:right w:val="single" w:color="auto" w:sz="4" w:space="0"/>
            </w:tcBorders>
            <w:vAlign w:val="center"/>
          </w:tcPr>
          <w:p w14:paraId="067A59D9">
            <w:pPr>
              <w:snapToGrid w:val="0"/>
              <w:spacing w:line="400" w:lineRule="exact"/>
              <w:rPr>
                <w:rFonts w:ascii="宋体" w:hAnsi="宋体"/>
                <w:color w:val="auto"/>
                <w:szCs w:val="21"/>
                <w:highlight w:val="none"/>
              </w:rPr>
            </w:pPr>
            <w:r>
              <w:rPr>
                <w:rFonts w:hint="eastAsia" w:ascii="宋体" w:hAnsi="宋体"/>
                <w:color w:val="auto"/>
                <w:szCs w:val="21"/>
                <w:highlight w:val="none"/>
              </w:rPr>
              <w:t>1.开标时间：详见招标公告</w:t>
            </w:r>
          </w:p>
          <w:p w14:paraId="032A6DD4">
            <w:pPr>
              <w:snapToGrid w:val="0"/>
              <w:spacing w:line="400" w:lineRule="exact"/>
              <w:rPr>
                <w:rFonts w:ascii="宋体" w:hAnsi="宋体"/>
                <w:color w:val="auto"/>
                <w:szCs w:val="21"/>
                <w:highlight w:val="none"/>
              </w:rPr>
            </w:pPr>
            <w:r>
              <w:rPr>
                <w:rFonts w:hint="eastAsia" w:ascii="宋体" w:hAnsi="宋体"/>
                <w:color w:val="auto"/>
                <w:szCs w:val="21"/>
                <w:highlight w:val="none"/>
              </w:rPr>
              <w:t>2.开标地点：详见招标公告</w:t>
            </w:r>
          </w:p>
        </w:tc>
      </w:tr>
      <w:tr w14:paraId="0C1A74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0667B872">
            <w:pPr>
              <w:spacing w:line="400" w:lineRule="exact"/>
              <w:jc w:val="center"/>
              <w:rPr>
                <w:rFonts w:ascii="宋体" w:hAnsi="宋体"/>
                <w:color w:val="auto"/>
                <w:szCs w:val="21"/>
                <w:highlight w:val="none"/>
              </w:rPr>
            </w:pPr>
            <w:r>
              <w:rPr>
                <w:rFonts w:hint="eastAsia" w:ascii="宋体" w:hAnsi="宋体"/>
                <w:bCs/>
                <w:color w:val="auto"/>
                <w:szCs w:val="21"/>
                <w:highlight w:val="none"/>
              </w:rPr>
              <w:t>24.2</w:t>
            </w:r>
          </w:p>
        </w:tc>
        <w:tc>
          <w:tcPr>
            <w:tcW w:w="8708" w:type="dxa"/>
            <w:tcBorders>
              <w:top w:val="single" w:color="auto" w:sz="4" w:space="0"/>
              <w:left w:val="single" w:color="auto" w:sz="4" w:space="0"/>
              <w:bottom w:val="single" w:color="auto" w:sz="4" w:space="0"/>
              <w:right w:val="single" w:color="auto" w:sz="4" w:space="0"/>
            </w:tcBorders>
            <w:vAlign w:val="center"/>
          </w:tcPr>
          <w:p w14:paraId="2DC3E68C">
            <w:pPr>
              <w:autoSpaceDE w:val="0"/>
              <w:autoSpaceDN w:val="0"/>
              <w:adjustRightInd w:val="0"/>
              <w:spacing w:line="440" w:lineRule="exact"/>
              <w:rPr>
                <w:rFonts w:ascii="宋体" w:hAnsi="宋体"/>
                <w:color w:val="auto"/>
                <w:szCs w:val="21"/>
                <w:highlight w:val="none"/>
              </w:rPr>
            </w:pPr>
            <w:r>
              <w:rPr>
                <w:rFonts w:hint="eastAsia" w:ascii="宋体" w:hAnsi="宋体"/>
                <w:bCs/>
                <w:color w:val="auto"/>
                <w:szCs w:val="21"/>
                <w:highlight w:val="none"/>
              </w:rPr>
              <w:t>广西政府采购云平台按开标时间自动提取所有投标文件。采购代理机构依托广西政府采购云平台向各投标人发出电子加密投标文件【开始解密】通知，由投标人进行投标文件解密。</w:t>
            </w:r>
            <w:r>
              <w:rPr>
                <w:rFonts w:hint="eastAsia" w:ascii="宋体" w:hAnsi="宋体"/>
                <w:b/>
                <w:bCs/>
                <w:color w:val="auto"/>
                <w:szCs w:val="21"/>
                <w:highlight w:val="none"/>
              </w:rPr>
              <w:t>投标人的法定代表人或其委托代理人须携带加密时所用的CA锁准时登录到广西政府采购云平台电子开标大厅签到</w:t>
            </w:r>
            <w:r>
              <w:rPr>
                <w:rFonts w:hint="eastAsia" w:ascii="宋体" w:hAnsi="宋体" w:cs="宋体"/>
                <w:b/>
                <w:color w:val="auto"/>
                <w:szCs w:val="21"/>
                <w:highlight w:val="none"/>
              </w:rPr>
              <w:t>并在发起解密</w:t>
            </w:r>
            <w:r>
              <w:rPr>
                <w:rFonts w:hint="eastAsia" w:ascii="宋体" w:hAnsi="宋体"/>
                <w:b/>
                <w:bCs/>
                <w:color w:val="auto"/>
                <w:szCs w:val="21"/>
                <w:highlight w:val="none"/>
              </w:rPr>
              <w:t>通知</w:t>
            </w:r>
            <w:r>
              <w:rPr>
                <w:rFonts w:hint="eastAsia" w:ascii="宋体" w:hAnsi="宋体" w:cs="宋体"/>
                <w:b/>
                <w:color w:val="auto"/>
                <w:szCs w:val="21"/>
                <w:highlight w:val="none"/>
              </w:rPr>
              <w:t>之时起30分钟内完成</w:t>
            </w:r>
            <w:r>
              <w:rPr>
                <w:rFonts w:hint="eastAsia" w:ascii="宋体" w:hAnsi="宋体"/>
                <w:b/>
                <w:bCs/>
                <w:color w:val="auto"/>
                <w:szCs w:val="21"/>
                <w:highlight w:val="none"/>
              </w:rPr>
              <w:t>对电子投标文件解密。投标文件未按时解密的，视为无效投标。</w:t>
            </w:r>
          </w:p>
        </w:tc>
      </w:tr>
      <w:tr w14:paraId="2C4F9D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1B8E3188">
            <w:pPr>
              <w:spacing w:line="400" w:lineRule="exact"/>
              <w:jc w:val="center"/>
              <w:rPr>
                <w:rFonts w:ascii="宋体" w:hAnsi="宋体"/>
                <w:color w:val="auto"/>
                <w:szCs w:val="21"/>
                <w:highlight w:val="none"/>
              </w:rPr>
            </w:pPr>
            <w:bookmarkStart w:id="69" w:name="_25.3"/>
            <w:bookmarkEnd w:id="69"/>
            <w:r>
              <w:rPr>
                <w:rFonts w:hint="eastAsia" w:ascii="宋体" w:hAnsi="宋体"/>
                <w:color w:val="auto"/>
                <w:szCs w:val="21"/>
                <w:highlight w:val="none"/>
              </w:rPr>
              <w:t>25.3（3）</w:t>
            </w:r>
          </w:p>
        </w:tc>
        <w:tc>
          <w:tcPr>
            <w:tcW w:w="8708" w:type="dxa"/>
            <w:tcBorders>
              <w:top w:val="single" w:color="auto" w:sz="4" w:space="0"/>
              <w:left w:val="single" w:color="auto" w:sz="4" w:space="0"/>
              <w:bottom w:val="single" w:color="auto" w:sz="4" w:space="0"/>
              <w:right w:val="single" w:color="auto" w:sz="4" w:space="0"/>
            </w:tcBorders>
            <w:vAlign w:val="center"/>
          </w:tcPr>
          <w:p w14:paraId="4B36596E">
            <w:pPr>
              <w:snapToGrid w:val="0"/>
              <w:spacing w:line="400" w:lineRule="exact"/>
              <w:rPr>
                <w:rFonts w:ascii="宋体" w:hAnsi="宋体"/>
                <w:color w:val="auto"/>
                <w:szCs w:val="21"/>
                <w:highlight w:val="none"/>
              </w:rPr>
            </w:pPr>
            <w:r>
              <w:rPr>
                <w:rFonts w:hint="eastAsia" w:ascii="宋体" w:hAnsi="宋体"/>
                <w:color w:val="auto"/>
                <w:szCs w:val="21"/>
                <w:highlight w:val="none"/>
              </w:rPr>
              <w:t>采购人或者采购代理机构在资格审查结束前，对投标人进行信用查询。</w:t>
            </w:r>
          </w:p>
          <w:p w14:paraId="5D272696">
            <w:pPr>
              <w:snapToGrid w:val="0"/>
              <w:spacing w:line="400" w:lineRule="exact"/>
              <w:rPr>
                <w:rFonts w:ascii="宋体" w:hAnsi="宋体"/>
                <w:color w:val="auto"/>
                <w:szCs w:val="21"/>
                <w:highlight w:val="none"/>
              </w:rPr>
            </w:pPr>
            <w:r>
              <w:rPr>
                <w:rFonts w:hint="eastAsia" w:ascii="宋体" w:hAnsi="宋体"/>
                <w:color w:val="auto"/>
                <w:szCs w:val="21"/>
                <w:highlight w:val="none"/>
              </w:rPr>
              <w:t>查询渠道：</w:t>
            </w:r>
            <w:r>
              <w:rPr>
                <w:rFonts w:ascii="宋体" w:hAnsi="宋体"/>
                <w:color w:val="auto"/>
                <w:szCs w:val="21"/>
                <w:highlight w:val="none"/>
              </w:rPr>
              <w:t>“信用中国”网站（www.creditchina.gov.cn）、中国政府采购网（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Style w:val="53"/>
                <w:rFonts w:ascii="宋体" w:hAnsi="宋体"/>
                <w:color w:val="auto"/>
                <w:szCs w:val="21"/>
                <w:highlight w:val="none"/>
              </w:rPr>
              <w:t>www.ccgp.gov.cn</w:t>
            </w:r>
            <w:r>
              <w:rPr>
                <w:rStyle w:val="53"/>
                <w:rFonts w:ascii="宋体" w:hAnsi="宋体"/>
                <w:color w:val="auto"/>
                <w:szCs w:val="21"/>
                <w:highlight w:val="none"/>
              </w:rPr>
              <w:fldChar w:fldCharType="end"/>
            </w:r>
            <w:r>
              <w:rPr>
                <w:rFonts w:ascii="宋体" w:hAnsi="宋体"/>
                <w:color w:val="auto"/>
                <w:szCs w:val="21"/>
                <w:highlight w:val="none"/>
              </w:rPr>
              <w:t>）</w:t>
            </w:r>
            <w:r>
              <w:rPr>
                <w:rFonts w:hint="eastAsia" w:ascii="宋体" w:hAnsi="宋体"/>
                <w:color w:val="auto"/>
                <w:szCs w:val="21"/>
                <w:highlight w:val="none"/>
              </w:rPr>
              <w:t>。</w:t>
            </w:r>
          </w:p>
          <w:p w14:paraId="41996FAE">
            <w:pPr>
              <w:snapToGrid w:val="0"/>
              <w:spacing w:line="400" w:lineRule="exact"/>
              <w:rPr>
                <w:rFonts w:ascii="宋体" w:hAnsi="宋体"/>
                <w:color w:val="auto"/>
                <w:szCs w:val="21"/>
                <w:highlight w:val="none"/>
              </w:rPr>
            </w:pPr>
            <w:r>
              <w:rPr>
                <w:rFonts w:hint="eastAsia" w:ascii="宋体" w:hAnsi="宋体"/>
                <w:color w:val="auto"/>
                <w:szCs w:val="21"/>
                <w:highlight w:val="none"/>
              </w:rPr>
              <w:t>信用查询截止时点：</w:t>
            </w:r>
            <w:r>
              <w:rPr>
                <w:rFonts w:ascii="宋体" w:hAnsi="宋体" w:cs="宋体"/>
                <w:color w:val="auto"/>
                <w:szCs w:val="21"/>
                <w:highlight w:val="none"/>
              </w:rPr>
              <w:t>资格审查结束前</w:t>
            </w:r>
            <w:r>
              <w:rPr>
                <w:rFonts w:hint="eastAsia" w:ascii="宋体" w:hAnsi="宋体" w:cs="宋体"/>
                <w:color w:val="auto"/>
                <w:szCs w:val="21"/>
                <w:highlight w:val="none"/>
              </w:rPr>
              <w:t>。</w:t>
            </w:r>
          </w:p>
          <w:p w14:paraId="16745C1E">
            <w:pPr>
              <w:snapToGrid w:val="0"/>
              <w:spacing w:line="400" w:lineRule="exact"/>
              <w:rPr>
                <w:rFonts w:ascii="宋体" w:hAnsi="宋体"/>
                <w:color w:val="auto"/>
                <w:szCs w:val="21"/>
                <w:highlight w:val="none"/>
              </w:rPr>
            </w:pPr>
            <w:r>
              <w:rPr>
                <w:rFonts w:hint="eastAsia" w:ascii="宋体" w:hAnsi="宋体"/>
                <w:color w:val="auto"/>
                <w:szCs w:val="21"/>
                <w:highlight w:val="none"/>
              </w:rPr>
              <w:t>查询记录和证据留存方式：</w:t>
            </w:r>
            <w:r>
              <w:rPr>
                <w:rFonts w:hint="eastAsia" w:ascii="宋体" w:hAnsi="宋体" w:cs="宋体"/>
                <w:color w:val="auto"/>
                <w:szCs w:val="21"/>
                <w:highlight w:val="none"/>
              </w:rPr>
              <w:t>将查询网站中的查询记录截图并作为评审资料保存。</w:t>
            </w:r>
          </w:p>
          <w:p w14:paraId="57A4B25B">
            <w:pPr>
              <w:snapToGrid w:val="0"/>
              <w:spacing w:line="400" w:lineRule="exact"/>
              <w:rPr>
                <w:rFonts w:ascii="宋体" w:hAnsi="宋体"/>
                <w:b/>
                <w:color w:val="auto"/>
                <w:szCs w:val="21"/>
                <w:highlight w:val="none"/>
              </w:rPr>
            </w:pPr>
            <w:r>
              <w:rPr>
                <w:rFonts w:hint="eastAsia" w:ascii="宋体" w:hAnsi="宋体"/>
                <w:color w:val="auto"/>
                <w:szCs w:val="21"/>
                <w:highlight w:val="none"/>
              </w:rPr>
              <w:t>信用信息使用规则：根据财政部《关于在政府采购活动中查询及使用信用记录有关问题的通知》（财库〔2016〕125号）的规定，</w:t>
            </w:r>
            <w:r>
              <w:rPr>
                <w:rFonts w:hint="eastAsia" w:ascii="宋体" w:hAnsi="宋体" w:cs="宋体"/>
                <w:color w:val="auto"/>
                <w:szCs w:val="21"/>
                <w:highlight w:val="none"/>
                <w:lang w:bidi="ar"/>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tc>
      </w:tr>
      <w:tr w14:paraId="668491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674CD8BB">
            <w:pPr>
              <w:spacing w:line="400" w:lineRule="exact"/>
              <w:jc w:val="center"/>
              <w:rPr>
                <w:rFonts w:ascii="宋体" w:hAnsi="宋体"/>
                <w:color w:val="auto"/>
                <w:szCs w:val="21"/>
                <w:highlight w:val="none"/>
              </w:rPr>
            </w:pPr>
            <w:bookmarkStart w:id="70" w:name="_26"/>
            <w:bookmarkEnd w:id="70"/>
            <w:r>
              <w:rPr>
                <w:rFonts w:hint="eastAsia" w:ascii="宋体" w:hAnsi="宋体"/>
                <w:color w:val="auto"/>
                <w:szCs w:val="21"/>
                <w:highlight w:val="none"/>
              </w:rPr>
              <w:t>26</w:t>
            </w:r>
          </w:p>
        </w:tc>
        <w:tc>
          <w:tcPr>
            <w:tcW w:w="8708" w:type="dxa"/>
            <w:tcBorders>
              <w:top w:val="single" w:color="auto" w:sz="4" w:space="0"/>
              <w:left w:val="single" w:color="auto" w:sz="4" w:space="0"/>
              <w:bottom w:val="single" w:color="auto" w:sz="4" w:space="0"/>
              <w:right w:val="single" w:color="auto" w:sz="4" w:space="0"/>
            </w:tcBorders>
            <w:vAlign w:val="center"/>
          </w:tcPr>
          <w:p w14:paraId="2778D1B4">
            <w:pPr>
              <w:autoSpaceDE w:val="0"/>
              <w:autoSpaceDN w:val="0"/>
              <w:snapToGrid w:val="0"/>
              <w:spacing w:line="400" w:lineRule="exact"/>
              <w:textAlignment w:val="bottom"/>
              <w:rPr>
                <w:rFonts w:ascii="宋体" w:hAnsi="宋体"/>
                <w:color w:val="auto"/>
                <w:szCs w:val="21"/>
                <w:highlight w:val="none"/>
              </w:rPr>
            </w:pPr>
            <w:r>
              <w:rPr>
                <w:rFonts w:hint="eastAsia" w:ascii="宋体" w:hAnsi="宋体"/>
                <w:color w:val="auto"/>
                <w:szCs w:val="21"/>
                <w:highlight w:val="none"/>
              </w:rPr>
              <w:t>评标委员会的人数：5人</w:t>
            </w:r>
            <w:r>
              <w:rPr>
                <w:rFonts w:hint="eastAsia" w:ascii="宋体" w:hAnsi="宋体"/>
                <w:color w:val="auto"/>
                <w:highlight w:val="none"/>
              </w:rPr>
              <w:t>。（采购项目符合下列情形之一的，评标委员会成员人数应当为7人以上单数：1.采购预算金额在1000万元以上；2.技术复杂；3.社会影响较大。）</w:t>
            </w:r>
          </w:p>
        </w:tc>
      </w:tr>
      <w:tr w14:paraId="055736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3D6E92F9">
            <w:pPr>
              <w:spacing w:line="400" w:lineRule="exact"/>
              <w:jc w:val="center"/>
              <w:rPr>
                <w:rFonts w:ascii="宋体" w:hAnsi="宋体"/>
                <w:color w:val="auto"/>
                <w:szCs w:val="21"/>
                <w:highlight w:val="none"/>
              </w:rPr>
            </w:pPr>
            <w:bookmarkStart w:id="71" w:name="_28.3"/>
            <w:bookmarkEnd w:id="71"/>
            <w:r>
              <w:rPr>
                <w:rFonts w:ascii="宋体" w:hAnsi="宋体"/>
                <w:color w:val="auto"/>
                <w:szCs w:val="21"/>
                <w:highlight w:val="none"/>
              </w:rPr>
              <w:t>29.1</w:t>
            </w:r>
          </w:p>
        </w:tc>
        <w:tc>
          <w:tcPr>
            <w:tcW w:w="8708" w:type="dxa"/>
            <w:tcBorders>
              <w:top w:val="single" w:color="auto" w:sz="4" w:space="0"/>
              <w:left w:val="single" w:color="auto" w:sz="4" w:space="0"/>
              <w:bottom w:val="single" w:color="auto" w:sz="4" w:space="0"/>
              <w:right w:val="single" w:color="auto" w:sz="4" w:space="0"/>
            </w:tcBorders>
            <w:vAlign w:val="center"/>
          </w:tcPr>
          <w:p w14:paraId="0735EADE">
            <w:pPr>
              <w:autoSpaceDE w:val="0"/>
              <w:autoSpaceDN w:val="0"/>
              <w:snapToGrid w:val="0"/>
              <w:spacing w:line="400" w:lineRule="exact"/>
              <w:textAlignment w:val="bottom"/>
              <w:rPr>
                <w:rFonts w:ascii="宋体" w:hAnsi="宋体"/>
                <w:color w:val="auto"/>
                <w:szCs w:val="21"/>
                <w:highlight w:val="none"/>
              </w:rPr>
            </w:pPr>
            <w:r>
              <w:rPr>
                <w:rFonts w:hint="eastAsia" w:ascii="宋体" w:hAnsi="宋体"/>
                <w:color w:val="auto"/>
                <w:szCs w:val="21"/>
                <w:highlight w:val="none"/>
              </w:rPr>
              <w:t>评标方法：综合评分法</w:t>
            </w:r>
          </w:p>
        </w:tc>
      </w:tr>
      <w:tr w14:paraId="7FE360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895" w:type="dxa"/>
            <w:vMerge w:val="restart"/>
            <w:tcBorders>
              <w:top w:val="single" w:color="auto" w:sz="4" w:space="0"/>
              <w:left w:val="single" w:color="auto" w:sz="4" w:space="0"/>
              <w:right w:val="single" w:color="auto" w:sz="4" w:space="0"/>
            </w:tcBorders>
            <w:vAlign w:val="center"/>
          </w:tcPr>
          <w:p w14:paraId="7E98FC6A">
            <w:pPr>
              <w:spacing w:line="400" w:lineRule="exact"/>
              <w:jc w:val="center"/>
              <w:rPr>
                <w:rFonts w:ascii="宋体" w:hAnsi="宋体"/>
                <w:color w:val="auto"/>
                <w:szCs w:val="21"/>
                <w:highlight w:val="none"/>
              </w:rPr>
            </w:pPr>
            <w:bookmarkStart w:id="72" w:name="_29.2.2（2）"/>
            <w:bookmarkEnd w:id="72"/>
            <w:r>
              <w:rPr>
                <w:rFonts w:hint="eastAsia" w:ascii="宋体" w:hAnsi="宋体"/>
                <w:color w:val="auto"/>
                <w:szCs w:val="21"/>
                <w:highlight w:val="none"/>
              </w:rPr>
              <w:t>29</w:t>
            </w:r>
            <w:r>
              <w:rPr>
                <w:rFonts w:ascii="宋体" w:hAnsi="宋体"/>
                <w:color w:val="auto"/>
                <w:szCs w:val="21"/>
                <w:highlight w:val="none"/>
              </w:rPr>
              <w:t>.2</w:t>
            </w:r>
          </w:p>
        </w:tc>
        <w:tc>
          <w:tcPr>
            <w:tcW w:w="8708" w:type="dxa"/>
            <w:tcBorders>
              <w:top w:val="single" w:color="auto" w:sz="4" w:space="0"/>
              <w:left w:val="single" w:color="auto" w:sz="4" w:space="0"/>
              <w:right w:val="single" w:color="auto" w:sz="4" w:space="0"/>
            </w:tcBorders>
            <w:vAlign w:val="center"/>
          </w:tcPr>
          <w:p w14:paraId="6AA18228">
            <w:pPr>
              <w:snapToGrid w:val="0"/>
              <w:spacing w:line="400" w:lineRule="exact"/>
              <w:rPr>
                <w:rFonts w:ascii="宋体" w:hAnsi="宋体"/>
                <w:b/>
                <w:color w:val="auto"/>
                <w:szCs w:val="21"/>
                <w:highlight w:val="none"/>
              </w:rPr>
            </w:pPr>
            <w:r>
              <w:rPr>
                <w:rFonts w:hint="eastAsia" w:ascii="宋体" w:hAnsi="宋体" w:cs="宋体"/>
                <w:b/>
                <w:color w:val="auto"/>
                <w:szCs w:val="21"/>
                <w:highlight w:val="none"/>
              </w:rPr>
              <w:t>商务要求</w:t>
            </w:r>
            <w:r>
              <w:rPr>
                <w:rFonts w:hint="eastAsia" w:ascii="宋体" w:hAnsi="宋体"/>
                <w:b/>
                <w:color w:val="auto"/>
                <w:szCs w:val="21"/>
                <w:highlight w:val="none"/>
              </w:rPr>
              <w:t>评审中允许负偏离的条款数为</w:t>
            </w:r>
            <w:r>
              <w:rPr>
                <w:rFonts w:hint="eastAsia" w:ascii="宋体" w:hAnsi="宋体"/>
                <w:b/>
                <w:color w:val="auto"/>
                <w:szCs w:val="21"/>
                <w:highlight w:val="none"/>
                <w:u w:val="single"/>
              </w:rPr>
              <w:t>0</w:t>
            </w:r>
            <w:r>
              <w:rPr>
                <w:rFonts w:hint="eastAsia" w:ascii="宋体" w:hAnsi="宋体"/>
                <w:b/>
                <w:color w:val="auto"/>
                <w:szCs w:val="21"/>
                <w:highlight w:val="none"/>
              </w:rPr>
              <w:t>项。</w:t>
            </w:r>
          </w:p>
          <w:p w14:paraId="64CB6AE4">
            <w:pPr>
              <w:snapToGrid w:val="0"/>
              <w:spacing w:line="400" w:lineRule="exact"/>
              <w:rPr>
                <w:rFonts w:ascii="宋体" w:hAnsi="宋体"/>
                <w:color w:val="auto"/>
                <w:szCs w:val="21"/>
                <w:highlight w:val="none"/>
              </w:rPr>
            </w:pPr>
            <w:r>
              <w:rPr>
                <w:rFonts w:hint="eastAsia" w:ascii="宋体" w:hAnsi="宋体" w:cs="宋体"/>
                <w:b/>
                <w:color w:val="auto"/>
                <w:szCs w:val="21"/>
                <w:highlight w:val="none"/>
              </w:rPr>
              <w:t>技术要求</w:t>
            </w:r>
            <w:r>
              <w:rPr>
                <w:rFonts w:hint="eastAsia" w:ascii="宋体" w:hAnsi="宋体"/>
                <w:b/>
                <w:color w:val="auto"/>
                <w:szCs w:val="21"/>
                <w:highlight w:val="none"/>
              </w:rPr>
              <w:t>评审中允许负偏离的条款数为</w:t>
            </w:r>
            <w:r>
              <w:rPr>
                <w:rFonts w:hint="eastAsia" w:ascii="宋体" w:hAnsi="宋体"/>
                <w:b/>
                <w:color w:val="auto"/>
                <w:szCs w:val="21"/>
                <w:highlight w:val="none"/>
                <w:u w:val="single"/>
                <w:lang w:val="en-US" w:eastAsia="zh-CN"/>
              </w:rPr>
              <w:t xml:space="preserve"> 不限 </w:t>
            </w:r>
            <w:r>
              <w:rPr>
                <w:rFonts w:hint="eastAsia" w:ascii="宋体" w:hAnsi="宋体"/>
                <w:b/>
                <w:color w:val="auto"/>
                <w:szCs w:val="21"/>
                <w:highlight w:val="none"/>
              </w:rPr>
              <w:t>项。</w:t>
            </w:r>
          </w:p>
        </w:tc>
      </w:tr>
      <w:tr w14:paraId="6B700C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895" w:type="dxa"/>
            <w:vMerge w:val="continue"/>
            <w:tcBorders>
              <w:left w:val="single" w:color="auto" w:sz="4" w:space="0"/>
              <w:right w:val="single" w:color="auto" w:sz="4" w:space="0"/>
            </w:tcBorders>
            <w:vAlign w:val="center"/>
          </w:tcPr>
          <w:p w14:paraId="1D72DDD3">
            <w:pPr>
              <w:spacing w:line="400" w:lineRule="exact"/>
              <w:jc w:val="center"/>
              <w:rPr>
                <w:rFonts w:ascii="宋体" w:hAnsi="宋体"/>
                <w:color w:val="auto"/>
                <w:szCs w:val="21"/>
                <w:highlight w:val="none"/>
              </w:rPr>
            </w:pPr>
          </w:p>
        </w:tc>
        <w:tc>
          <w:tcPr>
            <w:tcW w:w="8708" w:type="dxa"/>
            <w:tcBorders>
              <w:top w:val="single" w:color="auto" w:sz="4" w:space="0"/>
              <w:left w:val="single" w:color="auto" w:sz="4" w:space="0"/>
              <w:right w:val="single" w:color="auto" w:sz="4" w:space="0"/>
            </w:tcBorders>
            <w:vAlign w:val="center"/>
          </w:tcPr>
          <w:p w14:paraId="02407694">
            <w:pPr>
              <w:snapToGrid w:val="0"/>
              <w:spacing w:line="400" w:lineRule="exact"/>
              <w:rPr>
                <w:rFonts w:ascii="宋体" w:hAnsi="宋体" w:cs="宋体"/>
                <w:color w:val="auto"/>
                <w:szCs w:val="21"/>
                <w:highlight w:val="none"/>
                <w:u w:val="single"/>
              </w:rPr>
            </w:pPr>
            <w:r>
              <w:rPr>
                <w:rFonts w:ascii="宋体" w:hAnsi="宋体"/>
                <w:color w:val="auto"/>
                <w:highlight w:val="none"/>
              </w:rPr>
              <w:t>中标候选人推荐数量</w:t>
            </w:r>
            <w:r>
              <w:rPr>
                <w:rFonts w:hint="eastAsia" w:ascii="宋体" w:hAnsi="宋体"/>
                <w:color w:val="auto"/>
                <w:highlight w:val="none"/>
              </w:rPr>
              <w:t>：3家</w:t>
            </w:r>
          </w:p>
        </w:tc>
      </w:tr>
      <w:tr w14:paraId="0AFC20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5780F181">
            <w:pPr>
              <w:spacing w:line="400" w:lineRule="exact"/>
              <w:jc w:val="center"/>
              <w:rPr>
                <w:rFonts w:ascii="宋体" w:hAnsi="宋体"/>
                <w:color w:val="auto"/>
                <w:szCs w:val="21"/>
                <w:highlight w:val="none"/>
              </w:rPr>
            </w:pPr>
            <w:r>
              <w:rPr>
                <w:rFonts w:hint="eastAsia" w:ascii="宋体" w:hAnsi="宋体"/>
                <w:color w:val="auto"/>
                <w:szCs w:val="21"/>
                <w:highlight w:val="none"/>
              </w:rPr>
              <w:t>30</w:t>
            </w:r>
            <w:r>
              <w:rPr>
                <w:rFonts w:ascii="宋体" w:hAnsi="宋体"/>
                <w:color w:val="auto"/>
                <w:szCs w:val="21"/>
                <w:highlight w:val="none"/>
              </w:rPr>
              <w:t>.1</w:t>
            </w:r>
          </w:p>
        </w:tc>
        <w:tc>
          <w:tcPr>
            <w:tcW w:w="8708" w:type="dxa"/>
            <w:tcBorders>
              <w:top w:val="single" w:color="auto" w:sz="4" w:space="0"/>
              <w:left w:val="single" w:color="auto" w:sz="4" w:space="0"/>
              <w:bottom w:val="single" w:color="auto" w:sz="4" w:space="0"/>
              <w:right w:val="single" w:color="auto" w:sz="4" w:space="0"/>
            </w:tcBorders>
            <w:vAlign w:val="center"/>
          </w:tcPr>
          <w:p w14:paraId="43AD0C20">
            <w:pPr>
              <w:autoSpaceDE w:val="0"/>
              <w:autoSpaceDN w:val="0"/>
              <w:snapToGrid w:val="0"/>
              <w:spacing w:line="400" w:lineRule="exact"/>
              <w:textAlignment w:val="bottom"/>
              <w:rPr>
                <w:rFonts w:ascii="宋体" w:hAnsi="宋体"/>
                <w:color w:val="auto"/>
                <w:szCs w:val="21"/>
                <w:highlight w:val="none"/>
              </w:rPr>
            </w:pPr>
            <w:r>
              <w:rPr>
                <w:rFonts w:hint="eastAsia" w:ascii="MS Mincho" w:hAnsi="MS Mincho" w:eastAsia="MS Mincho" w:cs="MS Mincho"/>
                <w:color w:val="auto"/>
                <w:szCs w:val="21"/>
                <w:highlight w:val="none"/>
              </w:rPr>
              <w:t>✔</w:t>
            </w:r>
            <w:r>
              <w:rPr>
                <w:rFonts w:hint="eastAsia" w:ascii="宋体" w:hAnsi="宋体" w:cs="宋体"/>
                <w:color w:val="auto"/>
                <w:szCs w:val="21"/>
                <w:highlight w:val="none"/>
              </w:rPr>
              <w:t>采用综合评分法的采购项目，采购人确定中标人时，出现中标候选人并列的情形，采购人按以下的方式确定中标人：按综合评分中技术水平、售后服务、信誉业绩、政策功能得分高低依次确定。</w:t>
            </w:r>
          </w:p>
        </w:tc>
      </w:tr>
      <w:tr w14:paraId="267342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895" w:type="dxa"/>
            <w:tcBorders>
              <w:top w:val="single" w:color="auto" w:sz="4" w:space="0"/>
              <w:left w:val="single" w:color="auto" w:sz="4" w:space="0"/>
              <w:bottom w:val="single" w:color="auto" w:sz="4" w:space="0"/>
              <w:right w:val="single" w:color="auto" w:sz="4" w:space="0"/>
            </w:tcBorders>
            <w:vAlign w:val="center"/>
          </w:tcPr>
          <w:p w14:paraId="2B53CC56">
            <w:pPr>
              <w:spacing w:line="400" w:lineRule="exact"/>
              <w:jc w:val="center"/>
              <w:rPr>
                <w:rFonts w:ascii="宋体" w:hAnsi="宋体"/>
                <w:color w:val="auto"/>
                <w:szCs w:val="21"/>
                <w:highlight w:val="none"/>
              </w:rPr>
            </w:pPr>
            <w:bookmarkStart w:id="73" w:name="_39.1"/>
            <w:bookmarkEnd w:id="73"/>
            <w:r>
              <w:rPr>
                <w:rFonts w:hint="eastAsia" w:ascii="宋体" w:hAnsi="宋体"/>
                <w:color w:val="auto"/>
                <w:szCs w:val="21"/>
                <w:highlight w:val="none"/>
              </w:rPr>
              <w:t>35</w:t>
            </w:r>
            <w:r>
              <w:rPr>
                <w:rFonts w:ascii="宋体" w:hAnsi="宋体"/>
                <w:color w:val="auto"/>
                <w:szCs w:val="21"/>
                <w:highlight w:val="none"/>
              </w:rPr>
              <w:t>.1</w:t>
            </w:r>
          </w:p>
        </w:tc>
        <w:tc>
          <w:tcPr>
            <w:tcW w:w="8708" w:type="dxa"/>
            <w:tcBorders>
              <w:top w:val="single" w:color="auto" w:sz="4" w:space="0"/>
              <w:left w:val="single" w:color="auto" w:sz="4" w:space="0"/>
              <w:bottom w:val="single" w:color="auto" w:sz="4" w:space="0"/>
              <w:right w:val="single" w:color="auto" w:sz="4" w:space="0"/>
            </w:tcBorders>
            <w:vAlign w:val="center"/>
          </w:tcPr>
          <w:p w14:paraId="08FB6AEB">
            <w:pPr>
              <w:spacing w:line="400" w:lineRule="exact"/>
              <w:jc w:val="left"/>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本项目不收取履约保证金。</w:t>
            </w:r>
          </w:p>
          <w:p w14:paraId="7BA83581">
            <w:pPr>
              <w:spacing w:line="400" w:lineRule="exact"/>
              <w:jc w:val="left"/>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本项目收取履约保证金，具体规定如下：</w:t>
            </w:r>
          </w:p>
          <w:p w14:paraId="6E5328D2">
            <w:pPr>
              <w:rPr>
                <w:rFonts w:hint="eastAsia" w:ascii="宋体" w:hAnsi="宋体"/>
                <w:color w:val="auto"/>
                <w:szCs w:val="21"/>
                <w:highlight w:val="none"/>
              </w:rPr>
            </w:pPr>
            <w:r>
              <w:rPr>
                <w:rFonts w:hint="eastAsia" w:ascii="宋体" w:hAnsi="宋体"/>
                <w:color w:val="auto"/>
                <w:szCs w:val="21"/>
                <w:highlight w:val="none"/>
              </w:rPr>
              <w:t>履约保证金金额：合同金额的</w:t>
            </w:r>
            <w:r>
              <w:rPr>
                <w:rFonts w:hint="eastAsia" w:ascii="宋体" w:hAnsi="宋体"/>
                <w:color w:val="auto"/>
                <w:szCs w:val="21"/>
                <w:highlight w:val="none"/>
                <w:lang w:val="en-US" w:eastAsia="zh-CN"/>
              </w:rPr>
              <w:t xml:space="preserve">5 </w:t>
            </w:r>
            <w:r>
              <w:rPr>
                <w:rFonts w:hint="eastAsia" w:ascii="宋体" w:hAnsi="宋体"/>
                <w:color w:val="auto"/>
                <w:szCs w:val="21"/>
                <w:highlight w:val="none"/>
              </w:rPr>
              <w:t>%</w:t>
            </w:r>
            <w:r>
              <w:rPr>
                <w:rFonts w:hint="eastAsia" w:ascii="宋体" w:hAnsi="宋体"/>
                <w:b/>
                <w:bCs/>
                <w:color w:val="auto"/>
                <w:szCs w:val="21"/>
                <w:highlight w:val="none"/>
              </w:rPr>
              <w:t>；</w:t>
            </w:r>
            <w:r>
              <w:rPr>
                <w:rFonts w:hint="eastAsia" w:ascii="宋体" w:hAnsi="宋体" w:cs="宋体"/>
                <w:color w:val="auto"/>
                <w:szCs w:val="21"/>
                <w:highlight w:val="none"/>
              </w:rPr>
              <w:t>（注：履约 保证金数额不得超过政府采购合同金额的5%，对中小企业收取的 履约保证金数额不得超过政府采购合同金额的2%。</w:t>
            </w:r>
            <w:r>
              <w:rPr>
                <w:rFonts w:hint="eastAsia" w:ascii="宋体" w:hAnsi="宋体"/>
                <w:color w:val="auto"/>
                <w:szCs w:val="21"/>
                <w:highlight w:val="none"/>
              </w:rPr>
              <w:t>）</w:t>
            </w:r>
          </w:p>
          <w:p w14:paraId="282167AA">
            <w:pPr>
              <w:spacing w:line="400" w:lineRule="exact"/>
              <w:jc w:val="left"/>
              <w:rPr>
                <w:rFonts w:hint="eastAsia" w:ascii="宋体" w:hAnsi="宋体"/>
                <w:color w:val="auto"/>
                <w:szCs w:val="21"/>
                <w:highlight w:val="none"/>
              </w:rPr>
            </w:pPr>
            <w:r>
              <w:rPr>
                <w:rFonts w:hint="eastAsia" w:ascii="宋体" w:hAnsi="宋体"/>
                <w:color w:val="auto"/>
                <w:szCs w:val="21"/>
                <w:highlight w:val="none"/>
              </w:rPr>
              <w:t>履约保证金递交方式：银行转账、支票、汇票、本票或者金融、担保机构出具的保函等非现金方式。</w:t>
            </w:r>
          </w:p>
          <w:p w14:paraId="36072498">
            <w:pPr>
              <w:spacing w:line="400" w:lineRule="exact"/>
              <w:jc w:val="left"/>
              <w:rPr>
                <w:rFonts w:hint="eastAsia" w:ascii="宋体" w:hAnsi="宋体"/>
                <w:color w:val="auto"/>
                <w:szCs w:val="21"/>
                <w:highlight w:val="none"/>
                <w:u w:val="single"/>
              </w:rPr>
            </w:pPr>
            <w:r>
              <w:rPr>
                <w:rFonts w:hint="eastAsia" w:ascii="宋体" w:hAnsi="宋体"/>
                <w:color w:val="auto"/>
                <w:szCs w:val="21"/>
                <w:highlight w:val="none"/>
              </w:rPr>
              <w:t>履约保证金退付方式、时间及条件：</w:t>
            </w:r>
            <w:r>
              <w:rPr>
                <w:rFonts w:hint="eastAsia" w:ascii="宋体" w:hAnsi="宋体" w:cs="宋体"/>
                <w:b/>
                <w:color w:val="auto"/>
                <w:szCs w:val="21"/>
                <w:highlight w:val="none"/>
                <w:u w:val="single"/>
              </w:rPr>
              <w:t>由中标人向履约保证金收取单位提供《广西壮族自治区政府采购项目合同验收书》（详见桂财采〔2015〕22号），保证金收取单位在投标人履约完成，收到合格材料后5个工作日内办理退还手续（不计利息）</w:t>
            </w:r>
            <w:r>
              <w:rPr>
                <w:rFonts w:hint="eastAsia" w:ascii="宋体" w:hAnsi="宋体"/>
                <w:color w:val="auto"/>
                <w:szCs w:val="21"/>
                <w:highlight w:val="none"/>
              </w:rPr>
              <w:t>。</w:t>
            </w:r>
          </w:p>
          <w:p w14:paraId="015EEABA">
            <w:pPr>
              <w:spacing w:line="400" w:lineRule="exact"/>
              <w:jc w:val="left"/>
              <w:rPr>
                <w:rFonts w:hint="eastAsia" w:ascii="宋体" w:hAnsi="宋体"/>
                <w:color w:val="auto"/>
                <w:szCs w:val="21"/>
                <w:highlight w:val="none"/>
              </w:rPr>
            </w:pPr>
            <w:r>
              <w:rPr>
                <w:rFonts w:hint="eastAsia" w:ascii="宋体" w:hAnsi="宋体"/>
                <w:color w:val="auto"/>
                <w:szCs w:val="21"/>
                <w:highlight w:val="none"/>
              </w:rPr>
              <w:t>履约保证金指定账户：</w:t>
            </w:r>
          </w:p>
          <w:p w14:paraId="41EC1AB1">
            <w:pPr>
              <w:spacing w:line="400" w:lineRule="exact"/>
              <w:jc w:val="left"/>
              <w:rPr>
                <w:rFonts w:ascii="宋体" w:hAnsi="宋体" w:cs="Courier New"/>
                <w:color w:val="auto"/>
                <w:szCs w:val="21"/>
                <w:highlight w:val="none"/>
              </w:rPr>
            </w:pPr>
            <w:r>
              <w:rPr>
                <w:rFonts w:hint="eastAsia" w:ascii="宋体" w:hAnsi="宋体" w:cs="Courier New"/>
                <w:color w:val="auto"/>
                <w:szCs w:val="21"/>
                <w:highlight w:val="none"/>
              </w:rPr>
              <w:t>户名：中标后提供</w:t>
            </w:r>
          </w:p>
          <w:p w14:paraId="042C000A">
            <w:pPr>
              <w:spacing w:line="400" w:lineRule="exact"/>
              <w:jc w:val="left"/>
              <w:rPr>
                <w:rFonts w:hint="eastAsia" w:ascii="宋体" w:hAnsi="宋体" w:cs="Courier New"/>
                <w:color w:val="auto"/>
                <w:szCs w:val="21"/>
                <w:highlight w:val="none"/>
              </w:rPr>
            </w:pPr>
            <w:r>
              <w:rPr>
                <w:rFonts w:hint="eastAsia" w:ascii="宋体" w:hAnsi="宋体" w:cs="Courier New"/>
                <w:color w:val="auto"/>
                <w:szCs w:val="21"/>
                <w:highlight w:val="none"/>
              </w:rPr>
              <w:t>开户银行：中标后提供</w:t>
            </w:r>
          </w:p>
          <w:p w14:paraId="595460F1">
            <w:pPr>
              <w:spacing w:line="400" w:lineRule="exact"/>
              <w:jc w:val="left"/>
              <w:rPr>
                <w:rFonts w:hint="eastAsia" w:ascii="宋体" w:hAnsi="宋体" w:cs="Courier New"/>
                <w:color w:val="auto"/>
                <w:szCs w:val="21"/>
                <w:highlight w:val="none"/>
              </w:rPr>
            </w:pPr>
            <w:r>
              <w:rPr>
                <w:rFonts w:hint="eastAsia" w:ascii="宋体" w:hAnsi="宋体" w:cs="Courier New"/>
                <w:color w:val="auto"/>
                <w:szCs w:val="21"/>
                <w:highlight w:val="none"/>
              </w:rPr>
              <w:t>账号：中标后提供</w:t>
            </w:r>
          </w:p>
          <w:p w14:paraId="758C594F">
            <w:pPr>
              <w:spacing w:line="400" w:lineRule="exact"/>
              <w:jc w:val="left"/>
              <w:rPr>
                <w:rFonts w:hint="eastAsia" w:ascii="宋体" w:hAnsi="宋体"/>
                <w:bCs/>
                <w:color w:val="auto"/>
                <w:szCs w:val="21"/>
                <w:highlight w:val="none"/>
              </w:rPr>
            </w:pPr>
            <w:r>
              <w:rPr>
                <w:rFonts w:ascii="宋体" w:hAnsi="宋体" w:cs="Courier New"/>
                <w:color w:val="auto"/>
                <w:szCs w:val="21"/>
                <w:highlight w:val="none"/>
              </w:rPr>
              <w:t>备注：</w:t>
            </w:r>
            <w:r>
              <w:rPr>
                <w:rFonts w:hint="eastAsia" w:ascii="宋体" w:hAnsi="宋体"/>
                <w:bCs/>
                <w:color w:val="auto"/>
                <w:szCs w:val="21"/>
                <w:highlight w:val="none"/>
              </w:rPr>
              <w:t>1、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14:paraId="6125A197">
            <w:pPr>
              <w:spacing w:line="400" w:lineRule="exact"/>
              <w:jc w:val="left"/>
              <w:rPr>
                <w:rFonts w:hint="eastAsia" w:ascii="宋体" w:hAnsi="宋体"/>
                <w:bCs/>
                <w:color w:val="auto"/>
                <w:szCs w:val="21"/>
                <w:highlight w:val="none"/>
              </w:rPr>
            </w:pPr>
            <w:r>
              <w:rPr>
                <w:rFonts w:hint="eastAsia" w:ascii="宋体" w:hAnsi="宋体"/>
                <w:bCs/>
                <w:color w:val="auto"/>
                <w:szCs w:val="21"/>
                <w:highlight w:val="none"/>
              </w:rPr>
              <w:t>2、采用金融、担保机构出具的保函的，必须为无条件保函，否则不予签订合同。</w:t>
            </w:r>
          </w:p>
          <w:p w14:paraId="25EE9028">
            <w:pPr>
              <w:spacing w:line="400" w:lineRule="exact"/>
              <w:jc w:val="left"/>
              <w:rPr>
                <w:color w:val="auto"/>
                <w:highlight w:val="none"/>
              </w:rPr>
            </w:pPr>
            <w:r>
              <w:rPr>
                <w:rFonts w:hint="eastAsia" w:ascii="宋体" w:hAnsi="宋体"/>
                <w:bCs/>
                <w:color w:val="auto"/>
                <w:szCs w:val="21"/>
                <w:highlight w:val="none"/>
              </w:rPr>
              <w:t>3、投标人为联合体的，由联合体其中一方按规定提交的履约保证金，视为有效履约保证金。</w:t>
            </w:r>
          </w:p>
        </w:tc>
      </w:tr>
      <w:tr w14:paraId="19DA40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440CF448">
            <w:pPr>
              <w:spacing w:line="400" w:lineRule="exact"/>
              <w:jc w:val="center"/>
              <w:rPr>
                <w:rFonts w:ascii="宋体" w:hAnsi="宋体"/>
                <w:color w:val="auto"/>
                <w:szCs w:val="21"/>
                <w:highlight w:val="none"/>
              </w:rPr>
            </w:pPr>
            <w:bookmarkStart w:id="74" w:name="_40.1"/>
            <w:bookmarkEnd w:id="74"/>
            <w:r>
              <w:rPr>
                <w:rFonts w:hint="eastAsia" w:ascii="宋体" w:hAnsi="宋体"/>
                <w:color w:val="auto"/>
                <w:szCs w:val="21"/>
                <w:highlight w:val="none"/>
              </w:rPr>
              <w:t>36.1</w:t>
            </w:r>
          </w:p>
        </w:tc>
        <w:tc>
          <w:tcPr>
            <w:tcW w:w="8708" w:type="dxa"/>
            <w:tcBorders>
              <w:top w:val="single" w:color="auto" w:sz="4" w:space="0"/>
              <w:left w:val="single" w:color="auto" w:sz="4" w:space="0"/>
              <w:bottom w:val="single" w:color="auto" w:sz="4" w:space="0"/>
              <w:right w:val="single" w:color="auto" w:sz="4" w:space="0"/>
            </w:tcBorders>
            <w:vAlign w:val="center"/>
          </w:tcPr>
          <w:p w14:paraId="4390E217">
            <w:pPr>
              <w:autoSpaceDE w:val="0"/>
              <w:autoSpaceDN w:val="0"/>
              <w:snapToGrid w:val="0"/>
              <w:spacing w:line="400" w:lineRule="exact"/>
              <w:textAlignment w:val="bottom"/>
              <w:rPr>
                <w:rFonts w:ascii="宋体" w:hAnsi="宋体"/>
                <w:color w:val="auto"/>
                <w:szCs w:val="21"/>
                <w:highlight w:val="none"/>
              </w:rPr>
            </w:pPr>
            <w:r>
              <w:rPr>
                <w:rFonts w:hint="eastAsia" w:ascii="宋体" w:hAnsi="宋体"/>
                <w:color w:val="auto"/>
                <w:szCs w:val="21"/>
                <w:highlight w:val="none"/>
              </w:rPr>
              <w:t xml:space="preserve">签订合同携带的证明材料： </w:t>
            </w:r>
          </w:p>
          <w:p w14:paraId="571B1031">
            <w:pPr>
              <w:autoSpaceDE w:val="0"/>
              <w:autoSpaceDN w:val="0"/>
              <w:snapToGrid w:val="0"/>
              <w:spacing w:line="400" w:lineRule="exact"/>
              <w:textAlignment w:val="bottom"/>
              <w:rPr>
                <w:rFonts w:ascii="宋体" w:hAnsi="宋体"/>
                <w:color w:val="auto"/>
                <w:szCs w:val="21"/>
                <w:highlight w:val="none"/>
              </w:rPr>
            </w:pPr>
            <w:r>
              <w:rPr>
                <w:rFonts w:hint="eastAsia" w:ascii="宋体" w:hAnsi="宋体"/>
                <w:color w:val="auto"/>
                <w:szCs w:val="21"/>
                <w:highlight w:val="none"/>
              </w:rPr>
              <w:t>1.委托代理人负责签订合同的，须携带授权委托书及委托代理人身份证原件等其他资格证件。</w:t>
            </w:r>
          </w:p>
          <w:p w14:paraId="01191C84">
            <w:pPr>
              <w:autoSpaceDE w:val="0"/>
              <w:autoSpaceDN w:val="0"/>
              <w:snapToGrid w:val="0"/>
              <w:spacing w:line="400" w:lineRule="exact"/>
              <w:textAlignment w:val="bottom"/>
              <w:rPr>
                <w:rFonts w:ascii="宋体" w:hAnsi="宋体"/>
                <w:color w:val="auto"/>
                <w:szCs w:val="21"/>
                <w:highlight w:val="none"/>
              </w:rPr>
            </w:pPr>
            <w:r>
              <w:rPr>
                <w:rFonts w:hint="eastAsia" w:ascii="宋体" w:hAnsi="宋体"/>
                <w:color w:val="auto"/>
                <w:szCs w:val="21"/>
                <w:highlight w:val="none"/>
              </w:rPr>
              <w:t>2.法定代表人负责签订合同的，须携带法定代表人</w:t>
            </w:r>
            <w:r>
              <w:rPr>
                <w:rFonts w:ascii="宋体" w:hAnsi="宋体"/>
                <w:color w:val="auto"/>
                <w:szCs w:val="21"/>
                <w:highlight w:val="none"/>
              </w:rPr>
              <w:t>身份证明原件</w:t>
            </w:r>
            <w:r>
              <w:rPr>
                <w:rFonts w:hint="eastAsia" w:ascii="宋体" w:hAnsi="宋体"/>
                <w:color w:val="auto"/>
                <w:szCs w:val="21"/>
                <w:highlight w:val="none"/>
              </w:rPr>
              <w:t>及</w:t>
            </w:r>
            <w:r>
              <w:rPr>
                <w:rFonts w:ascii="宋体" w:hAnsi="宋体"/>
                <w:color w:val="auto"/>
                <w:szCs w:val="21"/>
                <w:highlight w:val="none"/>
              </w:rPr>
              <w:t>身份证原件</w:t>
            </w:r>
            <w:r>
              <w:rPr>
                <w:rFonts w:hint="eastAsia" w:ascii="宋体" w:hAnsi="宋体"/>
                <w:color w:val="auto"/>
                <w:szCs w:val="21"/>
                <w:highlight w:val="none"/>
              </w:rPr>
              <w:t>等其他证明材料。</w:t>
            </w:r>
          </w:p>
        </w:tc>
      </w:tr>
      <w:tr w14:paraId="409D81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4911304A">
            <w:pPr>
              <w:spacing w:line="400" w:lineRule="exact"/>
              <w:jc w:val="center"/>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8.2</w:t>
            </w:r>
          </w:p>
        </w:tc>
        <w:tc>
          <w:tcPr>
            <w:tcW w:w="8708" w:type="dxa"/>
            <w:tcBorders>
              <w:top w:val="single" w:color="auto" w:sz="4" w:space="0"/>
              <w:left w:val="single" w:color="auto" w:sz="4" w:space="0"/>
              <w:bottom w:val="single" w:color="auto" w:sz="4" w:space="0"/>
              <w:right w:val="single" w:color="auto" w:sz="4" w:space="0"/>
            </w:tcBorders>
            <w:vAlign w:val="center"/>
          </w:tcPr>
          <w:p w14:paraId="318503FB">
            <w:pPr>
              <w:snapToGrid w:val="0"/>
              <w:spacing w:line="400" w:lineRule="exact"/>
              <w:rPr>
                <w:rFonts w:ascii="宋体" w:hAnsi="宋体"/>
                <w:color w:val="auto"/>
                <w:szCs w:val="21"/>
                <w:highlight w:val="none"/>
              </w:rPr>
            </w:pPr>
            <w:r>
              <w:rPr>
                <w:rFonts w:hint="eastAsia" w:ascii="宋体" w:hAnsi="宋体"/>
                <w:color w:val="auto"/>
                <w:szCs w:val="21"/>
                <w:highlight w:val="none"/>
              </w:rPr>
              <w:t>接收质疑函方式：以纸质书面形式</w:t>
            </w:r>
          </w:p>
          <w:p w14:paraId="110850E6">
            <w:pPr>
              <w:snapToGrid w:val="0"/>
              <w:spacing w:line="400" w:lineRule="exact"/>
              <w:rPr>
                <w:rFonts w:ascii="宋体" w:hAnsi="宋体"/>
                <w:color w:val="auto"/>
                <w:szCs w:val="21"/>
                <w:highlight w:val="none"/>
              </w:rPr>
            </w:pPr>
            <w:r>
              <w:rPr>
                <w:rFonts w:hint="eastAsia" w:ascii="宋体" w:hAnsi="宋体"/>
                <w:color w:val="auto"/>
                <w:szCs w:val="21"/>
                <w:highlight w:val="none"/>
              </w:rPr>
              <w:t>质疑联系部门及联系方式：广西科文招标有限公司，质疑联系人：</w:t>
            </w:r>
            <w:r>
              <w:rPr>
                <w:rFonts w:hint="eastAsia" w:ascii="宋体" w:hAnsi="宋体"/>
                <w:color w:val="auto"/>
                <w:szCs w:val="21"/>
                <w:highlight w:val="none"/>
                <w:lang w:eastAsia="zh-CN"/>
              </w:rPr>
              <w:t>何静</w:t>
            </w:r>
            <w:r>
              <w:rPr>
                <w:rFonts w:hint="eastAsia" w:ascii="宋体" w:hAnsi="宋体"/>
                <w:color w:val="auto"/>
                <w:szCs w:val="21"/>
                <w:highlight w:val="none"/>
              </w:rPr>
              <w:t>，联系电话：0771-</w:t>
            </w:r>
            <w:r>
              <w:rPr>
                <w:rFonts w:hint="eastAsia" w:ascii="宋体" w:hAnsi="宋体"/>
                <w:color w:val="auto"/>
                <w:szCs w:val="21"/>
                <w:highlight w:val="none"/>
                <w:lang w:eastAsia="zh-CN"/>
              </w:rPr>
              <w:t>2023902</w:t>
            </w:r>
            <w:r>
              <w:rPr>
                <w:rFonts w:hint="eastAsia" w:ascii="宋体" w:hAnsi="宋体"/>
                <w:color w:val="auto"/>
                <w:szCs w:val="21"/>
                <w:highlight w:val="none"/>
              </w:rPr>
              <w:t>，</w:t>
            </w:r>
            <w:r>
              <w:rPr>
                <w:rFonts w:ascii="宋体" w:hAnsi="宋体"/>
                <w:color w:val="auto"/>
                <w:szCs w:val="21"/>
                <w:highlight w:val="none"/>
              </w:rPr>
              <w:t>通讯地址</w:t>
            </w:r>
            <w:r>
              <w:rPr>
                <w:rFonts w:hint="eastAsia" w:ascii="宋体" w:hAnsi="宋体" w:cs="Helvetica"/>
                <w:color w:val="auto"/>
                <w:szCs w:val="21"/>
                <w:highlight w:val="none"/>
              </w:rPr>
              <w:t>：</w:t>
            </w:r>
            <w:r>
              <w:rPr>
                <w:rFonts w:hint="eastAsia" w:ascii="宋体" w:hAnsi="宋体"/>
                <w:color w:val="auto"/>
                <w:szCs w:val="21"/>
                <w:highlight w:val="none"/>
              </w:rPr>
              <w:t>广西南宁市民族大道141号中鼎万象东方D区五层</w:t>
            </w:r>
          </w:p>
          <w:p w14:paraId="0B879752">
            <w:pPr>
              <w:autoSpaceDE w:val="0"/>
              <w:autoSpaceDN w:val="0"/>
              <w:snapToGrid w:val="0"/>
              <w:spacing w:line="400" w:lineRule="exact"/>
              <w:textAlignment w:val="bottom"/>
              <w:rPr>
                <w:rFonts w:ascii="宋体" w:hAnsi="宋体"/>
                <w:color w:val="auto"/>
                <w:szCs w:val="21"/>
                <w:highlight w:val="none"/>
              </w:rPr>
            </w:pPr>
            <w:r>
              <w:rPr>
                <w:rFonts w:hint="eastAsia" w:ascii="宋体" w:hAnsi="宋体"/>
                <w:color w:val="auto"/>
                <w:highlight w:val="none"/>
              </w:rPr>
              <w:t>现场提交质疑办理业务时间：工作日，</w:t>
            </w:r>
            <w:r>
              <w:rPr>
                <w:rFonts w:hint="eastAsia" w:ascii="宋体" w:hAnsi="宋体" w:cs="Arial"/>
                <w:color w:val="auto"/>
                <w:szCs w:val="21"/>
                <w:highlight w:val="none"/>
              </w:rPr>
              <w:t>上午8:00-12:00；下午1</w:t>
            </w:r>
            <w:r>
              <w:rPr>
                <w:rFonts w:hint="eastAsia" w:ascii="宋体" w:hAnsi="宋体" w:cs="Arial"/>
                <w:color w:val="auto"/>
                <w:highlight w:val="none"/>
              </w:rPr>
              <w:t>5</w:t>
            </w:r>
            <w:r>
              <w:rPr>
                <w:rFonts w:hint="eastAsia" w:ascii="宋体" w:hAnsi="宋体" w:cs="Arial"/>
                <w:color w:val="auto"/>
                <w:szCs w:val="21"/>
                <w:highlight w:val="none"/>
              </w:rPr>
              <w:t>:</w:t>
            </w:r>
            <w:r>
              <w:rPr>
                <w:rFonts w:hint="eastAsia" w:ascii="宋体" w:hAnsi="宋体" w:cs="Arial"/>
                <w:color w:val="auto"/>
                <w:highlight w:val="none"/>
              </w:rPr>
              <w:t>00</w:t>
            </w:r>
            <w:r>
              <w:rPr>
                <w:rFonts w:hint="eastAsia" w:ascii="宋体" w:hAnsi="宋体" w:cs="Arial"/>
                <w:color w:val="auto"/>
                <w:szCs w:val="21"/>
                <w:highlight w:val="none"/>
              </w:rPr>
              <w:t>-1</w:t>
            </w:r>
            <w:r>
              <w:rPr>
                <w:rFonts w:hint="eastAsia" w:ascii="宋体" w:hAnsi="宋体" w:cs="Arial"/>
                <w:color w:val="auto"/>
                <w:highlight w:val="none"/>
              </w:rPr>
              <w:t>8</w:t>
            </w:r>
            <w:r>
              <w:rPr>
                <w:rFonts w:hint="eastAsia" w:ascii="宋体" w:hAnsi="宋体" w:cs="Arial"/>
                <w:color w:val="auto"/>
                <w:szCs w:val="21"/>
                <w:highlight w:val="none"/>
              </w:rPr>
              <w:t>:</w:t>
            </w:r>
            <w:r>
              <w:rPr>
                <w:rFonts w:hint="eastAsia" w:ascii="宋体" w:hAnsi="宋体" w:cs="Arial"/>
                <w:color w:val="auto"/>
                <w:highlight w:val="none"/>
              </w:rPr>
              <w:t>0</w:t>
            </w:r>
            <w:r>
              <w:rPr>
                <w:rFonts w:hint="eastAsia" w:ascii="宋体" w:hAnsi="宋体" w:cs="Arial"/>
                <w:color w:val="auto"/>
                <w:szCs w:val="21"/>
                <w:highlight w:val="none"/>
              </w:rPr>
              <w:t>0（北京时间）</w:t>
            </w:r>
          </w:p>
        </w:tc>
      </w:tr>
      <w:tr w14:paraId="141D80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22E1A929">
            <w:pPr>
              <w:spacing w:line="400" w:lineRule="exact"/>
              <w:jc w:val="center"/>
              <w:rPr>
                <w:rFonts w:ascii="宋体" w:hAnsi="宋体"/>
                <w:color w:val="auto"/>
                <w:szCs w:val="21"/>
                <w:highlight w:val="none"/>
              </w:rPr>
            </w:pPr>
            <w:bookmarkStart w:id="75" w:name="_42"/>
            <w:bookmarkEnd w:id="75"/>
            <w:bookmarkStart w:id="76" w:name="_41"/>
            <w:bookmarkEnd w:id="76"/>
            <w:bookmarkStart w:id="77" w:name="_Hlt17709148"/>
            <w:r>
              <w:rPr>
                <w:rFonts w:hint="eastAsia" w:ascii="宋体" w:hAnsi="宋体"/>
                <w:color w:val="auto"/>
                <w:szCs w:val="21"/>
                <w:highlight w:val="none"/>
              </w:rPr>
              <w:t>3</w:t>
            </w:r>
            <w:bookmarkEnd w:id="77"/>
            <w:r>
              <w:rPr>
                <w:rFonts w:ascii="宋体" w:hAnsi="宋体"/>
                <w:color w:val="auto"/>
                <w:szCs w:val="21"/>
                <w:highlight w:val="none"/>
              </w:rPr>
              <w:t>9.1</w:t>
            </w:r>
          </w:p>
        </w:tc>
        <w:tc>
          <w:tcPr>
            <w:tcW w:w="8708" w:type="dxa"/>
            <w:tcBorders>
              <w:top w:val="single" w:color="auto" w:sz="4" w:space="0"/>
              <w:left w:val="single" w:color="auto" w:sz="4" w:space="0"/>
              <w:bottom w:val="single" w:color="auto" w:sz="4" w:space="0"/>
              <w:right w:val="single" w:color="auto" w:sz="4" w:space="0"/>
            </w:tcBorders>
            <w:vAlign w:val="center"/>
          </w:tcPr>
          <w:p w14:paraId="6E5EE720">
            <w:pPr>
              <w:pStyle w:val="25"/>
              <w:snapToGrid w:val="0"/>
              <w:spacing w:line="400" w:lineRule="exact"/>
              <w:rPr>
                <w:rFonts w:hAnsi="宋体" w:cs="宋体"/>
                <w:color w:val="auto"/>
                <w:sz w:val="21"/>
                <w:szCs w:val="21"/>
                <w:highlight w:val="none"/>
              </w:rPr>
            </w:pPr>
            <w:r>
              <w:rPr>
                <w:rFonts w:hint="eastAsia" w:hAnsi="宋体" w:cs="宋体"/>
                <w:color w:val="auto"/>
                <w:sz w:val="21"/>
                <w:szCs w:val="21"/>
                <w:highlight w:val="none"/>
              </w:rPr>
              <w:t>1.采购代理服务费支付方式：</w:t>
            </w:r>
            <w:r>
              <w:rPr>
                <w:rFonts w:hint="eastAsia" w:hAnsi="宋体"/>
                <w:color w:val="auto"/>
                <w:sz w:val="21"/>
                <w:szCs w:val="21"/>
                <w:highlight w:val="none"/>
              </w:rPr>
              <w:t>本项目的招标代理服务费按以下收费标准向中标人收取，领取中标通知书前，中标人应向采购代理机构一次付清招标代理服务费，否则采购代理机构有权不予以办理。</w:t>
            </w:r>
          </w:p>
          <w:p w14:paraId="5B159B7C">
            <w:pPr>
              <w:pStyle w:val="25"/>
              <w:snapToGrid w:val="0"/>
              <w:spacing w:line="400" w:lineRule="exact"/>
              <w:rPr>
                <w:rFonts w:hAnsi="宋体" w:cs="宋体"/>
                <w:color w:val="auto"/>
                <w:sz w:val="21"/>
                <w:szCs w:val="21"/>
                <w:highlight w:val="none"/>
              </w:rPr>
            </w:pPr>
            <w:r>
              <w:rPr>
                <w:rFonts w:hint="eastAsia" w:hAnsi="宋体" w:cs="宋体"/>
                <w:color w:val="auto"/>
                <w:sz w:val="21"/>
                <w:szCs w:val="21"/>
                <w:highlight w:val="none"/>
              </w:rPr>
              <w:t>2.采购代理服务费收取标准：</w:t>
            </w:r>
          </w:p>
          <w:p w14:paraId="5810B3B6">
            <w:pPr>
              <w:pStyle w:val="25"/>
              <w:snapToGrid w:val="0"/>
              <w:spacing w:line="400" w:lineRule="exact"/>
              <w:rPr>
                <w:rFonts w:hAnsi="宋体" w:cs="宋体"/>
                <w:color w:val="auto"/>
                <w:sz w:val="21"/>
                <w:szCs w:val="21"/>
                <w:highlight w:val="none"/>
              </w:rPr>
            </w:pPr>
            <w:r>
              <w:rPr>
                <w:rFonts w:hint="eastAsia" w:hAnsi="宋体" w:cs="宋体"/>
                <w:color w:val="auto"/>
                <w:sz w:val="21"/>
                <w:szCs w:val="21"/>
                <w:highlight w:val="none"/>
              </w:rPr>
              <w:t>以分标中标金额为计费额，按本须知正文第</w:t>
            </w:r>
            <w:r>
              <w:rPr>
                <w:rFonts w:hAnsi="宋体" w:cs="宋体"/>
                <w:color w:val="auto"/>
                <w:sz w:val="21"/>
                <w:szCs w:val="21"/>
                <w:highlight w:val="none"/>
              </w:rPr>
              <w:t>39</w:t>
            </w:r>
            <w:r>
              <w:rPr>
                <w:rFonts w:hint="eastAsia" w:hAnsi="宋体" w:cs="宋体"/>
                <w:color w:val="auto"/>
                <w:sz w:val="21"/>
                <w:szCs w:val="21"/>
                <w:highlight w:val="none"/>
              </w:rPr>
              <w:t>.</w:t>
            </w:r>
            <w:r>
              <w:rPr>
                <w:rFonts w:hAnsi="宋体" w:cs="宋体"/>
                <w:color w:val="auto"/>
                <w:sz w:val="21"/>
                <w:szCs w:val="21"/>
                <w:highlight w:val="none"/>
              </w:rPr>
              <w:t>2</w:t>
            </w:r>
            <w:r>
              <w:rPr>
                <w:rFonts w:hint="eastAsia" w:hAnsi="宋体" w:cs="宋体"/>
                <w:color w:val="auto"/>
                <w:sz w:val="21"/>
                <w:szCs w:val="21"/>
                <w:highlight w:val="none"/>
              </w:rPr>
              <w:t>条规定的收费计算标准（货物招标）采用差额定率累进法计算出收费基准价格，采购代理服务费收费以</w:t>
            </w:r>
            <w:r>
              <w:rPr>
                <w:rFonts w:hint="eastAsia" w:hAnsi="宋体" w:cs="宋体"/>
                <w:color w:val="auto"/>
                <w:sz w:val="21"/>
                <w:szCs w:val="21"/>
                <w:highlight w:val="none"/>
                <w:u w:val="single"/>
              </w:rPr>
              <w:t>收费基准价格</w:t>
            </w:r>
            <w:r>
              <w:rPr>
                <w:rFonts w:hint="eastAsia" w:hAnsi="宋体" w:cs="宋体"/>
                <w:color w:val="auto"/>
                <w:sz w:val="21"/>
                <w:szCs w:val="21"/>
                <w:highlight w:val="none"/>
                <w:u w:val="single"/>
                <w:lang w:val="en-US" w:eastAsia="zh-CN"/>
              </w:rPr>
              <w:t>下浮20%</w:t>
            </w:r>
            <w:r>
              <w:rPr>
                <w:rFonts w:hint="eastAsia" w:hAnsi="宋体" w:cs="宋体"/>
                <w:color w:val="auto"/>
                <w:sz w:val="21"/>
                <w:szCs w:val="21"/>
                <w:highlight w:val="none"/>
              </w:rPr>
              <w:t>收取。</w:t>
            </w:r>
          </w:p>
          <w:p w14:paraId="6F18F7EE">
            <w:pPr>
              <w:pStyle w:val="25"/>
              <w:snapToGrid w:val="0"/>
              <w:spacing w:line="400" w:lineRule="exact"/>
              <w:rPr>
                <w:rFonts w:hint="eastAsia" w:hAnsi="宋体"/>
                <w:color w:val="auto"/>
                <w:kern w:val="2"/>
                <w:sz w:val="21"/>
                <w:szCs w:val="21"/>
                <w:highlight w:val="none"/>
              </w:rPr>
            </w:pPr>
            <w:r>
              <w:rPr>
                <w:rFonts w:hint="eastAsia" w:hAnsi="宋体" w:cs="宋体"/>
                <w:color w:val="auto"/>
                <w:sz w:val="21"/>
                <w:szCs w:val="21"/>
                <w:highlight w:val="none"/>
              </w:rPr>
              <w:t>3.</w:t>
            </w:r>
            <w:r>
              <w:rPr>
                <w:rFonts w:hint="eastAsia" w:hAnsi="宋体"/>
                <w:color w:val="auto"/>
                <w:sz w:val="21"/>
                <w:szCs w:val="21"/>
                <w:highlight w:val="none"/>
              </w:rPr>
              <w:t xml:space="preserve"> </w:t>
            </w:r>
            <w:r>
              <w:rPr>
                <w:rFonts w:hint="eastAsia" w:hAnsi="宋体"/>
                <w:color w:val="auto"/>
                <w:kern w:val="2"/>
                <w:sz w:val="21"/>
                <w:szCs w:val="21"/>
                <w:highlight w:val="none"/>
              </w:rPr>
              <w:t>账户名称：广西科文招标有限公司南宁咨询三分公司</w:t>
            </w:r>
          </w:p>
          <w:p w14:paraId="17412CC3">
            <w:pPr>
              <w:pStyle w:val="25"/>
              <w:snapToGrid w:val="0"/>
              <w:spacing w:line="400" w:lineRule="exact"/>
              <w:rPr>
                <w:rFonts w:hint="eastAsia" w:hAnsi="宋体"/>
                <w:color w:val="auto"/>
                <w:kern w:val="2"/>
                <w:sz w:val="21"/>
                <w:szCs w:val="21"/>
                <w:highlight w:val="none"/>
              </w:rPr>
            </w:pPr>
            <w:r>
              <w:rPr>
                <w:rFonts w:hint="eastAsia" w:hAnsi="宋体"/>
                <w:color w:val="auto"/>
                <w:kern w:val="2"/>
                <w:sz w:val="21"/>
                <w:szCs w:val="21"/>
                <w:highlight w:val="none"/>
              </w:rPr>
              <w:t>开户银行：广西北部湾银行股份有限公司南宁市云景支行</w:t>
            </w:r>
          </w:p>
          <w:p w14:paraId="76887785">
            <w:pPr>
              <w:pStyle w:val="25"/>
              <w:snapToGrid w:val="0"/>
              <w:spacing w:line="400" w:lineRule="exact"/>
              <w:rPr>
                <w:rFonts w:hAnsi="宋体" w:cs="宋体"/>
                <w:color w:val="auto"/>
                <w:sz w:val="21"/>
                <w:highlight w:val="none"/>
              </w:rPr>
            </w:pPr>
            <w:r>
              <w:rPr>
                <w:rFonts w:hint="eastAsia" w:hAnsi="宋体"/>
                <w:color w:val="auto"/>
                <w:kern w:val="2"/>
                <w:sz w:val="21"/>
                <w:szCs w:val="21"/>
                <w:highlight w:val="none"/>
              </w:rPr>
              <w:t>银行账号： 805030313600001</w:t>
            </w:r>
          </w:p>
        </w:tc>
      </w:tr>
      <w:tr w14:paraId="723D93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2281FB57">
            <w:pPr>
              <w:snapToGrid w:val="0"/>
              <w:spacing w:line="400" w:lineRule="exact"/>
              <w:jc w:val="center"/>
              <w:rPr>
                <w:rFonts w:ascii="宋体" w:hAnsi="宋体"/>
                <w:color w:val="auto"/>
                <w:szCs w:val="21"/>
                <w:highlight w:val="none"/>
              </w:rPr>
            </w:pPr>
            <w:r>
              <w:rPr>
                <w:rFonts w:ascii="宋体" w:hAnsi="宋体"/>
                <w:color w:val="auto"/>
                <w:szCs w:val="21"/>
                <w:highlight w:val="none"/>
              </w:rPr>
              <w:t>40.1</w:t>
            </w:r>
          </w:p>
        </w:tc>
        <w:tc>
          <w:tcPr>
            <w:tcW w:w="8708" w:type="dxa"/>
            <w:tcBorders>
              <w:top w:val="single" w:color="auto" w:sz="4" w:space="0"/>
              <w:left w:val="single" w:color="auto" w:sz="4" w:space="0"/>
              <w:bottom w:val="single" w:color="auto" w:sz="4" w:space="0"/>
              <w:right w:val="single" w:color="auto" w:sz="4" w:space="0"/>
            </w:tcBorders>
            <w:vAlign w:val="center"/>
          </w:tcPr>
          <w:p w14:paraId="19EEAB30">
            <w:pPr>
              <w:snapToGrid w:val="0"/>
              <w:spacing w:line="400" w:lineRule="exact"/>
              <w:rPr>
                <w:rFonts w:ascii="宋体" w:hAnsi="宋体"/>
                <w:color w:val="auto"/>
                <w:szCs w:val="21"/>
                <w:highlight w:val="none"/>
              </w:rPr>
            </w:pPr>
            <w:r>
              <w:rPr>
                <w:rFonts w:hint="eastAsia" w:ascii="宋体" w:hAnsi="宋体"/>
                <w:color w:val="auto"/>
                <w:szCs w:val="21"/>
                <w:highlight w:val="none"/>
              </w:rPr>
              <w:t>解释：</w:t>
            </w:r>
            <w:r>
              <w:rPr>
                <w:rFonts w:ascii="宋体" w:hAnsi="宋体"/>
                <w:color w:val="auto"/>
                <w:szCs w:val="21"/>
                <w:highlight w:val="none"/>
              </w:rPr>
              <w:t>构成本招标文件的各个组成文件应互为解释，互为说明；除招标文件中有特别规定外，仅适用于招标投标阶段的规定，按</w:t>
            </w:r>
            <w:r>
              <w:rPr>
                <w:rFonts w:hint="eastAsia" w:ascii="宋体" w:hAnsi="宋体"/>
                <w:color w:val="auto"/>
                <w:szCs w:val="21"/>
                <w:highlight w:val="none"/>
              </w:rPr>
              <w:t>更正公告（澄清公告）</w:t>
            </w:r>
            <w:r>
              <w:rPr>
                <w:rFonts w:ascii="宋体" w:hAnsi="宋体"/>
                <w:color w:val="auto"/>
                <w:szCs w:val="21"/>
                <w:highlight w:val="none"/>
              </w:rPr>
              <w:t>、招标公告、</w:t>
            </w:r>
            <w:r>
              <w:rPr>
                <w:rFonts w:hint="eastAsia" w:ascii="宋体" w:hAnsi="宋体"/>
                <w:color w:val="auto"/>
                <w:szCs w:val="21"/>
                <w:highlight w:val="none"/>
              </w:rPr>
              <w:t>采购需求、</w:t>
            </w:r>
            <w:r>
              <w:rPr>
                <w:rFonts w:ascii="宋体" w:hAnsi="宋体"/>
                <w:color w:val="auto"/>
                <w:szCs w:val="21"/>
                <w:highlight w:val="none"/>
              </w:rPr>
              <w:t>投标人须知、</w:t>
            </w:r>
            <w:r>
              <w:rPr>
                <w:rFonts w:hint="eastAsia" w:ascii="宋体" w:hAnsi="宋体"/>
                <w:color w:val="auto"/>
                <w:szCs w:val="21"/>
                <w:highlight w:val="none"/>
              </w:rPr>
              <w:t>评标方法及评标标准</w:t>
            </w:r>
            <w:r>
              <w:rPr>
                <w:rFonts w:ascii="宋体" w:hAnsi="宋体"/>
                <w:color w:val="auto"/>
                <w:szCs w:val="21"/>
                <w:highlight w:val="none"/>
              </w:rPr>
              <w:t>、</w:t>
            </w:r>
            <w:r>
              <w:rPr>
                <w:rFonts w:hint="eastAsia" w:ascii="宋体" w:hAnsi="宋体"/>
                <w:color w:val="auto"/>
                <w:szCs w:val="21"/>
                <w:highlight w:val="none"/>
              </w:rPr>
              <w:t>拟签订的合同文本、</w:t>
            </w:r>
            <w:r>
              <w:rPr>
                <w:rFonts w:ascii="宋体" w:hAnsi="宋体"/>
                <w:color w:val="auto"/>
                <w:szCs w:val="21"/>
                <w:highlight w:val="none"/>
              </w:rPr>
              <w:t>投标文件格式的先后顺序解释；同一组成文件中就同一事项的规定或者约定不一致的，以编排顺序在后者为准；同一组成文件不同版本之间有不一致的，以形成时间在后者为准；</w:t>
            </w:r>
            <w:r>
              <w:rPr>
                <w:rFonts w:hint="eastAsia" w:ascii="宋体" w:hAnsi="宋体"/>
                <w:color w:val="auto"/>
                <w:szCs w:val="21"/>
                <w:highlight w:val="none"/>
              </w:rPr>
              <w:t>更正公告（澄清公告）</w:t>
            </w:r>
            <w:r>
              <w:rPr>
                <w:rFonts w:ascii="宋体" w:hAnsi="宋体"/>
                <w:color w:val="auto"/>
                <w:szCs w:val="21"/>
                <w:highlight w:val="none"/>
              </w:rPr>
              <w:t>与同步更新的招标文件不一致时以</w:t>
            </w:r>
            <w:r>
              <w:rPr>
                <w:rFonts w:hint="eastAsia" w:ascii="宋体" w:hAnsi="宋体"/>
                <w:color w:val="auto"/>
                <w:szCs w:val="21"/>
                <w:highlight w:val="none"/>
              </w:rPr>
              <w:t>更正公告（澄清公告）</w:t>
            </w:r>
            <w:r>
              <w:rPr>
                <w:rFonts w:ascii="宋体" w:hAnsi="宋体"/>
                <w:color w:val="auto"/>
                <w:szCs w:val="21"/>
                <w:highlight w:val="none"/>
              </w:rPr>
              <w:t>为准。按本款前述规定仍不能形成结论的，由</w:t>
            </w:r>
            <w:r>
              <w:rPr>
                <w:rFonts w:hint="eastAsia" w:ascii="宋体" w:hAnsi="宋体"/>
                <w:color w:val="auto"/>
                <w:szCs w:val="21"/>
                <w:highlight w:val="none"/>
              </w:rPr>
              <w:t>采购</w:t>
            </w:r>
            <w:r>
              <w:rPr>
                <w:rFonts w:ascii="宋体" w:hAnsi="宋体"/>
                <w:color w:val="auto"/>
                <w:szCs w:val="21"/>
                <w:highlight w:val="none"/>
              </w:rPr>
              <w:t>人</w:t>
            </w:r>
            <w:r>
              <w:rPr>
                <w:rFonts w:hint="eastAsia" w:ascii="宋体" w:hAnsi="宋体"/>
                <w:color w:val="auto"/>
                <w:szCs w:val="21"/>
                <w:highlight w:val="none"/>
              </w:rPr>
              <w:t>或者采购代理机构</w:t>
            </w:r>
            <w:r>
              <w:rPr>
                <w:rFonts w:ascii="宋体" w:hAnsi="宋体"/>
                <w:color w:val="auto"/>
                <w:szCs w:val="21"/>
                <w:highlight w:val="none"/>
              </w:rPr>
              <w:t>负责解释。</w:t>
            </w:r>
          </w:p>
        </w:tc>
      </w:tr>
      <w:tr w14:paraId="272D08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vAlign w:val="center"/>
          </w:tcPr>
          <w:p w14:paraId="76D033E7">
            <w:pPr>
              <w:snapToGrid w:val="0"/>
              <w:spacing w:line="400" w:lineRule="exact"/>
              <w:jc w:val="center"/>
              <w:rPr>
                <w:rFonts w:ascii="宋体" w:hAnsi="宋体"/>
                <w:color w:val="auto"/>
                <w:szCs w:val="21"/>
                <w:highlight w:val="none"/>
              </w:rPr>
            </w:pPr>
            <w:r>
              <w:rPr>
                <w:rFonts w:ascii="宋体" w:hAnsi="宋体"/>
                <w:color w:val="auto"/>
                <w:szCs w:val="21"/>
                <w:highlight w:val="none"/>
              </w:rPr>
              <w:t>40.2</w:t>
            </w:r>
          </w:p>
        </w:tc>
        <w:tc>
          <w:tcPr>
            <w:tcW w:w="8708" w:type="dxa"/>
            <w:tcBorders>
              <w:top w:val="single" w:color="auto" w:sz="4" w:space="0"/>
              <w:left w:val="single" w:color="auto" w:sz="4" w:space="0"/>
              <w:bottom w:val="single" w:color="auto" w:sz="4" w:space="0"/>
              <w:right w:val="single" w:color="auto" w:sz="4" w:space="0"/>
            </w:tcBorders>
            <w:vAlign w:val="center"/>
          </w:tcPr>
          <w:p w14:paraId="100BC689">
            <w:pPr>
              <w:pStyle w:val="25"/>
              <w:snapToGrid w:val="0"/>
              <w:spacing w:line="400" w:lineRule="exact"/>
              <w:rPr>
                <w:rFonts w:hAnsi="宋体" w:cs="宋体"/>
                <w:bCs/>
                <w:color w:val="auto"/>
                <w:sz w:val="21"/>
                <w:highlight w:val="none"/>
              </w:rPr>
            </w:pPr>
            <w:r>
              <w:rPr>
                <w:rFonts w:hint="eastAsia" w:hAnsi="宋体" w:cs="宋体"/>
                <w:bCs/>
                <w:color w:val="auto"/>
                <w:sz w:val="21"/>
                <w:highlight w:val="none"/>
              </w:rPr>
              <w:t>1.本招标文件中描述投标人的“公章”是指根据我国对公章的管理规定，用投标人法定主体行为名称制作的印章</w:t>
            </w:r>
            <w:r>
              <w:rPr>
                <w:rFonts w:hint="eastAsia" w:hAnsi="宋体" w:cs="宋体"/>
                <w:color w:val="auto"/>
                <w:sz w:val="21"/>
                <w:highlight w:val="none"/>
              </w:rPr>
              <w:t>（含电子印章）</w:t>
            </w:r>
            <w:r>
              <w:rPr>
                <w:rFonts w:hint="eastAsia" w:hAnsi="宋体" w:cs="宋体"/>
                <w:bCs/>
                <w:color w:val="auto"/>
                <w:sz w:val="21"/>
                <w:highlight w:val="none"/>
              </w:rPr>
              <w:t>，除本招标文件有特殊规定外，投标人的财务章、部门章、分公司章、工会章、合同章、投标专用章、业务专用章及银行的转账章、现金收讫章、现金付讫章等其他形式印章均不能代替公章。</w:t>
            </w:r>
          </w:p>
          <w:p w14:paraId="23E93152">
            <w:pPr>
              <w:pStyle w:val="25"/>
              <w:snapToGrid w:val="0"/>
              <w:spacing w:line="400" w:lineRule="exact"/>
              <w:rPr>
                <w:rFonts w:hAnsi="宋体" w:cs="宋体"/>
                <w:bCs/>
                <w:color w:val="auto"/>
                <w:sz w:val="21"/>
                <w:highlight w:val="none"/>
              </w:rPr>
            </w:pPr>
            <w:r>
              <w:rPr>
                <w:rFonts w:hint="eastAsia" w:hAnsi="宋体" w:cs="宋体"/>
                <w:bCs/>
                <w:color w:val="auto"/>
                <w:sz w:val="21"/>
                <w:highlight w:val="none"/>
              </w:rPr>
              <w:t>2.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4356A9DB">
            <w:pPr>
              <w:pStyle w:val="25"/>
              <w:snapToGrid w:val="0"/>
              <w:spacing w:line="400" w:lineRule="exact"/>
              <w:rPr>
                <w:rFonts w:hAnsi="宋体" w:cs="宋体"/>
                <w:bCs/>
                <w:color w:val="auto"/>
                <w:sz w:val="21"/>
                <w:highlight w:val="none"/>
              </w:rPr>
            </w:pPr>
            <w:r>
              <w:rPr>
                <w:rFonts w:hint="eastAsia" w:hAnsi="宋体" w:cs="宋体"/>
                <w:bCs/>
                <w:color w:val="auto"/>
                <w:sz w:val="21"/>
                <w:highlight w:val="none"/>
              </w:rPr>
              <w:t>3.本招标文件中描述投标人的“签字”是指投标人的法定代表人或者委托代理人</w:t>
            </w:r>
            <w:r>
              <w:rPr>
                <w:rFonts w:hint="eastAsia" w:hAnsi="宋体" w:cs="宋体"/>
                <w:color w:val="auto"/>
                <w:sz w:val="21"/>
                <w:highlight w:val="none"/>
              </w:rPr>
              <w:t>在文件规定签署处签名（含电子签名）的行为，私章、印鉴等其他形式均不能代替签字</w:t>
            </w:r>
            <w:r>
              <w:rPr>
                <w:rFonts w:hint="eastAsia" w:hAnsi="宋体" w:cs="宋体"/>
                <w:bCs/>
                <w:color w:val="auto"/>
                <w:sz w:val="21"/>
                <w:highlight w:val="none"/>
              </w:rPr>
              <w:t>。</w:t>
            </w:r>
          </w:p>
          <w:p w14:paraId="3A2EA071">
            <w:pPr>
              <w:pStyle w:val="25"/>
              <w:snapToGrid w:val="0"/>
              <w:spacing w:line="400" w:lineRule="exact"/>
              <w:rPr>
                <w:rFonts w:hAnsi="宋体" w:cs="宋体"/>
                <w:bCs/>
                <w:color w:val="auto"/>
                <w:sz w:val="21"/>
                <w:highlight w:val="none"/>
              </w:rPr>
            </w:pPr>
            <w:r>
              <w:rPr>
                <w:rFonts w:hint="eastAsia" w:hAnsi="宋体" w:cs="宋体"/>
                <w:bCs/>
                <w:color w:val="auto"/>
                <w:sz w:val="21"/>
                <w:highlight w:val="none"/>
              </w:rPr>
              <w:t>4.自然人投标的，招标文件规定盖公章处由自然人摁手指指印。</w:t>
            </w:r>
          </w:p>
          <w:p w14:paraId="3F933D29">
            <w:pPr>
              <w:spacing w:line="400" w:lineRule="exact"/>
              <w:jc w:val="left"/>
              <w:rPr>
                <w:rFonts w:ascii="宋体" w:hAnsi="宋体"/>
                <w:color w:val="auto"/>
                <w:szCs w:val="21"/>
                <w:highlight w:val="none"/>
              </w:rPr>
            </w:pPr>
            <w:r>
              <w:rPr>
                <w:rFonts w:hint="eastAsia" w:ascii="宋体" w:hAnsi="宋体" w:cs="宋体"/>
                <w:bCs/>
                <w:color w:val="auto"/>
                <w:szCs w:val="21"/>
                <w:highlight w:val="none"/>
              </w:rPr>
              <w:t>5.本招标文件所称的“以上”“以下”“以内”“届满”，包括本数；所称的“不满”“超过”“以外”，不包括本数。</w:t>
            </w:r>
          </w:p>
        </w:tc>
      </w:tr>
    </w:tbl>
    <w:p w14:paraId="41FAAE09">
      <w:pPr>
        <w:snapToGrid w:val="0"/>
        <w:rPr>
          <w:rFonts w:ascii="宋体" w:hAnsi="宋体"/>
          <w:color w:val="auto"/>
          <w:sz w:val="24"/>
          <w:szCs w:val="20"/>
          <w:highlight w:val="none"/>
        </w:rPr>
      </w:pPr>
    </w:p>
    <w:p w14:paraId="61028861">
      <w:pPr>
        <w:snapToGrid w:val="0"/>
        <w:rPr>
          <w:rFonts w:ascii="宋体" w:hAnsi="宋体"/>
          <w:color w:val="auto"/>
          <w:sz w:val="24"/>
          <w:szCs w:val="20"/>
          <w:highlight w:val="none"/>
        </w:rPr>
      </w:pPr>
    </w:p>
    <w:p w14:paraId="0ABDB4FB">
      <w:pPr>
        <w:pStyle w:val="7"/>
        <w:keepNext w:val="0"/>
        <w:keepLines w:val="0"/>
        <w:jc w:val="center"/>
        <w:rPr>
          <w:rFonts w:ascii="宋体" w:hAnsi="宋体"/>
          <w:color w:val="auto"/>
          <w:highlight w:val="none"/>
        </w:rPr>
      </w:pPr>
      <w:r>
        <w:rPr>
          <w:rFonts w:ascii="宋体" w:hAnsi="宋体"/>
          <w:color w:val="auto"/>
          <w:highlight w:val="none"/>
        </w:rPr>
        <w:br w:type="page"/>
      </w:r>
      <w:r>
        <w:rPr>
          <w:rFonts w:hint="eastAsia" w:ascii="宋体" w:hAnsi="宋体"/>
          <w:color w:val="auto"/>
          <w:highlight w:val="none"/>
        </w:rPr>
        <w:t>投标人须知正文</w:t>
      </w:r>
    </w:p>
    <w:p w14:paraId="717254A5">
      <w:pPr>
        <w:pStyle w:val="7"/>
        <w:keepNext w:val="0"/>
        <w:keepLines w:val="0"/>
        <w:jc w:val="center"/>
        <w:rPr>
          <w:rFonts w:ascii="宋体" w:hAnsi="宋体"/>
          <w:color w:val="auto"/>
          <w:highlight w:val="none"/>
        </w:rPr>
      </w:pPr>
      <w:r>
        <w:rPr>
          <w:rFonts w:hint="eastAsia" w:ascii="宋体" w:hAnsi="宋体"/>
          <w:color w:val="auto"/>
          <w:highlight w:val="none"/>
        </w:rPr>
        <w:t>一、总  则</w:t>
      </w:r>
    </w:p>
    <w:p w14:paraId="53F5662E">
      <w:pPr>
        <w:pStyle w:val="8"/>
        <w:keepNext w:val="0"/>
        <w:keepLines w:val="0"/>
        <w:spacing w:before="0" w:after="0" w:line="360" w:lineRule="auto"/>
        <w:ind w:left="420" w:leftChars="200"/>
        <w:rPr>
          <w:rFonts w:ascii="宋体" w:hAnsi="宋体"/>
          <w:color w:val="auto"/>
          <w:sz w:val="24"/>
          <w:highlight w:val="none"/>
        </w:rPr>
      </w:pPr>
      <w:bookmarkStart w:id="78" w:name="_Toc254970668"/>
      <w:bookmarkStart w:id="79" w:name="_Toc254970527"/>
      <w:r>
        <w:rPr>
          <w:rFonts w:hint="eastAsia" w:ascii="宋体" w:hAnsi="宋体"/>
          <w:color w:val="auto"/>
          <w:sz w:val="24"/>
          <w:highlight w:val="none"/>
        </w:rPr>
        <w:t>1.适用范围</w:t>
      </w:r>
      <w:bookmarkEnd w:id="78"/>
      <w:bookmarkEnd w:id="79"/>
    </w:p>
    <w:p w14:paraId="53D00A30">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0C68052B">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1.2本招标文件</w:t>
      </w:r>
      <w:r>
        <w:rPr>
          <w:rFonts w:hint="eastAsia" w:ascii="宋体" w:hAnsi="宋体" w:cs="宋体"/>
          <w:color w:val="auto"/>
          <w:spacing w:val="-6"/>
          <w:szCs w:val="21"/>
          <w:highlight w:val="none"/>
        </w:rPr>
        <w:t>适用于本项目的所有采购程序和环节（法律、法规另有规定的，从其规定）。</w:t>
      </w:r>
    </w:p>
    <w:p w14:paraId="2C3EBE8F">
      <w:pPr>
        <w:pStyle w:val="8"/>
        <w:keepNext w:val="0"/>
        <w:keepLines w:val="0"/>
        <w:spacing w:before="0" w:after="0" w:line="360" w:lineRule="auto"/>
        <w:ind w:left="420" w:leftChars="200"/>
        <w:rPr>
          <w:rFonts w:ascii="宋体" w:hAnsi="宋体"/>
          <w:color w:val="auto"/>
          <w:sz w:val="24"/>
          <w:highlight w:val="none"/>
        </w:rPr>
      </w:pPr>
      <w:bookmarkStart w:id="80" w:name="_Toc254970669"/>
      <w:bookmarkStart w:id="81" w:name="_Toc254970528"/>
      <w:r>
        <w:rPr>
          <w:rFonts w:hint="eastAsia" w:ascii="宋体" w:hAnsi="宋体"/>
          <w:color w:val="auto"/>
          <w:sz w:val="24"/>
          <w:highlight w:val="none"/>
        </w:rPr>
        <w:t>2.定义</w:t>
      </w:r>
      <w:bookmarkEnd w:id="80"/>
      <w:bookmarkEnd w:id="81"/>
    </w:p>
    <w:p w14:paraId="145DDFDE">
      <w:pPr>
        <w:pStyle w:val="8"/>
        <w:keepNext w:val="0"/>
        <w:keepLines w:val="0"/>
        <w:spacing w:before="0" w:after="0" w:line="360" w:lineRule="auto"/>
        <w:ind w:left="420" w:leftChars="200"/>
        <w:rPr>
          <w:rFonts w:ascii="宋体" w:hAnsi="宋体"/>
          <w:b w:val="0"/>
          <w:color w:val="auto"/>
          <w:sz w:val="21"/>
          <w:szCs w:val="21"/>
          <w:highlight w:val="none"/>
        </w:rPr>
      </w:pPr>
      <w:r>
        <w:rPr>
          <w:rFonts w:hint="eastAsia" w:ascii="宋体" w:hAnsi="宋体"/>
          <w:b w:val="0"/>
          <w:color w:val="auto"/>
          <w:sz w:val="21"/>
          <w:szCs w:val="21"/>
          <w:highlight w:val="none"/>
        </w:rPr>
        <w:t>2.1“采购人”是指依法进行政府采购的国家机关、事业单位、团体组织。</w:t>
      </w:r>
    </w:p>
    <w:p w14:paraId="1C8B9CAD">
      <w:pPr>
        <w:pStyle w:val="8"/>
        <w:keepNext w:val="0"/>
        <w:keepLines w:val="0"/>
        <w:spacing w:before="0" w:after="0" w:line="360" w:lineRule="auto"/>
        <w:ind w:left="420" w:leftChars="200"/>
        <w:rPr>
          <w:rFonts w:ascii="宋体" w:hAnsi="宋体"/>
          <w:b w:val="0"/>
          <w:color w:val="auto"/>
          <w:sz w:val="21"/>
          <w:szCs w:val="21"/>
          <w:highlight w:val="none"/>
        </w:rPr>
      </w:pPr>
      <w:r>
        <w:rPr>
          <w:rFonts w:hint="eastAsia" w:ascii="宋体" w:hAnsi="宋体"/>
          <w:b w:val="0"/>
          <w:color w:val="auto"/>
          <w:sz w:val="21"/>
          <w:szCs w:val="21"/>
          <w:highlight w:val="none"/>
        </w:rPr>
        <w:t>2.2“采购代理机构”是指政府采购集中采购机构和集中采购机构以外的采购代理机构。</w:t>
      </w:r>
    </w:p>
    <w:p w14:paraId="4F5D6E61">
      <w:pPr>
        <w:pStyle w:val="8"/>
        <w:keepNext w:val="0"/>
        <w:keepLines w:val="0"/>
        <w:spacing w:before="0" w:after="0" w:line="360" w:lineRule="auto"/>
        <w:ind w:left="420" w:leftChars="200"/>
        <w:rPr>
          <w:rFonts w:ascii="宋体" w:hAnsi="宋体"/>
          <w:b w:val="0"/>
          <w:color w:val="auto"/>
          <w:sz w:val="21"/>
          <w:szCs w:val="21"/>
          <w:highlight w:val="none"/>
        </w:rPr>
      </w:pPr>
      <w:r>
        <w:rPr>
          <w:rFonts w:hint="eastAsia" w:ascii="宋体" w:hAnsi="宋体"/>
          <w:b w:val="0"/>
          <w:color w:val="auto"/>
          <w:sz w:val="21"/>
          <w:szCs w:val="21"/>
          <w:highlight w:val="none"/>
        </w:rPr>
        <w:t>2.3“供应商”是指向采购人提供货物、工程或者服务的法人、其他组织或者自然人。</w:t>
      </w:r>
    </w:p>
    <w:p w14:paraId="298698D4">
      <w:pPr>
        <w:pStyle w:val="9"/>
        <w:spacing w:line="360" w:lineRule="auto"/>
        <w:rPr>
          <w:rFonts w:ascii="宋体" w:hAnsi="宋体"/>
          <w:color w:val="auto"/>
          <w:szCs w:val="21"/>
          <w:highlight w:val="none"/>
        </w:rPr>
      </w:pPr>
      <w:r>
        <w:rPr>
          <w:rFonts w:hint="eastAsia" w:ascii="宋体" w:hAnsi="宋体"/>
          <w:color w:val="auto"/>
          <w:szCs w:val="21"/>
          <w:highlight w:val="none"/>
        </w:rPr>
        <w:t>2.4“投标人”是指响应招标、参加投标竞争的法人、其他组织或者自然人。</w:t>
      </w:r>
    </w:p>
    <w:p w14:paraId="35993201">
      <w:pPr>
        <w:pStyle w:val="8"/>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2.5“货物”是指各种形态和种类的物品，包括原材料、燃料、设备、产品等。</w:t>
      </w:r>
    </w:p>
    <w:p w14:paraId="1366E778">
      <w:pPr>
        <w:pStyle w:val="8"/>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2.6“售后服务” 是指商品出售以后所提供的各种服务，包含但不限于投标人须承担的备品备件、包装、运输、装卸、保险、货到就位以及安装、调试、培训、保修以及其他各种服务。</w:t>
      </w:r>
    </w:p>
    <w:p w14:paraId="3189492A">
      <w:pPr>
        <w:pStyle w:val="8"/>
        <w:keepNext w:val="0"/>
        <w:keepLines w:val="0"/>
        <w:spacing w:before="0" w:after="0" w:line="360" w:lineRule="auto"/>
        <w:rPr>
          <w:rFonts w:ascii="宋体" w:hAnsi="宋体"/>
          <w:b w:val="0"/>
          <w:color w:val="auto"/>
          <w:sz w:val="21"/>
          <w:szCs w:val="21"/>
          <w:highlight w:val="none"/>
        </w:rPr>
      </w:pPr>
      <w:r>
        <w:rPr>
          <w:rFonts w:hint="eastAsia" w:ascii="宋体" w:hAnsi="宋体"/>
          <w:b w:val="0"/>
          <w:color w:val="auto"/>
          <w:sz w:val="21"/>
          <w:szCs w:val="21"/>
          <w:highlight w:val="none"/>
        </w:rPr>
        <w:t xml:space="preserve">    2.7“书面形式”是指合同书、信件和数据电文（包括电报、电传、传真、电子数据交换和电子邮件）等可以有形地表现所载内容的形式。</w:t>
      </w:r>
    </w:p>
    <w:p w14:paraId="111DF6F9">
      <w:pPr>
        <w:pStyle w:val="8"/>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2.8“实质性要求”是指招标文件中已经指明不满足则投标无效的条款，或者不能负偏离的条款，或者采购需求中带“▲”的条款。</w:t>
      </w:r>
    </w:p>
    <w:p w14:paraId="7156A9E5">
      <w:pPr>
        <w:snapToGrid w:val="0"/>
        <w:spacing w:line="360" w:lineRule="auto"/>
        <w:ind w:firstLine="420" w:firstLineChars="200"/>
        <w:jc w:val="left"/>
        <w:rPr>
          <w:rFonts w:ascii="宋体" w:hAnsi="宋体" w:cs="宋体"/>
          <w:color w:val="auto"/>
          <w:szCs w:val="21"/>
          <w:highlight w:val="none"/>
        </w:rPr>
      </w:pPr>
      <w:r>
        <w:rPr>
          <w:rFonts w:hint="eastAsia" w:ascii="宋体" w:hAnsi="宋体"/>
          <w:color w:val="auto"/>
          <w:szCs w:val="21"/>
          <w:highlight w:val="none"/>
        </w:rPr>
        <w:t xml:space="preserve">2.9 </w:t>
      </w:r>
      <w:r>
        <w:rPr>
          <w:rFonts w:hint="eastAsia" w:ascii="宋体" w:hAnsi="宋体" w:cs="宋体"/>
          <w:color w:val="auto"/>
          <w:szCs w:val="21"/>
          <w:highlight w:val="none"/>
        </w:rPr>
        <w:t>“正偏离”，是指投标文件对招标文件“采购需求”中有关条款作出的响应优于条款要求并有利于采购人的情形。</w:t>
      </w:r>
    </w:p>
    <w:p w14:paraId="5D969FFB">
      <w:pPr>
        <w:snapToGrid w:val="0"/>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2.10</w:t>
      </w:r>
      <w:r>
        <w:rPr>
          <w:rFonts w:hint="eastAsia" w:ascii="宋体" w:hAnsi="宋体" w:cs="宋体"/>
          <w:color w:val="auto"/>
          <w:szCs w:val="21"/>
          <w:highlight w:val="none"/>
        </w:rPr>
        <w:t>“负偏离”，是指投标文件对招标文件“采购需求”中有关条款作出的响应不满足条款要求，导致采购人要求不能得到满足的情形。</w:t>
      </w:r>
    </w:p>
    <w:p w14:paraId="466DEE83">
      <w:pPr>
        <w:snapToGrid w:val="0"/>
        <w:spacing w:line="360" w:lineRule="auto"/>
        <w:ind w:firstLine="420" w:firstLineChars="200"/>
        <w:jc w:val="left"/>
        <w:rPr>
          <w:rFonts w:ascii="宋体" w:hAnsi="宋体" w:cs="宋体"/>
          <w:color w:val="auto"/>
          <w:szCs w:val="21"/>
          <w:highlight w:val="none"/>
        </w:rPr>
      </w:pPr>
      <w:r>
        <w:rPr>
          <w:rFonts w:hint="eastAsia" w:ascii="宋体" w:hAnsi="宋体"/>
          <w:color w:val="auto"/>
          <w:szCs w:val="21"/>
          <w:highlight w:val="none"/>
        </w:rPr>
        <w:t>2.1</w:t>
      </w:r>
      <w:r>
        <w:rPr>
          <w:rFonts w:ascii="宋体" w:hAnsi="宋体"/>
          <w:color w:val="auto"/>
          <w:szCs w:val="21"/>
          <w:highlight w:val="none"/>
        </w:rPr>
        <w:t>1</w:t>
      </w:r>
      <w:r>
        <w:rPr>
          <w:rFonts w:hint="eastAsia" w:ascii="宋体" w:hAnsi="宋体" w:cs="宋体"/>
          <w:color w:val="auto"/>
          <w:szCs w:val="21"/>
          <w:highlight w:val="none"/>
        </w:rPr>
        <w:t>“允许负偏离的条款”是指采购需求中的不属于“实质性要求”的条款。</w:t>
      </w:r>
      <w:bookmarkStart w:id="82" w:name="_Toc254970529"/>
      <w:bookmarkStart w:id="83" w:name="_Toc254970670"/>
    </w:p>
    <w:p w14:paraId="191DD52C">
      <w:pPr>
        <w:pStyle w:val="8"/>
        <w:keepNext w:val="0"/>
        <w:keepLines w:val="0"/>
        <w:spacing w:before="0" w:after="0" w:line="360" w:lineRule="auto"/>
        <w:ind w:left="420" w:leftChars="200"/>
        <w:rPr>
          <w:rFonts w:ascii="宋体" w:hAnsi="宋体"/>
          <w:color w:val="auto"/>
          <w:sz w:val="24"/>
          <w:highlight w:val="none"/>
        </w:rPr>
      </w:pPr>
      <w:r>
        <w:rPr>
          <w:rFonts w:hint="eastAsia" w:ascii="宋体" w:hAnsi="宋体"/>
          <w:color w:val="auto"/>
          <w:sz w:val="24"/>
          <w:highlight w:val="none"/>
        </w:rPr>
        <w:t>3.</w:t>
      </w:r>
      <w:bookmarkEnd w:id="82"/>
      <w:bookmarkEnd w:id="83"/>
      <w:r>
        <w:rPr>
          <w:rFonts w:hint="eastAsia" w:ascii="宋体" w:hAnsi="宋体"/>
          <w:color w:val="auto"/>
          <w:sz w:val="24"/>
          <w:highlight w:val="none"/>
        </w:rPr>
        <w:t>投标人的资格要求</w:t>
      </w:r>
    </w:p>
    <w:p w14:paraId="7279A045">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投标人的资格要求详见“投标人须知前附表”。</w:t>
      </w:r>
    </w:p>
    <w:p w14:paraId="50BA27F9">
      <w:pPr>
        <w:pStyle w:val="8"/>
        <w:keepNext w:val="0"/>
        <w:keepLines w:val="0"/>
        <w:spacing w:before="0" w:after="0" w:line="360" w:lineRule="auto"/>
        <w:ind w:left="420" w:leftChars="200"/>
        <w:rPr>
          <w:rFonts w:ascii="宋体" w:hAnsi="宋体"/>
          <w:color w:val="auto"/>
          <w:sz w:val="24"/>
          <w:highlight w:val="none"/>
        </w:rPr>
      </w:pPr>
      <w:bookmarkStart w:id="84" w:name="_Toc254970530"/>
      <w:bookmarkStart w:id="85" w:name="_Toc254970671"/>
      <w:r>
        <w:rPr>
          <w:rFonts w:hint="eastAsia" w:ascii="宋体" w:hAnsi="宋体"/>
          <w:color w:val="auto"/>
          <w:sz w:val="24"/>
          <w:highlight w:val="none"/>
        </w:rPr>
        <w:t>4.投标委托</w:t>
      </w:r>
      <w:bookmarkEnd w:id="84"/>
      <w:bookmarkEnd w:id="85"/>
    </w:p>
    <w:p w14:paraId="0AE6C967">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投标人代表参加投标活动过程中必须携带个人有效身份证件。如投标人代表不是法定代表人，须持有授权委托书（按第六章要求格式填写）。</w:t>
      </w:r>
    </w:p>
    <w:p w14:paraId="64330552">
      <w:pPr>
        <w:pStyle w:val="8"/>
        <w:keepNext w:val="0"/>
        <w:keepLines w:val="0"/>
        <w:spacing w:before="0" w:after="0" w:line="360" w:lineRule="auto"/>
        <w:ind w:left="420" w:leftChars="200"/>
        <w:rPr>
          <w:rFonts w:ascii="宋体" w:hAnsi="宋体"/>
          <w:color w:val="auto"/>
          <w:sz w:val="24"/>
          <w:highlight w:val="none"/>
        </w:rPr>
      </w:pPr>
      <w:bookmarkStart w:id="86" w:name="_5.投标费用"/>
      <w:bookmarkEnd w:id="86"/>
      <w:bookmarkStart w:id="87" w:name="_Toc254970672"/>
      <w:bookmarkStart w:id="88" w:name="_Toc254970531"/>
      <w:r>
        <w:rPr>
          <w:rFonts w:hint="eastAsia" w:ascii="宋体" w:hAnsi="宋体"/>
          <w:color w:val="auto"/>
          <w:sz w:val="24"/>
          <w:highlight w:val="none"/>
        </w:rPr>
        <w:t>5.投标费用</w:t>
      </w:r>
      <w:bookmarkEnd w:id="87"/>
      <w:bookmarkEnd w:id="88"/>
    </w:p>
    <w:p w14:paraId="201F1F94">
      <w:pPr>
        <w:snapToGrid w:val="0"/>
        <w:spacing w:line="360" w:lineRule="auto"/>
        <w:ind w:firstLine="420" w:firstLineChars="200"/>
        <w:jc w:val="left"/>
        <w:rPr>
          <w:rFonts w:ascii="宋体" w:hAnsi="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投标费用：投标人应承担参与本次采购活动有关的所有费用，包括但不限于获取招标文件、勘查现场、编制和提交投标文件、参加澄清说明、签订合同等，不论投标结果如何，均应自行承担。</w:t>
      </w:r>
    </w:p>
    <w:p w14:paraId="6441F10B">
      <w:pPr>
        <w:pStyle w:val="8"/>
        <w:keepNext w:val="0"/>
        <w:keepLines w:val="0"/>
        <w:spacing w:before="0" w:after="0" w:line="360" w:lineRule="auto"/>
        <w:ind w:left="420" w:leftChars="200"/>
        <w:rPr>
          <w:rFonts w:ascii="宋体" w:hAnsi="宋体"/>
          <w:color w:val="auto"/>
          <w:sz w:val="24"/>
          <w:highlight w:val="none"/>
        </w:rPr>
      </w:pPr>
      <w:r>
        <w:rPr>
          <w:rFonts w:hint="eastAsia" w:ascii="宋体" w:hAnsi="宋体"/>
          <w:color w:val="auto"/>
          <w:sz w:val="24"/>
          <w:highlight w:val="none"/>
        </w:rPr>
        <w:t>6.联合体投标</w:t>
      </w:r>
    </w:p>
    <w:p w14:paraId="00AFF237">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6.1本项目是否接受联合体投标，详见“投标人须知前附表”。</w:t>
      </w:r>
    </w:p>
    <w:p w14:paraId="295D7ABD">
      <w:pPr>
        <w:snapToGrid w:val="0"/>
        <w:spacing w:line="360" w:lineRule="auto"/>
        <w:ind w:firstLine="420" w:firstLineChars="200"/>
        <w:jc w:val="left"/>
        <w:rPr>
          <w:rFonts w:ascii="宋体" w:hAnsi="宋体"/>
          <w:bCs/>
          <w:color w:val="auto"/>
          <w:szCs w:val="21"/>
          <w:highlight w:val="none"/>
        </w:rPr>
      </w:pPr>
      <w:r>
        <w:rPr>
          <w:rFonts w:hint="eastAsia" w:ascii="宋体" w:hAnsi="宋体"/>
          <w:bCs/>
          <w:color w:val="auto"/>
          <w:szCs w:val="21"/>
          <w:highlight w:val="none"/>
        </w:rPr>
        <w:t>6.2如接受联合体投标，联合体投标要求详见“投标人须知前附表”。</w:t>
      </w:r>
    </w:p>
    <w:p w14:paraId="0D4C7DFA">
      <w:pPr>
        <w:pStyle w:val="8"/>
        <w:keepNext w:val="0"/>
        <w:keepLines w:val="0"/>
        <w:spacing w:before="0" w:after="0" w:line="360" w:lineRule="auto"/>
        <w:ind w:firstLine="424" w:firstLineChars="202"/>
        <w:rPr>
          <w:rFonts w:ascii="宋体" w:hAnsi="宋体"/>
          <w:color w:val="auto"/>
          <w:sz w:val="24"/>
          <w:highlight w:val="none"/>
        </w:rPr>
      </w:pPr>
      <w:r>
        <w:rPr>
          <w:rFonts w:hint="eastAsia" w:ascii="宋体" w:hAnsi="宋体"/>
          <w:b w:val="0"/>
          <w:bCs/>
          <w:color w:val="auto"/>
          <w:sz w:val="21"/>
          <w:szCs w:val="21"/>
          <w:highlight w:val="none"/>
        </w:rPr>
        <w:t>6.3</w:t>
      </w:r>
      <w:r>
        <w:rPr>
          <w:rFonts w:ascii="宋体" w:hAnsi="宋体"/>
          <w:b w:val="0"/>
          <w:bCs/>
          <w:color w:val="auto"/>
          <w:sz w:val="21"/>
          <w:szCs w:val="21"/>
          <w:highlight w:val="none"/>
        </w:rPr>
        <w:t xml:space="preserve"> </w:t>
      </w:r>
      <w:bookmarkStart w:id="89" w:name="_Hlk65857072"/>
      <w:r>
        <w:rPr>
          <w:rFonts w:hint="eastAsia" w:ascii="宋体" w:hAnsi="宋体"/>
          <w:b w:val="0"/>
          <w:bCs/>
          <w:color w:val="auto"/>
          <w:sz w:val="21"/>
          <w:szCs w:val="21"/>
          <w:highlight w:val="none"/>
        </w:rPr>
        <w:t>根据《政府采购促进中小企业发展管理办法》（财库〔2020〕46号）第九条第二款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的扣除，用扣除后的价格参加评审。</w:t>
      </w:r>
      <w:bookmarkEnd w:id="89"/>
    </w:p>
    <w:p w14:paraId="3DFD4B48">
      <w:pPr>
        <w:pStyle w:val="8"/>
        <w:keepNext w:val="0"/>
        <w:keepLines w:val="0"/>
        <w:spacing w:before="0" w:after="0" w:line="360" w:lineRule="auto"/>
        <w:ind w:left="420" w:leftChars="200"/>
        <w:rPr>
          <w:rFonts w:ascii="宋体" w:hAnsi="宋体"/>
          <w:color w:val="auto"/>
          <w:sz w:val="24"/>
          <w:highlight w:val="none"/>
        </w:rPr>
      </w:pPr>
      <w:r>
        <w:rPr>
          <w:rFonts w:hint="eastAsia" w:ascii="宋体" w:hAnsi="宋体"/>
          <w:color w:val="auto"/>
          <w:sz w:val="24"/>
          <w:highlight w:val="none"/>
        </w:rPr>
        <w:t xml:space="preserve">7.转包与分包             </w:t>
      </w:r>
    </w:p>
    <w:p w14:paraId="5C1CD0FE">
      <w:pPr>
        <w:pStyle w:val="8"/>
        <w:keepNext w:val="0"/>
        <w:keepLines w:val="0"/>
        <w:spacing w:before="0" w:after="0" w:line="360" w:lineRule="auto"/>
        <w:ind w:left="420" w:leftChars="200"/>
        <w:rPr>
          <w:rFonts w:ascii="宋体" w:hAnsi="宋体"/>
          <w:b w:val="0"/>
          <w:color w:val="auto"/>
          <w:sz w:val="21"/>
          <w:szCs w:val="21"/>
          <w:highlight w:val="none"/>
        </w:rPr>
      </w:pPr>
      <w:r>
        <w:rPr>
          <w:rFonts w:hint="eastAsia" w:ascii="宋体" w:hAnsi="宋体"/>
          <w:b w:val="0"/>
          <w:color w:val="auto"/>
          <w:sz w:val="21"/>
          <w:szCs w:val="21"/>
          <w:highlight w:val="none"/>
        </w:rPr>
        <w:t>7.1本项目不允许转包。</w:t>
      </w:r>
    </w:p>
    <w:p w14:paraId="7194EE21">
      <w:pPr>
        <w:pStyle w:val="8"/>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232A6673">
      <w:pPr>
        <w:pStyle w:val="8"/>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14:paraId="1DBF6C18">
      <w:pPr>
        <w:pStyle w:val="8"/>
        <w:keepNext w:val="0"/>
        <w:keepLines w:val="0"/>
        <w:spacing w:before="0" w:after="0" w:line="360" w:lineRule="auto"/>
        <w:ind w:left="420" w:leftChars="200"/>
        <w:rPr>
          <w:rFonts w:ascii="宋体" w:hAnsi="宋体"/>
          <w:color w:val="auto"/>
          <w:sz w:val="24"/>
          <w:highlight w:val="none"/>
        </w:rPr>
      </w:pPr>
      <w:bookmarkStart w:id="90" w:name="_Toc254970673"/>
      <w:bookmarkStart w:id="91" w:name="_Toc254970532"/>
      <w:r>
        <w:rPr>
          <w:rFonts w:hint="eastAsia" w:ascii="宋体" w:hAnsi="宋体"/>
          <w:color w:val="auto"/>
          <w:sz w:val="24"/>
          <w:highlight w:val="none"/>
        </w:rPr>
        <w:t>8.特别说明</w:t>
      </w:r>
      <w:bookmarkEnd w:id="90"/>
      <w:bookmarkEnd w:id="91"/>
    </w:p>
    <w:p w14:paraId="7171AB69">
      <w:pPr>
        <w:pStyle w:val="8"/>
        <w:keepNext w:val="0"/>
        <w:keepLines w:val="0"/>
        <w:spacing w:before="0" w:after="0" w:line="360" w:lineRule="auto"/>
        <w:ind w:firstLine="420" w:firstLineChars="200"/>
        <w:rPr>
          <w:rFonts w:ascii="宋体" w:hAnsi="宋体"/>
          <w:b w:val="0"/>
          <w:color w:val="auto"/>
          <w:sz w:val="21"/>
          <w:szCs w:val="21"/>
          <w:highlight w:val="none"/>
        </w:rPr>
      </w:pPr>
      <w:bookmarkStart w:id="92" w:name="_8.1提供相同品牌产品且通过资格审查、符合性审查的不同投标人参加同一合"/>
      <w:bookmarkEnd w:id="92"/>
      <w:r>
        <w:rPr>
          <w:rFonts w:ascii="宋体" w:hAnsi="宋体"/>
          <w:b w:val="0"/>
          <w:color w:val="auto"/>
          <w:sz w:val="21"/>
          <w:szCs w:val="21"/>
          <w:highlight w:val="none"/>
        </w:rPr>
        <w:fldChar w:fldCharType="begin"/>
      </w:r>
      <w:r>
        <w:rPr>
          <w:rFonts w:ascii="宋体" w:hAnsi="宋体"/>
          <w:b w:val="0"/>
          <w:color w:val="auto"/>
          <w:sz w:val="21"/>
          <w:szCs w:val="21"/>
          <w:highlight w:val="none"/>
        </w:rPr>
        <w:instrText xml:space="preserve"> HYPERLINK  \l "_8.1" </w:instrText>
      </w:r>
      <w:r>
        <w:rPr>
          <w:rFonts w:ascii="宋体" w:hAnsi="宋体"/>
          <w:b w:val="0"/>
          <w:color w:val="auto"/>
          <w:sz w:val="21"/>
          <w:szCs w:val="21"/>
          <w:highlight w:val="none"/>
        </w:rPr>
        <w:fldChar w:fldCharType="separate"/>
      </w:r>
      <w:r>
        <w:rPr>
          <w:rFonts w:hint="eastAsia" w:ascii="宋体" w:hAnsi="宋体"/>
          <w:b w:val="0"/>
          <w:color w:val="auto"/>
          <w:sz w:val="21"/>
          <w:szCs w:val="21"/>
          <w:highlight w:val="none"/>
        </w:rPr>
        <w:t>8.1</w:t>
      </w:r>
      <w:r>
        <w:rPr>
          <w:rFonts w:ascii="宋体" w:hAnsi="宋体"/>
          <w:b w:val="0"/>
          <w:color w:val="auto"/>
          <w:sz w:val="21"/>
          <w:szCs w:val="21"/>
          <w:highlight w:val="none"/>
        </w:rPr>
        <w:fldChar w:fldCharType="end"/>
      </w:r>
      <w:r>
        <w:rPr>
          <w:rFonts w:hint="eastAsia" w:ascii="宋体" w:hAnsi="宋体"/>
          <w:b w:val="0"/>
          <w:color w:val="auto"/>
          <w:sz w:val="21"/>
          <w:szCs w:val="21"/>
          <w:highlight w:val="none"/>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14:paraId="6BF1EB0A">
      <w:pPr>
        <w:pStyle w:val="25"/>
        <w:snapToGrid w:val="0"/>
        <w:spacing w:line="360" w:lineRule="auto"/>
        <w:ind w:left="2" w:leftChars="1" w:firstLine="420" w:firstLineChars="200"/>
        <w:rPr>
          <w:rFonts w:hAnsi="宋体"/>
          <w:color w:val="auto"/>
          <w:kern w:val="2"/>
          <w:sz w:val="21"/>
          <w:highlight w:val="none"/>
        </w:rPr>
      </w:pPr>
      <w:r>
        <w:rPr>
          <w:rFonts w:hint="eastAsia" w:hAnsi="宋体"/>
          <w:color w:val="auto"/>
          <w:kern w:val="2"/>
          <w:sz w:val="21"/>
          <w:highlight w:val="none"/>
        </w:rPr>
        <w:t>非单一产品采购项目，多家投标人提供的核心产品品牌相同的，</w:t>
      </w:r>
      <w:r>
        <w:rPr>
          <w:rFonts w:hint="eastAsia" w:hAnsi="宋体"/>
          <w:color w:val="auto"/>
          <w:sz w:val="22"/>
          <w:szCs w:val="22"/>
          <w:highlight w:val="none"/>
        </w:rPr>
        <w:t>按前款规定处理</w:t>
      </w:r>
      <w:r>
        <w:rPr>
          <w:rFonts w:hint="eastAsia" w:hAnsi="宋体"/>
          <w:color w:val="auto"/>
          <w:kern w:val="2"/>
          <w:sz w:val="21"/>
          <w:highlight w:val="none"/>
        </w:rPr>
        <w:t>。</w:t>
      </w:r>
    </w:p>
    <w:p w14:paraId="4E508C11">
      <w:pPr>
        <w:pStyle w:val="8"/>
        <w:keepNext w:val="0"/>
        <w:keepLines w:val="0"/>
        <w:spacing w:before="0" w:after="0" w:line="360" w:lineRule="auto"/>
        <w:ind w:firstLine="367" w:firstLineChars="175"/>
        <w:rPr>
          <w:rFonts w:ascii="宋体" w:hAnsi="宋体"/>
          <w:b w:val="0"/>
          <w:color w:val="auto"/>
          <w:sz w:val="21"/>
          <w:szCs w:val="21"/>
          <w:highlight w:val="none"/>
        </w:rPr>
      </w:pPr>
      <w:r>
        <w:rPr>
          <w:rFonts w:hint="eastAsia" w:ascii="宋体" w:hAnsi="宋体"/>
          <w:b w:val="0"/>
          <w:color w:val="auto"/>
          <w:sz w:val="21"/>
          <w:szCs w:val="21"/>
          <w:highlight w:val="none"/>
        </w:rPr>
        <w:t xml:space="preserve"> 8.2如果本招标文件要求提供投标人或制造商的资格、信誉、荣誉、业绩与企业认证等材料的，资格、信誉、荣誉、业绩与企业认证等必须为投标人或者制造商所拥有或自身获得 。</w:t>
      </w:r>
    </w:p>
    <w:p w14:paraId="220A17DE">
      <w:pPr>
        <w:pStyle w:val="8"/>
        <w:keepNext w:val="0"/>
        <w:keepLines w:val="0"/>
        <w:spacing w:before="0" w:after="0" w:line="360" w:lineRule="auto"/>
        <w:ind w:firstLine="367" w:firstLineChars="175"/>
        <w:rPr>
          <w:rFonts w:ascii="宋体" w:hAnsi="宋体"/>
          <w:b w:val="0"/>
          <w:color w:val="auto"/>
          <w:sz w:val="21"/>
          <w:szCs w:val="21"/>
          <w:highlight w:val="none"/>
        </w:rPr>
      </w:pPr>
      <w:r>
        <w:rPr>
          <w:rFonts w:hint="eastAsia" w:ascii="宋体" w:hAnsi="宋体"/>
          <w:b w:val="0"/>
          <w:color w:val="auto"/>
          <w:sz w:val="21"/>
          <w:szCs w:val="21"/>
          <w:highlight w:val="none"/>
        </w:rPr>
        <w:t xml:space="preserve"> 8.3投标人应仔细阅读招标文件的所有内容，按照招标文件的要求提交投标文件，并对所提供的全部资料的真实性承担法律责任。</w:t>
      </w:r>
    </w:p>
    <w:p w14:paraId="1291727C">
      <w:pPr>
        <w:pStyle w:val="8"/>
        <w:keepNext w:val="0"/>
        <w:keepLines w:val="0"/>
        <w:spacing w:before="0" w:after="0" w:line="360" w:lineRule="auto"/>
        <w:ind w:firstLine="367" w:firstLineChars="175"/>
        <w:rPr>
          <w:rFonts w:ascii="宋体" w:hAnsi="宋体"/>
          <w:b w:val="0"/>
          <w:color w:val="auto"/>
          <w:sz w:val="21"/>
          <w:szCs w:val="21"/>
          <w:highlight w:val="none"/>
        </w:rPr>
      </w:pPr>
      <w:r>
        <w:rPr>
          <w:rFonts w:hint="eastAsia" w:ascii="宋体" w:hAnsi="宋体"/>
          <w:b w:val="0"/>
          <w:color w:val="auto"/>
          <w:sz w:val="21"/>
          <w:szCs w:val="21"/>
          <w:highlight w:val="none"/>
        </w:rPr>
        <w:t xml:space="preserve"> 8.4投标人在投标活动中提供任何虚假材料，将报监管部门查处；中标后发现的，中标人须依法赔偿采购人，且民事赔偿并不免除违法投标人的行政与刑事责任。</w:t>
      </w:r>
    </w:p>
    <w:p w14:paraId="3C2C0B33">
      <w:pPr>
        <w:pStyle w:val="8"/>
        <w:keepNext w:val="0"/>
        <w:keepLines w:val="0"/>
        <w:spacing w:before="0" w:after="0" w:line="360" w:lineRule="auto"/>
        <w:ind w:left="420" w:leftChars="200"/>
        <w:rPr>
          <w:rFonts w:ascii="宋体" w:hAnsi="宋体"/>
          <w:color w:val="auto"/>
          <w:sz w:val="24"/>
          <w:highlight w:val="none"/>
        </w:rPr>
      </w:pPr>
      <w:r>
        <w:rPr>
          <w:rFonts w:ascii="宋体" w:hAnsi="宋体"/>
          <w:color w:val="auto"/>
          <w:sz w:val="24"/>
          <w:highlight w:val="none"/>
        </w:rPr>
        <w:t>9.</w:t>
      </w:r>
      <w:r>
        <w:rPr>
          <w:rFonts w:hint="eastAsia" w:ascii="宋体" w:hAnsi="宋体"/>
          <w:color w:val="auto"/>
          <w:sz w:val="24"/>
          <w:highlight w:val="none"/>
        </w:rPr>
        <w:t>回避与串通投标</w:t>
      </w:r>
    </w:p>
    <w:p w14:paraId="51CAC579">
      <w:pPr>
        <w:pStyle w:val="8"/>
        <w:keepNext w:val="0"/>
        <w:keepLines w:val="0"/>
        <w:spacing w:before="0" w:after="0" w:line="360" w:lineRule="auto"/>
        <w:ind w:firstLine="367" w:firstLineChars="175"/>
        <w:rPr>
          <w:rFonts w:ascii="宋体" w:hAnsi="宋体"/>
          <w:b w:val="0"/>
          <w:color w:val="auto"/>
          <w:sz w:val="21"/>
          <w:szCs w:val="21"/>
          <w:highlight w:val="none"/>
        </w:rPr>
      </w:pPr>
      <w:r>
        <w:rPr>
          <w:rFonts w:hint="eastAsia" w:ascii="宋体" w:hAnsi="宋体"/>
          <w:b w:val="0"/>
          <w:color w:val="auto"/>
          <w:sz w:val="21"/>
          <w:szCs w:val="21"/>
          <w:highlight w:val="none"/>
        </w:rPr>
        <w:t>9</w:t>
      </w:r>
      <w:r>
        <w:rPr>
          <w:rFonts w:ascii="宋体" w:hAnsi="宋体"/>
          <w:b w:val="0"/>
          <w:color w:val="auto"/>
          <w:sz w:val="21"/>
          <w:szCs w:val="21"/>
          <w:highlight w:val="none"/>
        </w:rPr>
        <w:t>.1在政府采购活动中，采购人员及相关人员与</w:t>
      </w:r>
      <w:r>
        <w:rPr>
          <w:rFonts w:hint="eastAsia" w:ascii="宋体" w:hAnsi="宋体"/>
          <w:b w:val="0"/>
          <w:color w:val="auto"/>
          <w:sz w:val="21"/>
          <w:szCs w:val="21"/>
          <w:highlight w:val="none"/>
        </w:rPr>
        <w:t>供应商</w:t>
      </w:r>
      <w:r>
        <w:rPr>
          <w:rFonts w:ascii="宋体" w:hAnsi="宋体"/>
          <w:b w:val="0"/>
          <w:color w:val="auto"/>
          <w:sz w:val="21"/>
          <w:szCs w:val="21"/>
          <w:highlight w:val="none"/>
        </w:rPr>
        <w:t>有下列利害关系之一的，应当回避：</w:t>
      </w:r>
    </w:p>
    <w:p w14:paraId="267C432B">
      <w:pPr>
        <w:pStyle w:val="25"/>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1</w:t>
      </w:r>
      <w:r>
        <w:rPr>
          <w:rFonts w:hAnsi="宋体"/>
          <w:color w:val="auto"/>
          <w:kern w:val="2"/>
          <w:sz w:val="21"/>
          <w:highlight w:val="none"/>
        </w:rPr>
        <w:t>）参加采购活动前3年内与</w:t>
      </w:r>
      <w:r>
        <w:rPr>
          <w:rFonts w:hint="eastAsia" w:hAnsi="宋体"/>
          <w:color w:val="auto"/>
          <w:kern w:val="2"/>
          <w:sz w:val="21"/>
          <w:highlight w:val="none"/>
        </w:rPr>
        <w:t>供应商</w:t>
      </w:r>
      <w:r>
        <w:rPr>
          <w:rFonts w:hAnsi="宋体"/>
          <w:color w:val="auto"/>
          <w:kern w:val="2"/>
          <w:sz w:val="21"/>
          <w:highlight w:val="none"/>
        </w:rPr>
        <w:t>存在劳动关系；</w:t>
      </w:r>
    </w:p>
    <w:p w14:paraId="18537195">
      <w:pPr>
        <w:pStyle w:val="25"/>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2</w:t>
      </w:r>
      <w:r>
        <w:rPr>
          <w:rFonts w:hAnsi="宋体"/>
          <w:color w:val="auto"/>
          <w:kern w:val="2"/>
          <w:sz w:val="21"/>
          <w:highlight w:val="none"/>
        </w:rPr>
        <w:t>）参加采购活动前3年内担任</w:t>
      </w:r>
      <w:r>
        <w:rPr>
          <w:rFonts w:hint="eastAsia" w:hAnsi="宋体"/>
          <w:color w:val="auto"/>
          <w:kern w:val="2"/>
          <w:sz w:val="21"/>
          <w:highlight w:val="none"/>
        </w:rPr>
        <w:t>供应商</w:t>
      </w:r>
      <w:r>
        <w:rPr>
          <w:rFonts w:hAnsi="宋体"/>
          <w:color w:val="auto"/>
          <w:kern w:val="2"/>
          <w:sz w:val="21"/>
          <w:highlight w:val="none"/>
        </w:rPr>
        <w:t>的董事、监事；</w:t>
      </w:r>
    </w:p>
    <w:p w14:paraId="46A62DC8">
      <w:pPr>
        <w:pStyle w:val="25"/>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3</w:t>
      </w:r>
      <w:r>
        <w:rPr>
          <w:rFonts w:hAnsi="宋体"/>
          <w:color w:val="auto"/>
          <w:kern w:val="2"/>
          <w:sz w:val="21"/>
          <w:highlight w:val="none"/>
        </w:rPr>
        <w:t>）参加采购活动前3年内是</w:t>
      </w:r>
      <w:r>
        <w:rPr>
          <w:rFonts w:hint="eastAsia" w:hAnsi="宋体"/>
          <w:color w:val="auto"/>
          <w:kern w:val="2"/>
          <w:sz w:val="21"/>
          <w:highlight w:val="none"/>
        </w:rPr>
        <w:t>供应商</w:t>
      </w:r>
      <w:r>
        <w:rPr>
          <w:rFonts w:hAnsi="宋体"/>
          <w:color w:val="auto"/>
          <w:kern w:val="2"/>
          <w:sz w:val="21"/>
          <w:highlight w:val="none"/>
        </w:rPr>
        <w:t>的控股股东或者实际控制人；</w:t>
      </w:r>
    </w:p>
    <w:p w14:paraId="0CAF2C01">
      <w:pPr>
        <w:pStyle w:val="25"/>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4</w:t>
      </w:r>
      <w:r>
        <w:rPr>
          <w:rFonts w:hAnsi="宋体"/>
          <w:color w:val="auto"/>
          <w:kern w:val="2"/>
          <w:sz w:val="21"/>
          <w:highlight w:val="none"/>
        </w:rPr>
        <w:t>）与</w:t>
      </w:r>
      <w:r>
        <w:rPr>
          <w:rFonts w:hint="eastAsia" w:hAnsi="宋体"/>
          <w:color w:val="auto"/>
          <w:kern w:val="2"/>
          <w:sz w:val="21"/>
          <w:highlight w:val="none"/>
        </w:rPr>
        <w:t>供应商</w:t>
      </w:r>
      <w:r>
        <w:rPr>
          <w:rFonts w:hAnsi="宋体"/>
          <w:color w:val="auto"/>
          <w:kern w:val="2"/>
          <w:sz w:val="21"/>
          <w:highlight w:val="none"/>
        </w:rPr>
        <w:t>的法定代表人或者负责人有夫妻、直系血亲、三代以内旁系血亲或者近姻亲关系；</w:t>
      </w:r>
    </w:p>
    <w:p w14:paraId="29C3B30E">
      <w:pPr>
        <w:pStyle w:val="25"/>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5</w:t>
      </w:r>
      <w:r>
        <w:rPr>
          <w:rFonts w:hAnsi="宋体"/>
          <w:color w:val="auto"/>
          <w:kern w:val="2"/>
          <w:sz w:val="21"/>
          <w:highlight w:val="none"/>
        </w:rPr>
        <w:t>）与</w:t>
      </w:r>
      <w:r>
        <w:rPr>
          <w:rFonts w:hint="eastAsia" w:hAnsi="宋体"/>
          <w:color w:val="auto"/>
          <w:kern w:val="2"/>
          <w:sz w:val="21"/>
          <w:highlight w:val="none"/>
        </w:rPr>
        <w:t>供应商</w:t>
      </w:r>
      <w:r>
        <w:rPr>
          <w:rFonts w:hAnsi="宋体"/>
          <w:color w:val="auto"/>
          <w:kern w:val="2"/>
          <w:sz w:val="21"/>
          <w:highlight w:val="none"/>
        </w:rPr>
        <w:t>有其他可能影响政府采购活动公平、公正进行的关系。</w:t>
      </w:r>
    </w:p>
    <w:p w14:paraId="1332B2D3">
      <w:pPr>
        <w:pStyle w:val="25"/>
        <w:snapToGrid w:val="0"/>
        <w:spacing w:line="360" w:lineRule="auto"/>
        <w:ind w:left="2" w:leftChars="1" w:firstLine="420" w:firstLineChars="200"/>
        <w:rPr>
          <w:rFonts w:hAnsi="宋体"/>
          <w:color w:val="auto"/>
          <w:kern w:val="2"/>
          <w:sz w:val="21"/>
          <w:highlight w:val="none"/>
        </w:rPr>
      </w:pPr>
      <w:r>
        <w:rPr>
          <w:rFonts w:hint="eastAsia" w:hAnsi="宋体"/>
          <w:color w:val="auto"/>
          <w:kern w:val="2"/>
          <w:sz w:val="21"/>
          <w:highlight w:val="none"/>
        </w:rPr>
        <w:t>供应商</w:t>
      </w:r>
      <w:r>
        <w:rPr>
          <w:rFonts w:hAnsi="宋体"/>
          <w:color w:val="auto"/>
          <w:kern w:val="2"/>
          <w:sz w:val="21"/>
          <w:highlight w:val="none"/>
        </w:rPr>
        <w:t>认为采购人员及相关人员与其他</w:t>
      </w:r>
      <w:r>
        <w:rPr>
          <w:rFonts w:hint="eastAsia" w:hAnsi="宋体"/>
          <w:color w:val="auto"/>
          <w:kern w:val="2"/>
          <w:sz w:val="21"/>
          <w:highlight w:val="none"/>
        </w:rPr>
        <w:t>供应商</w:t>
      </w:r>
      <w:r>
        <w:rPr>
          <w:rFonts w:hAnsi="宋体"/>
          <w:color w:val="auto"/>
          <w:kern w:val="2"/>
          <w:sz w:val="21"/>
          <w:highlight w:val="none"/>
        </w:rPr>
        <w:t>有利害关系的，可以向采购人或者采购代理机构书面提出回避申请，并说明理由。采购人或者采购代理机构应当及时询问被申请回避人员，有利害关系的被申请回避人员应当回避。</w:t>
      </w:r>
    </w:p>
    <w:p w14:paraId="78CE1BE2">
      <w:pPr>
        <w:pStyle w:val="8"/>
        <w:keepNext w:val="0"/>
        <w:keepLines w:val="0"/>
        <w:spacing w:before="0" w:after="0" w:line="360" w:lineRule="auto"/>
        <w:ind w:left="420" w:leftChars="200"/>
        <w:rPr>
          <w:rFonts w:ascii="宋体" w:hAnsi="宋体"/>
          <w:color w:val="auto"/>
          <w:sz w:val="21"/>
          <w:szCs w:val="21"/>
          <w:highlight w:val="none"/>
        </w:rPr>
      </w:pPr>
      <w:r>
        <w:rPr>
          <w:rFonts w:ascii="宋体" w:hAnsi="宋体"/>
          <w:color w:val="auto"/>
          <w:sz w:val="21"/>
          <w:szCs w:val="21"/>
          <w:highlight w:val="none"/>
        </w:rPr>
        <w:t>9.2</w:t>
      </w:r>
      <w:r>
        <w:rPr>
          <w:rFonts w:hint="eastAsia" w:ascii="宋体" w:hAnsi="宋体"/>
          <w:color w:val="auto"/>
          <w:sz w:val="21"/>
          <w:szCs w:val="21"/>
          <w:highlight w:val="none"/>
        </w:rPr>
        <w:t>有下列情形之一的视为投标人相互串通投标，投标文件将被视为无效：</w:t>
      </w:r>
    </w:p>
    <w:p w14:paraId="055FEE08">
      <w:pPr>
        <w:pStyle w:val="25"/>
        <w:snapToGrid w:val="0"/>
        <w:spacing w:line="360" w:lineRule="auto"/>
        <w:ind w:left="2" w:leftChars="1" w:firstLine="422" w:firstLineChars="200"/>
        <w:rPr>
          <w:rFonts w:hAnsi="宋体"/>
          <w:b/>
          <w:color w:val="auto"/>
          <w:kern w:val="2"/>
          <w:sz w:val="21"/>
          <w:highlight w:val="none"/>
        </w:rPr>
      </w:pPr>
      <w:r>
        <w:rPr>
          <w:rFonts w:hint="eastAsia" w:hAnsi="宋体"/>
          <w:b/>
          <w:color w:val="auto"/>
          <w:kern w:val="2"/>
          <w:sz w:val="21"/>
          <w:highlight w:val="none"/>
        </w:rPr>
        <w:t xml:space="preserve">（1）不同投标人的投标文件由同一单位或者个人编制； </w:t>
      </w:r>
    </w:p>
    <w:p w14:paraId="6EE29A1D">
      <w:pPr>
        <w:pStyle w:val="25"/>
        <w:snapToGrid w:val="0"/>
        <w:spacing w:line="360" w:lineRule="auto"/>
        <w:ind w:left="2" w:leftChars="1" w:firstLine="422" w:firstLineChars="200"/>
        <w:rPr>
          <w:rFonts w:hAnsi="宋体"/>
          <w:b/>
          <w:color w:val="auto"/>
          <w:kern w:val="2"/>
          <w:sz w:val="21"/>
          <w:highlight w:val="none"/>
        </w:rPr>
      </w:pPr>
      <w:r>
        <w:rPr>
          <w:rFonts w:hint="eastAsia" w:hAnsi="宋体"/>
          <w:b/>
          <w:color w:val="auto"/>
          <w:kern w:val="2"/>
          <w:sz w:val="21"/>
          <w:highlight w:val="none"/>
        </w:rPr>
        <w:t>（2）不同投标人委托同一单位或者个人办理投标事宜；</w:t>
      </w:r>
    </w:p>
    <w:p w14:paraId="7E1AB44D">
      <w:pPr>
        <w:pStyle w:val="25"/>
        <w:snapToGrid w:val="0"/>
        <w:spacing w:line="360" w:lineRule="auto"/>
        <w:ind w:left="2" w:leftChars="1" w:firstLine="422" w:firstLineChars="200"/>
        <w:rPr>
          <w:rFonts w:hAnsi="宋体"/>
          <w:b/>
          <w:color w:val="auto"/>
          <w:kern w:val="2"/>
          <w:sz w:val="21"/>
          <w:highlight w:val="none"/>
        </w:rPr>
      </w:pPr>
      <w:r>
        <w:rPr>
          <w:rFonts w:hint="eastAsia" w:hAnsi="宋体"/>
          <w:b/>
          <w:color w:val="auto"/>
          <w:kern w:val="2"/>
          <w:sz w:val="21"/>
          <w:highlight w:val="none"/>
        </w:rPr>
        <w:t>（3）不同的投标人的投标文件载明的项目管理员为同一个人；</w:t>
      </w:r>
    </w:p>
    <w:p w14:paraId="61A53006">
      <w:pPr>
        <w:pStyle w:val="25"/>
        <w:snapToGrid w:val="0"/>
        <w:spacing w:line="360" w:lineRule="auto"/>
        <w:ind w:left="2" w:leftChars="1" w:firstLine="422" w:firstLineChars="200"/>
        <w:rPr>
          <w:rFonts w:hAnsi="宋体"/>
          <w:b/>
          <w:color w:val="auto"/>
          <w:kern w:val="2"/>
          <w:sz w:val="21"/>
          <w:highlight w:val="none"/>
        </w:rPr>
      </w:pPr>
      <w:r>
        <w:rPr>
          <w:rFonts w:hint="eastAsia" w:hAnsi="宋体"/>
          <w:b/>
          <w:color w:val="auto"/>
          <w:kern w:val="2"/>
          <w:sz w:val="21"/>
          <w:highlight w:val="none"/>
        </w:rPr>
        <w:t>（4）不同投标人的投标文件异常一致或者投标报价呈规律性差异；</w:t>
      </w:r>
    </w:p>
    <w:p w14:paraId="66F8233F">
      <w:pPr>
        <w:pStyle w:val="25"/>
        <w:snapToGrid w:val="0"/>
        <w:spacing w:line="360" w:lineRule="auto"/>
        <w:ind w:left="2" w:leftChars="1" w:firstLine="422" w:firstLineChars="200"/>
        <w:rPr>
          <w:rFonts w:hAnsi="宋体"/>
          <w:b/>
          <w:color w:val="auto"/>
          <w:kern w:val="2"/>
          <w:sz w:val="21"/>
          <w:highlight w:val="none"/>
        </w:rPr>
      </w:pPr>
      <w:r>
        <w:rPr>
          <w:rFonts w:hint="eastAsia" w:hAnsi="宋体"/>
          <w:b/>
          <w:color w:val="auto"/>
          <w:kern w:val="2"/>
          <w:sz w:val="21"/>
          <w:highlight w:val="none"/>
        </w:rPr>
        <w:t>（5）不同投标人的投标文件相互混装；</w:t>
      </w:r>
    </w:p>
    <w:p w14:paraId="66DBAADD">
      <w:pPr>
        <w:pStyle w:val="25"/>
        <w:snapToGrid w:val="0"/>
        <w:spacing w:line="360" w:lineRule="auto"/>
        <w:ind w:left="2" w:leftChars="1" w:firstLine="422" w:firstLineChars="200"/>
        <w:rPr>
          <w:rFonts w:hAnsi="宋体"/>
          <w:b/>
          <w:color w:val="auto"/>
          <w:kern w:val="2"/>
          <w:sz w:val="21"/>
          <w:highlight w:val="none"/>
        </w:rPr>
      </w:pPr>
      <w:r>
        <w:rPr>
          <w:rFonts w:hint="eastAsia" w:hAnsi="宋体"/>
          <w:b/>
          <w:color w:val="auto"/>
          <w:kern w:val="2"/>
          <w:sz w:val="21"/>
          <w:highlight w:val="none"/>
        </w:rPr>
        <w:t>（6）不同投标人的投标保证金从同一单位或者个人账户转出。</w:t>
      </w:r>
    </w:p>
    <w:p w14:paraId="4E82F1BC">
      <w:pPr>
        <w:pStyle w:val="8"/>
        <w:keepNext w:val="0"/>
        <w:keepLines w:val="0"/>
        <w:spacing w:before="0" w:after="0" w:line="360" w:lineRule="auto"/>
        <w:ind w:left="420" w:leftChars="200"/>
        <w:rPr>
          <w:rFonts w:ascii="宋体" w:hAnsi="宋体"/>
          <w:b w:val="0"/>
          <w:color w:val="auto"/>
          <w:sz w:val="21"/>
          <w:szCs w:val="21"/>
          <w:highlight w:val="none"/>
        </w:rPr>
      </w:pPr>
      <w:r>
        <w:rPr>
          <w:rFonts w:ascii="宋体" w:hAnsi="宋体"/>
          <w:b w:val="0"/>
          <w:color w:val="auto"/>
          <w:sz w:val="21"/>
          <w:szCs w:val="21"/>
          <w:highlight w:val="none"/>
        </w:rPr>
        <w:t>9.3</w:t>
      </w:r>
      <w:r>
        <w:rPr>
          <w:rFonts w:hint="eastAsia" w:ascii="宋体" w:hAnsi="宋体"/>
          <w:b w:val="0"/>
          <w:color w:val="auto"/>
          <w:sz w:val="21"/>
          <w:szCs w:val="21"/>
          <w:highlight w:val="none"/>
        </w:rPr>
        <w:t>供应商有下列情形之一的，属于恶意串通行为，将报同级监督管理部门：</w:t>
      </w:r>
    </w:p>
    <w:p w14:paraId="7277756D">
      <w:pPr>
        <w:pStyle w:val="25"/>
        <w:snapToGrid w:val="0"/>
        <w:spacing w:line="360" w:lineRule="auto"/>
        <w:ind w:left="2" w:leftChars="1" w:firstLine="420" w:firstLineChars="200"/>
        <w:rPr>
          <w:rFonts w:hAnsi="宋体"/>
          <w:color w:val="auto"/>
          <w:kern w:val="2"/>
          <w:sz w:val="21"/>
          <w:highlight w:val="none"/>
        </w:rPr>
      </w:pPr>
      <w:r>
        <w:rPr>
          <w:rFonts w:hint="eastAsia" w:hAnsi="宋体"/>
          <w:color w:val="auto"/>
          <w:kern w:val="2"/>
          <w:sz w:val="21"/>
          <w:highlight w:val="none"/>
        </w:rPr>
        <w:t>（1）供应商直接或者间接从采购人或者采购代理机构处获得其他供应商的相关信息并修改其投标文件或者响应文件；</w:t>
      </w:r>
    </w:p>
    <w:p w14:paraId="46F2077D">
      <w:pPr>
        <w:pStyle w:val="25"/>
        <w:snapToGrid w:val="0"/>
        <w:spacing w:line="360" w:lineRule="auto"/>
        <w:ind w:left="2" w:leftChars="1" w:firstLine="420" w:firstLineChars="200"/>
        <w:rPr>
          <w:rFonts w:hAnsi="宋体"/>
          <w:color w:val="auto"/>
          <w:kern w:val="2"/>
          <w:sz w:val="21"/>
          <w:highlight w:val="none"/>
        </w:rPr>
      </w:pPr>
      <w:r>
        <w:rPr>
          <w:rFonts w:hint="eastAsia" w:hAnsi="宋体"/>
          <w:color w:val="auto"/>
          <w:kern w:val="2"/>
          <w:sz w:val="21"/>
          <w:highlight w:val="none"/>
        </w:rPr>
        <w:t>（2）供应商按照采购人或者采购代理机构的授意撤换、修改投标文件或者响应文件；</w:t>
      </w:r>
    </w:p>
    <w:p w14:paraId="57A885C5">
      <w:pPr>
        <w:pStyle w:val="25"/>
        <w:snapToGrid w:val="0"/>
        <w:spacing w:line="360" w:lineRule="auto"/>
        <w:ind w:left="2" w:leftChars="1" w:firstLine="420" w:firstLineChars="200"/>
        <w:rPr>
          <w:rFonts w:hAnsi="宋体"/>
          <w:color w:val="auto"/>
          <w:kern w:val="2"/>
          <w:sz w:val="21"/>
          <w:highlight w:val="none"/>
        </w:rPr>
      </w:pPr>
      <w:r>
        <w:rPr>
          <w:rFonts w:hint="eastAsia" w:hAnsi="宋体"/>
          <w:color w:val="auto"/>
          <w:kern w:val="2"/>
          <w:sz w:val="21"/>
          <w:highlight w:val="none"/>
        </w:rPr>
        <w:t>（3）供应商之间协商报价、技术方案等投标文件或者响应文件的实质性内容；</w:t>
      </w:r>
    </w:p>
    <w:p w14:paraId="0E32E40C">
      <w:pPr>
        <w:pStyle w:val="25"/>
        <w:snapToGrid w:val="0"/>
        <w:spacing w:line="360" w:lineRule="auto"/>
        <w:ind w:left="2" w:leftChars="1" w:firstLine="420" w:firstLineChars="200"/>
        <w:rPr>
          <w:rFonts w:hAnsi="宋体"/>
          <w:color w:val="auto"/>
          <w:kern w:val="2"/>
          <w:sz w:val="21"/>
          <w:highlight w:val="none"/>
        </w:rPr>
      </w:pPr>
      <w:r>
        <w:rPr>
          <w:rFonts w:hint="eastAsia" w:hAnsi="宋体"/>
          <w:color w:val="auto"/>
          <w:kern w:val="2"/>
          <w:sz w:val="21"/>
          <w:highlight w:val="none"/>
        </w:rPr>
        <w:t>（4）属于同一集团、协会、商会等组织成员的供应商按照该组织要求协同参加政府采购活动；</w:t>
      </w:r>
    </w:p>
    <w:p w14:paraId="7C2806FC">
      <w:pPr>
        <w:pStyle w:val="25"/>
        <w:snapToGrid w:val="0"/>
        <w:spacing w:line="360" w:lineRule="auto"/>
        <w:ind w:left="2" w:leftChars="1" w:firstLine="420" w:firstLineChars="200"/>
        <w:rPr>
          <w:rFonts w:hAnsi="宋体"/>
          <w:color w:val="auto"/>
          <w:kern w:val="2"/>
          <w:sz w:val="21"/>
          <w:highlight w:val="none"/>
        </w:rPr>
      </w:pPr>
      <w:r>
        <w:rPr>
          <w:rFonts w:hint="eastAsia" w:hAnsi="宋体"/>
          <w:color w:val="auto"/>
          <w:kern w:val="2"/>
          <w:sz w:val="21"/>
          <w:highlight w:val="none"/>
        </w:rPr>
        <w:t>（5）供应商之间事先约定一致抬高或者压低投标报价，或者在招标项目中事先约定轮流以高价位或者低价位中标，或者事先约定由某一特定供应商中标，然后再参加投标；</w:t>
      </w:r>
    </w:p>
    <w:p w14:paraId="5B0FF206">
      <w:pPr>
        <w:pStyle w:val="25"/>
        <w:snapToGrid w:val="0"/>
        <w:spacing w:line="360" w:lineRule="auto"/>
        <w:ind w:left="2" w:leftChars="1" w:firstLine="420" w:firstLineChars="200"/>
        <w:rPr>
          <w:rFonts w:hAnsi="宋体"/>
          <w:color w:val="auto"/>
          <w:kern w:val="2"/>
          <w:sz w:val="21"/>
          <w:highlight w:val="none"/>
        </w:rPr>
      </w:pPr>
      <w:r>
        <w:rPr>
          <w:rFonts w:hint="eastAsia" w:hAnsi="宋体"/>
          <w:color w:val="auto"/>
          <w:kern w:val="2"/>
          <w:sz w:val="21"/>
          <w:highlight w:val="none"/>
        </w:rPr>
        <w:t>（6）供应商之间商定部分供应商放弃参加政府采购活动或者放弃中标；</w:t>
      </w:r>
    </w:p>
    <w:p w14:paraId="2BD54818">
      <w:pPr>
        <w:pStyle w:val="25"/>
        <w:snapToGrid w:val="0"/>
        <w:spacing w:line="360" w:lineRule="auto"/>
        <w:ind w:left="2" w:leftChars="1" w:firstLine="420" w:firstLineChars="200"/>
        <w:rPr>
          <w:rFonts w:hAnsi="宋体"/>
          <w:color w:val="auto"/>
          <w:kern w:val="2"/>
          <w:sz w:val="21"/>
          <w:highlight w:val="none"/>
        </w:rPr>
      </w:pPr>
      <w:r>
        <w:rPr>
          <w:rFonts w:hint="eastAsia" w:hAnsi="宋体"/>
          <w:color w:val="auto"/>
          <w:kern w:val="2"/>
          <w:sz w:val="21"/>
          <w:highlight w:val="none"/>
        </w:rPr>
        <w:t>（7）供应商与采购人或者采购代理机构之间、供应商相互之间，为谋求特定供应商中标或者排斥其他供应商的其他串通行为。</w:t>
      </w:r>
    </w:p>
    <w:p w14:paraId="1185D2B3">
      <w:pPr>
        <w:pStyle w:val="25"/>
        <w:snapToGrid w:val="0"/>
        <w:spacing w:line="360" w:lineRule="auto"/>
        <w:ind w:left="2" w:leftChars="1" w:firstLine="422" w:firstLineChars="200"/>
        <w:rPr>
          <w:rFonts w:hAnsi="宋体"/>
          <w:b/>
          <w:color w:val="auto"/>
          <w:kern w:val="2"/>
          <w:sz w:val="21"/>
          <w:highlight w:val="none"/>
        </w:rPr>
      </w:pPr>
    </w:p>
    <w:p w14:paraId="58271578">
      <w:pPr>
        <w:pStyle w:val="7"/>
        <w:keepNext w:val="0"/>
        <w:keepLines w:val="0"/>
        <w:jc w:val="center"/>
        <w:rPr>
          <w:rFonts w:ascii="宋体" w:hAnsi="宋体"/>
          <w:color w:val="auto"/>
          <w:highlight w:val="none"/>
        </w:rPr>
      </w:pPr>
      <w:bookmarkStart w:id="93" w:name="_Toc254970534"/>
      <w:bookmarkStart w:id="94" w:name="_Toc254970675"/>
      <w:r>
        <w:rPr>
          <w:rFonts w:hint="eastAsia" w:ascii="宋体" w:hAnsi="宋体"/>
          <w:color w:val="auto"/>
          <w:highlight w:val="none"/>
        </w:rPr>
        <w:t>二、招标文件</w:t>
      </w:r>
      <w:bookmarkEnd w:id="93"/>
      <w:bookmarkEnd w:id="94"/>
    </w:p>
    <w:p w14:paraId="116A708E">
      <w:pPr>
        <w:pStyle w:val="8"/>
        <w:keepNext w:val="0"/>
        <w:keepLines w:val="0"/>
        <w:spacing w:before="0" w:after="0" w:line="360" w:lineRule="auto"/>
        <w:ind w:left="420" w:leftChars="200"/>
        <w:rPr>
          <w:rFonts w:ascii="宋体" w:hAnsi="宋体"/>
          <w:color w:val="auto"/>
          <w:sz w:val="24"/>
          <w:highlight w:val="none"/>
        </w:rPr>
      </w:pPr>
      <w:r>
        <w:rPr>
          <w:rFonts w:hint="eastAsia" w:ascii="宋体" w:hAnsi="宋体"/>
          <w:color w:val="auto"/>
          <w:sz w:val="24"/>
          <w:highlight w:val="none"/>
        </w:rPr>
        <w:t>10.招标文件的组成</w:t>
      </w:r>
    </w:p>
    <w:p w14:paraId="12D068B3">
      <w:pPr>
        <w:snapToGrid w:val="0"/>
        <w:spacing w:line="360" w:lineRule="auto"/>
        <w:ind w:firstLine="420"/>
        <w:jc w:val="left"/>
        <w:rPr>
          <w:rFonts w:ascii="宋体" w:hAnsi="宋体"/>
          <w:color w:val="auto"/>
          <w:szCs w:val="21"/>
          <w:highlight w:val="none"/>
        </w:rPr>
      </w:pPr>
      <w:r>
        <w:rPr>
          <w:rFonts w:hint="eastAsia" w:ascii="宋体" w:hAnsi="宋体"/>
          <w:color w:val="auto"/>
          <w:szCs w:val="21"/>
          <w:highlight w:val="none"/>
        </w:rPr>
        <w:t>（1）招标公告；</w:t>
      </w:r>
    </w:p>
    <w:p w14:paraId="6FA63BD6">
      <w:pPr>
        <w:snapToGrid w:val="0"/>
        <w:spacing w:line="360" w:lineRule="auto"/>
        <w:ind w:firstLine="420"/>
        <w:jc w:val="left"/>
        <w:rPr>
          <w:rFonts w:ascii="宋体" w:hAnsi="宋体"/>
          <w:color w:val="auto"/>
          <w:szCs w:val="21"/>
          <w:highlight w:val="none"/>
        </w:rPr>
      </w:pPr>
      <w:r>
        <w:rPr>
          <w:rFonts w:hint="eastAsia" w:ascii="宋体" w:hAnsi="宋体"/>
          <w:color w:val="auto"/>
          <w:szCs w:val="21"/>
          <w:highlight w:val="none"/>
        </w:rPr>
        <w:t xml:space="preserve">（2）采购需求； </w:t>
      </w:r>
    </w:p>
    <w:p w14:paraId="394D7C08">
      <w:pPr>
        <w:snapToGrid w:val="0"/>
        <w:spacing w:line="360" w:lineRule="auto"/>
        <w:ind w:firstLine="420"/>
        <w:jc w:val="left"/>
        <w:rPr>
          <w:rFonts w:ascii="宋体" w:hAnsi="宋体"/>
          <w:color w:val="auto"/>
          <w:szCs w:val="21"/>
          <w:highlight w:val="none"/>
        </w:rPr>
      </w:pPr>
      <w:r>
        <w:rPr>
          <w:rFonts w:hint="eastAsia" w:ascii="宋体" w:hAnsi="宋体"/>
          <w:color w:val="auto"/>
          <w:szCs w:val="21"/>
          <w:highlight w:val="none"/>
        </w:rPr>
        <w:t>（3）投标人须知；</w:t>
      </w:r>
    </w:p>
    <w:p w14:paraId="6CB7FBB7">
      <w:pPr>
        <w:snapToGrid w:val="0"/>
        <w:spacing w:line="360" w:lineRule="auto"/>
        <w:ind w:firstLine="420"/>
        <w:jc w:val="left"/>
        <w:rPr>
          <w:rFonts w:ascii="宋体" w:hAnsi="宋体"/>
          <w:color w:val="auto"/>
          <w:szCs w:val="21"/>
          <w:highlight w:val="none"/>
        </w:rPr>
      </w:pPr>
      <w:r>
        <w:rPr>
          <w:rFonts w:hint="eastAsia" w:ascii="宋体" w:hAnsi="宋体"/>
          <w:color w:val="auto"/>
          <w:szCs w:val="21"/>
          <w:highlight w:val="none"/>
        </w:rPr>
        <w:t>（4）评标方法及评标标准；</w:t>
      </w:r>
    </w:p>
    <w:p w14:paraId="67AE5336">
      <w:pPr>
        <w:snapToGrid w:val="0"/>
        <w:spacing w:line="360" w:lineRule="auto"/>
        <w:ind w:firstLine="420"/>
        <w:jc w:val="left"/>
        <w:rPr>
          <w:rFonts w:ascii="宋体" w:hAnsi="宋体"/>
          <w:color w:val="auto"/>
          <w:szCs w:val="21"/>
          <w:highlight w:val="none"/>
        </w:rPr>
      </w:pPr>
      <w:r>
        <w:rPr>
          <w:rFonts w:hint="eastAsia" w:ascii="宋体" w:hAnsi="宋体"/>
          <w:color w:val="auto"/>
          <w:szCs w:val="21"/>
          <w:highlight w:val="none"/>
        </w:rPr>
        <w:t>（5）拟签订的合同文本；</w:t>
      </w:r>
    </w:p>
    <w:p w14:paraId="4512048E">
      <w:pPr>
        <w:snapToGrid w:val="0"/>
        <w:spacing w:line="360" w:lineRule="auto"/>
        <w:ind w:firstLine="420"/>
        <w:jc w:val="left"/>
        <w:rPr>
          <w:rFonts w:ascii="宋体" w:hAnsi="宋体"/>
          <w:color w:val="auto"/>
          <w:szCs w:val="21"/>
          <w:highlight w:val="none"/>
        </w:rPr>
      </w:pPr>
      <w:r>
        <w:rPr>
          <w:rFonts w:hint="eastAsia" w:ascii="宋体" w:hAnsi="宋体"/>
          <w:color w:val="auto"/>
          <w:szCs w:val="21"/>
          <w:highlight w:val="none"/>
        </w:rPr>
        <w:t>（6）投标文件格式。</w:t>
      </w:r>
    </w:p>
    <w:p w14:paraId="4C4E4627">
      <w:pPr>
        <w:pStyle w:val="8"/>
        <w:keepNext w:val="0"/>
        <w:keepLines w:val="0"/>
        <w:spacing w:before="0" w:after="0" w:line="360" w:lineRule="auto"/>
        <w:ind w:left="420" w:leftChars="200"/>
        <w:rPr>
          <w:rFonts w:ascii="宋体" w:hAnsi="宋体"/>
          <w:color w:val="auto"/>
          <w:sz w:val="24"/>
          <w:highlight w:val="none"/>
        </w:rPr>
      </w:pPr>
      <w:r>
        <w:rPr>
          <w:rFonts w:hint="eastAsia" w:ascii="宋体" w:hAnsi="宋体"/>
          <w:color w:val="auto"/>
          <w:sz w:val="24"/>
          <w:highlight w:val="none"/>
        </w:rPr>
        <w:t>11.招标文件的澄清、修改 、现场考察和答疑会</w:t>
      </w:r>
    </w:p>
    <w:p w14:paraId="2D44B694">
      <w:pPr>
        <w:pStyle w:val="8"/>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11.1投标人应认真审阅本招标文件，如有疑问，或发现其中有误或有要求不合理的，应在招标公告公告期限届满之日起7个工作日内以纸质书面形式要求采购人或采购代理机构对招标文件予以澄清；否则，由此产生的后果由投标人自行负责。</w:t>
      </w:r>
    </w:p>
    <w:p w14:paraId="0366A127">
      <w:pPr>
        <w:pStyle w:val="8"/>
        <w:keepNext w:val="0"/>
        <w:keepLines w:val="0"/>
        <w:numPr>
          <w:ilvl w:val="0"/>
          <w:numId w:val="0"/>
        </w:numPr>
        <w:spacing w:before="0" w:after="0" w:line="360" w:lineRule="auto"/>
        <w:ind w:firstLine="420" w:firstLineChars="200"/>
        <w:rPr>
          <w:rFonts w:ascii="宋体" w:hAnsi="宋体"/>
          <w:color w:val="auto"/>
          <w:highlight w:val="none"/>
        </w:rPr>
      </w:pPr>
      <w:r>
        <w:rPr>
          <w:rFonts w:hint="eastAsia" w:ascii="宋体" w:hAnsi="宋体"/>
          <w:b w:val="0"/>
          <w:color w:val="auto"/>
          <w:sz w:val="21"/>
          <w:szCs w:val="21"/>
          <w:highlight w:val="none"/>
        </w:rPr>
        <w:t>11.2采购人或者采购代理机构可以对已发出的招标文件进行必要的澄清或者修改，但不得改变采购标的和资格条件。澄清或者修改将在原公告发布媒体上发布更正公告。澄清或者修改的内容为招标文件的组成部分。澄清或者修改的内容可能影响投标文件编制的，采购人或者采购代理机构应当在投标截止时间至少15日前，在原公告发布媒体上发布更正公告；不足15日的，采购人或者采购代理机构应当顺延提交投标文件的截止时间。</w:t>
      </w:r>
    </w:p>
    <w:p w14:paraId="58B4D478">
      <w:pPr>
        <w:spacing w:line="360" w:lineRule="auto"/>
        <w:ind w:firstLine="420" w:firstLineChars="200"/>
        <w:rPr>
          <w:rFonts w:ascii="宋体" w:hAnsi="宋体"/>
          <w:color w:val="auto"/>
          <w:szCs w:val="21"/>
          <w:highlight w:val="none"/>
        </w:rPr>
      </w:pPr>
      <w:r>
        <w:rPr>
          <w:rFonts w:hint="eastAsia" w:ascii="宋体" w:hAnsi="宋体"/>
          <w:color w:val="auto"/>
          <w:highlight w:val="none"/>
        </w:rPr>
        <w:t>11.3采购人和采购代理机构可以视采购具体情况，变更投标截止时间和开标时间，并</w:t>
      </w:r>
      <w:r>
        <w:rPr>
          <w:rFonts w:hint="eastAsia" w:ascii="宋体" w:hAnsi="宋体"/>
          <w:color w:val="auto"/>
          <w:szCs w:val="21"/>
          <w:highlight w:val="none"/>
        </w:rPr>
        <w:t>在原公告发布媒体上发布更正公告。</w:t>
      </w:r>
    </w:p>
    <w:p w14:paraId="5CDBB394">
      <w:pPr>
        <w:spacing w:line="360" w:lineRule="auto"/>
        <w:ind w:firstLine="420" w:firstLineChars="200"/>
        <w:rPr>
          <w:rFonts w:ascii="宋体" w:hAnsi="宋体"/>
          <w:color w:val="auto"/>
          <w:highlight w:val="none"/>
        </w:rPr>
      </w:pPr>
      <w:r>
        <w:rPr>
          <w:rFonts w:hint="eastAsia" w:ascii="宋体" w:hAnsi="宋体"/>
          <w:color w:val="auto"/>
          <w:szCs w:val="21"/>
          <w:highlight w:val="none"/>
        </w:rPr>
        <w:t>11.4招标文件澄清、答复、修改、补充的内容为招标文件的组成部分。</w:t>
      </w:r>
      <w:r>
        <w:rPr>
          <w:rFonts w:hint="eastAsia" w:ascii="宋体" w:hAnsi="宋体"/>
          <w:b/>
          <w:color w:val="auto"/>
          <w:szCs w:val="21"/>
          <w:highlight w:val="none"/>
        </w:rPr>
        <w:t>当招标文件与招标文件的澄清、答复、修改、补充通知就同一内容的表述不一致时，以最后发出的文件为准。</w:t>
      </w:r>
    </w:p>
    <w:p w14:paraId="557ECD06">
      <w:pPr>
        <w:pStyle w:val="25"/>
        <w:snapToGrid w:val="0"/>
        <w:spacing w:line="360" w:lineRule="auto"/>
        <w:ind w:firstLine="420" w:firstLineChars="200"/>
        <w:rPr>
          <w:rFonts w:hAnsi="宋体"/>
          <w:color w:val="auto"/>
          <w:sz w:val="21"/>
          <w:highlight w:val="none"/>
        </w:rPr>
      </w:pPr>
      <w:r>
        <w:rPr>
          <w:rFonts w:hint="eastAsia" w:hAnsi="宋体"/>
          <w:color w:val="auto"/>
          <w:sz w:val="21"/>
          <w:highlight w:val="none"/>
        </w:rPr>
        <w:t>1</w:t>
      </w:r>
      <w:r>
        <w:rPr>
          <w:rFonts w:hAnsi="宋体"/>
          <w:color w:val="auto"/>
          <w:sz w:val="21"/>
          <w:highlight w:val="none"/>
        </w:rPr>
        <w:t>1.</w:t>
      </w:r>
      <w:bookmarkStart w:id="95" w:name="_Hlk53134511"/>
      <w:r>
        <w:rPr>
          <w:rFonts w:hint="eastAsia" w:hAnsi="宋体"/>
          <w:color w:val="auto"/>
          <w:sz w:val="21"/>
          <w:highlight w:val="none"/>
        </w:rPr>
        <w:t>5采购人或者采购代理机构可以在招标文件提供期限截止后，组织已获取招标文件的潜在投标人现场考察或者召开开标前答疑会，具体详见“投标人须知前附表”。</w:t>
      </w:r>
    </w:p>
    <w:p w14:paraId="64B84FCB">
      <w:pPr>
        <w:pStyle w:val="25"/>
        <w:snapToGrid w:val="0"/>
        <w:spacing w:line="360" w:lineRule="auto"/>
        <w:ind w:firstLine="420" w:firstLineChars="200"/>
        <w:rPr>
          <w:rFonts w:hAnsi="宋体"/>
          <w:color w:val="auto"/>
          <w:sz w:val="21"/>
          <w:highlight w:val="none"/>
        </w:rPr>
      </w:pPr>
    </w:p>
    <w:bookmarkEnd w:id="95"/>
    <w:p w14:paraId="6EA8845F">
      <w:pPr>
        <w:pStyle w:val="7"/>
        <w:keepNext w:val="0"/>
        <w:keepLines w:val="0"/>
        <w:jc w:val="center"/>
        <w:rPr>
          <w:rFonts w:ascii="宋体" w:hAnsi="宋体"/>
          <w:color w:val="auto"/>
          <w:highlight w:val="none"/>
        </w:rPr>
      </w:pPr>
      <w:bookmarkStart w:id="96" w:name="_Toc254970535"/>
      <w:bookmarkStart w:id="97" w:name="_Toc254970676"/>
      <w:r>
        <w:rPr>
          <w:rFonts w:hint="eastAsia" w:ascii="宋体" w:hAnsi="宋体"/>
          <w:color w:val="auto"/>
          <w:highlight w:val="none"/>
        </w:rPr>
        <w:t>三、投标文件的编制</w:t>
      </w:r>
      <w:bookmarkEnd w:id="96"/>
      <w:bookmarkEnd w:id="97"/>
    </w:p>
    <w:p w14:paraId="7FBE2948">
      <w:pPr>
        <w:pStyle w:val="8"/>
        <w:keepNext w:val="0"/>
        <w:keepLines w:val="0"/>
        <w:spacing w:before="0" w:after="0" w:line="360" w:lineRule="auto"/>
        <w:ind w:left="420" w:leftChars="200"/>
        <w:rPr>
          <w:rFonts w:ascii="宋体" w:hAnsi="宋体"/>
          <w:color w:val="auto"/>
          <w:sz w:val="24"/>
          <w:highlight w:val="none"/>
        </w:rPr>
      </w:pPr>
      <w:bookmarkStart w:id="98" w:name="_Toc254970536"/>
      <w:bookmarkStart w:id="99" w:name="_Toc254970677"/>
      <w:r>
        <w:rPr>
          <w:rFonts w:hint="eastAsia" w:ascii="宋体" w:hAnsi="宋体"/>
          <w:color w:val="auto"/>
          <w:sz w:val="24"/>
          <w:highlight w:val="none"/>
        </w:rPr>
        <w:t>12.投标文件的编制原则</w:t>
      </w:r>
    </w:p>
    <w:p w14:paraId="00B4D705">
      <w:pPr>
        <w:snapToGrid w:val="0"/>
        <w:spacing w:line="360" w:lineRule="auto"/>
        <w:ind w:firstLine="420"/>
        <w:jc w:val="left"/>
        <w:rPr>
          <w:rFonts w:ascii="宋体" w:hAnsi="宋体" w:cs="Courier New"/>
          <w:color w:val="auto"/>
          <w:szCs w:val="21"/>
          <w:highlight w:val="none"/>
        </w:rPr>
      </w:pPr>
      <w:r>
        <w:rPr>
          <w:rFonts w:ascii="宋体" w:hAnsi="宋体"/>
          <w:color w:val="auto"/>
          <w:szCs w:val="21"/>
          <w:highlight w:val="none"/>
        </w:rPr>
        <w:t>投标人必须按照招标文件的要求编制投标文件。投标文件必须对招标文件提出的要求和条件作出明确响应。</w:t>
      </w:r>
    </w:p>
    <w:p w14:paraId="5DCD564B">
      <w:pPr>
        <w:pStyle w:val="8"/>
        <w:keepNext w:val="0"/>
        <w:keepLines w:val="0"/>
        <w:spacing w:before="0" w:after="0" w:line="360" w:lineRule="auto"/>
        <w:ind w:left="420" w:leftChars="200"/>
        <w:rPr>
          <w:rFonts w:ascii="宋体" w:hAnsi="宋体"/>
          <w:color w:val="auto"/>
          <w:sz w:val="24"/>
          <w:highlight w:val="none"/>
        </w:rPr>
      </w:pPr>
      <w:r>
        <w:rPr>
          <w:rFonts w:hint="eastAsia" w:ascii="宋体" w:hAnsi="宋体"/>
          <w:color w:val="auto"/>
          <w:sz w:val="24"/>
          <w:highlight w:val="none"/>
        </w:rPr>
        <w:t>13.投标文件的组成</w:t>
      </w:r>
      <w:bookmarkEnd w:id="98"/>
      <w:bookmarkEnd w:id="99"/>
    </w:p>
    <w:p w14:paraId="622101EC">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3.1</w:t>
      </w:r>
      <w:r>
        <w:rPr>
          <w:rFonts w:hint="eastAsia" w:ascii="宋体" w:hAnsi="宋体"/>
          <w:color w:val="auto"/>
          <w:szCs w:val="21"/>
          <w:highlight w:val="none"/>
        </w:rPr>
        <w:t>投标文件由报价文件、资格证明文件、商务文件、技术文件四部分组成。</w:t>
      </w:r>
    </w:p>
    <w:p w14:paraId="239BC04C">
      <w:pPr>
        <w:pStyle w:val="8"/>
        <w:keepNext w:val="0"/>
        <w:keepLines w:val="0"/>
        <w:spacing w:before="0" w:after="0" w:line="360" w:lineRule="auto"/>
        <w:ind w:left="420" w:leftChars="200"/>
        <w:rPr>
          <w:rFonts w:ascii="宋体" w:hAnsi="宋体"/>
          <w:b w:val="0"/>
          <w:color w:val="auto"/>
          <w:sz w:val="21"/>
          <w:szCs w:val="21"/>
          <w:highlight w:val="none"/>
        </w:rPr>
      </w:pPr>
      <w:bookmarkStart w:id="100" w:name="_13.1报价文件:_具体材料见“投标人须知前附表”。"/>
      <w:bookmarkEnd w:id="100"/>
      <w:r>
        <w:rPr>
          <w:rFonts w:hint="eastAsia" w:ascii="宋体" w:hAnsi="宋体"/>
          <w:b w:val="0"/>
          <w:color w:val="auto"/>
          <w:sz w:val="21"/>
          <w:szCs w:val="21"/>
          <w:highlight w:val="none"/>
        </w:rPr>
        <w:t>（1）报价文件：</w:t>
      </w:r>
      <w:r>
        <w:rPr>
          <w:rFonts w:ascii="宋体" w:hAnsi="宋体"/>
          <w:b w:val="0"/>
          <w:color w:val="auto"/>
          <w:sz w:val="21"/>
          <w:szCs w:val="21"/>
          <w:highlight w:val="none"/>
        </w:rPr>
        <w:t xml:space="preserve"> 具体材料见“投标人须知前附表”</w:t>
      </w:r>
      <w:r>
        <w:rPr>
          <w:rFonts w:hint="eastAsia" w:ascii="宋体" w:hAnsi="宋体"/>
          <w:b w:val="0"/>
          <w:color w:val="auto"/>
          <w:sz w:val="21"/>
          <w:szCs w:val="21"/>
          <w:highlight w:val="none"/>
        </w:rPr>
        <w:t>。</w:t>
      </w:r>
    </w:p>
    <w:p w14:paraId="6DD1FF6E">
      <w:pPr>
        <w:pStyle w:val="8"/>
        <w:keepNext w:val="0"/>
        <w:keepLines w:val="0"/>
        <w:spacing w:before="0" w:after="0" w:line="360" w:lineRule="auto"/>
        <w:ind w:left="420" w:leftChars="200"/>
        <w:rPr>
          <w:rFonts w:ascii="宋体" w:hAnsi="宋体"/>
          <w:b w:val="0"/>
          <w:color w:val="auto"/>
          <w:sz w:val="21"/>
          <w:szCs w:val="21"/>
          <w:highlight w:val="none"/>
        </w:rPr>
      </w:pPr>
      <w:bookmarkStart w:id="101" w:name="_13.2资格证明文件：具体材料见“投标人须知前附表”。"/>
      <w:bookmarkEnd w:id="101"/>
      <w:r>
        <w:rPr>
          <w:rFonts w:hint="eastAsia" w:ascii="宋体" w:hAnsi="宋体"/>
          <w:b w:val="0"/>
          <w:color w:val="auto"/>
          <w:sz w:val="21"/>
          <w:szCs w:val="21"/>
          <w:highlight w:val="none"/>
        </w:rPr>
        <w:t>（</w:t>
      </w:r>
      <w:r>
        <w:rPr>
          <w:rFonts w:ascii="宋体" w:hAnsi="宋体"/>
          <w:b w:val="0"/>
          <w:color w:val="auto"/>
          <w:sz w:val="21"/>
          <w:szCs w:val="21"/>
          <w:highlight w:val="none"/>
        </w:rPr>
        <w:t>2</w:t>
      </w:r>
      <w:r>
        <w:rPr>
          <w:rFonts w:hint="eastAsia" w:ascii="宋体" w:hAnsi="宋体"/>
          <w:b w:val="0"/>
          <w:color w:val="auto"/>
          <w:sz w:val="21"/>
          <w:szCs w:val="21"/>
          <w:highlight w:val="none"/>
        </w:rPr>
        <w:t>）资格证明文件：</w:t>
      </w:r>
      <w:r>
        <w:rPr>
          <w:rFonts w:ascii="宋体" w:hAnsi="宋体"/>
          <w:b w:val="0"/>
          <w:color w:val="auto"/>
          <w:sz w:val="21"/>
          <w:szCs w:val="21"/>
          <w:highlight w:val="none"/>
        </w:rPr>
        <w:t>具体材料见“投标人须知前附表”</w:t>
      </w:r>
      <w:r>
        <w:rPr>
          <w:rFonts w:hint="eastAsia" w:ascii="宋体" w:hAnsi="宋体"/>
          <w:b w:val="0"/>
          <w:color w:val="auto"/>
          <w:sz w:val="21"/>
          <w:szCs w:val="21"/>
          <w:highlight w:val="none"/>
        </w:rPr>
        <w:t>。</w:t>
      </w:r>
    </w:p>
    <w:p w14:paraId="532C681D">
      <w:pPr>
        <w:pStyle w:val="8"/>
        <w:keepNext w:val="0"/>
        <w:keepLines w:val="0"/>
        <w:spacing w:before="0" w:after="0" w:line="360" w:lineRule="auto"/>
        <w:ind w:left="420" w:leftChars="200"/>
        <w:rPr>
          <w:rFonts w:ascii="宋体" w:hAnsi="宋体"/>
          <w:b w:val="0"/>
          <w:color w:val="auto"/>
          <w:sz w:val="21"/>
          <w:szCs w:val="21"/>
          <w:highlight w:val="none"/>
        </w:rPr>
      </w:pPr>
      <w:bookmarkStart w:id="102" w:name="_13.3商务文件:_具体材料见“投标人须知前附表”。"/>
      <w:bookmarkEnd w:id="102"/>
      <w:r>
        <w:rPr>
          <w:rFonts w:hint="eastAsia" w:ascii="宋体" w:hAnsi="宋体"/>
          <w:b w:val="0"/>
          <w:color w:val="auto"/>
          <w:sz w:val="21"/>
          <w:szCs w:val="21"/>
          <w:highlight w:val="none"/>
        </w:rPr>
        <w:t>（</w:t>
      </w:r>
      <w:r>
        <w:rPr>
          <w:rFonts w:ascii="宋体" w:hAnsi="宋体"/>
          <w:b w:val="0"/>
          <w:color w:val="auto"/>
          <w:sz w:val="21"/>
          <w:szCs w:val="21"/>
          <w:highlight w:val="none"/>
        </w:rPr>
        <w:t>3</w:t>
      </w:r>
      <w:r>
        <w:rPr>
          <w:rFonts w:hint="eastAsia" w:ascii="宋体" w:hAnsi="宋体"/>
          <w:b w:val="0"/>
          <w:color w:val="auto"/>
          <w:sz w:val="21"/>
          <w:szCs w:val="21"/>
          <w:highlight w:val="none"/>
        </w:rPr>
        <w:t>）商务文件：</w:t>
      </w:r>
      <w:r>
        <w:rPr>
          <w:rFonts w:ascii="宋体" w:hAnsi="宋体"/>
          <w:b w:val="0"/>
          <w:color w:val="auto"/>
          <w:sz w:val="21"/>
          <w:szCs w:val="21"/>
          <w:highlight w:val="none"/>
        </w:rPr>
        <w:t>具体材料见“投标人须知前附表”</w:t>
      </w:r>
      <w:r>
        <w:rPr>
          <w:rFonts w:hint="eastAsia" w:ascii="宋体" w:hAnsi="宋体"/>
          <w:b w:val="0"/>
          <w:color w:val="auto"/>
          <w:sz w:val="21"/>
          <w:szCs w:val="21"/>
          <w:highlight w:val="none"/>
        </w:rPr>
        <w:t>。</w:t>
      </w:r>
    </w:p>
    <w:p w14:paraId="353E2C0C">
      <w:pPr>
        <w:pStyle w:val="8"/>
        <w:keepNext w:val="0"/>
        <w:keepLines w:val="0"/>
        <w:spacing w:before="0" w:after="0" w:line="360" w:lineRule="auto"/>
        <w:ind w:left="420" w:leftChars="200"/>
        <w:rPr>
          <w:rFonts w:ascii="宋体" w:hAnsi="宋体"/>
          <w:b w:val="0"/>
          <w:color w:val="auto"/>
          <w:sz w:val="21"/>
          <w:szCs w:val="21"/>
          <w:highlight w:val="none"/>
        </w:rPr>
      </w:pPr>
      <w:bookmarkStart w:id="103" w:name="_13.4技术文件：具体材料见“投标人须知前附表”。"/>
      <w:bookmarkEnd w:id="103"/>
      <w:r>
        <w:rPr>
          <w:rFonts w:hint="eastAsia" w:ascii="宋体" w:hAnsi="宋体"/>
          <w:b w:val="0"/>
          <w:color w:val="auto"/>
          <w:sz w:val="21"/>
          <w:szCs w:val="21"/>
          <w:highlight w:val="none"/>
        </w:rPr>
        <w:t>（</w:t>
      </w:r>
      <w:r>
        <w:rPr>
          <w:rFonts w:ascii="宋体" w:hAnsi="宋体"/>
          <w:b w:val="0"/>
          <w:color w:val="auto"/>
          <w:sz w:val="21"/>
          <w:szCs w:val="21"/>
          <w:highlight w:val="none"/>
        </w:rPr>
        <w:t>4</w:t>
      </w:r>
      <w:r>
        <w:rPr>
          <w:rFonts w:hint="eastAsia" w:ascii="宋体" w:hAnsi="宋体"/>
          <w:b w:val="0"/>
          <w:color w:val="auto"/>
          <w:sz w:val="21"/>
          <w:szCs w:val="21"/>
          <w:highlight w:val="none"/>
        </w:rPr>
        <w:t>）技术文件：</w:t>
      </w:r>
      <w:r>
        <w:rPr>
          <w:rFonts w:ascii="宋体" w:hAnsi="宋体"/>
          <w:b w:val="0"/>
          <w:color w:val="auto"/>
          <w:sz w:val="21"/>
          <w:szCs w:val="21"/>
          <w:highlight w:val="none"/>
        </w:rPr>
        <w:t>具体材料见“投标人须知前附表”</w:t>
      </w:r>
      <w:r>
        <w:rPr>
          <w:rFonts w:hint="eastAsia" w:ascii="宋体" w:hAnsi="宋体"/>
          <w:b w:val="0"/>
          <w:color w:val="auto"/>
          <w:sz w:val="21"/>
          <w:szCs w:val="21"/>
          <w:highlight w:val="none"/>
        </w:rPr>
        <w:t>。</w:t>
      </w:r>
      <w:bookmarkStart w:id="104" w:name="_13.5投标文件电子版：具体材料见“投标人须知前附表”。"/>
      <w:bookmarkEnd w:id="104"/>
    </w:p>
    <w:p w14:paraId="38787E68">
      <w:pPr>
        <w:pStyle w:val="8"/>
        <w:keepNext w:val="0"/>
        <w:keepLines w:val="0"/>
        <w:spacing w:before="0" w:after="0" w:line="360" w:lineRule="auto"/>
        <w:ind w:left="420" w:leftChars="200"/>
        <w:rPr>
          <w:rFonts w:ascii="宋体" w:hAnsi="宋体"/>
          <w:color w:val="auto"/>
          <w:sz w:val="24"/>
          <w:highlight w:val="none"/>
        </w:rPr>
      </w:pPr>
      <w:bookmarkStart w:id="105" w:name="_Toc254970537"/>
      <w:bookmarkStart w:id="106" w:name="_Toc254970678"/>
      <w:r>
        <w:rPr>
          <w:rFonts w:hint="eastAsia" w:ascii="宋体" w:hAnsi="宋体"/>
          <w:color w:val="auto"/>
          <w:sz w:val="24"/>
          <w:highlight w:val="none"/>
        </w:rPr>
        <w:t>14.投标文件的语言及计量</w:t>
      </w:r>
      <w:bookmarkEnd w:id="105"/>
      <w:bookmarkEnd w:id="106"/>
    </w:p>
    <w:p w14:paraId="69AF05D4">
      <w:pPr>
        <w:pStyle w:val="8"/>
        <w:keepNext w:val="0"/>
        <w:keepLines w:val="0"/>
        <w:spacing w:before="0" w:after="0" w:line="360" w:lineRule="auto"/>
        <w:ind w:left="420" w:leftChars="200"/>
        <w:rPr>
          <w:rFonts w:ascii="宋体" w:hAnsi="宋体"/>
          <w:b w:val="0"/>
          <w:color w:val="auto"/>
          <w:sz w:val="21"/>
          <w:szCs w:val="21"/>
          <w:highlight w:val="none"/>
        </w:rPr>
      </w:pPr>
      <w:r>
        <w:rPr>
          <w:rFonts w:hint="eastAsia" w:ascii="宋体" w:hAnsi="宋体"/>
          <w:b w:val="0"/>
          <w:color w:val="auto"/>
          <w:sz w:val="21"/>
          <w:szCs w:val="21"/>
          <w:highlight w:val="none"/>
        </w:rPr>
        <w:t>14.1语言文字</w:t>
      </w:r>
    </w:p>
    <w:p w14:paraId="6C06CF0F">
      <w:pPr>
        <w:pStyle w:val="8"/>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272220F4">
      <w:pPr>
        <w:pStyle w:val="8"/>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14.2投标计量单位</w:t>
      </w:r>
    </w:p>
    <w:p w14:paraId="12C6DD1B">
      <w:pPr>
        <w:pStyle w:val="8"/>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招标文件已有明确规定的，使用招标文件规定的计量单位；招标文件没有规定的，应采用中华人民共和国法定计量单位，货币种类为人民币，否则视同未响应。</w:t>
      </w:r>
    </w:p>
    <w:p w14:paraId="2B004462">
      <w:pPr>
        <w:pStyle w:val="8"/>
        <w:keepNext w:val="0"/>
        <w:keepLines w:val="0"/>
        <w:spacing w:before="0" w:after="0" w:line="360" w:lineRule="auto"/>
        <w:ind w:left="420" w:leftChars="200"/>
        <w:rPr>
          <w:rFonts w:ascii="宋体" w:hAnsi="宋体"/>
          <w:color w:val="auto"/>
          <w:sz w:val="24"/>
          <w:highlight w:val="none"/>
        </w:rPr>
      </w:pPr>
      <w:r>
        <w:rPr>
          <w:rFonts w:hint="eastAsia" w:ascii="宋体" w:hAnsi="宋体"/>
          <w:color w:val="auto"/>
          <w:sz w:val="24"/>
          <w:highlight w:val="none"/>
        </w:rPr>
        <w:t>15.投标的风险</w:t>
      </w:r>
    </w:p>
    <w:p w14:paraId="74A0976F">
      <w:pPr>
        <w:pStyle w:val="25"/>
        <w:snapToGrid w:val="0"/>
        <w:spacing w:line="360" w:lineRule="auto"/>
        <w:ind w:firstLine="420" w:firstLineChars="200"/>
        <w:jc w:val="left"/>
        <w:rPr>
          <w:rFonts w:hAnsi="宋体"/>
          <w:color w:val="auto"/>
          <w:sz w:val="21"/>
          <w:highlight w:val="none"/>
        </w:rPr>
      </w:pPr>
      <w:r>
        <w:rPr>
          <w:rFonts w:hint="eastAsia" w:hAnsi="宋体"/>
          <w:color w:val="auto"/>
          <w:sz w:val="21"/>
          <w:highlight w:val="none"/>
        </w:rPr>
        <w:t>投标人没有按照招标文件要求提供全部资料，或者投标人没有对招标文件作出实质性响应是投标人的风险，并可能导致其投标被拒绝。</w:t>
      </w:r>
    </w:p>
    <w:p w14:paraId="1C1DF6AD">
      <w:pPr>
        <w:pStyle w:val="8"/>
        <w:keepNext w:val="0"/>
        <w:keepLines w:val="0"/>
        <w:spacing w:before="0" w:after="0" w:line="360" w:lineRule="auto"/>
        <w:ind w:left="420" w:leftChars="200"/>
        <w:rPr>
          <w:rFonts w:ascii="宋体" w:hAnsi="宋体"/>
          <w:color w:val="auto"/>
          <w:sz w:val="24"/>
          <w:highlight w:val="none"/>
        </w:rPr>
      </w:pPr>
      <w:bookmarkStart w:id="107" w:name="_Toc254970679"/>
      <w:bookmarkStart w:id="108" w:name="_Toc254970538"/>
      <w:r>
        <w:rPr>
          <w:rFonts w:hint="eastAsia" w:ascii="宋体" w:hAnsi="宋体"/>
          <w:color w:val="auto"/>
          <w:sz w:val="24"/>
          <w:highlight w:val="none"/>
        </w:rPr>
        <w:t>16.投标报价</w:t>
      </w:r>
      <w:bookmarkEnd w:id="107"/>
      <w:bookmarkEnd w:id="108"/>
    </w:p>
    <w:p w14:paraId="2E5FF88F">
      <w:pPr>
        <w:pStyle w:val="8"/>
        <w:keepNext w:val="0"/>
        <w:keepLines w:val="0"/>
        <w:spacing w:before="0" w:after="0" w:line="360" w:lineRule="auto"/>
        <w:ind w:left="420" w:leftChars="200"/>
        <w:rPr>
          <w:rFonts w:ascii="宋体" w:hAnsi="宋体"/>
          <w:b w:val="0"/>
          <w:color w:val="auto"/>
          <w:sz w:val="21"/>
          <w:szCs w:val="21"/>
          <w:highlight w:val="none"/>
        </w:rPr>
      </w:pPr>
      <w:r>
        <w:rPr>
          <w:rFonts w:hint="eastAsia" w:ascii="宋体" w:hAnsi="宋体"/>
          <w:b w:val="0"/>
          <w:color w:val="auto"/>
          <w:sz w:val="21"/>
          <w:szCs w:val="21"/>
          <w:highlight w:val="none"/>
        </w:rPr>
        <w:t>16.1投标报价应按“第六章　投标文件格式”中“开标一览表”格式填写。</w:t>
      </w:r>
    </w:p>
    <w:p w14:paraId="008D526B">
      <w:pPr>
        <w:pStyle w:val="8"/>
        <w:keepNext w:val="0"/>
        <w:keepLines w:val="0"/>
        <w:spacing w:before="0" w:after="0" w:line="360" w:lineRule="auto"/>
        <w:ind w:left="420" w:leftChars="200"/>
        <w:rPr>
          <w:rFonts w:ascii="宋体" w:hAnsi="宋体"/>
          <w:b w:val="0"/>
          <w:color w:val="auto"/>
          <w:sz w:val="21"/>
          <w:szCs w:val="21"/>
          <w:highlight w:val="none"/>
        </w:rPr>
      </w:pPr>
      <w:bookmarkStart w:id="109" w:name="_16.2投标报价具体定义见投标人须知前附表。"/>
      <w:bookmarkEnd w:id="109"/>
      <w:r>
        <w:rPr>
          <w:rFonts w:hint="eastAsia" w:ascii="宋体" w:hAnsi="宋体"/>
          <w:b w:val="0"/>
          <w:color w:val="auto"/>
          <w:sz w:val="21"/>
          <w:szCs w:val="21"/>
          <w:highlight w:val="none"/>
        </w:rPr>
        <w:t>16.2投标报价具体包括内容详见“投标人须知前附表”。</w:t>
      </w:r>
    </w:p>
    <w:p w14:paraId="423CBE4E">
      <w:pPr>
        <w:pStyle w:val="8"/>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16.3投标人必须就所投每个分标的全部内容分别作完整唯一总价报价，不得存在漏项报价；投标人必须就所投分标的单项内容作唯一报价。</w:t>
      </w:r>
    </w:p>
    <w:p w14:paraId="31D5776B">
      <w:pPr>
        <w:pStyle w:val="8"/>
        <w:keepNext w:val="0"/>
        <w:keepLines w:val="0"/>
        <w:spacing w:before="0" w:after="0" w:line="360" w:lineRule="auto"/>
        <w:ind w:left="420" w:leftChars="200"/>
        <w:rPr>
          <w:rFonts w:ascii="宋体" w:hAnsi="宋体"/>
          <w:color w:val="auto"/>
          <w:sz w:val="24"/>
          <w:highlight w:val="none"/>
        </w:rPr>
      </w:pPr>
      <w:r>
        <w:rPr>
          <w:rFonts w:hint="eastAsia" w:ascii="宋体" w:hAnsi="宋体"/>
          <w:color w:val="auto"/>
          <w:sz w:val="24"/>
          <w:highlight w:val="none"/>
        </w:rPr>
        <w:t>17.投标有效期</w:t>
      </w:r>
    </w:p>
    <w:p w14:paraId="6DB28C34">
      <w:pPr>
        <w:pStyle w:val="8"/>
        <w:keepNext w:val="0"/>
        <w:keepLines w:val="0"/>
        <w:spacing w:before="0" w:after="0" w:line="360" w:lineRule="auto"/>
        <w:ind w:firstLine="420" w:firstLineChars="200"/>
        <w:rPr>
          <w:rFonts w:ascii="宋体" w:hAnsi="宋体"/>
          <w:b w:val="0"/>
          <w:color w:val="auto"/>
          <w:sz w:val="21"/>
          <w:szCs w:val="21"/>
          <w:highlight w:val="none"/>
        </w:rPr>
      </w:pPr>
      <w:bookmarkStart w:id="110" w:name="_17.1投标有效期应按“投标人须知中的前附表”规定的期限。"/>
      <w:bookmarkEnd w:id="110"/>
      <w:r>
        <w:rPr>
          <w:rFonts w:hint="eastAsia" w:ascii="宋体" w:hAnsi="宋体"/>
          <w:b w:val="0"/>
          <w:color w:val="auto"/>
          <w:sz w:val="21"/>
          <w:szCs w:val="21"/>
          <w:highlight w:val="none"/>
        </w:rPr>
        <w:t>17.1投标有效期是指为保证采购人有足够的时间在开标后完成评标、定标、合同签订等工作而要求投标人提交的投标文件在一定时间内保持有效的期限。</w:t>
      </w:r>
    </w:p>
    <w:p w14:paraId="0FA809FD">
      <w:pPr>
        <w:pStyle w:val="8"/>
        <w:keepNext w:val="0"/>
        <w:keepLines w:val="0"/>
        <w:spacing w:before="0" w:after="0" w:line="360" w:lineRule="auto"/>
        <w:ind w:left="420" w:leftChars="200"/>
        <w:rPr>
          <w:rFonts w:ascii="宋体" w:hAnsi="宋体"/>
          <w:b w:val="0"/>
          <w:color w:val="auto"/>
          <w:sz w:val="21"/>
          <w:szCs w:val="21"/>
          <w:highlight w:val="none"/>
        </w:rPr>
      </w:pPr>
      <w:r>
        <w:rPr>
          <w:rFonts w:hint="eastAsia" w:ascii="宋体" w:hAnsi="宋体"/>
          <w:b w:val="0"/>
          <w:color w:val="auto"/>
          <w:sz w:val="21"/>
          <w:szCs w:val="21"/>
          <w:highlight w:val="none"/>
        </w:rPr>
        <w:t>17.2</w:t>
      </w:r>
      <w:bookmarkStart w:id="111" w:name="_Toc254970681"/>
      <w:bookmarkStart w:id="112" w:name="_Toc254970540"/>
      <w:r>
        <w:rPr>
          <w:rFonts w:hint="eastAsia" w:ascii="宋体" w:hAnsi="宋体"/>
          <w:b w:val="0"/>
          <w:color w:val="auto"/>
          <w:sz w:val="21"/>
          <w:szCs w:val="21"/>
          <w:highlight w:val="none"/>
        </w:rPr>
        <w:t xml:space="preserve"> 投标有效期应按规定的期限作出承诺，具体详见“投标人须知前附表”。</w:t>
      </w:r>
    </w:p>
    <w:p w14:paraId="29FF5FCC">
      <w:pPr>
        <w:pStyle w:val="8"/>
        <w:keepNext w:val="0"/>
        <w:keepLines w:val="0"/>
        <w:spacing w:before="0" w:after="0" w:line="360" w:lineRule="auto"/>
        <w:ind w:left="420" w:leftChars="200"/>
        <w:rPr>
          <w:rFonts w:ascii="宋体" w:hAnsi="宋体"/>
          <w:b w:val="0"/>
          <w:color w:val="auto"/>
          <w:sz w:val="21"/>
          <w:szCs w:val="21"/>
          <w:highlight w:val="none"/>
        </w:rPr>
      </w:pPr>
      <w:r>
        <w:rPr>
          <w:rFonts w:hint="eastAsia" w:ascii="宋体" w:hAnsi="宋体"/>
          <w:b w:val="0"/>
          <w:color w:val="auto"/>
          <w:sz w:val="21"/>
          <w:szCs w:val="21"/>
          <w:highlight w:val="none"/>
        </w:rPr>
        <w:t>17.3投标人的投标文件在投标有效期内均保持有效。</w:t>
      </w:r>
      <w:bookmarkEnd w:id="111"/>
      <w:bookmarkEnd w:id="112"/>
    </w:p>
    <w:p w14:paraId="6830418A">
      <w:pPr>
        <w:pStyle w:val="8"/>
        <w:keepNext w:val="0"/>
        <w:keepLines w:val="0"/>
        <w:spacing w:before="0" w:after="0" w:line="360" w:lineRule="auto"/>
        <w:ind w:left="420" w:leftChars="200"/>
        <w:rPr>
          <w:rFonts w:ascii="宋体" w:hAnsi="宋体"/>
          <w:color w:val="auto"/>
          <w:sz w:val="24"/>
          <w:highlight w:val="none"/>
        </w:rPr>
      </w:pPr>
      <w:bookmarkStart w:id="113" w:name="_18.投标保证金"/>
      <w:bookmarkEnd w:id="113"/>
      <w:bookmarkStart w:id="114" w:name="_Toc254970541"/>
      <w:bookmarkStart w:id="115" w:name="_Toc254970682"/>
      <w:r>
        <w:rPr>
          <w:rFonts w:hint="eastAsia" w:ascii="宋体" w:hAnsi="宋体"/>
          <w:color w:val="auto"/>
          <w:sz w:val="24"/>
          <w:highlight w:val="none"/>
        </w:rPr>
        <w:t>18.投标保证金</w:t>
      </w:r>
      <w:bookmarkEnd w:id="114"/>
      <w:bookmarkEnd w:id="115"/>
    </w:p>
    <w:p w14:paraId="2A43F664">
      <w:pPr>
        <w:pStyle w:val="8"/>
        <w:keepNext w:val="0"/>
        <w:keepLines w:val="0"/>
        <w:spacing w:before="0" w:after="0" w:line="360" w:lineRule="auto"/>
        <w:ind w:left="420" w:leftChars="200"/>
        <w:rPr>
          <w:rFonts w:ascii="宋体" w:hAnsi="宋体"/>
          <w:b w:val="0"/>
          <w:color w:val="auto"/>
          <w:sz w:val="21"/>
          <w:szCs w:val="21"/>
          <w:highlight w:val="none"/>
        </w:rPr>
      </w:pPr>
      <w:r>
        <w:rPr>
          <w:rFonts w:hint="eastAsia" w:ascii="宋体" w:hAnsi="宋体"/>
          <w:b w:val="0"/>
          <w:color w:val="auto"/>
          <w:sz w:val="21"/>
          <w:szCs w:val="21"/>
          <w:highlight w:val="none"/>
        </w:rPr>
        <w:t>18.1投标人须按“投标人须知前附表” 的规定提交投标保证金。</w:t>
      </w:r>
    </w:p>
    <w:p w14:paraId="6FC6E836">
      <w:pPr>
        <w:pStyle w:val="8"/>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18.2投标保证金的退还</w:t>
      </w:r>
    </w:p>
    <w:p w14:paraId="1AE07D13">
      <w:pPr>
        <w:pStyle w:val="8"/>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 xml:space="preserve">未中标人的投标保证金自中标通知书发出之日起4个工作日内退还；中标人的投标保证金自政府采购合同签订之日起4个工作日内退还。 </w:t>
      </w:r>
    </w:p>
    <w:p w14:paraId="217A7050">
      <w:pPr>
        <w:pStyle w:val="8"/>
        <w:keepNext w:val="0"/>
        <w:keepLines w:val="0"/>
        <w:spacing w:before="0" w:after="0" w:line="360" w:lineRule="auto"/>
        <w:ind w:left="420" w:leftChars="200"/>
        <w:rPr>
          <w:rFonts w:ascii="宋体" w:hAnsi="宋体"/>
          <w:b w:val="0"/>
          <w:color w:val="auto"/>
          <w:sz w:val="21"/>
          <w:szCs w:val="21"/>
          <w:highlight w:val="none"/>
        </w:rPr>
      </w:pPr>
      <w:r>
        <w:rPr>
          <w:rFonts w:hint="eastAsia" w:ascii="宋体" w:hAnsi="宋体"/>
          <w:b w:val="0"/>
          <w:color w:val="auto"/>
          <w:sz w:val="21"/>
          <w:szCs w:val="21"/>
          <w:highlight w:val="none"/>
        </w:rPr>
        <w:t>18.3除逾期退还投标保证金和终止招标的情形以外，投标保证金不计息。</w:t>
      </w:r>
    </w:p>
    <w:p w14:paraId="41125CCC">
      <w:pPr>
        <w:pStyle w:val="8"/>
        <w:keepNext w:val="0"/>
        <w:keepLines w:val="0"/>
        <w:spacing w:before="0" w:after="0" w:line="360" w:lineRule="auto"/>
        <w:ind w:left="420" w:leftChars="200"/>
        <w:rPr>
          <w:rFonts w:ascii="宋体" w:hAnsi="宋体"/>
          <w:b w:val="0"/>
          <w:color w:val="auto"/>
          <w:sz w:val="21"/>
          <w:szCs w:val="21"/>
          <w:highlight w:val="none"/>
        </w:rPr>
      </w:pPr>
      <w:r>
        <w:rPr>
          <w:rFonts w:hint="eastAsia" w:ascii="宋体" w:hAnsi="宋体"/>
          <w:b w:val="0"/>
          <w:color w:val="auto"/>
          <w:sz w:val="21"/>
          <w:szCs w:val="21"/>
          <w:highlight w:val="none"/>
        </w:rPr>
        <w:t xml:space="preserve">18.4投标人有下列情形之一的，投标保证金将不予退还： </w:t>
      </w:r>
    </w:p>
    <w:p w14:paraId="6D2A8073">
      <w:pPr>
        <w:snapToGrid w:val="0"/>
        <w:spacing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（1）投标人在投标有效期内撤销投标文件的；</w:t>
      </w:r>
    </w:p>
    <w:p w14:paraId="1D3BE0BD">
      <w:pPr>
        <w:snapToGrid w:val="0"/>
        <w:spacing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（2）未按规定提交履约保证金的；</w:t>
      </w:r>
    </w:p>
    <w:p w14:paraId="3A0B71F1">
      <w:pPr>
        <w:snapToGrid w:val="0"/>
        <w:spacing w:line="360" w:lineRule="auto"/>
        <w:ind w:firstLine="411" w:firstLineChars="196"/>
        <w:jc w:val="left"/>
        <w:rPr>
          <w:rFonts w:ascii="宋体" w:hAnsi="宋体"/>
          <w:color w:val="auto"/>
          <w:szCs w:val="21"/>
          <w:highlight w:val="none"/>
        </w:rPr>
      </w:pPr>
      <w:r>
        <w:rPr>
          <w:rFonts w:hint="eastAsia" w:ascii="宋体" w:hAnsi="宋体"/>
          <w:color w:val="auto"/>
          <w:szCs w:val="21"/>
          <w:highlight w:val="none"/>
        </w:rPr>
        <w:t>（3）投标人在投标过程中弄虚作假，提供虚假材料的；</w:t>
      </w:r>
    </w:p>
    <w:p w14:paraId="63966888">
      <w:pPr>
        <w:snapToGrid w:val="0"/>
        <w:spacing w:line="360" w:lineRule="auto"/>
        <w:ind w:firstLine="411" w:firstLineChars="196"/>
        <w:rPr>
          <w:rFonts w:ascii="宋体" w:hAnsi="宋体"/>
          <w:color w:val="auto"/>
          <w:szCs w:val="21"/>
          <w:highlight w:val="none"/>
        </w:rPr>
      </w:pPr>
      <w:r>
        <w:rPr>
          <w:rFonts w:hint="eastAsia" w:ascii="宋体" w:hAnsi="宋体"/>
          <w:color w:val="auto"/>
          <w:szCs w:val="21"/>
          <w:highlight w:val="none"/>
        </w:rPr>
        <w:t>（4）中标人无正当理由不与采购人签订合同的；</w:t>
      </w:r>
    </w:p>
    <w:p w14:paraId="2231258F">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（5）投标人出现本章第9.2、9.3情形的；</w:t>
      </w:r>
    </w:p>
    <w:p w14:paraId="7FC49331">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w:t>
      </w:r>
      <w:r>
        <w:rPr>
          <w:rFonts w:hint="eastAsia" w:ascii="宋体" w:hAnsi="宋体" w:cs="宋体"/>
          <w:color w:val="auto"/>
          <w:szCs w:val="21"/>
          <w:highlight w:val="none"/>
        </w:rPr>
        <w:t>法律法规规定的其他情形</w:t>
      </w:r>
      <w:r>
        <w:rPr>
          <w:rFonts w:hint="eastAsia" w:ascii="宋体" w:hAnsi="宋体"/>
          <w:color w:val="auto"/>
          <w:szCs w:val="21"/>
          <w:highlight w:val="none"/>
        </w:rPr>
        <w:t>。</w:t>
      </w:r>
    </w:p>
    <w:p w14:paraId="4BAA5B2A">
      <w:pPr>
        <w:pStyle w:val="8"/>
        <w:keepNext w:val="0"/>
        <w:keepLines w:val="0"/>
        <w:spacing w:before="0" w:after="0" w:line="360" w:lineRule="auto"/>
        <w:ind w:left="420" w:leftChars="200"/>
        <w:rPr>
          <w:rFonts w:ascii="宋体" w:hAnsi="宋体"/>
          <w:color w:val="auto"/>
          <w:sz w:val="24"/>
          <w:highlight w:val="none"/>
        </w:rPr>
      </w:pPr>
      <w:bookmarkStart w:id="116" w:name="_Toc254970683"/>
      <w:bookmarkStart w:id="117" w:name="_Toc254970542"/>
      <w:r>
        <w:rPr>
          <w:rFonts w:hint="eastAsia" w:ascii="宋体" w:hAnsi="宋体"/>
          <w:color w:val="auto"/>
          <w:sz w:val="24"/>
          <w:highlight w:val="none"/>
        </w:rPr>
        <w:t>19.投标文件的</w:t>
      </w:r>
      <w:bookmarkEnd w:id="116"/>
      <w:bookmarkEnd w:id="117"/>
      <w:r>
        <w:rPr>
          <w:rFonts w:hint="eastAsia" w:ascii="宋体" w:hAnsi="宋体"/>
          <w:color w:val="auto"/>
          <w:sz w:val="24"/>
          <w:highlight w:val="none"/>
        </w:rPr>
        <w:t>编制</w:t>
      </w:r>
    </w:p>
    <w:p w14:paraId="33E7FB54">
      <w:pPr>
        <w:pStyle w:val="8"/>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19.1投标人应按本招标文件规定的格式和顺序编制、装订投标文件并标注页码，投标文件内容不完整、编排混乱导致投标文件被误读、漏读或者查找不到相关内容的，由此引发的后果由投标人承担。</w:t>
      </w:r>
    </w:p>
    <w:p w14:paraId="1E70B989">
      <w:pPr>
        <w:pStyle w:val="8"/>
        <w:keepNext w:val="0"/>
        <w:keepLines w:val="0"/>
        <w:numPr>
          <w:ilvl w:val="0"/>
          <w:numId w:val="0"/>
        </w:numPr>
        <w:spacing w:before="0" w:after="0" w:line="360" w:lineRule="auto"/>
        <w:ind w:firstLine="420" w:firstLineChars="200"/>
        <w:rPr>
          <w:rFonts w:ascii="宋体" w:hAnsi="宋体"/>
          <w:b w:val="0"/>
          <w:color w:val="auto"/>
          <w:sz w:val="21"/>
          <w:szCs w:val="21"/>
          <w:highlight w:val="none"/>
        </w:rPr>
      </w:pPr>
      <w:bookmarkStart w:id="118" w:name="_19.2投标文件应按报价文件、资格证明文件、商务文件、技术文件分别编制"/>
      <w:bookmarkEnd w:id="118"/>
      <w:r>
        <w:rPr>
          <w:rFonts w:hint="eastAsia" w:ascii="宋体" w:hAnsi="宋体"/>
          <w:b w:val="0"/>
          <w:color w:val="auto"/>
          <w:sz w:val="21"/>
          <w:szCs w:val="21"/>
          <w:highlight w:val="none"/>
        </w:rPr>
        <w:t>19.2投标文件应按报价文件、资格证明文件、商务文件、技术文件分别编制电子文件，并按广西政府采购云平台的要求编制、加密、上传。</w:t>
      </w:r>
    </w:p>
    <w:p w14:paraId="7776C0DF">
      <w:pPr>
        <w:pStyle w:val="8"/>
        <w:keepNext w:val="0"/>
        <w:keepLines w:val="0"/>
        <w:numPr>
          <w:ilvl w:val="0"/>
          <w:numId w:val="0"/>
        </w:numPr>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19.</w:t>
      </w:r>
      <w:bookmarkStart w:id="119" w:name="_Hlk65832616"/>
      <w:r>
        <w:rPr>
          <w:rFonts w:hint="eastAsia" w:ascii="宋体" w:hAnsi="宋体"/>
          <w:b w:val="0"/>
          <w:color w:val="auto"/>
          <w:sz w:val="21"/>
          <w:szCs w:val="21"/>
          <w:highlight w:val="none"/>
        </w:rPr>
        <w:t>3投标文件须由投标人在规定位置盖公章并签字</w:t>
      </w:r>
      <w:bookmarkStart w:id="120" w:name="_Hlk65832569"/>
      <w:r>
        <w:rPr>
          <w:rFonts w:hint="eastAsia" w:ascii="宋体" w:hAnsi="宋体"/>
          <w:b w:val="0"/>
          <w:color w:val="auto"/>
          <w:sz w:val="21"/>
          <w:szCs w:val="21"/>
          <w:highlight w:val="none"/>
        </w:rPr>
        <w:t>（具体以投标人须知前附表或投标文件格式规定为准）</w:t>
      </w:r>
      <w:bookmarkEnd w:id="119"/>
      <w:bookmarkEnd w:id="120"/>
      <w:r>
        <w:rPr>
          <w:rFonts w:hint="eastAsia" w:ascii="宋体" w:hAnsi="宋体"/>
          <w:b w:val="0"/>
          <w:color w:val="auto"/>
          <w:sz w:val="21"/>
          <w:szCs w:val="21"/>
          <w:highlight w:val="none"/>
        </w:rPr>
        <w:t>，</w:t>
      </w:r>
      <w:r>
        <w:rPr>
          <w:rFonts w:hint="eastAsia" w:ascii="宋体" w:hAnsi="宋体"/>
          <w:bCs/>
          <w:color w:val="auto"/>
          <w:sz w:val="21"/>
          <w:szCs w:val="21"/>
          <w:highlight w:val="none"/>
        </w:rPr>
        <w:t>否则按无效投标处理</w:t>
      </w:r>
      <w:r>
        <w:rPr>
          <w:rFonts w:hint="eastAsia" w:ascii="宋体" w:hAnsi="宋体"/>
          <w:b w:val="0"/>
          <w:color w:val="auto"/>
          <w:sz w:val="21"/>
          <w:szCs w:val="21"/>
          <w:highlight w:val="none"/>
        </w:rPr>
        <w:t>。</w:t>
      </w:r>
    </w:p>
    <w:p w14:paraId="1A305604">
      <w:pPr>
        <w:pStyle w:val="8"/>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19.4投标文件中标注的投标人名称应与主体资格证明（如营业执照、事业单位法人证书、执业许可证、自然人身份证等）及公章一致，</w:t>
      </w:r>
      <w:r>
        <w:rPr>
          <w:rFonts w:hint="eastAsia" w:ascii="宋体" w:hAnsi="宋体"/>
          <w:color w:val="auto"/>
          <w:sz w:val="21"/>
          <w:szCs w:val="21"/>
          <w:highlight w:val="none"/>
        </w:rPr>
        <w:t>否则按无效投标处理</w:t>
      </w:r>
      <w:r>
        <w:rPr>
          <w:rFonts w:hint="eastAsia" w:ascii="宋体" w:hAnsi="宋体"/>
          <w:b w:val="0"/>
          <w:color w:val="auto"/>
          <w:sz w:val="21"/>
          <w:szCs w:val="21"/>
          <w:highlight w:val="none"/>
        </w:rPr>
        <w:t>。</w:t>
      </w:r>
    </w:p>
    <w:p w14:paraId="2D40C3DD">
      <w:pPr>
        <w:pStyle w:val="8"/>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19.5投标文件应尽量避免涂改、行间插字或者删除。如果出现上述情况，改动之处应由投标人的法定代表人或者其委托代理人签字或者加盖公章。投标文件因字迹潦草或者表达不清所引起的后果由投标人承担。</w:t>
      </w:r>
    </w:p>
    <w:p w14:paraId="1C1C6AA8">
      <w:pPr>
        <w:pStyle w:val="8"/>
        <w:keepNext w:val="0"/>
        <w:keepLines w:val="0"/>
        <w:spacing w:before="0" w:after="0" w:line="360" w:lineRule="auto"/>
        <w:ind w:left="420" w:leftChars="200"/>
        <w:rPr>
          <w:rFonts w:ascii="宋体" w:hAnsi="宋体"/>
          <w:color w:val="auto"/>
          <w:sz w:val="24"/>
          <w:highlight w:val="none"/>
        </w:rPr>
      </w:pPr>
      <w:r>
        <w:rPr>
          <w:rFonts w:hint="eastAsia" w:ascii="宋体" w:hAnsi="宋体"/>
          <w:color w:val="auto"/>
          <w:sz w:val="24"/>
          <w:highlight w:val="none"/>
        </w:rPr>
        <w:t>20.投标文件的加密、解密</w:t>
      </w:r>
    </w:p>
    <w:p w14:paraId="5E385326">
      <w:pPr>
        <w:pStyle w:val="8"/>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20.1电子投标文件编制完成后，投标人应按广西政府采购云平台的要求进行加密，并在规定时间内解密，否则，由此产生的后果由投标人自行负责。</w:t>
      </w:r>
    </w:p>
    <w:p w14:paraId="4D611971">
      <w:pPr>
        <w:pStyle w:val="8"/>
        <w:keepNext w:val="0"/>
        <w:keepLines w:val="0"/>
        <w:spacing w:before="0" w:after="0" w:line="360" w:lineRule="auto"/>
        <w:ind w:left="420" w:leftChars="200"/>
        <w:rPr>
          <w:rFonts w:ascii="宋体" w:hAnsi="宋体"/>
          <w:color w:val="auto"/>
          <w:sz w:val="24"/>
          <w:highlight w:val="none"/>
        </w:rPr>
      </w:pPr>
      <w:r>
        <w:rPr>
          <w:rFonts w:hint="eastAsia" w:ascii="宋体" w:hAnsi="宋体"/>
          <w:color w:val="auto"/>
          <w:sz w:val="24"/>
          <w:highlight w:val="none"/>
        </w:rPr>
        <w:t>21.投标文件的提交</w:t>
      </w:r>
    </w:p>
    <w:p w14:paraId="22285B20">
      <w:pPr>
        <w:pStyle w:val="8"/>
        <w:keepNext w:val="0"/>
        <w:keepLines w:val="0"/>
        <w:numPr>
          <w:ilvl w:val="0"/>
          <w:numId w:val="0"/>
        </w:numPr>
        <w:spacing w:before="0" w:after="0" w:line="360" w:lineRule="auto"/>
        <w:ind w:firstLine="420" w:firstLineChars="200"/>
        <w:rPr>
          <w:rFonts w:ascii="宋体" w:hAnsi="宋体"/>
          <w:b w:val="0"/>
          <w:color w:val="auto"/>
          <w:sz w:val="21"/>
          <w:szCs w:val="21"/>
          <w:highlight w:val="none"/>
        </w:rPr>
      </w:pPr>
      <w:bookmarkStart w:id="121" w:name="_21.1投标人必须在“投标人须知中的前附表”规定的投标文件接收时间和投"/>
      <w:bookmarkEnd w:id="121"/>
      <w:r>
        <w:rPr>
          <w:rFonts w:hint="eastAsia" w:ascii="宋体" w:hAnsi="宋体"/>
          <w:b w:val="0"/>
          <w:color w:val="auto"/>
          <w:sz w:val="21"/>
          <w:szCs w:val="21"/>
          <w:highlight w:val="none"/>
        </w:rPr>
        <w:t>21.1投标人必须在“投标人须知前附表”规定的投标文件接收时间和投标地点提交投标文件。</w:t>
      </w:r>
    </w:p>
    <w:p w14:paraId="5DD136E5">
      <w:pPr>
        <w:pStyle w:val="8"/>
        <w:keepNext w:val="0"/>
        <w:keepLines w:val="0"/>
        <w:numPr>
          <w:ilvl w:val="0"/>
          <w:numId w:val="0"/>
        </w:numPr>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21.2本项目为全流程电子化政府采购项目，通过广西政府采购云平台（https://www.gcy.zfcg.gxzf.gov.cn/）实行在线电子投标。投标人必须在“投标人须知前附表”规定的投标文件接收时间内通过网络将电子投标文件上传至广西政府采购云平台，供应商在广西政府采购云平台提交电子版投标文件时，请填写参加远程开标活动经办人联系方式。</w:t>
      </w:r>
    </w:p>
    <w:p w14:paraId="6856EBDE">
      <w:pPr>
        <w:pStyle w:val="8"/>
        <w:keepNext w:val="0"/>
        <w:keepLines w:val="0"/>
        <w:numPr>
          <w:ilvl w:val="0"/>
          <w:numId w:val="0"/>
        </w:numPr>
        <w:spacing w:before="0" w:after="0" w:line="360" w:lineRule="auto"/>
        <w:ind w:firstLine="420" w:firstLineChars="200"/>
        <w:jc w:val="left"/>
        <w:rPr>
          <w:rFonts w:ascii="宋体" w:hAnsi="宋体"/>
          <w:b w:val="0"/>
          <w:color w:val="auto"/>
          <w:sz w:val="21"/>
          <w:szCs w:val="21"/>
          <w:highlight w:val="none"/>
        </w:rPr>
      </w:pPr>
      <w:r>
        <w:rPr>
          <w:rFonts w:hint="eastAsia" w:ascii="宋体" w:hAnsi="宋体"/>
          <w:b w:val="0"/>
          <w:color w:val="auto"/>
          <w:sz w:val="21"/>
          <w:szCs w:val="21"/>
          <w:highlight w:val="none"/>
        </w:rPr>
        <w:t>21.3未在规定时间内上传或者未按广西政府采购云平台的要求编制、加密的电子投标文件，广西政府采购云平台将拒收。</w:t>
      </w:r>
    </w:p>
    <w:p w14:paraId="010F23AB">
      <w:pPr>
        <w:pStyle w:val="9"/>
        <w:rPr>
          <w:rFonts w:ascii="宋体" w:hAnsi="宋体"/>
          <w:color w:val="auto"/>
          <w:highlight w:val="none"/>
        </w:rPr>
      </w:pPr>
      <w:r>
        <w:rPr>
          <w:rFonts w:hint="eastAsia" w:ascii="宋体" w:hAnsi="宋体"/>
          <w:color w:val="auto"/>
          <w:szCs w:val="21"/>
          <w:highlight w:val="none"/>
        </w:rPr>
        <w:t>21.4电子投标文件提交方式见“招标公告”中“四、提交投标文件截止时间、开标时间和地点”</w:t>
      </w:r>
    </w:p>
    <w:p w14:paraId="59A36E1F">
      <w:pPr>
        <w:pStyle w:val="9"/>
        <w:rPr>
          <w:rFonts w:ascii="宋体" w:hAnsi="宋体"/>
          <w:color w:val="auto"/>
          <w:highlight w:val="none"/>
        </w:rPr>
      </w:pPr>
    </w:p>
    <w:p w14:paraId="717FB54C">
      <w:pPr>
        <w:pStyle w:val="8"/>
        <w:keepNext w:val="0"/>
        <w:keepLines w:val="0"/>
        <w:spacing w:before="0" w:after="0" w:line="360" w:lineRule="auto"/>
        <w:ind w:left="420" w:leftChars="200"/>
        <w:rPr>
          <w:rFonts w:ascii="宋体" w:hAnsi="宋体"/>
          <w:color w:val="auto"/>
          <w:sz w:val="24"/>
          <w:highlight w:val="none"/>
        </w:rPr>
      </w:pPr>
      <w:r>
        <w:rPr>
          <w:rFonts w:hint="eastAsia" w:ascii="宋体" w:hAnsi="宋体"/>
          <w:color w:val="auto"/>
          <w:sz w:val="24"/>
          <w:highlight w:val="none"/>
        </w:rPr>
        <w:t>22. 投标文件的补充、修改、撤回与退回</w:t>
      </w:r>
    </w:p>
    <w:p w14:paraId="77388881">
      <w:pPr>
        <w:snapToGrid w:val="0"/>
        <w:spacing w:line="360" w:lineRule="auto"/>
        <w:ind w:firstLine="420"/>
        <w:jc w:val="left"/>
        <w:rPr>
          <w:rFonts w:ascii="宋体" w:hAnsi="宋体"/>
          <w:color w:val="auto"/>
          <w:szCs w:val="21"/>
          <w:highlight w:val="none"/>
        </w:rPr>
      </w:pPr>
      <w:bookmarkStart w:id="122" w:name="_Toc254970684"/>
      <w:bookmarkStart w:id="123" w:name="_Toc254970543"/>
      <w:r>
        <w:rPr>
          <w:rFonts w:hint="eastAsia" w:ascii="宋体" w:hAnsi="宋体"/>
          <w:color w:val="auto"/>
          <w:szCs w:val="21"/>
          <w:highlight w:val="none"/>
        </w:rPr>
        <w:t>2</w:t>
      </w:r>
      <w:r>
        <w:rPr>
          <w:rFonts w:ascii="宋体" w:hAnsi="宋体"/>
          <w:color w:val="auto"/>
          <w:szCs w:val="21"/>
          <w:highlight w:val="none"/>
        </w:rPr>
        <w:t>2.1</w:t>
      </w:r>
      <w:r>
        <w:rPr>
          <w:rFonts w:hint="eastAsia" w:ascii="宋体" w:hAnsi="宋体"/>
          <w:color w:val="auto"/>
          <w:szCs w:val="21"/>
          <w:highlight w:val="none"/>
        </w:rPr>
        <w:t>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bookmarkEnd w:id="122"/>
    <w:bookmarkEnd w:id="123"/>
    <w:p w14:paraId="5A3AA808">
      <w:pPr>
        <w:snapToGrid w:val="0"/>
        <w:spacing w:line="360" w:lineRule="auto"/>
        <w:ind w:firstLine="420"/>
        <w:jc w:val="left"/>
        <w:rPr>
          <w:rFonts w:ascii="宋体" w:hAnsi="宋体"/>
          <w:color w:val="auto"/>
          <w:szCs w:val="21"/>
          <w:highlight w:val="none"/>
        </w:rPr>
      </w:pPr>
      <w:r>
        <w:rPr>
          <w:rFonts w:hint="eastAsia" w:ascii="宋体" w:hAnsi="宋体"/>
          <w:color w:val="auto"/>
          <w:szCs w:val="21"/>
          <w:highlight w:val="none"/>
        </w:rPr>
        <w:t>22.</w:t>
      </w:r>
      <w:r>
        <w:rPr>
          <w:rFonts w:ascii="宋体" w:hAnsi="宋体"/>
          <w:color w:val="auto"/>
          <w:szCs w:val="21"/>
          <w:highlight w:val="none"/>
        </w:rPr>
        <w:t>2</w:t>
      </w:r>
      <w:r>
        <w:rPr>
          <w:rFonts w:hint="eastAsia" w:ascii="宋体" w:hAnsi="宋体"/>
          <w:color w:val="auto"/>
          <w:szCs w:val="21"/>
          <w:highlight w:val="none"/>
        </w:rPr>
        <w:t>在投标截止时间止提交投标文件的投标人不足3家时，不得开标，采购代理机构将根据广西政府采购云平台的操作将电子版投标文件退回，除此之外采购人和采购代理机构对已提交的投标文件概不退回。</w:t>
      </w:r>
    </w:p>
    <w:p w14:paraId="6DE4B4B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2.3</w:t>
      </w:r>
      <w:r>
        <w:rPr>
          <w:rFonts w:hint="eastAsia" w:ascii="宋体" w:hAnsi="宋体" w:cs="宋体"/>
          <w:color w:val="auto"/>
          <w:szCs w:val="21"/>
          <w:highlight w:val="none"/>
        </w:rPr>
        <w:t xml:space="preserve"> 投标人在投标截止时间后书面通知采购人、采购代理机构撤销投标文件的，将根据本须知正文1</w:t>
      </w:r>
      <w:r>
        <w:rPr>
          <w:rFonts w:ascii="宋体" w:hAnsi="宋体" w:cs="宋体"/>
          <w:color w:val="auto"/>
          <w:szCs w:val="21"/>
          <w:highlight w:val="none"/>
        </w:rPr>
        <w:t>8</w:t>
      </w:r>
      <w:r>
        <w:rPr>
          <w:rFonts w:hint="eastAsia" w:ascii="宋体" w:hAnsi="宋体" w:cs="宋体"/>
          <w:color w:val="auto"/>
          <w:szCs w:val="21"/>
          <w:highlight w:val="none"/>
        </w:rPr>
        <w:t>.4的规定不予退还其投标保证金。</w:t>
      </w:r>
    </w:p>
    <w:p w14:paraId="0898A96A">
      <w:pPr>
        <w:pStyle w:val="3"/>
        <w:snapToGrid w:val="0"/>
        <w:spacing w:line="360" w:lineRule="auto"/>
        <w:ind w:firstLine="739"/>
        <w:rPr>
          <w:rFonts w:ascii="宋体" w:hAnsi="宋体" w:eastAsia="宋体"/>
          <w:snapToGrid w:val="0"/>
          <w:color w:val="auto"/>
          <w:sz w:val="21"/>
          <w:szCs w:val="21"/>
          <w:highlight w:val="none"/>
        </w:rPr>
      </w:pPr>
    </w:p>
    <w:p w14:paraId="7D751BF8">
      <w:pPr>
        <w:pStyle w:val="7"/>
        <w:keepNext w:val="0"/>
        <w:keepLines w:val="0"/>
        <w:jc w:val="center"/>
        <w:rPr>
          <w:rFonts w:ascii="宋体" w:hAnsi="宋体"/>
          <w:color w:val="auto"/>
          <w:highlight w:val="none"/>
        </w:rPr>
      </w:pPr>
      <w:bookmarkStart w:id="124" w:name="_Toc254970685"/>
      <w:bookmarkStart w:id="125" w:name="_Toc254970544"/>
      <w:r>
        <w:rPr>
          <w:rFonts w:hint="eastAsia" w:ascii="宋体" w:hAnsi="宋体"/>
          <w:color w:val="auto"/>
          <w:highlight w:val="none"/>
        </w:rPr>
        <w:t>四、开    标</w:t>
      </w:r>
      <w:bookmarkEnd w:id="124"/>
      <w:bookmarkEnd w:id="125"/>
    </w:p>
    <w:p w14:paraId="43DBE8C5">
      <w:pPr>
        <w:pStyle w:val="8"/>
        <w:keepNext w:val="0"/>
        <w:keepLines w:val="0"/>
        <w:spacing w:before="0" w:after="0" w:line="360" w:lineRule="auto"/>
        <w:ind w:left="420" w:leftChars="200"/>
        <w:rPr>
          <w:rFonts w:ascii="宋体" w:hAnsi="宋体"/>
          <w:color w:val="auto"/>
          <w:sz w:val="24"/>
          <w:highlight w:val="none"/>
        </w:rPr>
      </w:pPr>
      <w:bookmarkStart w:id="126" w:name="_23.开标时间和地点"/>
      <w:bookmarkEnd w:id="126"/>
      <w:r>
        <w:rPr>
          <w:rFonts w:hint="eastAsia" w:ascii="宋体" w:hAnsi="宋体"/>
          <w:color w:val="auto"/>
          <w:sz w:val="24"/>
          <w:highlight w:val="none"/>
        </w:rPr>
        <w:t>23.开标时间和地点</w:t>
      </w:r>
    </w:p>
    <w:p w14:paraId="091DAB97">
      <w:pPr>
        <w:snapToGrid w:val="0"/>
        <w:spacing w:line="360" w:lineRule="auto"/>
        <w:ind w:firstLine="420"/>
        <w:jc w:val="left"/>
        <w:rPr>
          <w:rFonts w:ascii="宋体" w:hAnsi="宋体"/>
          <w:color w:val="auto"/>
          <w:szCs w:val="21"/>
          <w:highlight w:val="none"/>
        </w:rPr>
      </w:pPr>
      <w:r>
        <w:rPr>
          <w:rFonts w:hint="eastAsia" w:ascii="宋体" w:hAnsi="宋体"/>
          <w:color w:val="auto"/>
          <w:szCs w:val="21"/>
          <w:highlight w:val="none"/>
        </w:rPr>
        <w:t>23.1开标时间及地点详见“投标人须知前附表”</w:t>
      </w:r>
    </w:p>
    <w:p w14:paraId="1FBE7BF5">
      <w:pPr>
        <w:snapToGrid w:val="0"/>
        <w:spacing w:line="360" w:lineRule="auto"/>
        <w:ind w:firstLine="420"/>
        <w:jc w:val="left"/>
        <w:rPr>
          <w:rFonts w:ascii="宋体" w:hAnsi="宋体"/>
          <w:color w:val="auto"/>
          <w:szCs w:val="21"/>
          <w:highlight w:val="none"/>
        </w:rPr>
      </w:pPr>
      <w:r>
        <w:rPr>
          <w:rFonts w:hint="eastAsia" w:ascii="宋体" w:hAnsi="宋体"/>
          <w:color w:val="auto"/>
          <w:szCs w:val="21"/>
          <w:highlight w:val="none"/>
        </w:rPr>
        <w:t>23.2如投标人成功解密投标文件，但未在“政采云”电子开标大厅参加开标的，视同认可开标过程和结果，由此产生的后果由投标人自行负责。成功解密投标文件的投标人不足3家的，不得开标。</w:t>
      </w:r>
    </w:p>
    <w:p w14:paraId="04A02BE7">
      <w:pPr>
        <w:pStyle w:val="8"/>
        <w:keepNext w:val="0"/>
        <w:keepLines w:val="0"/>
        <w:spacing w:before="0" w:after="0" w:line="360" w:lineRule="auto"/>
        <w:ind w:left="420" w:leftChars="200"/>
        <w:rPr>
          <w:rFonts w:ascii="宋体" w:hAnsi="宋体"/>
          <w:color w:val="auto"/>
          <w:sz w:val="24"/>
          <w:highlight w:val="none"/>
        </w:rPr>
      </w:pPr>
      <w:r>
        <w:rPr>
          <w:rFonts w:hint="eastAsia" w:ascii="宋体" w:hAnsi="宋体"/>
          <w:color w:val="auto"/>
          <w:sz w:val="24"/>
          <w:highlight w:val="none"/>
        </w:rPr>
        <w:t>24.开标程序</w:t>
      </w:r>
    </w:p>
    <w:p w14:paraId="792622B7">
      <w:pPr>
        <w:autoSpaceDE w:val="0"/>
        <w:autoSpaceDN w:val="0"/>
        <w:adjustRightInd w:val="0"/>
        <w:spacing w:line="440" w:lineRule="exact"/>
        <w:ind w:firstLine="420" w:firstLineChars="200"/>
        <w:rPr>
          <w:rFonts w:ascii="宋体" w:hAnsi="宋体"/>
          <w:color w:val="auto"/>
          <w:kern w:val="0"/>
          <w:szCs w:val="21"/>
          <w:highlight w:val="none"/>
        </w:rPr>
      </w:pPr>
      <w:r>
        <w:rPr>
          <w:rFonts w:hint="eastAsia" w:ascii="宋体" w:hAnsi="宋体"/>
          <w:bCs/>
          <w:color w:val="auto"/>
          <w:szCs w:val="21"/>
          <w:highlight w:val="none"/>
        </w:rPr>
        <w:t>24.1</w:t>
      </w:r>
      <w:r>
        <w:rPr>
          <w:rFonts w:hint="eastAsia" w:ascii="宋体" w:hAnsi="宋体"/>
          <w:color w:val="auto"/>
          <w:kern w:val="0"/>
          <w:szCs w:val="21"/>
          <w:highlight w:val="none"/>
        </w:rPr>
        <w:t>开标形式：</w:t>
      </w:r>
    </w:p>
    <w:p w14:paraId="21D38C4C">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采购代理机构将按照招标文件规定的时间通过广西政府采购云平台组织线上开标活动、开启投标文件，所有供应商均应当准时在线参加。投标人</w:t>
      </w:r>
      <w:r>
        <w:rPr>
          <w:rFonts w:ascii="宋体" w:hAnsi="宋体"/>
          <w:bCs/>
          <w:color w:val="auto"/>
          <w:szCs w:val="21"/>
          <w:highlight w:val="none"/>
        </w:rPr>
        <w:t>如不</w:t>
      </w:r>
      <w:r>
        <w:rPr>
          <w:rFonts w:hint="eastAsia" w:ascii="宋体" w:hAnsi="宋体"/>
          <w:bCs/>
          <w:color w:val="auto"/>
          <w:szCs w:val="21"/>
          <w:highlight w:val="none"/>
        </w:rPr>
        <w:t>参加</w:t>
      </w:r>
      <w:r>
        <w:rPr>
          <w:rFonts w:ascii="宋体" w:hAnsi="宋体"/>
          <w:bCs/>
          <w:color w:val="auto"/>
          <w:szCs w:val="21"/>
          <w:highlight w:val="none"/>
        </w:rPr>
        <w:t>开标大会的，</w:t>
      </w:r>
      <w:r>
        <w:rPr>
          <w:rFonts w:hint="eastAsia" w:ascii="宋体" w:hAnsi="宋体"/>
          <w:bCs/>
          <w:color w:val="auto"/>
          <w:szCs w:val="21"/>
          <w:highlight w:val="none"/>
        </w:rPr>
        <w:t>视同认可开标结果，</w:t>
      </w:r>
      <w:r>
        <w:rPr>
          <w:rFonts w:ascii="宋体" w:hAnsi="宋体"/>
          <w:bCs/>
          <w:color w:val="auto"/>
          <w:szCs w:val="21"/>
          <w:highlight w:val="none"/>
        </w:rPr>
        <w:t>事后不得对采购相关人员、开标过程和开标结果提出异议</w:t>
      </w:r>
      <w:r>
        <w:rPr>
          <w:rFonts w:hint="eastAsia" w:ascii="宋体" w:hAnsi="宋体"/>
          <w:bCs/>
          <w:color w:val="auto"/>
          <w:szCs w:val="21"/>
          <w:highlight w:val="none"/>
        </w:rPr>
        <w:t>，同时投标人因未在线参加开标而导致投标文件无法按时解密等一切后果由投标人自己承担。</w:t>
      </w:r>
    </w:p>
    <w:p w14:paraId="53E859F1">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24.2</w:t>
      </w:r>
      <w:r>
        <w:rPr>
          <w:rFonts w:ascii="宋体" w:hAnsi="宋体"/>
          <w:bCs/>
          <w:color w:val="auto"/>
          <w:szCs w:val="21"/>
          <w:highlight w:val="none"/>
        </w:rPr>
        <w:t>开</w:t>
      </w:r>
      <w:r>
        <w:rPr>
          <w:rFonts w:hint="eastAsia" w:ascii="宋体" w:hAnsi="宋体"/>
          <w:bCs/>
          <w:color w:val="auto"/>
          <w:szCs w:val="21"/>
          <w:highlight w:val="none"/>
        </w:rPr>
        <w:t>标</w:t>
      </w:r>
      <w:r>
        <w:rPr>
          <w:rFonts w:ascii="宋体" w:hAnsi="宋体"/>
          <w:bCs/>
          <w:color w:val="auto"/>
          <w:szCs w:val="21"/>
          <w:highlight w:val="none"/>
        </w:rPr>
        <w:t>程序：</w:t>
      </w:r>
    </w:p>
    <w:p w14:paraId="45E698C7">
      <w:pPr>
        <w:autoSpaceDE w:val="0"/>
        <w:autoSpaceDN w:val="0"/>
        <w:adjustRightInd w:val="0"/>
        <w:spacing w:line="440" w:lineRule="exact"/>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（1）解密电子投标文件。广西政府采购云平台按开标时间自动提取所有投标文件。采购代理机构依托广西政府采购云平台向各投标人发出电子加密投标文件【开始解密】通知，由投标人进行投标文件解密。</w:t>
      </w:r>
      <w:r>
        <w:rPr>
          <w:rFonts w:hint="eastAsia" w:ascii="宋体" w:hAnsi="宋体"/>
          <w:b/>
          <w:bCs/>
          <w:color w:val="auto"/>
          <w:szCs w:val="21"/>
          <w:highlight w:val="none"/>
        </w:rPr>
        <w:t>投标人的法定代表人或其委托代理人须携带加密时所用的CA锁准时登录到广西政府采购云平台电子开标大厅签到</w:t>
      </w:r>
      <w:r>
        <w:rPr>
          <w:rFonts w:hint="eastAsia" w:ascii="宋体" w:hAnsi="宋体" w:cs="宋体"/>
          <w:b/>
          <w:color w:val="auto"/>
          <w:szCs w:val="21"/>
          <w:highlight w:val="none"/>
        </w:rPr>
        <w:t>并在发起解密</w:t>
      </w:r>
      <w:r>
        <w:rPr>
          <w:rFonts w:hint="eastAsia" w:ascii="宋体" w:hAnsi="宋体"/>
          <w:b/>
          <w:bCs/>
          <w:color w:val="auto"/>
          <w:szCs w:val="21"/>
          <w:highlight w:val="none"/>
        </w:rPr>
        <w:t>通知</w:t>
      </w:r>
      <w:r>
        <w:rPr>
          <w:rFonts w:hint="eastAsia" w:ascii="宋体" w:hAnsi="宋体" w:cs="宋体"/>
          <w:b/>
          <w:color w:val="auto"/>
          <w:szCs w:val="21"/>
          <w:highlight w:val="none"/>
        </w:rPr>
        <w:t>之时起30分钟内完成</w:t>
      </w:r>
      <w:r>
        <w:rPr>
          <w:rFonts w:hint="eastAsia" w:ascii="宋体" w:hAnsi="宋体"/>
          <w:b/>
          <w:bCs/>
          <w:color w:val="auto"/>
          <w:szCs w:val="21"/>
          <w:highlight w:val="none"/>
        </w:rPr>
        <w:t>对电子投标文件解密。投标文件未按时解密的，视为无效投标。</w:t>
      </w:r>
      <w:r>
        <w:rPr>
          <w:rFonts w:hint="eastAsia" w:ascii="宋体" w:hAnsi="宋体"/>
          <w:bCs/>
          <w:color w:val="auto"/>
          <w:szCs w:val="21"/>
          <w:highlight w:val="none"/>
        </w:rPr>
        <w:t>（解密异常情况处理：详见本章29.4 电子交易活动的中止。</w:t>
      </w:r>
      <w:r>
        <w:rPr>
          <w:rFonts w:hint="eastAsia" w:ascii="宋体" w:hAnsi="宋体"/>
          <w:bCs/>
          <w:color w:val="auto"/>
          <w:szCs w:val="21"/>
          <w:highlight w:val="none"/>
          <w:lang w:eastAsia="zh-CN"/>
        </w:rPr>
        <w:t>）</w:t>
      </w:r>
    </w:p>
    <w:p w14:paraId="57BCB487">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（2）电子唱标。投标文件解密结束，各投标供应商报价均在广西政府采购云平台远程不见面开标大厅展示；</w:t>
      </w:r>
    </w:p>
    <w:p w14:paraId="1845B656">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（3）签署电子《政府采购活动现场确认声明书》。通过邮件形式在远程不见面开标大厅发送各投标人签署电子《政府采购活动现场确认声明书》。</w:t>
      </w:r>
    </w:p>
    <w:p w14:paraId="027D7310">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（4）开标过程由采购代理机构如实记录，并电子留痕，由参加电子开标的各投标人代表对电子开标记录在开标记录公布后15分钟内进行当场校核及勘误，并线上确认，未确认的视同认可开标结果。</w:t>
      </w:r>
    </w:p>
    <w:p w14:paraId="2D334D75">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4507E469">
      <w:pPr>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（6）开标结束。</w:t>
      </w:r>
    </w:p>
    <w:p w14:paraId="051A10A6">
      <w:pPr>
        <w:autoSpaceDE w:val="0"/>
        <w:autoSpaceDN w:val="0"/>
        <w:adjustRightInd w:val="0"/>
        <w:spacing w:line="440" w:lineRule="exact"/>
        <w:ind w:firstLine="422" w:firstLineChars="200"/>
        <w:rPr>
          <w:rFonts w:ascii="宋体" w:hAnsi="宋体"/>
          <w:b/>
          <w:bCs/>
          <w:color w:val="auto"/>
          <w:szCs w:val="21"/>
          <w:highlight w:val="none"/>
        </w:rPr>
      </w:pPr>
      <w:r>
        <w:rPr>
          <w:rFonts w:hint="eastAsia" w:ascii="宋体" w:hAnsi="宋体"/>
          <w:b/>
          <w:bCs/>
          <w:color w:val="auto"/>
          <w:szCs w:val="21"/>
          <w:highlight w:val="none"/>
        </w:rPr>
        <w:t>特别说明：如遇广西政府采购云平台电子化开标或评审程序调整的，按调整后执行。</w:t>
      </w:r>
    </w:p>
    <w:p w14:paraId="2BC9BDBC">
      <w:pPr>
        <w:pStyle w:val="25"/>
        <w:snapToGrid w:val="0"/>
        <w:spacing w:line="360" w:lineRule="auto"/>
        <w:ind w:left="689" w:leftChars="228" w:hanging="210" w:hangingChars="100"/>
        <w:rPr>
          <w:rFonts w:hAnsi="宋体"/>
          <w:color w:val="auto"/>
          <w:sz w:val="21"/>
          <w:highlight w:val="none"/>
        </w:rPr>
      </w:pPr>
    </w:p>
    <w:p w14:paraId="04C78D4A">
      <w:pPr>
        <w:pStyle w:val="7"/>
        <w:keepNext w:val="0"/>
        <w:keepLines w:val="0"/>
        <w:jc w:val="center"/>
        <w:rPr>
          <w:rFonts w:ascii="宋体" w:hAnsi="宋体"/>
          <w:color w:val="auto"/>
          <w:highlight w:val="none"/>
        </w:rPr>
      </w:pPr>
      <w:r>
        <w:rPr>
          <w:rFonts w:hint="eastAsia" w:ascii="宋体" w:hAnsi="宋体"/>
          <w:color w:val="auto"/>
          <w:highlight w:val="none"/>
        </w:rPr>
        <w:t>五、资格审查</w:t>
      </w:r>
    </w:p>
    <w:p w14:paraId="793B3382">
      <w:pPr>
        <w:pStyle w:val="8"/>
        <w:keepNext w:val="0"/>
        <w:keepLines w:val="0"/>
        <w:spacing w:before="0" w:after="0" w:line="360" w:lineRule="auto"/>
        <w:ind w:left="420" w:leftChars="200"/>
        <w:rPr>
          <w:rFonts w:ascii="宋体" w:hAnsi="宋体"/>
          <w:color w:val="auto"/>
          <w:sz w:val="24"/>
          <w:highlight w:val="none"/>
        </w:rPr>
      </w:pPr>
      <w:r>
        <w:rPr>
          <w:rFonts w:hint="eastAsia" w:ascii="宋体" w:hAnsi="宋体"/>
          <w:color w:val="auto"/>
          <w:sz w:val="24"/>
          <w:highlight w:val="none"/>
        </w:rPr>
        <w:t>25.资格审查</w:t>
      </w:r>
    </w:p>
    <w:p w14:paraId="5041EE14">
      <w:pPr>
        <w:pStyle w:val="8"/>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25.1</w:t>
      </w:r>
      <w:r>
        <w:rPr>
          <w:rFonts w:ascii="宋体" w:hAnsi="宋体"/>
          <w:b w:val="0"/>
          <w:color w:val="auto"/>
          <w:sz w:val="21"/>
          <w:szCs w:val="21"/>
          <w:highlight w:val="none"/>
        </w:rPr>
        <w:t>开标结束后，</w:t>
      </w:r>
      <w:r>
        <w:rPr>
          <w:rFonts w:hint="eastAsia" w:ascii="宋体" w:hAnsi="宋体"/>
          <w:b w:val="0"/>
          <w:color w:val="auto"/>
          <w:sz w:val="21"/>
          <w:szCs w:val="21"/>
          <w:highlight w:val="none"/>
        </w:rPr>
        <w:t>采购人或者采购代理机构</w:t>
      </w:r>
      <w:r>
        <w:rPr>
          <w:rFonts w:ascii="宋体" w:hAnsi="宋体"/>
          <w:b w:val="0"/>
          <w:color w:val="auto"/>
          <w:sz w:val="21"/>
          <w:szCs w:val="21"/>
          <w:highlight w:val="none"/>
        </w:rPr>
        <w:t>依法对投标人的资格进行审查。</w:t>
      </w:r>
    </w:p>
    <w:p w14:paraId="1B38ABAE">
      <w:pPr>
        <w:pStyle w:val="8"/>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25.2资格审查标准为本招标文件中载明对投标人资格要求的条件。本项目资格审查采用合格制，凡符合招标文件规定的投标人资格要求的投标人均通过资格审查。</w:t>
      </w:r>
    </w:p>
    <w:p w14:paraId="7D9F0B2B">
      <w:pPr>
        <w:pStyle w:val="8"/>
        <w:keepNext w:val="0"/>
        <w:keepLines w:val="0"/>
        <w:numPr>
          <w:ilvl w:val="0"/>
          <w:numId w:val="0"/>
        </w:numPr>
        <w:spacing w:before="0" w:after="0" w:line="360" w:lineRule="auto"/>
        <w:ind w:firstLine="422" w:firstLineChars="200"/>
        <w:rPr>
          <w:rFonts w:ascii="宋体" w:hAnsi="宋体"/>
          <w:color w:val="auto"/>
          <w:sz w:val="21"/>
          <w:szCs w:val="21"/>
          <w:highlight w:val="none"/>
        </w:rPr>
      </w:pPr>
      <w:bookmarkStart w:id="127" w:name="_25.3_投标人有下列情形之一的，资格审查不通过而导致其投标无效："/>
      <w:bookmarkEnd w:id="127"/>
      <w:r>
        <w:rPr>
          <w:rFonts w:hint="eastAsia" w:ascii="宋体" w:hAnsi="宋体"/>
          <w:color w:val="auto"/>
          <w:sz w:val="21"/>
          <w:szCs w:val="21"/>
          <w:highlight w:val="none"/>
        </w:rPr>
        <w:t>25.3 投标人有下列情形之一的，资格审查不通过，作无效投标处理：</w:t>
      </w:r>
    </w:p>
    <w:p w14:paraId="00C74F2D">
      <w:pPr>
        <w:pStyle w:val="25"/>
        <w:snapToGrid w:val="0"/>
        <w:spacing w:line="360" w:lineRule="auto"/>
        <w:ind w:firstLine="422" w:firstLineChars="200"/>
        <w:rPr>
          <w:rFonts w:hAnsi="宋体"/>
          <w:b/>
          <w:color w:val="auto"/>
          <w:sz w:val="21"/>
          <w:highlight w:val="none"/>
        </w:rPr>
      </w:pPr>
      <w:r>
        <w:rPr>
          <w:rFonts w:hint="eastAsia" w:hAnsi="宋体"/>
          <w:b/>
          <w:color w:val="auto"/>
          <w:sz w:val="21"/>
          <w:highlight w:val="none"/>
        </w:rPr>
        <w:t>（1）未按招标文件规定的方式获取本招标文件的投标人；</w:t>
      </w:r>
    </w:p>
    <w:p w14:paraId="4AA0AF31">
      <w:pPr>
        <w:pStyle w:val="25"/>
        <w:snapToGrid w:val="0"/>
        <w:spacing w:line="360" w:lineRule="auto"/>
        <w:ind w:firstLine="422" w:firstLineChars="200"/>
        <w:rPr>
          <w:rFonts w:hAnsi="宋体"/>
          <w:b/>
          <w:color w:val="auto"/>
          <w:sz w:val="21"/>
          <w:highlight w:val="none"/>
        </w:rPr>
      </w:pPr>
      <w:r>
        <w:rPr>
          <w:rFonts w:hint="eastAsia" w:hAnsi="宋体"/>
          <w:b/>
          <w:color w:val="auto"/>
          <w:sz w:val="21"/>
          <w:highlight w:val="none"/>
        </w:rPr>
        <w:t>（2）不具备招标文件中规定的资格要求的；</w:t>
      </w:r>
    </w:p>
    <w:p w14:paraId="6533524B">
      <w:pPr>
        <w:pStyle w:val="25"/>
        <w:snapToGrid w:val="0"/>
        <w:spacing w:line="360" w:lineRule="auto"/>
        <w:ind w:firstLine="422" w:firstLineChars="200"/>
        <w:rPr>
          <w:rFonts w:hAnsi="宋体"/>
          <w:b/>
          <w:color w:val="auto"/>
          <w:sz w:val="21"/>
          <w:highlight w:val="none"/>
        </w:rPr>
      </w:pPr>
      <w:r>
        <w:rPr>
          <w:rFonts w:hint="eastAsia" w:hAnsi="宋体"/>
          <w:b/>
          <w:color w:val="auto"/>
          <w:sz w:val="21"/>
          <w:highlight w:val="none"/>
        </w:rPr>
        <w:t>（3）在“信用中国”网站（www.creditchina.gov.cn） 、中国政府采购网（www.ccgp.gov.cn）被列入失信被执行人、重大税收违法案件当事人名单、政府采购严重违法失信行为记录名单及其他不符合《中华人民共和国政府采购法》第二十二条规定条件的；（注：其中信用查询规则见“投标人须知前附表”）</w:t>
      </w:r>
    </w:p>
    <w:p w14:paraId="4675585B">
      <w:pPr>
        <w:pStyle w:val="25"/>
        <w:snapToGrid w:val="0"/>
        <w:spacing w:line="360" w:lineRule="auto"/>
        <w:ind w:firstLine="422" w:firstLineChars="200"/>
        <w:rPr>
          <w:rFonts w:hAnsi="宋体"/>
          <w:b/>
          <w:color w:val="auto"/>
          <w:sz w:val="21"/>
          <w:highlight w:val="none"/>
        </w:rPr>
      </w:pPr>
      <w:r>
        <w:rPr>
          <w:rFonts w:hint="eastAsia" w:hAnsi="宋体"/>
          <w:b/>
          <w:color w:val="auto"/>
          <w:sz w:val="21"/>
          <w:highlight w:val="none"/>
        </w:rPr>
        <w:t>（4）同一合同项下的不同投标人，单位负责人为同一人或者存在直接控股、管理关系的；为本项目提供过整体设计、规范编制或者项目管理、监理、检测等服务的供应商，再参加该采购项目的其他采购活动的；</w:t>
      </w:r>
    </w:p>
    <w:p w14:paraId="44EC22DF">
      <w:pPr>
        <w:pStyle w:val="25"/>
        <w:snapToGrid w:val="0"/>
        <w:spacing w:line="360" w:lineRule="auto"/>
        <w:ind w:firstLine="422" w:firstLineChars="200"/>
        <w:rPr>
          <w:rFonts w:hAnsi="宋体"/>
          <w:b/>
          <w:color w:val="auto"/>
          <w:sz w:val="21"/>
          <w:highlight w:val="none"/>
        </w:rPr>
      </w:pPr>
      <w:r>
        <w:rPr>
          <w:rFonts w:hint="eastAsia" w:hAnsi="宋体"/>
          <w:b/>
          <w:color w:val="auto"/>
          <w:sz w:val="21"/>
          <w:highlight w:val="none"/>
        </w:rPr>
        <w:t>（</w:t>
      </w:r>
      <w:r>
        <w:rPr>
          <w:rFonts w:hAnsi="宋体"/>
          <w:b/>
          <w:color w:val="auto"/>
          <w:sz w:val="21"/>
          <w:highlight w:val="none"/>
        </w:rPr>
        <w:t>5</w:t>
      </w:r>
      <w:r>
        <w:rPr>
          <w:rFonts w:hint="eastAsia" w:hAnsi="宋体"/>
          <w:b/>
          <w:color w:val="auto"/>
          <w:sz w:val="21"/>
          <w:highlight w:val="none"/>
        </w:rPr>
        <w:t>）投标文件中的资格证明文件缺少任一项“投标人须知前附表”资格证明文件规定“必须提供”的文件资料的；</w:t>
      </w:r>
    </w:p>
    <w:p w14:paraId="4E45332D">
      <w:pPr>
        <w:pStyle w:val="25"/>
        <w:snapToGrid w:val="0"/>
        <w:spacing w:line="360" w:lineRule="auto"/>
        <w:ind w:firstLine="422" w:firstLineChars="200"/>
        <w:rPr>
          <w:rFonts w:hAnsi="宋体"/>
          <w:b/>
          <w:color w:val="auto"/>
          <w:sz w:val="21"/>
          <w:highlight w:val="none"/>
        </w:rPr>
      </w:pPr>
      <w:r>
        <w:rPr>
          <w:rFonts w:hint="eastAsia" w:hAnsi="宋体"/>
          <w:b/>
          <w:color w:val="auto"/>
          <w:sz w:val="21"/>
          <w:highlight w:val="none"/>
        </w:rPr>
        <w:t>（</w:t>
      </w:r>
      <w:r>
        <w:rPr>
          <w:rFonts w:hAnsi="宋体"/>
          <w:b/>
          <w:color w:val="auto"/>
          <w:sz w:val="21"/>
          <w:highlight w:val="none"/>
        </w:rPr>
        <w:t>6</w:t>
      </w:r>
      <w:r>
        <w:rPr>
          <w:rFonts w:hint="eastAsia" w:hAnsi="宋体"/>
          <w:b/>
          <w:color w:val="auto"/>
          <w:sz w:val="21"/>
          <w:highlight w:val="none"/>
        </w:rPr>
        <w:t>）投标文件中的资格证明文件出现任一项不符合“投标人须知前附表”资格证明文件规定“必须提供”的文件资料要求或者无效的。</w:t>
      </w:r>
    </w:p>
    <w:p w14:paraId="3284CDEE">
      <w:pPr>
        <w:pStyle w:val="8"/>
        <w:keepNext w:val="0"/>
        <w:keepLines w:val="0"/>
        <w:spacing w:before="0" w:after="0" w:line="360" w:lineRule="auto"/>
        <w:ind w:left="420" w:leftChars="200"/>
        <w:rPr>
          <w:rFonts w:ascii="宋体" w:hAnsi="宋体"/>
          <w:b w:val="0"/>
          <w:color w:val="auto"/>
          <w:sz w:val="21"/>
          <w:szCs w:val="21"/>
          <w:highlight w:val="none"/>
        </w:rPr>
      </w:pPr>
      <w:r>
        <w:rPr>
          <w:rFonts w:hint="eastAsia" w:ascii="宋体" w:hAnsi="宋体"/>
          <w:color w:val="auto"/>
          <w:sz w:val="21"/>
          <w:szCs w:val="21"/>
          <w:highlight w:val="none"/>
        </w:rPr>
        <w:t>25.4</w:t>
      </w:r>
      <w:r>
        <w:rPr>
          <w:rFonts w:ascii="宋体" w:hAnsi="宋体"/>
          <w:color w:val="auto"/>
          <w:sz w:val="21"/>
          <w:szCs w:val="21"/>
          <w:highlight w:val="none"/>
        </w:rPr>
        <w:t>合格投标人不足3家的，不得评标。</w:t>
      </w:r>
    </w:p>
    <w:p w14:paraId="3C84FE0E">
      <w:pPr>
        <w:pStyle w:val="25"/>
        <w:snapToGrid w:val="0"/>
        <w:spacing w:line="360" w:lineRule="auto"/>
        <w:ind w:left="689" w:leftChars="228" w:hanging="210" w:hangingChars="100"/>
        <w:rPr>
          <w:rFonts w:hAnsi="宋体"/>
          <w:color w:val="auto"/>
          <w:sz w:val="21"/>
          <w:highlight w:val="none"/>
        </w:rPr>
      </w:pPr>
    </w:p>
    <w:p w14:paraId="37ADCA25">
      <w:pPr>
        <w:pStyle w:val="7"/>
        <w:keepNext w:val="0"/>
        <w:keepLines w:val="0"/>
        <w:jc w:val="center"/>
        <w:rPr>
          <w:rFonts w:ascii="宋体" w:hAnsi="宋体"/>
          <w:color w:val="auto"/>
          <w:highlight w:val="none"/>
        </w:rPr>
      </w:pPr>
      <w:r>
        <w:rPr>
          <w:rFonts w:hint="eastAsia" w:ascii="宋体" w:hAnsi="宋体"/>
          <w:color w:val="auto"/>
          <w:highlight w:val="none"/>
        </w:rPr>
        <w:t>六、评   标</w:t>
      </w:r>
    </w:p>
    <w:p w14:paraId="5D163FFF">
      <w:pPr>
        <w:pStyle w:val="8"/>
        <w:keepNext w:val="0"/>
        <w:keepLines w:val="0"/>
        <w:spacing w:before="0" w:after="0" w:line="360" w:lineRule="auto"/>
        <w:ind w:left="420" w:leftChars="200"/>
        <w:rPr>
          <w:rFonts w:ascii="宋体" w:hAnsi="宋体"/>
          <w:color w:val="auto"/>
          <w:sz w:val="24"/>
          <w:highlight w:val="none"/>
        </w:rPr>
      </w:pPr>
      <w:bookmarkStart w:id="128" w:name="_26.组建评标委员会"/>
      <w:bookmarkEnd w:id="128"/>
      <w:r>
        <w:rPr>
          <w:rFonts w:hint="eastAsia" w:ascii="宋体" w:hAnsi="宋体"/>
          <w:color w:val="auto"/>
          <w:sz w:val="24"/>
          <w:highlight w:val="none"/>
        </w:rPr>
        <w:t>26.组建评标委员会</w:t>
      </w:r>
    </w:p>
    <w:p w14:paraId="2B9A2932">
      <w:pPr>
        <w:pStyle w:val="25"/>
        <w:snapToGrid w:val="0"/>
        <w:spacing w:line="360" w:lineRule="auto"/>
        <w:ind w:firstLine="420" w:firstLineChars="200"/>
        <w:rPr>
          <w:rFonts w:hAnsi="宋体"/>
          <w:color w:val="auto"/>
          <w:sz w:val="21"/>
          <w:highlight w:val="none"/>
        </w:rPr>
      </w:pPr>
      <w:r>
        <w:rPr>
          <w:rFonts w:hint="eastAsia" w:hAnsi="宋体"/>
          <w:color w:val="auto"/>
          <w:sz w:val="21"/>
          <w:highlight w:val="none"/>
        </w:rPr>
        <w:t>评标委员会由采购人代表和评审专家组成，具体人数详见“投标人须知前附表”，其中评审专家不得少于成员总数的三分之二。</w:t>
      </w:r>
    </w:p>
    <w:p w14:paraId="226F3E67">
      <w:pPr>
        <w:pStyle w:val="25"/>
        <w:snapToGrid w:val="0"/>
        <w:spacing w:line="360" w:lineRule="auto"/>
        <w:ind w:left="2" w:leftChars="1" w:firstLine="420" w:firstLineChars="200"/>
        <w:rPr>
          <w:rFonts w:hAnsi="宋体"/>
          <w:color w:val="auto"/>
          <w:sz w:val="21"/>
          <w:highlight w:val="none"/>
        </w:rPr>
      </w:pPr>
      <w:r>
        <w:rPr>
          <w:rFonts w:hint="eastAsia" w:hAnsi="宋体"/>
          <w:color w:val="auto"/>
          <w:sz w:val="21"/>
          <w:highlight w:val="none"/>
        </w:rPr>
        <w:t>参加过采购项目前期咨询论证的专家，不得参加该采购项目的评审活动。</w:t>
      </w:r>
    </w:p>
    <w:p w14:paraId="6DD8CC4B">
      <w:pPr>
        <w:pStyle w:val="8"/>
        <w:keepNext w:val="0"/>
        <w:keepLines w:val="0"/>
        <w:spacing w:before="0" w:after="0" w:line="360" w:lineRule="auto"/>
        <w:ind w:left="420" w:leftChars="200"/>
        <w:rPr>
          <w:rFonts w:ascii="宋体" w:hAnsi="宋体"/>
          <w:color w:val="auto"/>
          <w:sz w:val="24"/>
          <w:highlight w:val="none"/>
        </w:rPr>
      </w:pPr>
      <w:r>
        <w:rPr>
          <w:rFonts w:hint="eastAsia" w:ascii="宋体" w:hAnsi="宋体"/>
          <w:color w:val="auto"/>
          <w:sz w:val="24"/>
          <w:highlight w:val="none"/>
        </w:rPr>
        <w:t>27.评标的依据</w:t>
      </w:r>
    </w:p>
    <w:p w14:paraId="14F74255">
      <w:pPr>
        <w:pStyle w:val="25"/>
        <w:snapToGrid w:val="0"/>
        <w:spacing w:line="360" w:lineRule="auto"/>
        <w:ind w:firstLine="420" w:firstLineChars="200"/>
        <w:rPr>
          <w:rFonts w:hAnsi="宋体"/>
          <w:color w:val="auto"/>
          <w:sz w:val="21"/>
          <w:highlight w:val="none"/>
        </w:rPr>
      </w:pPr>
      <w:r>
        <w:rPr>
          <w:rFonts w:hint="eastAsia" w:hAnsi="宋体"/>
          <w:color w:val="auto"/>
          <w:sz w:val="21"/>
          <w:highlight w:val="none"/>
        </w:rPr>
        <w:t>评标委员会以</w:t>
      </w:r>
      <w:r>
        <w:rPr>
          <w:rFonts w:hint="eastAsia" w:hAnsi="宋体" w:cs="宋体"/>
          <w:color w:val="auto"/>
          <w:sz w:val="21"/>
          <w:highlight w:val="none"/>
        </w:rPr>
        <w:t>“第四章 评标方法和评标标准”</w:t>
      </w:r>
      <w:r>
        <w:rPr>
          <w:rFonts w:hint="eastAsia" w:hAnsi="宋体"/>
          <w:color w:val="auto"/>
          <w:sz w:val="21"/>
          <w:highlight w:val="none"/>
        </w:rPr>
        <w:t>为依据对投标文件进行评审，</w:t>
      </w:r>
      <w:r>
        <w:rPr>
          <w:rFonts w:hAnsi="宋体"/>
          <w:color w:val="auto"/>
          <w:sz w:val="21"/>
          <w:highlight w:val="none"/>
        </w:rPr>
        <w:t>没有规定的方法、评审因素和标准，不作为评标依据。</w:t>
      </w:r>
    </w:p>
    <w:p w14:paraId="501582B6">
      <w:pPr>
        <w:pStyle w:val="8"/>
        <w:keepNext w:val="0"/>
        <w:keepLines w:val="0"/>
        <w:spacing w:before="0" w:after="0" w:line="360" w:lineRule="auto"/>
        <w:ind w:left="420" w:leftChars="200"/>
        <w:rPr>
          <w:rFonts w:ascii="宋体" w:hAnsi="宋体"/>
          <w:color w:val="auto"/>
          <w:sz w:val="24"/>
          <w:highlight w:val="none"/>
        </w:rPr>
      </w:pPr>
      <w:r>
        <w:rPr>
          <w:rFonts w:hint="eastAsia" w:ascii="宋体" w:hAnsi="宋体"/>
          <w:color w:val="auto"/>
          <w:sz w:val="24"/>
          <w:highlight w:val="none"/>
        </w:rPr>
        <w:t>28.评标原则</w:t>
      </w:r>
    </w:p>
    <w:p w14:paraId="2ECFEEAF">
      <w:pPr>
        <w:pStyle w:val="25"/>
        <w:snapToGrid w:val="0"/>
        <w:spacing w:line="360" w:lineRule="auto"/>
        <w:ind w:firstLine="420" w:firstLineChars="200"/>
        <w:rPr>
          <w:rFonts w:hAnsi="宋体"/>
          <w:color w:val="auto"/>
          <w:sz w:val="21"/>
          <w:highlight w:val="none"/>
        </w:rPr>
      </w:pPr>
      <w:r>
        <w:rPr>
          <w:rFonts w:hint="eastAsia" w:hAnsi="宋体"/>
          <w:color w:val="auto"/>
          <w:sz w:val="21"/>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56471AD9">
      <w:pPr>
        <w:pStyle w:val="25"/>
        <w:snapToGrid w:val="0"/>
        <w:spacing w:line="360" w:lineRule="auto"/>
        <w:ind w:firstLine="420" w:firstLineChars="200"/>
        <w:rPr>
          <w:rFonts w:hAnsi="宋体"/>
          <w:color w:val="auto"/>
          <w:sz w:val="21"/>
          <w:highlight w:val="none"/>
        </w:rPr>
      </w:pPr>
      <w:r>
        <w:rPr>
          <w:rFonts w:hint="eastAsia" w:hAnsi="宋体"/>
          <w:color w:val="auto"/>
          <w:sz w:val="21"/>
          <w:highlight w:val="none"/>
        </w:rPr>
        <w:t>28.2</w:t>
      </w:r>
      <w:bookmarkStart w:id="129" w:name="_28.3评标方法。本项目将按须知前附表规定的评标办法进行评标，具体评标"/>
      <w:bookmarkEnd w:id="129"/>
      <w:r>
        <w:rPr>
          <w:rFonts w:hint="eastAsia" w:hAnsi="宋体"/>
          <w:color w:val="auto"/>
          <w:sz w:val="21"/>
          <w:highlight w:val="none"/>
        </w:rPr>
        <w:t>评委表决。评标委员会成员对需要共同认定的事项存在争议的，应当按照少数服从多数的原则作出结论。</w:t>
      </w:r>
    </w:p>
    <w:p w14:paraId="6E68942E">
      <w:pPr>
        <w:pStyle w:val="25"/>
        <w:snapToGrid w:val="0"/>
        <w:spacing w:line="360" w:lineRule="auto"/>
        <w:ind w:firstLine="420" w:firstLineChars="200"/>
        <w:rPr>
          <w:rFonts w:hAnsi="宋体"/>
          <w:color w:val="auto"/>
          <w:sz w:val="21"/>
          <w:highlight w:val="none"/>
        </w:rPr>
      </w:pPr>
      <w:r>
        <w:rPr>
          <w:rFonts w:hint="eastAsia" w:hAnsi="宋体"/>
          <w:color w:val="auto"/>
          <w:sz w:val="21"/>
          <w:highlight w:val="none"/>
        </w:rPr>
        <w:t>28.</w:t>
      </w:r>
      <w:r>
        <w:rPr>
          <w:rFonts w:hAnsi="宋体"/>
          <w:color w:val="auto"/>
          <w:sz w:val="21"/>
          <w:highlight w:val="none"/>
        </w:rPr>
        <w:t>3</w:t>
      </w:r>
      <w:r>
        <w:rPr>
          <w:rFonts w:hint="eastAsia" w:hAnsi="宋体"/>
          <w:color w:val="auto"/>
          <w:sz w:val="21"/>
          <w:highlight w:val="none"/>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60C7CA39">
      <w:pPr>
        <w:pStyle w:val="25"/>
        <w:snapToGrid w:val="0"/>
        <w:spacing w:line="360" w:lineRule="auto"/>
        <w:ind w:firstLine="420" w:firstLineChars="200"/>
        <w:rPr>
          <w:rFonts w:hAnsi="宋体"/>
          <w:color w:val="auto"/>
          <w:sz w:val="21"/>
          <w:highlight w:val="none"/>
        </w:rPr>
      </w:pPr>
      <w:r>
        <w:rPr>
          <w:rFonts w:hint="eastAsia" w:hAnsi="宋体"/>
          <w:color w:val="auto"/>
          <w:sz w:val="21"/>
          <w:highlight w:val="none"/>
        </w:rPr>
        <w:t>2</w:t>
      </w:r>
      <w:r>
        <w:rPr>
          <w:rFonts w:hAnsi="宋体"/>
          <w:color w:val="auto"/>
          <w:sz w:val="21"/>
          <w:highlight w:val="none"/>
        </w:rPr>
        <w:t>8.4</w:t>
      </w:r>
      <w:r>
        <w:rPr>
          <w:rFonts w:hint="eastAsia" w:hAnsi="宋体"/>
          <w:color w:val="auto"/>
          <w:sz w:val="21"/>
          <w:highlight w:val="none"/>
        </w:rPr>
        <w:t>评标过程的监控。本项目评标过程实行全程录音、录像监控，</w:t>
      </w:r>
      <w:r>
        <w:rPr>
          <w:rFonts w:hint="eastAsia" w:hAnsi="宋体"/>
          <w:b/>
          <w:bCs/>
          <w:color w:val="auto"/>
          <w:sz w:val="21"/>
          <w:highlight w:val="none"/>
        </w:rPr>
        <w:t>投标人在评标过程中所进行的试图影响评标结果的不公正活动，可能导致其投标无效</w:t>
      </w:r>
      <w:r>
        <w:rPr>
          <w:rFonts w:hint="eastAsia" w:hAnsi="宋体"/>
          <w:color w:val="auto"/>
          <w:sz w:val="21"/>
          <w:highlight w:val="none"/>
        </w:rPr>
        <w:t>。</w:t>
      </w:r>
    </w:p>
    <w:p w14:paraId="0CC3AC44">
      <w:pPr>
        <w:pStyle w:val="8"/>
        <w:keepNext w:val="0"/>
        <w:keepLines w:val="0"/>
        <w:spacing w:before="0" w:after="0" w:line="360" w:lineRule="auto"/>
        <w:ind w:left="420" w:leftChars="200"/>
        <w:rPr>
          <w:rFonts w:ascii="宋体" w:hAnsi="宋体"/>
          <w:color w:val="auto"/>
          <w:sz w:val="24"/>
          <w:highlight w:val="none"/>
        </w:rPr>
      </w:pPr>
      <w:r>
        <w:rPr>
          <w:rFonts w:hint="eastAsia" w:ascii="宋体" w:hAnsi="宋体"/>
          <w:color w:val="auto"/>
          <w:sz w:val="24"/>
          <w:highlight w:val="none"/>
        </w:rPr>
        <w:t>29.评标方法及中标候选人推荐</w:t>
      </w:r>
    </w:p>
    <w:p w14:paraId="67AD42F8">
      <w:pPr>
        <w:pStyle w:val="25"/>
        <w:snapToGrid w:val="0"/>
        <w:spacing w:line="360" w:lineRule="auto"/>
        <w:ind w:firstLine="420" w:firstLineChars="200"/>
        <w:rPr>
          <w:rFonts w:hAnsi="宋体"/>
          <w:color w:val="auto"/>
          <w:sz w:val="21"/>
          <w:highlight w:val="none"/>
        </w:rPr>
      </w:pPr>
      <w:r>
        <w:rPr>
          <w:rFonts w:hint="eastAsia" w:hAnsi="宋体"/>
          <w:color w:val="auto"/>
          <w:sz w:val="21"/>
          <w:highlight w:val="none"/>
        </w:rPr>
        <w:t>2</w:t>
      </w:r>
      <w:r>
        <w:rPr>
          <w:rFonts w:hAnsi="宋体"/>
          <w:color w:val="auto"/>
          <w:sz w:val="21"/>
          <w:highlight w:val="none"/>
        </w:rPr>
        <w:t>9.1</w:t>
      </w:r>
      <w:r>
        <w:rPr>
          <w:rFonts w:hint="eastAsia" w:hAnsi="宋体"/>
          <w:color w:val="auto"/>
          <w:sz w:val="21"/>
          <w:highlight w:val="none"/>
        </w:rPr>
        <w:t>本项目的评标方法详见“投标人须知前附表”。</w:t>
      </w:r>
    </w:p>
    <w:p w14:paraId="4B424243">
      <w:pPr>
        <w:pStyle w:val="25"/>
        <w:snapToGrid w:val="0"/>
        <w:spacing w:line="360" w:lineRule="auto"/>
        <w:ind w:firstLine="420" w:firstLineChars="200"/>
        <w:rPr>
          <w:rFonts w:hAnsi="宋体"/>
          <w:color w:val="auto"/>
          <w:sz w:val="21"/>
          <w:highlight w:val="none"/>
        </w:rPr>
      </w:pPr>
      <w:r>
        <w:rPr>
          <w:rFonts w:hint="eastAsia" w:hAnsi="宋体"/>
          <w:color w:val="auto"/>
          <w:sz w:val="21"/>
          <w:highlight w:val="none"/>
        </w:rPr>
        <w:t>2</w:t>
      </w:r>
      <w:r>
        <w:rPr>
          <w:rFonts w:hAnsi="宋体"/>
          <w:color w:val="auto"/>
          <w:sz w:val="21"/>
          <w:highlight w:val="none"/>
        </w:rPr>
        <w:t>9.2</w:t>
      </w:r>
      <w:r>
        <w:rPr>
          <w:rFonts w:hAnsi="宋体" w:cs="宋体"/>
          <w:color w:val="auto"/>
          <w:sz w:val="21"/>
          <w:highlight w:val="none"/>
        </w:rPr>
        <w:t xml:space="preserve"> </w:t>
      </w:r>
      <w:r>
        <w:rPr>
          <w:rFonts w:hAnsi="宋体"/>
          <w:color w:val="auto"/>
          <w:sz w:val="21"/>
          <w:highlight w:val="none"/>
        </w:rPr>
        <w:t>中标候选人推荐数量详见</w:t>
      </w:r>
      <w:r>
        <w:rPr>
          <w:rFonts w:hint="eastAsia" w:hAnsi="宋体"/>
          <w:color w:val="auto"/>
          <w:sz w:val="21"/>
          <w:highlight w:val="none"/>
        </w:rPr>
        <w:t>“投标人须知前附表”。</w:t>
      </w:r>
    </w:p>
    <w:p w14:paraId="50738D31">
      <w:pPr>
        <w:pStyle w:val="25"/>
        <w:snapToGrid w:val="0"/>
        <w:spacing w:line="360" w:lineRule="auto"/>
        <w:ind w:firstLine="420" w:firstLineChars="200"/>
        <w:rPr>
          <w:rFonts w:hAnsi="宋体"/>
          <w:color w:val="auto"/>
          <w:sz w:val="21"/>
          <w:highlight w:val="none"/>
        </w:rPr>
      </w:pPr>
      <w:r>
        <w:rPr>
          <w:rFonts w:hint="eastAsia" w:hAnsi="宋体"/>
          <w:color w:val="auto"/>
          <w:sz w:val="21"/>
          <w:highlight w:val="none"/>
        </w:rPr>
        <w:t>2</w:t>
      </w:r>
      <w:r>
        <w:rPr>
          <w:rFonts w:hAnsi="宋体"/>
          <w:color w:val="auto"/>
          <w:sz w:val="21"/>
          <w:highlight w:val="none"/>
        </w:rPr>
        <w:t>9.</w:t>
      </w:r>
      <w:r>
        <w:rPr>
          <w:rFonts w:hint="eastAsia" w:hAnsi="宋体"/>
          <w:color w:val="auto"/>
          <w:sz w:val="21"/>
          <w:highlight w:val="none"/>
        </w:rPr>
        <w:t>3</w:t>
      </w:r>
      <w:r>
        <w:rPr>
          <w:rFonts w:hAnsi="宋体"/>
          <w:color w:val="auto"/>
          <w:sz w:val="21"/>
          <w:highlight w:val="none"/>
        </w:rPr>
        <w:t>评标委员会</w:t>
      </w:r>
      <w:r>
        <w:rPr>
          <w:rFonts w:hint="eastAsia" w:hAnsi="宋体"/>
          <w:color w:val="auto"/>
          <w:sz w:val="21"/>
          <w:highlight w:val="none"/>
        </w:rPr>
        <w:t>将</w:t>
      </w:r>
      <w:r>
        <w:rPr>
          <w:rFonts w:hAnsi="宋体"/>
          <w:color w:val="auto"/>
          <w:sz w:val="21"/>
          <w:highlight w:val="none"/>
        </w:rPr>
        <w:t>按照</w:t>
      </w:r>
      <w:r>
        <w:rPr>
          <w:rFonts w:hint="eastAsia" w:hAnsi="宋体"/>
          <w:color w:val="auto"/>
          <w:sz w:val="21"/>
          <w:highlight w:val="none"/>
        </w:rPr>
        <w:t>“第四章 评标方法和评标标准”</w:t>
      </w:r>
      <w:r>
        <w:rPr>
          <w:rFonts w:hAnsi="宋体"/>
          <w:color w:val="auto"/>
          <w:sz w:val="21"/>
          <w:highlight w:val="none"/>
        </w:rPr>
        <w:t>规定的方法、评审因素、标准和程序对投标文件进行评审。</w:t>
      </w:r>
    </w:p>
    <w:p w14:paraId="08AC60F5">
      <w:pPr>
        <w:pStyle w:val="25"/>
        <w:snapToGrid w:val="0"/>
        <w:spacing w:line="360" w:lineRule="auto"/>
        <w:ind w:firstLine="420" w:firstLineChars="200"/>
        <w:rPr>
          <w:rFonts w:hAnsi="宋体"/>
          <w:color w:val="auto"/>
          <w:sz w:val="21"/>
          <w:highlight w:val="none"/>
        </w:rPr>
      </w:pPr>
      <w:r>
        <w:rPr>
          <w:rFonts w:hint="eastAsia" w:hAnsi="宋体"/>
          <w:color w:val="auto"/>
          <w:sz w:val="21"/>
          <w:highlight w:val="none"/>
        </w:rPr>
        <w:t>29.4电子交易活动的中止。采购过程中出现以下情形，导致电子交易平台无法正常运行，或者无法保证电子交易的公平、公正和安全时，采购代理机构可中止电子交易活动：</w:t>
      </w:r>
    </w:p>
    <w:p w14:paraId="547B6631">
      <w:pPr>
        <w:pStyle w:val="25"/>
        <w:snapToGrid w:val="0"/>
        <w:spacing w:line="360" w:lineRule="auto"/>
        <w:ind w:firstLine="420" w:firstLineChars="200"/>
        <w:rPr>
          <w:rFonts w:hAnsi="宋体"/>
          <w:color w:val="auto"/>
          <w:sz w:val="21"/>
          <w:highlight w:val="none"/>
        </w:rPr>
      </w:pPr>
      <w:r>
        <w:rPr>
          <w:rFonts w:hint="eastAsia" w:hAnsi="宋体"/>
          <w:color w:val="auto"/>
          <w:sz w:val="21"/>
          <w:highlight w:val="none"/>
        </w:rPr>
        <w:t xml:space="preserve">（1）电子交易平台发生故障而无法登录访问的； </w:t>
      </w:r>
    </w:p>
    <w:p w14:paraId="35F979D4">
      <w:pPr>
        <w:pStyle w:val="25"/>
        <w:snapToGrid w:val="0"/>
        <w:spacing w:line="360" w:lineRule="auto"/>
        <w:ind w:firstLine="420" w:firstLineChars="200"/>
        <w:rPr>
          <w:rFonts w:hAnsi="宋体"/>
          <w:color w:val="auto"/>
          <w:sz w:val="21"/>
          <w:highlight w:val="none"/>
        </w:rPr>
      </w:pPr>
      <w:r>
        <w:rPr>
          <w:rFonts w:hint="eastAsia" w:hAnsi="宋体"/>
          <w:color w:val="auto"/>
          <w:sz w:val="21"/>
          <w:highlight w:val="none"/>
        </w:rPr>
        <w:t>（2）电子交易平台应用或数据库出现错误，不能进行正常操作的；</w:t>
      </w:r>
    </w:p>
    <w:p w14:paraId="29FD84A7">
      <w:pPr>
        <w:pStyle w:val="25"/>
        <w:snapToGrid w:val="0"/>
        <w:spacing w:line="360" w:lineRule="auto"/>
        <w:ind w:firstLine="420" w:firstLineChars="200"/>
        <w:rPr>
          <w:rFonts w:hAnsi="宋体"/>
          <w:color w:val="auto"/>
          <w:sz w:val="21"/>
          <w:highlight w:val="none"/>
        </w:rPr>
      </w:pPr>
      <w:r>
        <w:rPr>
          <w:rFonts w:hint="eastAsia" w:hAnsi="宋体"/>
          <w:color w:val="auto"/>
          <w:sz w:val="21"/>
          <w:highlight w:val="none"/>
        </w:rPr>
        <w:t>（3）电子交易平台发现严重安全漏洞，有潜在泄密危险的；</w:t>
      </w:r>
    </w:p>
    <w:p w14:paraId="227B23B4">
      <w:pPr>
        <w:pStyle w:val="25"/>
        <w:snapToGrid w:val="0"/>
        <w:spacing w:line="360" w:lineRule="auto"/>
        <w:ind w:firstLine="420" w:firstLineChars="200"/>
        <w:rPr>
          <w:rFonts w:hAnsi="宋体"/>
          <w:color w:val="auto"/>
          <w:sz w:val="21"/>
          <w:highlight w:val="none"/>
        </w:rPr>
      </w:pPr>
      <w:r>
        <w:rPr>
          <w:rFonts w:hint="eastAsia" w:hAnsi="宋体"/>
          <w:color w:val="auto"/>
          <w:sz w:val="21"/>
          <w:highlight w:val="none"/>
        </w:rPr>
        <w:t xml:space="preserve">（4）病毒发作导致不能进行正常操作的； </w:t>
      </w:r>
    </w:p>
    <w:p w14:paraId="4D837FC5">
      <w:pPr>
        <w:pStyle w:val="25"/>
        <w:snapToGrid w:val="0"/>
        <w:spacing w:line="360" w:lineRule="auto"/>
        <w:ind w:firstLine="420" w:firstLineChars="200"/>
        <w:rPr>
          <w:rFonts w:hAnsi="宋体"/>
          <w:color w:val="auto"/>
          <w:sz w:val="21"/>
          <w:highlight w:val="none"/>
        </w:rPr>
      </w:pPr>
      <w:r>
        <w:rPr>
          <w:rFonts w:hint="eastAsia" w:hAnsi="宋体"/>
          <w:color w:val="auto"/>
          <w:sz w:val="21"/>
          <w:highlight w:val="none"/>
        </w:rPr>
        <w:t>（4）其他无法保证电子交易的公平、公正和安全的情况。</w:t>
      </w:r>
    </w:p>
    <w:p w14:paraId="27781E49">
      <w:pPr>
        <w:pStyle w:val="25"/>
        <w:snapToGrid w:val="0"/>
        <w:spacing w:line="360" w:lineRule="auto"/>
        <w:ind w:firstLine="420" w:firstLineChars="200"/>
        <w:rPr>
          <w:rFonts w:hAnsi="宋体"/>
          <w:color w:val="auto"/>
          <w:sz w:val="21"/>
          <w:highlight w:val="none"/>
        </w:rPr>
      </w:pPr>
      <w:r>
        <w:rPr>
          <w:rFonts w:hint="eastAsia" w:hAnsi="宋体"/>
          <w:color w:val="auto"/>
          <w:sz w:val="21"/>
          <w:highlight w:val="none"/>
        </w:rPr>
        <w:t>29.5出现以上情形，不影响采购公平、公正性的，采购代理机构可以待上述情形消除后继续组织电子交易活动；影响或可能影响采购公平、公正性的，经采购代理机构确认后，应当重新采购。</w:t>
      </w:r>
    </w:p>
    <w:p w14:paraId="574098F7">
      <w:pPr>
        <w:pStyle w:val="25"/>
        <w:snapToGrid w:val="0"/>
        <w:spacing w:line="360" w:lineRule="auto"/>
        <w:rPr>
          <w:rFonts w:hAnsi="宋体"/>
          <w:color w:val="auto"/>
          <w:sz w:val="21"/>
          <w:highlight w:val="none"/>
        </w:rPr>
      </w:pPr>
    </w:p>
    <w:p w14:paraId="7CC63F7B">
      <w:pPr>
        <w:pStyle w:val="7"/>
        <w:keepNext w:val="0"/>
        <w:keepLines w:val="0"/>
        <w:jc w:val="center"/>
        <w:rPr>
          <w:rFonts w:ascii="宋体" w:hAnsi="宋体"/>
          <w:color w:val="auto"/>
          <w:highlight w:val="none"/>
        </w:rPr>
      </w:pPr>
      <w:bookmarkStart w:id="130" w:name="_Toc254970546"/>
      <w:bookmarkStart w:id="131" w:name="_Toc254970687"/>
      <w:r>
        <w:rPr>
          <w:rFonts w:hint="eastAsia" w:ascii="宋体" w:hAnsi="宋体"/>
          <w:color w:val="auto"/>
          <w:highlight w:val="none"/>
        </w:rPr>
        <w:t>七、</w:t>
      </w:r>
      <w:bookmarkEnd w:id="130"/>
      <w:bookmarkEnd w:id="131"/>
      <w:r>
        <w:rPr>
          <w:rFonts w:hint="eastAsia" w:ascii="宋体" w:hAnsi="宋体"/>
          <w:color w:val="auto"/>
          <w:highlight w:val="none"/>
        </w:rPr>
        <w:t>中标和合同</w:t>
      </w:r>
    </w:p>
    <w:p w14:paraId="08F59361">
      <w:pPr>
        <w:pStyle w:val="8"/>
        <w:keepNext w:val="0"/>
        <w:keepLines w:val="0"/>
        <w:spacing w:before="0" w:after="0" w:line="360" w:lineRule="auto"/>
        <w:ind w:left="420" w:leftChars="200"/>
        <w:rPr>
          <w:rFonts w:ascii="宋体" w:hAnsi="宋体"/>
          <w:color w:val="auto"/>
          <w:sz w:val="24"/>
          <w:highlight w:val="none"/>
        </w:rPr>
      </w:pPr>
      <w:r>
        <w:rPr>
          <w:rFonts w:hint="eastAsia" w:ascii="宋体" w:hAnsi="宋体"/>
          <w:color w:val="auto"/>
          <w:sz w:val="24"/>
          <w:highlight w:val="none"/>
        </w:rPr>
        <w:t>30</w:t>
      </w:r>
      <w:r>
        <w:rPr>
          <w:rFonts w:ascii="宋体" w:hAnsi="宋体"/>
          <w:color w:val="auto"/>
          <w:sz w:val="24"/>
          <w:highlight w:val="none"/>
        </w:rPr>
        <w:t xml:space="preserve"> </w:t>
      </w:r>
      <w:r>
        <w:rPr>
          <w:rFonts w:hint="eastAsia" w:ascii="宋体" w:hAnsi="宋体"/>
          <w:color w:val="auto"/>
          <w:sz w:val="24"/>
          <w:highlight w:val="none"/>
        </w:rPr>
        <w:t>确定中标人</w:t>
      </w:r>
    </w:p>
    <w:p w14:paraId="48A329F5">
      <w:pPr>
        <w:pStyle w:val="8"/>
        <w:keepNext w:val="0"/>
        <w:keepLines w:val="0"/>
        <w:spacing w:before="0" w:after="0" w:line="360" w:lineRule="auto"/>
        <w:ind w:firstLine="420" w:firstLineChars="200"/>
        <w:rPr>
          <w:rFonts w:ascii="宋体" w:hAnsi="宋体"/>
          <w:b w:val="0"/>
          <w:color w:val="auto"/>
          <w:sz w:val="21"/>
          <w:szCs w:val="21"/>
          <w:highlight w:val="none"/>
        </w:rPr>
      </w:pPr>
      <w:r>
        <w:rPr>
          <w:rFonts w:ascii="宋体" w:hAnsi="宋体"/>
          <w:b w:val="0"/>
          <w:color w:val="auto"/>
          <w:sz w:val="21"/>
          <w:szCs w:val="21"/>
          <w:highlight w:val="none"/>
        </w:rPr>
        <w:t>30.1</w:t>
      </w:r>
      <w:r>
        <w:rPr>
          <w:rFonts w:hint="eastAsia" w:ascii="宋体" w:hAnsi="宋体"/>
          <w:b w:val="0"/>
          <w:color w:val="auto"/>
          <w:sz w:val="21"/>
          <w:szCs w:val="21"/>
          <w:highlight w:val="none"/>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3845814A">
      <w:pPr>
        <w:snapToGrid w:val="0"/>
        <w:spacing w:line="360" w:lineRule="auto"/>
        <w:ind w:firstLine="420" w:firstLineChars="200"/>
        <w:rPr>
          <w:rFonts w:ascii="宋体" w:hAnsi="宋体" w:cs="Courier New"/>
          <w:color w:val="auto"/>
          <w:szCs w:val="21"/>
          <w:highlight w:val="none"/>
        </w:rPr>
      </w:pPr>
      <w:r>
        <w:rPr>
          <w:rFonts w:ascii="宋体" w:hAnsi="宋体" w:cs="Courier New"/>
          <w:color w:val="auto"/>
          <w:szCs w:val="21"/>
          <w:highlight w:val="none"/>
        </w:rPr>
        <w:t>30.2</w:t>
      </w:r>
      <w:r>
        <w:rPr>
          <w:rFonts w:hint="eastAsia" w:ascii="宋体" w:hAnsi="宋体" w:cs="Courier New"/>
          <w:color w:val="auto"/>
          <w:szCs w:val="21"/>
          <w:highlight w:val="none"/>
        </w:rPr>
        <w:t>采购人在收到评标报告5个工作日内未按评标报告推荐的中标候选人顺序确定中标人，又不能说明合法理由的，视同按评标报告推荐的顺序确定排名第一的中标候选人为中标人。</w:t>
      </w:r>
    </w:p>
    <w:p w14:paraId="2A1D0957">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30.3出现下列情形之一的，应予废标：</w:t>
      </w:r>
    </w:p>
    <w:p w14:paraId="0391D04B">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（1）符合专业条件的供应商或者对招标文件作实质响应的供应商不足三家的；</w:t>
      </w:r>
    </w:p>
    <w:p w14:paraId="38725C93">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（2）出现影响采购公正的违法、违规行为的；</w:t>
      </w:r>
    </w:p>
    <w:p w14:paraId="5479DDBB">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（3）投标人的报价均超过了采购预算，采购人不能支付的；</w:t>
      </w:r>
    </w:p>
    <w:p w14:paraId="5F4ADE80">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（4）因重大变故，采购任务取消的。</w:t>
      </w:r>
    </w:p>
    <w:p w14:paraId="54F4494D">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废标后，采购人应当将废标理由通知所有投标人。</w:t>
      </w:r>
    </w:p>
    <w:p w14:paraId="5AA7B1CD">
      <w:pPr>
        <w:snapToGrid w:val="0"/>
        <w:spacing w:line="360" w:lineRule="auto"/>
        <w:ind w:firstLine="420" w:firstLineChars="200"/>
        <w:rPr>
          <w:rFonts w:ascii="宋体" w:hAnsi="宋体" w:cs="Courier New"/>
          <w:color w:val="auto"/>
          <w:szCs w:val="21"/>
          <w:highlight w:val="none"/>
        </w:rPr>
      </w:pPr>
      <w:r>
        <w:rPr>
          <w:rFonts w:ascii="宋体" w:hAnsi="宋体" w:cs="Courier New"/>
          <w:color w:val="auto"/>
          <w:szCs w:val="21"/>
          <w:highlight w:val="none"/>
        </w:rPr>
        <w:t>30.</w:t>
      </w:r>
      <w:r>
        <w:rPr>
          <w:rFonts w:hint="eastAsia" w:ascii="宋体" w:hAnsi="宋体" w:cs="Courier New"/>
          <w:color w:val="auto"/>
          <w:szCs w:val="21"/>
          <w:highlight w:val="none"/>
        </w:rPr>
        <w:t>4 中标人拒绝签订政府采购合同（包括但不限于放弃中标、因不可抗力不能履行合同而放弃签订合同），采购人可以按照评审报告推荐的中标候选人名单排序，确定下一候选人为中标供应商，也可以重新开展政府采购活动。</w:t>
      </w:r>
      <w:r>
        <w:rPr>
          <w:rFonts w:ascii="宋体" w:hAnsi="宋体" w:cs="Courier New"/>
          <w:color w:val="auto"/>
          <w:szCs w:val="21"/>
          <w:highlight w:val="none"/>
        </w:rPr>
        <w:t>拒绝签订政府采购合同的</w:t>
      </w:r>
      <w:r>
        <w:rPr>
          <w:rFonts w:hint="eastAsia" w:ascii="宋体" w:hAnsi="宋体" w:cs="Courier New"/>
          <w:color w:val="auto"/>
          <w:szCs w:val="21"/>
          <w:highlight w:val="none"/>
        </w:rPr>
        <w:t>中标人</w:t>
      </w:r>
      <w:r>
        <w:rPr>
          <w:rFonts w:ascii="宋体" w:hAnsi="宋体" w:cs="Courier New"/>
          <w:color w:val="auto"/>
          <w:szCs w:val="21"/>
          <w:highlight w:val="none"/>
        </w:rPr>
        <w:t>不得参加对该项目重新开展的采购活动。</w:t>
      </w:r>
    </w:p>
    <w:p w14:paraId="714B02B4">
      <w:pPr>
        <w:pStyle w:val="8"/>
        <w:keepNext w:val="0"/>
        <w:keepLines w:val="0"/>
        <w:spacing w:before="0" w:after="0" w:line="360" w:lineRule="auto"/>
        <w:ind w:left="420" w:leftChars="200"/>
        <w:rPr>
          <w:rFonts w:ascii="宋体" w:hAnsi="宋体"/>
          <w:color w:val="auto"/>
          <w:sz w:val="24"/>
          <w:highlight w:val="none"/>
        </w:rPr>
      </w:pPr>
      <w:r>
        <w:rPr>
          <w:rFonts w:hint="eastAsia" w:ascii="宋体" w:hAnsi="宋体"/>
          <w:color w:val="auto"/>
          <w:sz w:val="24"/>
          <w:highlight w:val="none"/>
        </w:rPr>
        <w:t>31. 结果公告</w:t>
      </w:r>
    </w:p>
    <w:p w14:paraId="5CB264E4">
      <w:pPr>
        <w:pStyle w:val="8"/>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3</w:t>
      </w:r>
      <w:r>
        <w:rPr>
          <w:rFonts w:ascii="宋体" w:hAnsi="宋体"/>
          <w:b w:val="0"/>
          <w:color w:val="auto"/>
          <w:sz w:val="21"/>
          <w:szCs w:val="21"/>
          <w:highlight w:val="none"/>
        </w:rPr>
        <w:t>1.1</w:t>
      </w:r>
      <w:r>
        <w:rPr>
          <w:rFonts w:hint="eastAsia" w:ascii="宋体" w:hAnsi="宋体"/>
          <w:b w:val="0"/>
          <w:color w:val="auto"/>
          <w:sz w:val="21"/>
          <w:szCs w:val="21"/>
          <w:highlight w:val="none"/>
        </w:rPr>
        <w:t>采购人或者采购代理机构应当自中标人确定之日起2个工作日内，在省级以上财政部门指定的媒体上公告中标结果，招标文件应当随中标结果同时公告。</w:t>
      </w:r>
      <w:r>
        <w:rPr>
          <w:rFonts w:hint="eastAsia" w:ascii="宋体" w:hAnsi="宋体"/>
          <w:color w:val="auto"/>
          <w:sz w:val="21"/>
          <w:szCs w:val="21"/>
          <w:highlight w:val="none"/>
        </w:rPr>
        <w:t>采购人或者采购代理发出中标通知书前，应当对中标人信用进行查询，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ascii="宋体" w:hAnsi="宋体"/>
          <w:b w:val="0"/>
          <w:color w:val="auto"/>
          <w:sz w:val="21"/>
          <w:szCs w:val="21"/>
          <w:highlight w:val="none"/>
        </w:rPr>
        <w:t>排名第二的中标候选人因前款规定的同样原因被取消中标资格的，采购人可以确定排名第三的中标候选人为中标人，以此类推。以上信息查询记录及相关证据与采购文件一并保存。</w:t>
      </w:r>
    </w:p>
    <w:p w14:paraId="5B0410F5">
      <w:pPr>
        <w:pStyle w:val="8"/>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31.2中标供应商享受《政府采购促进中小企业发展管理办法》（财库〔2020〕46号）规定的中小企业扶持政策的，采购人、采购代理机构应当随中标结果公开中标供应商的《中小企业声明函》。</w:t>
      </w:r>
    </w:p>
    <w:p w14:paraId="7CC850A1">
      <w:pPr>
        <w:pStyle w:val="8"/>
        <w:keepNext w:val="0"/>
        <w:keepLines w:val="0"/>
        <w:spacing w:before="0" w:after="0" w:line="360" w:lineRule="auto"/>
        <w:ind w:left="420" w:leftChars="200"/>
        <w:rPr>
          <w:rFonts w:ascii="宋体" w:hAnsi="宋体"/>
          <w:color w:val="auto"/>
          <w:sz w:val="24"/>
          <w:highlight w:val="none"/>
        </w:rPr>
      </w:pPr>
      <w:r>
        <w:rPr>
          <w:rFonts w:hint="eastAsia" w:ascii="宋体" w:hAnsi="宋体"/>
          <w:color w:val="auto"/>
          <w:sz w:val="24"/>
          <w:highlight w:val="none"/>
        </w:rPr>
        <w:t>32.发出中标通知书</w:t>
      </w:r>
    </w:p>
    <w:p w14:paraId="4BA41034">
      <w:pPr>
        <w:pStyle w:val="8"/>
        <w:keepNext w:val="0"/>
        <w:keepLines w:val="0"/>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在公告中标结果的同时，采购代理机构向中标人发出中标通知书。对未通过资格审查的投标人，应当告知其未通过的原因；采用综合评分办法评审的，还应当告知未中标人本人的评审得分与排序。</w:t>
      </w:r>
    </w:p>
    <w:p w14:paraId="23C808F6">
      <w:pPr>
        <w:pStyle w:val="8"/>
        <w:keepNext w:val="0"/>
        <w:keepLines w:val="0"/>
        <w:spacing w:before="0" w:after="0" w:line="360" w:lineRule="auto"/>
        <w:ind w:left="420" w:leftChars="200"/>
        <w:rPr>
          <w:rFonts w:ascii="宋体" w:hAnsi="宋体"/>
          <w:color w:val="auto"/>
          <w:sz w:val="24"/>
          <w:highlight w:val="none"/>
        </w:rPr>
      </w:pPr>
      <w:r>
        <w:rPr>
          <w:rFonts w:hint="eastAsia" w:ascii="宋体" w:hAnsi="宋体"/>
          <w:color w:val="auto"/>
          <w:sz w:val="24"/>
          <w:highlight w:val="none"/>
        </w:rPr>
        <w:t>33. 无义务解释未中标原因</w:t>
      </w:r>
    </w:p>
    <w:p w14:paraId="1869FE2F">
      <w:pPr>
        <w:pStyle w:val="8"/>
        <w:keepNext w:val="0"/>
        <w:keepLines w:val="0"/>
        <w:spacing w:before="0" w:after="0" w:line="360" w:lineRule="auto"/>
        <w:ind w:left="420" w:leftChars="200"/>
        <w:rPr>
          <w:rFonts w:ascii="宋体" w:hAnsi="宋体"/>
          <w:b w:val="0"/>
          <w:color w:val="auto"/>
          <w:sz w:val="21"/>
          <w:szCs w:val="21"/>
          <w:highlight w:val="none"/>
        </w:rPr>
      </w:pPr>
      <w:r>
        <w:rPr>
          <w:rFonts w:hint="eastAsia" w:ascii="宋体" w:hAnsi="宋体"/>
          <w:b w:val="0"/>
          <w:color w:val="auto"/>
          <w:sz w:val="21"/>
          <w:szCs w:val="21"/>
          <w:highlight w:val="none"/>
        </w:rPr>
        <w:t>采购代理机构无义务向未中标的投标人解释未中标原因和退还投标文件。</w:t>
      </w:r>
    </w:p>
    <w:p w14:paraId="7F80FED0">
      <w:pPr>
        <w:pStyle w:val="8"/>
        <w:keepNext w:val="0"/>
        <w:keepLines w:val="0"/>
        <w:spacing w:before="0" w:after="0" w:line="360" w:lineRule="auto"/>
        <w:ind w:left="420" w:leftChars="200"/>
        <w:rPr>
          <w:rFonts w:ascii="宋体" w:hAnsi="宋体"/>
          <w:color w:val="auto"/>
          <w:sz w:val="24"/>
          <w:highlight w:val="none"/>
        </w:rPr>
      </w:pPr>
      <w:r>
        <w:rPr>
          <w:rFonts w:hint="eastAsia" w:ascii="宋体" w:hAnsi="宋体"/>
          <w:color w:val="auto"/>
          <w:sz w:val="24"/>
          <w:highlight w:val="none"/>
        </w:rPr>
        <w:t>34.合同授予标准</w:t>
      </w:r>
    </w:p>
    <w:p w14:paraId="377C65FB">
      <w:pPr>
        <w:snapToGrid w:val="0"/>
        <w:spacing w:line="360" w:lineRule="auto"/>
        <w:ind w:firstLine="420" w:firstLineChars="200"/>
        <w:rPr>
          <w:rFonts w:ascii="宋体" w:hAnsi="宋体"/>
          <w:color w:val="auto"/>
          <w:szCs w:val="21"/>
          <w:highlight w:val="none"/>
        </w:rPr>
      </w:pPr>
      <w:r>
        <w:rPr>
          <w:rFonts w:hint="eastAsia" w:ascii="宋体" w:hAnsi="宋体" w:cs="Courier New"/>
          <w:color w:val="auto"/>
          <w:szCs w:val="21"/>
          <w:highlight w:val="none"/>
        </w:rPr>
        <w:t>合同将授予被确定实质上响应招标文件要求，具备履行合同能力的中标人（招标文件另有约定多名中标人的除外）。</w:t>
      </w:r>
    </w:p>
    <w:p w14:paraId="7D8AD411">
      <w:pPr>
        <w:pStyle w:val="8"/>
        <w:keepNext w:val="0"/>
        <w:keepLines w:val="0"/>
        <w:spacing w:before="0" w:after="0" w:line="360" w:lineRule="auto"/>
        <w:ind w:left="420" w:leftChars="200"/>
        <w:rPr>
          <w:rFonts w:ascii="宋体" w:hAnsi="宋体"/>
          <w:color w:val="auto"/>
          <w:sz w:val="24"/>
          <w:highlight w:val="none"/>
        </w:rPr>
      </w:pPr>
      <w:r>
        <w:rPr>
          <w:rFonts w:hint="eastAsia" w:ascii="宋体" w:hAnsi="宋体"/>
          <w:color w:val="auto"/>
          <w:sz w:val="24"/>
          <w:highlight w:val="none"/>
        </w:rPr>
        <w:t>35.履约保证金</w:t>
      </w:r>
    </w:p>
    <w:p w14:paraId="5F3CCE73">
      <w:pPr>
        <w:pStyle w:val="8"/>
        <w:keepNext w:val="0"/>
        <w:keepLines w:val="0"/>
        <w:spacing w:before="0" w:after="0" w:line="360" w:lineRule="auto"/>
        <w:ind w:firstLine="315" w:firstLineChars="150"/>
        <w:rPr>
          <w:rFonts w:ascii="宋体" w:hAnsi="宋体"/>
          <w:b w:val="0"/>
          <w:color w:val="auto"/>
          <w:sz w:val="21"/>
          <w:szCs w:val="21"/>
          <w:highlight w:val="none"/>
        </w:rPr>
      </w:pPr>
      <w:bookmarkStart w:id="132" w:name="_39.1中标人须于签订合同前按本须知前附表规定的金额转账或电汇到指定账"/>
      <w:bookmarkEnd w:id="132"/>
      <w:r>
        <w:rPr>
          <w:rFonts w:ascii="宋体" w:hAnsi="宋体"/>
          <w:b w:val="0"/>
          <w:color w:val="auto"/>
          <w:sz w:val="21"/>
          <w:szCs w:val="21"/>
          <w:highlight w:val="none"/>
        </w:rPr>
        <w:t xml:space="preserve"> </w:t>
      </w:r>
      <w:r>
        <w:rPr>
          <w:rFonts w:hint="eastAsia" w:ascii="宋体" w:hAnsi="宋体"/>
          <w:b w:val="0"/>
          <w:color w:val="auto"/>
          <w:sz w:val="21"/>
          <w:szCs w:val="21"/>
          <w:highlight w:val="none"/>
        </w:rPr>
        <w:t>3</w:t>
      </w:r>
      <w:r>
        <w:rPr>
          <w:rFonts w:ascii="宋体" w:hAnsi="宋体"/>
          <w:b w:val="0"/>
          <w:color w:val="auto"/>
          <w:sz w:val="21"/>
          <w:szCs w:val="21"/>
          <w:highlight w:val="none"/>
        </w:rPr>
        <w:t>5</w:t>
      </w:r>
      <w:r>
        <w:rPr>
          <w:rFonts w:hint="eastAsia" w:ascii="宋体" w:hAnsi="宋体"/>
          <w:b w:val="0"/>
          <w:color w:val="auto"/>
          <w:sz w:val="21"/>
          <w:szCs w:val="21"/>
          <w:highlight w:val="none"/>
        </w:rPr>
        <w:t>.1 履约保证金的金额、提交方式、退付的时间和条件详见 “投标人须知前附表”。中标人未按规定提交履约保证金的，视为拒绝与采购人签订合同。</w:t>
      </w:r>
    </w:p>
    <w:p w14:paraId="547F1528">
      <w:pPr>
        <w:pStyle w:val="8"/>
        <w:keepNext w:val="0"/>
        <w:keepLines w:val="0"/>
        <w:spacing w:before="0" w:after="0" w:line="360" w:lineRule="auto"/>
        <w:ind w:firstLine="316" w:firstLineChars="150"/>
        <w:rPr>
          <w:rFonts w:ascii="宋体" w:hAnsi="宋体"/>
          <w:color w:val="auto"/>
          <w:sz w:val="21"/>
          <w:szCs w:val="21"/>
          <w:highlight w:val="none"/>
        </w:rPr>
      </w:pPr>
      <w:r>
        <w:rPr>
          <w:rFonts w:hint="eastAsia" w:ascii="宋体" w:hAnsi="宋体"/>
          <w:color w:val="auto"/>
          <w:sz w:val="21"/>
          <w:szCs w:val="21"/>
          <w:highlight w:val="none"/>
        </w:rPr>
        <w:t xml:space="preserve"> </w:t>
      </w:r>
      <w:r>
        <w:rPr>
          <w:rFonts w:hint="eastAsia" w:ascii="宋体" w:hAnsi="宋体"/>
          <w:b w:val="0"/>
          <w:bCs/>
          <w:color w:val="auto"/>
          <w:sz w:val="21"/>
          <w:szCs w:val="21"/>
          <w:highlight w:val="none"/>
        </w:rPr>
        <w:t>35.2在履约保证金退还日期前，若中标人的开户名称、开户银行、帐号有变动的，请以书面形式通知履约保证金收取单位，否则由此产生的后果由中标人自行承担。</w:t>
      </w:r>
    </w:p>
    <w:p w14:paraId="3E4E5DDA">
      <w:pPr>
        <w:pStyle w:val="8"/>
        <w:keepNext w:val="0"/>
        <w:keepLines w:val="0"/>
        <w:spacing w:before="0" w:after="0" w:line="360" w:lineRule="auto"/>
        <w:ind w:left="420" w:leftChars="200"/>
        <w:rPr>
          <w:rFonts w:ascii="宋体" w:hAnsi="宋体"/>
          <w:color w:val="auto"/>
          <w:sz w:val="24"/>
          <w:highlight w:val="none"/>
        </w:rPr>
      </w:pPr>
      <w:r>
        <w:rPr>
          <w:rFonts w:hint="eastAsia" w:ascii="宋体" w:hAnsi="宋体"/>
          <w:color w:val="auto"/>
          <w:sz w:val="24"/>
          <w:highlight w:val="none"/>
        </w:rPr>
        <w:t>36.签订合同</w:t>
      </w:r>
    </w:p>
    <w:p w14:paraId="4102C9CB">
      <w:pPr>
        <w:pStyle w:val="8"/>
        <w:keepNext w:val="0"/>
        <w:keepLines w:val="0"/>
        <w:spacing w:before="0" w:after="0" w:line="360" w:lineRule="auto"/>
        <w:ind w:firstLine="315" w:firstLineChars="150"/>
        <w:rPr>
          <w:rFonts w:ascii="宋体" w:hAnsi="宋体"/>
          <w:b w:val="0"/>
          <w:bCs/>
          <w:color w:val="auto"/>
          <w:sz w:val="21"/>
          <w:szCs w:val="21"/>
          <w:highlight w:val="none"/>
        </w:rPr>
      </w:pPr>
      <w:bookmarkStart w:id="133" w:name="_40.1投标人接到中标通知书后，按须知前附表规定向采购人出示相关资格证"/>
      <w:bookmarkEnd w:id="133"/>
      <w:r>
        <w:rPr>
          <w:rFonts w:hint="eastAsia" w:ascii="宋体" w:hAnsi="宋体"/>
          <w:b w:val="0"/>
          <w:color w:val="auto"/>
          <w:sz w:val="21"/>
          <w:szCs w:val="21"/>
          <w:highlight w:val="none"/>
        </w:rPr>
        <w:t xml:space="preserve"> 36.1投标人领取中标通知书（书面或电子）后，按“投标人须知前附表”规定向采购人出示相关证明材料，经采购人核验合格后方可签订采购合同（书面或电子）。</w:t>
      </w:r>
      <w:r>
        <w:rPr>
          <w:rFonts w:hint="eastAsia" w:ascii="宋体" w:hAnsi="宋体"/>
          <w:b w:val="0"/>
          <w:bCs/>
          <w:color w:val="auto"/>
          <w:sz w:val="21"/>
          <w:szCs w:val="21"/>
          <w:highlight w:val="none"/>
        </w:rPr>
        <w:t>如中标人为联合体的，</w:t>
      </w:r>
      <w:r>
        <w:rPr>
          <w:rFonts w:ascii="宋体" w:hAnsi="宋体"/>
          <w:b w:val="0"/>
          <w:bCs/>
          <w:color w:val="auto"/>
          <w:sz w:val="21"/>
          <w:szCs w:val="21"/>
          <w:highlight w:val="none"/>
        </w:rPr>
        <w:t>联合体各方应当共同与采购人签订采购合同，就采购合同约定的事项对采购人承担连带责任。</w:t>
      </w:r>
    </w:p>
    <w:p w14:paraId="33AE1EF9">
      <w:pPr>
        <w:pStyle w:val="8"/>
        <w:keepNext w:val="0"/>
        <w:keepLines w:val="0"/>
        <w:numPr>
          <w:ilvl w:val="0"/>
          <w:numId w:val="0"/>
        </w:numPr>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36.2签订合同时间：按中标通知书规定的时间与采购人签订合同（最长不能超过25日）。</w:t>
      </w:r>
    </w:p>
    <w:p w14:paraId="7DE52DBC">
      <w:pPr>
        <w:pStyle w:val="8"/>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36.</w:t>
      </w:r>
      <w:r>
        <w:rPr>
          <w:rFonts w:ascii="宋体" w:hAnsi="宋体"/>
          <w:b w:val="0"/>
          <w:color w:val="auto"/>
          <w:sz w:val="21"/>
          <w:szCs w:val="21"/>
          <w:highlight w:val="none"/>
        </w:rPr>
        <w:t>3</w:t>
      </w:r>
      <w:r>
        <w:rPr>
          <w:rFonts w:hint="eastAsia" w:ascii="宋体" w:hAnsi="宋体"/>
          <w:b w:val="0"/>
          <w:color w:val="auto"/>
          <w:sz w:val="21"/>
          <w:szCs w:val="21"/>
          <w:highlight w:val="none"/>
        </w:rPr>
        <w:t>中标人拒绝与采购人签订合同的，按照本须知正文第3</w:t>
      </w:r>
      <w:r>
        <w:rPr>
          <w:rFonts w:ascii="宋体" w:hAnsi="宋体"/>
          <w:b w:val="0"/>
          <w:color w:val="auto"/>
          <w:sz w:val="21"/>
          <w:szCs w:val="21"/>
          <w:highlight w:val="none"/>
        </w:rPr>
        <w:t>0.4条</w:t>
      </w:r>
      <w:r>
        <w:rPr>
          <w:rFonts w:hint="eastAsia" w:ascii="宋体" w:hAnsi="宋体"/>
          <w:b w:val="0"/>
          <w:color w:val="auto"/>
          <w:sz w:val="21"/>
          <w:szCs w:val="21"/>
          <w:highlight w:val="none"/>
        </w:rPr>
        <w:t>的规定执行。</w:t>
      </w:r>
    </w:p>
    <w:p w14:paraId="7A3A9EB2">
      <w:pPr>
        <w:pStyle w:val="8"/>
        <w:keepNext w:val="0"/>
        <w:keepLines w:val="0"/>
        <w:spacing w:before="0" w:after="0" w:line="360" w:lineRule="auto"/>
        <w:ind w:left="420" w:leftChars="200"/>
        <w:rPr>
          <w:rFonts w:ascii="宋体" w:hAnsi="宋体"/>
          <w:color w:val="auto"/>
          <w:sz w:val="24"/>
          <w:highlight w:val="none"/>
        </w:rPr>
      </w:pPr>
      <w:bookmarkStart w:id="134" w:name="_41.政府采购合同公告"/>
      <w:bookmarkEnd w:id="134"/>
      <w:r>
        <w:rPr>
          <w:rFonts w:hint="eastAsia" w:ascii="宋体" w:hAnsi="宋体"/>
          <w:color w:val="auto"/>
          <w:sz w:val="24"/>
          <w:highlight w:val="none"/>
        </w:rPr>
        <w:t>37.政府采购合同公告</w:t>
      </w:r>
    </w:p>
    <w:p w14:paraId="6C49D3A1">
      <w:pPr>
        <w:pStyle w:val="25"/>
        <w:snapToGrid w:val="0"/>
        <w:spacing w:line="360" w:lineRule="auto"/>
        <w:ind w:firstLine="420" w:firstLineChars="200"/>
        <w:rPr>
          <w:rFonts w:hAnsi="宋体"/>
          <w:color w:val="auto"/>
          <w:sz w:val="21"/>
          <w:highlight w:val="none"/>
        </w:rPr>
      </w:pPr>
      <w:r>
        <w:rPr>
          <w:rFonts w:hint="eastAsia" w:hAnsi="宋体"/>
          <w:color w:val="auto"/>
          <w:sz w:val="21"/>
          <w:highlight w:val="none"/>
        </w:rPr>
        <w:t>采购人或者受托采购代理机构应当自政府采购合同签订之日起2个工作日内，将政府采购合同在省级以上人民政府财政部门指定的媒体上公告，</w:t>
      </w:r>
      <w:r>
        <w:rPr>
          <w:rFonts w:hAnsi="宋体"/>
          <w:color w:val="auto"/>
          <w:sz w:val="21"/>
          <w:highlight w:val="none"/>
        </w:rPr>
        <w:t>但政府采购合同中涉及国家秘密、商业秘密的内容除外。</w:t>
      </w:r>
    </w:p>
    <w:p w14:paraId="2B10E47B">
      <w:pPr>
        <w:pStyle w:val="8"/>
        <w:keepNext w:val="0"/>
        <w:keepLines w:val="0"/>
        <w:spacing w:before="0" w:after="0" w:line="360" w:lineRule="auto"/>
        <w:ind w:left="420" w:leftChars="200"/>
        <w:rPr>
          <w:rFonts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8.</w:t>
      </w:r>
      <w:r>
        <w:rPr>
          <w:rFonts w:hint="eastAsia" w:ascii="宋体" w:hAnsi="宋体"/>
          <w:color w:val="auto"/>
          <w:sz w:val="24"/>
          <w:highlight w:val="none"/>
        </w:rPr>
        <w:t xml:space="preserve"> 询问、质疑和投诉</w:t>
      </w:r>
    </w:p>
    <w:p w14:paraId="627F019A">
      <w:pPr>
        <w:pStyle w:val="9"/>
        <w:spacing w:line="360" w:lineRule="auto"/>
        <w:rPr>
          <w:rFonts w:ascii="宋体" w:hAnsi="宋体"/>
          <w:color w:val="auto"/>
          <w:szCs w:val="21"/>
          <w:highlight w:val="none"/>
        </w:rPr>
      </w:pPr>
      <w:r>
        <w:rPr>
          <w:rFonts w:ascii="宋体" w:hAnsi="宋体"/>
          <w:color w:val="auto"/>
          <w:szCs w:val="21"/>
          <w:highlight w:val="none"/>
        </w:rPr>
        <w:t>38.1</w:t>
      </w:r>
      <w:r>
        <w:rPr>
          <w:rFonts w:hint="eastAsia" w:ascii="宋体" w:hAnsi="宋体"/>
          <w:color w:val="auto"/>
          <w:szCs w:val="21"/>
          <w:highlight w:val="none"/>
        </w:rPr>
        <w:t>供应商对政府采购活动事项有疑问的，可以向采购人提出询问，采购人或者采购代理机构应当在3个工作日内对供应商依法提出的询问作出答复，但答复的内容不得涉及商业秘密。</w:t>
      </w:r>
    </w:p>
    <w:p w14:paraId="5143B7D4">
      <w:pPr>
        <w:pStyle w:val="8"/>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w:t>
      </w:r>
      <w:r>
        <w:rPr>
          <w:rFonts w:ascii="宋体" w:hAnsi="宋体"/>
          <w:b w:val="0"/>
          <w:color w:val="auto"/>
          <w:sz w:val="21"/>
          <w:szCs w:val="21"/>
          <w:highlight w:val="none"/>
        </w:rPr>
        <w:t>38</w:t>
      </w:r>
      <w:r>
        <w:rPr>
          <w:rFonts w:hint="eastAsia" w:ascii="宋体" w:hAnsi="宋体"/>
          <w:b w:val="0"/>
          <w:color w:val="auto"/>
          <w:sz w:val="21"/>
          <w:szCs w:val="21"/>
          <w:highlight w:val="none"/>
        </w:rPr>
        <w:t>.</w:t>
      </w:r>
      <w:r>
        <w:rPr>
          <w:rFonts w:ascii="宋体" w:hAnsi="宋体"/>
          <w:b w:val="0"/>
          <w:color w:val="auto"/>
          <w:sz w:val="21"/>
          <w:szCs w:val="21"/>
          <w:highlight w:val="none"/>
        </w:rPr>
        <w:t>2</w:t>
      </w:r>
      <w:r>
        <w:rPr>
          <w:rFonts w:hint="eastAsia" w:ascii="宋体" w:hAnsi="宋体"/>
          <w:b w:val="0"/>
          <w:color w:val="auto"/>
          <w:sz w:val="21"/>
          <w:szCs w:val="21"/>
          <w:highlight w:val="none"/>
        </w:rPr>
        <w:t xml:space="preserve">供应商认为招标文件、采购过程或者中标结果使自己的合法权益受到损害的，必须在知道或者应知其权益受到损害之日起7个工作日内，以纸质书面形式向采购人、采购代理机构提出质疑。采购人、采购代理机构接收质疑函的方式、联系部门、联系电话和通讯地址等信息详见“投标人须知前附表”。具体质疑起算时间如下： </w:t>
      </w:r>
    </w:p>
    <w:p w14:paraId="112F1F19">
      <w:pPr>
        <w:pStyle w:val="25"/>
        <w:snapToGrid w:val="0"/>
        <w:spacing w:line="360" w:lineRule="auto"/>
        <w:ind w:firstLine="420" w:firstLineChars="200"/>
        <w:rPr>
          <w:rFonts w:hAnsi="宋体"/>
          <w:color w:val="auto"/>
          <w:sz w:val="21"/>
          <w:highlight w:val="none"/>
        </w:rPr>
      </w:pPr>
      <w:r>
        <w:rPr>
          <w:rFonts w:hAnsi="宋体"/>
          <w:color w:val="auto"/>
          <w:sz w:val="21"/>
          <w:highlight w:val="none"/>
        </w:rPr>
        <w:t>（</w:t>
      </w:r>
      <w:r>
        <w:rPr>
          <w:rFonts w:hint="eastAsia" w:hAnsi="宋体"/>
          <w:color w:val="auto"/>
          <w:sz w:val="21"/>
          <w:highlight w:val="none"/>
        </w:rPr>
        <w:t>1</w:t>
      </w:r>
      <w:r>
        <w:rPr>
          <w:rFonts w:hAnsi="宋体"/>
          <w:color w:val="auto"/>
          <w:sz w:val="21"/>
          <w:highlight w:val="none"/>
        </w:rPr>
        <w:t>）对可以质疑的</w:t>
      </w:r>
      <w:r>
        <w:rPr>
          <w:rFonts w:hint="eastAsia" w:hAnsi="宋体"/>
          <w:color w:val="auto"/>
          <w:sz w:val="21"/>
          <w:highlight w:val="none"/>
        </w:rPr>
        <w:t>招标</w:t>
      </w:r>
      <w:r>
        <w:rPr>
          <w:rFonts w:hAnsi="宋体"/>
          <w:color w:val="auto"/>
          <w:sz w:val="21"/>
          <w:highlight w:val="none"/>
        </w:rPr>
        <w:t>文件提出质疑的，为收到</w:t>
      </w:r>
      <w:r>
        <w:rPr>
          <w:rFonts w:hint="eastAsia" w:hAnsi="宋体"/>
          <w:color w:val="auto"/>
          <w:sz w:val="21"/>
          <w:highlight w:val="none"/>
        </w:rPr>
        <w:t>招标</w:t>
      </w:r>
      <w:r>
        <w:rPr>
          <w:rFonts w:hAnsi="宋体"/>
          <w:color w:val="auto"/>
          <w:sz w:val="21"/>
          <w:highlight w:val="none"/>
        </w:rPr>
        <w:t>文件之日</w:t>
      </w:r>
      <w:r>
        <w:rPr>
          <w:rFonts w:hint="eastAsia" w:hAnsi="宋体"/>
          <w:color w:val="auto"/>
          <w:sz w:val="21"/>
          <w:highlight w:val="none"/>
        </w:rPr>
        <w:t>或者招标文件公告期限届满之日</w:t>
      </w:r>
      <w:r>
        <w:rPr>
          <w:rFonts w:hAnsi="宋体"/>
          <w:color w:val="auto"/>
          <w:sz w:val="21"/>
          <w:highlight w:val="none"/>
        </w:rPr>
        <w:t>；</w:t>
      </w:r>
    </w:p>
    <w:p w14:paraId="7949B78A">
      <w:pPr>
        <w:pStyle w:val="25"/>
        <w:snapToGrid w:val="0"/>
        <w:spacing w:line="360" w:lineRule="auto"/>
        <w:ind w:firstLine="420" w:firstLineChars="200"/>
        <w:rPr>
          <w:rFonts w:hAnsi="宋体"/>
          <w:color w:val="auto"/>
          <w:sz w:val="21"/>
          <w:highlight w:val="none"/>
        </w:rPr>
      </w:pPr>
      <w:r>
        <w:rPr>
          <w:rFonts w:hAnsi="宋体"/>
          <w:color w:val="auto"/>
          <w:sz w:val="21"/>
          <w:highlight w:val="none"/>
        </w:rPr>
        <w:t>（</w:t>
      </w:r>
      <w:r>
        <w:rPr>
          <w:rFonts w:hint="eastAsia" w:hAnsi="宋体"/>
          <w:color w:val="auto"/>
          <w:sz w:val="21"/>
          <w:highlight w:val="none"/>
        </w:rPr>
        <w:t>2</w:t>
      </w:r>
      <w:r>
        <w:rPr>
          <w:rFonts w:hAnsi="宋体"/>
          <w:color w:val="auto"/>
          <w:sz w:val="21"/>
          <w:highlight w:val="none"/>
        </w:rPr>
        <w:t>）对</w:t>
      </w:r>
      <w:r>
        <w:rPr>
          <w:rFonts w:hint="eastAsia" w:hAnsi="宋体"/>
          <w:color w:val="auto"/>
          <w:sz w:val="21"/>
          <w:highlight w:val="none"/>
        </w:rPr>
        <w:t>采购</w:t>
      </w:r>
      <w:r>
        <w:rPr>
          <w:rFonts w:hAnsi="宋体"/>
          <w:color w:val="auto"/>
          <w:sz w:val="21"/>
          <w:highlight w:val="none"/>
        </w:rPr>
        <w:t>过程提出质疑的，为各采购程序环节结束之日；</w:t>
      </w:r>
    </w:p>
    <w:p w14:paraId="4C193C97">
      <w:pPr>
        <w:pStyle w:val="25"/>
        <w:snapToGrid w:val="0"/>
        <w:spacing w:line="360" w:lineRule="auto"/>
        <w:ind w:firstLine="420" w:firstLineChars="200"/>
        <w:rPr>
          <w:rFonts w:hAnsi="宋体"/>
          <w:bCs/>
          <w:color w:val="auto"/>
          <w:sz w:val="21"/>
          <w:highlight w:val="none"/>
        </w:rPr>
      </w:pPr>
      <w:r>
        <w:rPr>
          <w:rFonts w:hAnsi="宋体"/>
          <w:color w:val="auto"/>
          <w:sz w:val="21"/>
          <w:highlight w:val="none"/>
        </w:rPr>
        <w:t>（</w:t>
      </w:r>
      <w:r>
        <w:rPr>
          <w:rFonts w:hint="eastAsia" w:hAnsi="宋体"/>
          <w:color w:val="auto"/>
          <w:sz w:val="21"/>
          <w:highlight w:val="none"/>
        </w:rPr>
        <w:t>3</w:t>
      </w:r>
      <w:r>
        <w:rPr>
          <w:rFonts w:hAnsi="宋体"/>
          <w:color w:val="auto"/>
          <w:sz w:val="21"/>
          <w:highlight w:val="none"/>
        </w:rPr>
        <w:t>）对中标结果提出质疑的，为中标结果公告期限届满之日。</w:t>
      </w:r>
    </w:p>
    <w:p w14:paraId="275827FA">
      <w:pPr>
        <w:pStyle w:val="8"/>
        <w:keepNext w:val="0"/>
        <w:keepLines w:val="0"/>
        <w:spacing w:before="0" w:after="0" w:line="360" w:lineRule="auto"/>
        <w:ind w:firstLine="315" w:firstLineChars="150"/>
        <w:rPr>
          <w:rFonts w:ascii="宋体" w:hAnsi="宋体"/>
          <w:b w:val="0"/>
          <w:color w:val="auto"/>
          <w:sz w:val="21"/>
          <w:szCs w:val="21"/>
          <w:highlight w:val="none"/>
        </w:rPr>
      </w:pPr>
      <w:r>
        <w:rPr>
          <w:rFonts w:ascii="宋体" w:hAnsi="宋体"/>
          <w:b w:val="0"/>
          <w:color w:val="auto"/>
          <w:sz w:val="21"/>
          <w:szCs w:val="21"/>
          <w:highlight w:val="none"/>
        </w:rPr>
        <w:t>38</w:t>
      </w:r>
      <w:r>
        <w:rPr>
          <w:rFonts w:hint="eastAsia" w:ascii="宋体" w:hAnsi="宋体"/>
          <w:b w:val="0"/>
          <w:color w:val="auto"/>
          <w:sz w:val="21"/>
          <w:szCs w:val="21"/>
          <w:highlight w:val="none"/>
        </w:rPr>
        <w:t>.</w:t>
      </w:r>
      <w:r>
        <w:rPr>
          <w:rFonts w:ascii="宋体" w:hAnsi="宋体"/>
          <w:b w:val="0"/>
          <w:color w:val="auto"/>
          <w:sz w:val="21"/>
          <w:szCs w:val="21"/>
          <w:highlight w:val="none"/>
        </w:rPr>
        <w:t>3</w:t>
      </w:r>
      <w:r>
        <w:rPr>
          <w:rFonts w:hint="eastAsia" w:ascii="宋体" w:hAnsi="宋体"/>
          <w:b w:val="0"/>
          <w:color w:val="auto"/>
          <w:sz w:val="21"/>
          <w:szCs w:val="21"/>
          <w:highlight w:val="none"/>
        </w:rPr>
        <w:t xml:space="preserve"> </w:t>
      </w:r>
      <w:r>
        <w:rPr>
          <w:rFonts w:ascii="宋体" w:hAnsi="宋体"/>
          <w:bCs/>
          <w:color w:val="auto"/>
          <w:sz w:val="21"/>
          <w:highlight w:val="none"/>
        </w:rPr>
        <w:t>供应商提出质疑应当提交质疑函和必要的证明材料</w:t>
      </w:r>
      <w:r>
        <w:rPr>
          <w:rFonts w:hint="eastAsia" w:ascii="宋体" w:hAnsi="宋体"/>
          <w:bCs/>
          <w:color w:val="auto"/>
          <w:sz w:val="21"/>
          <w:highlight w:val="none"/>
        </w:rPr>
        <w:t>，</w:t>
      </w:r>
      <w:r>
        <w:rPr>
          <w:rFonts w:ascii="宋体" w:hAnsi="宋体"/>
          <w:bCs/>
          <w:color w:val="auto"/>
          <w:sz w:val="21"/>
          <w:highlight w:val="none"/>
        </w:rPr>
        <w:t>针对同一采购程序环节的质疑</w:t>
      </w:r>
      <w:r>
        <w:rPr>
          <w:rFonts w:hint="eastAsia" w:ascii="宋体" w:hAnsi="宋体"/>
          <w:bCs/>
          <w:color w:val="auto"/>
          <w:sz w:val="21"/>
          <w:highlight w:val="none"/>
        </w:rPr>
        <w:t>必须</w:t>
      </w:r>
      <w:r>
        <w:rPr>
          <w:rFonts w:ascii="宋体" w:hAnsi="宋体"/>
          <w:bCs/>
          <w:color w:val="auto"/>
          <w:sz w:val="21"/>
          <w:highlight w:val="none"/>
        </w:rPr>
        <w:t>在法定质疑期内一次性提出。质疑函应当包括下列内容</w:t>
      </w:r>
      <w:r>
        <w:rPr>
          <w:rFonts w:hint="eastAsia" w:ascii="宋体" w:hAnsi="宋体"/>
          <w:bCs/>
          <w:color w:val="auto"/>
          <w:sz w:val="21"/>
          <w:highlight w:val="none"/>
        </w:rPr>
        <w:t>（质疑函格式后附）</w:t>
      </w:r>
      <w:r>
        <w:rPr>
          <w:rFonts w:ascii="宋体" w:hAnsi="宋体"/>
          <w:bCs/>
          <w:color w:val="auto"/>
          <w:sz w:val="21"/>
          <w:highlight w:val="none"/>
        </w:rPr>
        <w:t>：</w:t>
      </w:r>
    </w:p>
    <w:p w14:paraId="2631230A">
      <w:pPr>
        <w:pStyle w:val="25"/>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1</w:t>
      </w:r>
      <w:r>
        <w:rPr>
          <w:rFonts w:hAnsi="宋体"/>
          <w:bCs/>
          <w:color w:val="auto"/>
          <w:sz w:val="21"/>
          <w:highlight w:val="none"/>
        </w:rPr>
        <w:t>）供应商的姓名或者名称、地址、邮编、联系人及联系电话；</w:t>
      </w:r>
    </w:p>
    <w:p w14:paraId="184951B2">
      <w:pPr>
        <w:pStyle w:val="25"/>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2</w:t>
      </w:r>
      <w:r>
        <w:rPr>
          <w:rFonts w:hAnsi="宋体"/>
          <w:bCs/>
          <w:color w:val="auto"/>
          <w:sz w:val="21"/>
          <w:highlight w:val="none"/>
        </w:rPr>
        <w:t>）质疑项目的名称、编号；</w:t>
      </w:r>
    </w:p>
    <w:p w14:paraId="1DD937E0">
      <w:pPr>
        <w:pStyle w:val="25"/>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3</w:t>
      </w:r>
      <w:r>
        <w:rPr>
          <w:rFonts w:hAnsi="宋体"/>
          <w:bCs/>
          <w:color w:val="auto"/>
          <w:sz w:val="21"/>
          <w:highlight w:val="none"/>
        </w:rPr>
        <w:t>）具体、明确的质疑事项和与质疑事项相关的请求；</w:t>
      </w:r>
    </w:p>
    <w:p w14:paraId="7A317C04">
      <w:pPr>
        <w:pStyle w:val="25"/>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4</w:t>
      </w:r>
      <w:r>
        <w:rPr>
          <w:rFonts w:hAnsi="宋体"/>
          <w:bCs/>
          <w:color w:val="auto"/>
          <w:sz w:val="21"/>
          <w:highlight w:val="none"/>
        </w:rPr>
        <w:t>）事实依据；</w:t>
      </w:r>
    </w:p>
    <w:p w14:paraId="4B733FEE">
      <w:pPr>
        <w:pStyle w:val="25"/>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5</w:t>
      </w:r>
      <w:r>
        <w:rPr>
          <w:rFonts w:hAnsi="宋体"/>
          <w:bCs/>
          <w:color w:val="auto"/>
          <w:sz w:val="21"/>
          <w:highlight w:val="none"/>
        </w:rPr>
        <w:t>）必要的法律依据；</w:t>
      </w:r>
    </w:p>
    <w:p w14:paraId="46831800">
      <w:pPr>
        <w:pStyle w:val="25"/>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6</w:t>
      </w:r>
      <w:r>
        <w:rPr>
          <w:rFonts w:hAnsi="宋体"/>
          <w:bCs/>
          <w:color w:val="auto"/>
          <w:sz w:val="21"/>
          <w:highlight w:val="none"/>
        </w:rPr>
        <w:t>）提出质疑的日期。</w:t>
      </w:r>
    </w:p>
    <w:p w14:paraId="0FD06946">
      <w:pPr>
        <w:pStyle w:val="25"/>
        <w:snapToGrid w:val="0"/>
        <w:spacing w:line="360" w:lineRule="auto"/>
        <w:ind w:firstLine="420" w:firstLineChars="200"/>
        <w:rPr>
          <w:rFonts w:hAnsi="宋体"/>
          <w:bCs/>
          <w:color w:val="auto"/>
          <w:sz w:val="21"/>
          <w:highlight w:val="none"/>
        </w:rPr>
      </w:pPr>
      <w:r>
        <w:rPr>
          <w:rFonts w:hAnsi="宋体"/>
          <w:bCs/>
          <w:color w:val="auto"/>
          <w:sz w:val="21"/>
          <w:highlight w:val="none"/>
        </w:rPr>
        <w:t>供应商为自然人的，应当由本人签字；供应商为法人或者其他组织的，应当由法定代表人、主要负责人，或者其委托代理人签字或者盖章，并加盖公章</w:t>
      </w:r>
      <w:r>
        <w:rPr>
          <w:rFonts w:hint="eastAsia" w:hAnsi="宋体"/>
          <w:bCs/>
          <w:color w:val="auto"/>
          <w:sz w:val="21"/>
          <w:highlight w:val="none"/>
        </w:rPr>
        <w:t>。</w:t>
      </w:r>
    </w:p>
    <w:p w14:paraId="170D11BE">
      <w:pPr>
        <w:pStyle w:val="8"/>
        <w:keepNext w:val="0"/>
        <w:keepLines w:val="0"/>
        <w:snapToGrid w:val="0"/>
        <w:spacing w:before="0" w:after="0" w:line="360" w:lineRule="auto"/>
        <w:ind w:firstLine="420" w:firstLineChars="200"/>
        <w:rPr>
          <w:rFonts w:ascii="宋体" w:hAnsi="宋体"/>
          <w:b w:val="0"/>
          <w:bCs/>
          <w:color w:val="auto"/>
          <w:sz w:val="21"/>
          <w:szCs w:val="21"/>
          <w:highlight w:val="none"/>
        </w:rPr>
      </w:pPr>
      <w:r>
        <w:rPr>
          <w:rFonts w:ascii="宋体" w:hAnsi="宋体"/>
          <w:b w:val="0"/>
          <w:color w:val="auto"/>
          <w:sz w:val="21"/>
          <w:szCs w:val="21"/>
          <w:highlight w:val="none"/>
        </w:rPr>
        <w:t>3</w:t>
      </w:r>
      <w:r>
        <w:rPr>
          <w:rFonts w:ascii="宋体" w:hAnsi="宋体"/>
          <w:b w:val="0"/>
          <w:bCs/>
          <w:color w:val="auto"/>
          <w:sz w:val="21"/>
          <w:szCs w:val="21"/>
          <w:highlight w:val="none"/>
        </w:rPr>
        <w:t>8.4</w:t>
      </w:r>
      <w:r>
        <w:rPr>
          <w:rFonts w:hint="eastAsia" w:ascii="宋体" w:hAnsi="宋体"/>
          <w:b w:val="0"/>
          <w:bCs/>
          <w:color w:val="auto"/>
          <w:sz w:val="21"/>
          <w:szCs w:val="21"/>
          <w:highlight w:val="none"/>
        </w:rPr>
        <w:t>采购人、采购代理机构认为供应商质疑不成立，或者成立但未对中标结果构成影响的，继续开展采购活动；认为供应商质疑成立且影响或者可能影响中标结果的，按照下列情况处理：</w:t>
      </w:r>
    </w:p>
    <w:p w14:paraId="07B6937F">
      <w:pPr>
        <w:pStyle w:val="25"/>
        <w:snapToGrid w:val="0"/>
        <w:spacing w:line="360" w:lineRule="auto"/>
        <w:rPr>
          <w:rFonts w:hAnsi="宋体"/>
          <w:bCs/>
          <w:color w:val="auto"/>
          <w:sz w:val="21"/>
          <w:highlight w:val="none"/>
        </w:rPr>
      </w:pPr>
      <w:r>
        <w:rPr>
          <w:rFonts w:hint="eastAsia" w:hAnsi="宋体"/>
          <w:bCs/>
          <w:color w:val="auto"/>
          <w:sz w:val="21"/>
          <w:highlight w:val="none"/>
        </w:rPr>
        <w:t>　　（1）对招标文件提出的质疑，依法通过澄清或者修改可以继续开展采购活动的，澄清或者修改招标文件后继续开展采购活动；否则应当修改招标文件后重新开展采购活动。</w:t>
      </w:r>
    </w:p>
    <w:p w14:paraId="04D877EF">
      <w:pPr>
        <w:pStyle w:val="25"/>
        <w:snapToGrid w:val="0"/>
        <w:spacing w:line="360" w:lineRule="auto"/>
        <w:rPr>
          <w:rFonts w:hAnsi="宋体"/>
          <w:bCs/>
          <w:color w:val="auto"/>
          <w:sz w:val="21"/>
          <w:highlight w:val="none"/>
        </w:rPr>
      </w:pPr>
      <w:r>
        <w:rPr>
          <w:rFonts w:hint="eastAsia" w:hAnsi="宋体"/>
          <w:bCs/>
          <w:color w:val="auto"/>
          <w:sz w:val="21"/>
          <w:highlight w:val="none"/>
        </w:rPr>
        <w:t>　　（2）对采购过程、中标结果提出的质疑，合格供应商符合法定数量时，可以从合格的中标候选人中另行确定中标供应商的，应当依法另行确定中标供应商；否则应当重新开展采购活动。</w:t>
      </w:r>
    </w:p>
    <w:p w14:paraId="43A058D5">
      <w:pPr>
        <w:pStyle w:val="25"/>
        <w:snapToGrid w:val="0"/>
        <w:spacing w:line="360" w:lineRule="auto"/>
        <w:ind w:firstLine="420"/>
        <w:rPr>
          <w:rFonts w:hAnsi="宋体"/>
          <w:bCs/>
          <w:color w:val="auto"/>
          <w:sz w:val="21"/>
          <w:highlight w:val="none"/>
        </w:rPr>
      </w:pPr>
      <w:r>
        <w:rPr>
          <w:rFonts w:hint="eastAsia" w:hAnsi="宋体"/>
          <w:bCs/>
          <w:color w:val="auto"/>
          <w:sz w:val="21"/>
          <w:highlight w:val="none"/>
        </w:rPr>
        <w:t>质疑答复导致中标结果改变的，采购人或者采购代理机构应当将有关情况书面报告本级财政部门。</w:t>
      </w:r>
    </w:p>
    <w:p w14:paraId="2ACD807B">
      <w:pPr>
        <w:pStyle w:val="25"/>
        <w:snapToGrid w:val="0"/>
        <w:spacing w:line="360" w:lineRule="auto"/>
        <w:ind w:firstLine="420" w:firstLineChars="200"/>
        <w:rPr>
          <w:rFonts w:hAnsi="宋体"/>
          <w:color w:val="auto"/>
          <w:sz w:val="21"/>
          <w:highlight w:val="none"/>
        </w:rPr>
      </w:pPr>
      <w:r>
        <w:rPr>
          <w:rFonts w:hAnsi="宋体"/>
          <w:color w:val="auto"/>
          <w:sz w:val="21"/>
          <w:highlight w:val="none"/>
        </w:rPr>
        <w:t>38</w:t>
      </w:r>
      <w:r>
        <w:rPr>
          <w:rFonts w:hint="eastAsia" w:hAnsi="宋体"/>
          <w:color w:val="auto"/>
          <w:sz w:val="21"/>
          <w:highlight w:val="none"/>
        </w:rPr>
        <w:t>.</w:t>
      </w:r>
      <w:r>
        <w:rPr>
          <w:rFonts w:hAnsi="宋体"/>
          <w:color w:val="auto"/>
          <w:sz w:val="21"/>
          <w:highlight w:val="none"/>
        </w:rPr>
        <w:t>5</w:t>
      </w:r>
      <w:r>
        <w:rPr>
          <w:rFonts w:hint="eastAsia" w:hAnsi="宋体"/>
          <w:color w:val="auto"/>
          <w:sz w:val="21"/>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bookmarkStart w:id="135" w:name="_八、其他事项"/>
      <w:bookmarkEnd w:id="135"/>
    </w:p>
    <w:p w14:paraId="54B9283E">
      <w:pPr>
        <w:pStyle w:val="25"/>
        <w:snapToGrid w:val="0"/>
        <w:spacing w:line="360" w:lineRule="auto"/>
        <w:ind w:firstLine="400" w:firstLineChars="200"/>
        <w:rPr>
          <w:rFonts w:hAnsi="宋体"/>
          <w:color w:val="auto"/>
          <w:highlight w:val="none"/>
        </w:rPr>
      </w:pPr>
    </w:p>
    <w:p w14:paraId="3ED01A99">
      <w:pPr>
        <w:pStyle w:val="7"/>
        <w:keepNext w:val="0"/>
        <w:keepLines w:val="0"/>
        <w:jc w:val="center"/>
        <w:rPr>
          <w:rFonts w:ascii="宋体" w:hAnsi="宋体"/>
          <w:color w:val="auto"/>
          <w:highlight w:val="none"/>
        </w:rPr>
      </w:pPr>
      <w:r>
        <w:rPr>
          <w:rFonts w:hint="eastAsia" w:ascii="宋体" w:hAnsi="宋体"/>
          <w:color w:val="auto"/>
          <w:highlight w:val="none"/>
        </w:rPr>
        <w:t>八、其他事项</w:t>
      </w:r>
    </w:p>
    <w:p w14:paraId="099997E7">
      <w:pPr>
        <w:pStyle w:val="8"/>
        <w:keepNext w:val="0"/>
        <w:keepLines w:val="0"/>
        <w:spacing w:before="0" w:after="0" w:line="360" w:lineRule="auto"/>
        <w:ind w:left="420" w:leftChars="200"/>
        <w:rPr>
          <w:rFonts w:ascii="宋体" w:hAnsi="宋体"/>
          <w:color w:val="auto"/>
          <w:sz w:val="24"/>
          <w:highlight w:val="none"/>
        </w:rPr>
      </w:pPr>
      <w:bookmarkStart w:id="136" w:name="_42.代理服务费"/>
      <w:bookmarkEnd w:id="136"/>
      <w:r>
        <w:rPr>
          <w:rFonts w:hint="eastAsia" w:ascii="宋体" w:hAnsi="宋体"/>
          <w:color w:val="auto"/>
          <w:sz w:val="24"/>
          <w:highlight w:val="none"/>
        </w:rPr>
        <w:t>3</w:t>
      </w:r>
      <w:r>
        <w:rPr>
          <w:rFonts w:ascii="宋体" w:hAnsi="宋体"/>
          <w:color w:val="auto"/>
          <w:sz w:val="24"/>
          <w:highlight w:val="none"/>
        </w:rPr>
        <w:t>9</w:t>
      </w:r>
      <w:r>
        <w:rPr>
          <w:rFonts w:hint="eastAsia" w:ascii="宋体" w:hAnsi="宋体"/>
          <w:color w:val="auto"/>
          <w:sz w:val="24"/>
          <w:highlight w:val="none"/>
        </w:rPr>
        <w:t>.代理服务费</w:t>
      </w:r>
    </w:p>
    <w:p w14:paraId="3CAD9FE5">
      <w:pPr>
        <w:pStyle w:val="25"/>
        <w:snapToGrid w:val="0"/>
        <w:spacing w:line="360" w:lineRule="auto"/>
        <w:ind w:firstLine="420" w:firstLineChars="200"/>
        <w:rPr>
          <w:rFonts w:hAnsi="宋体"/>
          <w:color w:val="auto"/>
          <w:sz w:val="21"/>
          <w:highlight w:val="none"/>
        </w:rPr>
      </w:pPr>
      <w:r>
        <w:rPr>
          <w:rFonts w:hint="eastAsia" w:hAnsi="宋体"/>
          <w:color w:val="auto"/>
          <w:sz w:val="21"/>
          <w:highlight w:val="none"/>
        </w:rPr>
        <w:t>3</w:t>
      </w:r>
      <w:r>
        <w:rPr>
          <w:rFonts w:hAnsi="宋体"/>
          <w:color w:val="auto"/>
          <w:sz w:val="21"/>
          <w:highlight w:val="none"/>
        </w:rPr>
        <w:t>9</w:t>
      </w:r>
      <w:r>
        <w:rPr>
          <w:rFonts w:hint="eastAsia" w:hAnsi="宋体"/>
          <w:color w:val="auto"/>
          <w:sz w:val="21"/>
          <w:highlight w:val="none"/>
        </w:rPr>
        <w:t>.1代理服务收取标准及缴费账户详见“投标人须知前附表”，投标人为联合体的，可以由联合体中的一方或者多方共同交纳代理服务费。</w:t>
      </w:r>
    </w:p>
    <w:p w14:paraId="040CD990">
      <w:pPr>
        <w:pStyle w:val="25"/>
        <w:snapToGrid w:val="0"/>
        <w:spacing w:line="360" w:lineRule="auto"/>
        <w:ind w:firstLine="420" w:firstLineChars="200"/>
        <w:rPr>
          <w:rFonts w:hAnsi="宋体"/>
          <w:color w:val="auto"/>
          <w:sz w:val="21"/>
          <w:highlight w:val="none"/>
        </w:rPr>
      </w:pPr>
      <w:r>
        <w:rPr>
          <w:rFonts w:hint="eastAsia" w:hAnsi="宋体"/>
          <w:color w:val="auto"/>
          <w:sz w:val="21"/>
          <w:highlight w:val="none"/>
        </w:rPr>
        <w:t>3</w:t>
      </w:r>
      <w:r>
        <w:rPr>
          <w:rFonts w:hAnsi="宋体"/>
          <w:color w:val="auto"/>
          <w:sz w:val="21"/>
          <w:highlight w:val="none"/>
        </w:rPr>
        <w:t>9</w:t>
      </w:r>
      <w:r>
        <w:rPr>
          <w:rFonts w:hint="eastAsia" w:hAnsi="宋体"/>
          <w:color w:val="auto"/>
          <w:sz w:val="21"/>
          <w:highlight w:val="none"/>
        </w:rPr>
        <w:t>.2代理服务收费标准：</w:t>
      </w:r>
    </w:p>
    <w:p w14:paraId="5497F07E">
      <w:pPr>
        <w:pStyle w:val="25"/>
        <w:snapToGrid w:val="0"/>
        <w:spacing w:line="360" w:lineRule="auto"/>
        <w:ind w:firstLine="420" w:firstLineChars="200"/>
        <w:rPr>
          <w:rFonts w:hAnsi="宋体"/>
          <w:color w:val="auto"/>
          <w:sz w:val="21"/>
          <w:highlight w:val="none"/>
        </w:rPr>
      </w:pPr>
    </w:p>
    <w:tbl>
      <w:tblPr>
        <w:tblStyle w:val="46"/>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14:paraId="3A679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tcPr>
          <w:p w14:paraId="16CC6679">
            <w:pPr>
              <w:spacing w:line="360" w:lineRule="auto"/>
              <w:rPr>
                <w:rFonts w:ascii="宋体" w:hAnsi="宋体"/>
                <w:color w:val="auto"/>
                <w:szCs w:val="21"/>
                <w:highlight w:val="none"/>
              </w:rPr>
            </w:pPr>
            <w:r>
              <w:rPr>
                <w:rFonts w:hint="eastAsia" w:ascii="宋体" w:hAnsi="宋体"/>
                <w:color w:val="auto"/>
                <w:szCs w:val="21"/>
                <w:highlight w:val="none"/>
              </w:rPr>
              <w:t xml:space="preserve">               费率</w:t>
            </w:r>
          </w:p>
          <w:p w14:paraId="301CFFC0">
            <w:pPr>
              <w:spacing w:line="360" w:lineRule="auto"/>
              <w:rPr>
                <w:rFonts w:ascii="宋体" w:hAnsi="宋体"/>
                <w:color w:val="auto"/>
                <w:szCs w:val="21"/>
                <w:highlight w:val="none"/>
              </w:rPr>
            </w:pPr>
            <w:r>
              <w:rPr>
                <w:rFonts w:hint="eastAsia" w:ascii="宋体" w:hAnsi="宋体"/>
                <w:color w:val="auto"/>
                <w:szCs w:val="21"/>
                <w:highlight w:val="none"/>
              </w:rPr>
              <w:t>中标金额</w:t>
            </w:r>
          </w:p>
        </w:tc>
        <w:tc>
          <w:tcPr>
            <w:tcW w:w="1659" w:type="dxa"/>
            <w:vAlign w:val="center"/>
          </w:tcPr>
          <w:p w14:paraId="186112F7">
            <w:pPr>
              <w:spacing w:line="360" w:lineRule="auto"/>
              <w:ind w:firstLine="105" w:firstLineChars="50"/>
              <w:jc w:val="center"/>
              <w:rPr>
                <w:rFonts w:ascii="宋体" w:hAnsi="宋体"/>
                <w:color w:val="auto"/>
                <w:szCs w:val="21"/>
                <w:highlight w:val="none"/>
              </w:rPr>
            </w:pPr>
            <w:r>
              <w:rPr>
                <w:rFonts w:hint="eastAsia" w:ascii="宋体" w:hAnsi="宋体"/>
                <w:color w:val="auto"/>
                <w:szCs w:val="21"/>
                <w:highlight w:val="none"/>
              </w:rPr>
              <w:t>货物招标</w:t>
            </w:r>
          </w:p>
        </w:tc>
        <w:tc>
          <w:tcPr>
            <w:tcW w:w="1687" w:type="dxa"/>
            <w:vAlign w:val="center"/>
          </w:tcPr>
          <w:p w14:paraId="74B41B43">
            <w:pPr>
              <w:spacing w:line="360" w:lineRule="auto"/>
              <w:jc w:val="center"/>
              <w:rPr>
                <w:rFonts w:ascii="宋体" w:hAnsi="宋体"/>
                <w:color w:val="auto"/>
                <w:szCs w:val="21"/>
                <w:highlight w:val="none"/>
              </w:rPr>
            </w:pPr>
            <w:r>
              <w:rPr>
                <w:rFonts w:hint="eastAsia" w:ascii="宋体" w:hAnsi="宋体"/>
                <w:color w:val="auto"/>
                <w:szCs w:val="21"/>
                <w:highlight w:val="none"/>
              </w:rPr>
              <w:t>服务招标</w:t>
            </w:r>
          </w:p>
        </w:tc>
        <w:tc>
          <w:tcPr>
            <w:tcW w:w="1659" w:type="dxa"/>
            <w:vAlign w:val="center"/>
          </w:tcPr>
          <w:p w14:paraId="26E61ECF">
            <w:pPr>
              <w:spacing w:line="360" w:lineRule="auto"/>
              <w:jc w:val="center"/>
              <w:rPr>
                <w:rFonts w:ascii="宋体" w:hAnsi="宋体"/>
                <w:color w:val="auto"/>
                <w:szCs w:val="21"/>
                <w:highlight w:val="none"/>
              </w:rPr>
            </w:pPr>
            <w:r>
              <w:rPr>
                <w:rFonts w:hint="eastAsia" w:ascii="宋体" w:hAnsi="宋体"/>
                <w:color w:val="auto"/>
                <w:szCs w:val="21"/>
                <w:highlight w:val="none"/>
              </w:rPr>
              <w:t>工程招标</w:t>
            </w:r>
          </w:p>
        </w:tc>
      </w:tr>
      <w:tr w14:paraId="153CC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3F023408">
            <w:pPr>
              <w:spacing w:line="360" w:lineRule="auto"/>
              <w:rPr>
                <w:rFonts w:ascii="宋体" w:hAnsi="宋体"/>
                <w:color w:val="auto"/>
                <w:szCs w:val="21"/>
                <w:highlight w:val="none"/>
              </w:rPr>
            </w:pPr>
            <w:r>
              <w:rPr>
                <w:rFonts w:hint="eastAsia" w:ascii="宋体" w:hAnsi="宋体"/>
                <w:color w:val="auto"/>
                <w:szCs w:val="21"/>
                <w:highlight w:val="none"/>
              </w:rPr>
              <w:t>100万元以下</w:t>
            </w:r>
          </w:p>
        </w:tc>
        <w:tc>
          <w:tcPr>
            <w:tcW w:w="1659" w:type="dxa"/>
          </w:tcPr>
          <w:p w14:paraId="70A8B740">
            <w:pPr>
              <w:spacing w:line="360" w:lineRule="auto"/>
              <w:rPr>
                <w:rFonts w:ascii="宋体" w:hAnsi="宋体"/>
                <w:color w:val="auto"/>
                <w:szCs w:val="21"/>
                <w:highlight w:val="none"/>
              </w:rPr>
            </w:pP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1.5% </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 xml:space="preserve">    </w:t>
            </w:r>
          </w:p>
        </w:tc>
        <w:tc>
          <w:tcPr>
            <w:tcW w:w="1687" w:type="dxa"/>
          </w:tcPr>
          <w:p w14:paraId="77BF469D">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1.5%</w:t>
            </w:r>
          </w:p>
        </w:tc>
        <w:tc>
          <w:tcPr>
            <w:tcW w:w="1659" w:type="dxa"/>
          </w:tcPr>
          <w:p w14:paraId="56E08849">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 xml:space="preserve">1.0% </w:t>
            </w:r>
          </w:p>
        </w:tc>
      </w:tr>
      <w:tr w14:paraId="5653F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0A7D54B">
            <w:pPr>
              <w:spacing w:line="360" w:lineRule="auto"/>
              <w:rPr>
                <w:rFonts w:ascii="宋体" w:hAnsi="宋体"/>
                <w:color w:val="auto"/>
                <w:szCs w:val="21"/>
                <w:highlight w:val="none"/>
              </w:rPr>
            </w:pPr>
            <w:r>
              <w:rPr>
                <w:rFonts w:hint="eastAsia" w:ascii="宋体" w:hAnsi="宋体"/>
                <w:color w:val="auto"/>
                <w:szCs w:val="21"/>
                <w:highlight w:val="none"/>
              </w:rPr>
              <w:t>100～500万元</w:t>
            </w:r>
          </w:p>
        </w:tc>
        <w:tc>
          <w:tcPr>
            <w:tcW w:w="1659" w:type="dxa"/>
          </w:tcPr>
          <w:p w14:paraId="53491791">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 xml:space="preserve">1.1% </w:t>
            </w:r>
            <w:r>
              <w:rPr>
                <w:rFonts w:hint="eastAsia" w:ascii="宋体" w:hAnsi="宋体" w:cs="宋体"/>
                <w:color w:val="auto"/>
                <w:kern w:val="0"/>
                <w:szCs w:val="21"/>
                <w:highlight w:val="none"/>
              </w:rPr>
              <w:t xml:space="preserve">                </w:t>
            </w:r>
          </w:p>
        </w:tc>
        <w:tc>
          <w:tcPr>
            <w:tcW w:w="1687" w:type="dxa"/>
          </w:tcPr>
          <w:p w14:paraId="2CBE8E04">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0.8%</w:t>
            </w:r>
          </w:p>
        </w:tc>
        <w:tc>
          <w:tcPr>
            <w:tcW w:w="1659" w:type="dxa"/>
          </w:tcPr>
          <w:p w14:paraId="065D28AF">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 xml:space="preserve">0.7% </w:t>
            </w:r>
          </w:p>
        </w:tc>
      </w:tr>
      <w:tr w14:paraId="46FFC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C2AD349">
            <w:pPr>
              <w:spacing w:line="360" w:lineRule="auto"/>
              <w:rPr>
                <w:rFonts w:ascii="宋体" w:hAnsi="宋体"/>
                <w:color w:val="auto"/>
                <w:szCs w:val="21"/>
                <w:highlight w:val="none"/>
              </w:rPr>
            </w:pPr>
            <w:r>
              <w:rPr>
                <w:rFonts w:hint="eastAsia" w:ascii="宋体" w:hAnsi="宋体"/>
                <w:color w:val="auto"/>
                <w:szCs w:val="21"/>
                <w:highlight w:val="none"/>
              </w:rPr>
              <w:t>500～1000万元</w:t>
            </w:r>
          </w:p>
        </w:tc>
        <w:tc>
          <w:tcPr>
            <w:tcW w:w="1659" w:type="dxa"/>
          </w:tcPr>
          <w:p w14:paraId="19BBBDDB">
            <w:pPr>
              <w:spacing w:line="360" w:lineRule="auto"/>
              <w:rPr>
                <w:rFonts w:ascii="宋体" w:hAnsi="宋体"/>
                <w:color w:val="auto"/>
                <w:szCs w:val="21"/>
                <w:highlight w:val="none"/>
              </w:rPr>
            </w:pP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0.8% </w:t>
            </w:r>
            <w:r>
              <w:rPr>
                <w:rFonts w:hint="eastAsia" w:ascii="宋体" w:hAnsi="宋体" w:cs="宋体"/>
                <w:color w:val="auto"/>
                <w:kern w:val="0"/>
                <w:szCs w:val="21"/>
                <w:highlight w:val="none"/>
              </w:rPr>
              <w:t xml:space="preserve">               </w:t>
            </w:r>
          </w:p>
        </w:tc>
        <w:tc>
          <w:tcPr>
            <w:tcW w:w="1687" w:type="dxa"/>
          </w:tcPr>
          <w:p w14:paraId="6B23EF5E">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0.45%</w:t>
            </w:r>
          </w:p>
        </w:tc>
        <w:tc>
          <w:tcPr>
            <w:tcW w:w="1659" w:type="dxa"/>
          </w:tcPr>
          <w:p w14:paraId="46D31CB6">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0.55%</w:t>
            </w:r>
          </w:p>
        </w:tc>
      </w:tr>
      <w:tr w14:paraId="0B03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CBDBEE3">
            <w:pPr>
              <w:spacing w:line="360" w:lineRule="auto"/>
              <w:rPr>
                <w:rFonts w:ascii="宋体" w:hAnsi="宋体"/>
                <w:color w:val="auto"/>
                <w:szCs w:val="21"/>
                <w:highlight w:val="none"/>
              </w:rPr>
            </w:pPr>
            <w:r>
              <w:rPr>
                <w:rFonts w:hint="eastAsia" w:ascii="宋体" w:hAnsi="宋体"/>
                <w:color w:val="auto"/>
                <w:szCs w:val="21"/>
                <w:highlight w:val="none"/>
              </w:rPr>
              <w:t>1000～5000万元</w:t>
            </w:r>
          </w:p>
        </w:tc>
        <w:tc>
          <w:tcPr>
            <w:tcW w:w="1659" w:type="dxa"/>
          </w:tcPr>
          <w:p w14:paraId="2DF0D560">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 xml:space="preserve">0.5% </w:t>
            </w:r>
            <w:r>
              <w:rPr>
                <w:rFonts w:hint="eastAsia" w:ascii="宋体" w:hAnsi="宋体" w:cs="宋体"/>
                <w:color w:val="auto"/>
                <w:kern w:val="0"/>
                <w:szCs w:val="21"/>
                <w:highlight w:val="none"/>
              </w:rPr>
              <w:t xml:space="preserve">               </w:t>
            </w:r>
          </w:p>
        </w:tc>
        <w:tc>
          <w:tcPr>
            <w:tcW w:w="1687" w:type="dxa"/>
          </w:tcPr>
          <w:p w14:paraId="79C5D6A1">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0.25%</w:t>
            </w:r>
          </w:p>
        </w:tc>
        <w:tc>
          <w:tcPr>
            <w:tcW w:w="1659" w:type="dxa"/>
          </w:tcPr>
          <w:p w14:paraId="5C1BEE1E">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 xml:space="preserve">0.35% </w:t>
            </w:r>
          </w:p>
        </w:tc>
      </w:tr>
      <w:tr w14:paraId="77A64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863D062">
            <w:pPr>
              <w:spacing w:line="360" w:lineRule="auto"/>
              <w:rPr>
                <w:rFonts w:ascii="宋体" w:hAnsi="宋体"/>
                <w:color w:val="auto"/>
                <w:szCs w:val="21"/>
                <w:highlight w:val="none"/>
              </w:rPr>
            </w:pPr>
            <w:r>
              <w:rPr>
                <w:rFonts w:hint="eastAsia" w:ascii="宋体" w:hAnsi="宋体"/>
                <w:color w:val="auto"/>
                <w:szCs w:val="21"/>
                <w:highlight w:val="none"/>
              </w:rPr>
              <w:t>5000万元～1亿元</w:t>
            </w:r>
          </w:p>
        </w:tc>
        <w:tc>
          <w:tcPr>
            <w:tcW w:w="1659" w:type="dxa"/>
          </w:tcPr>
          <w:p w14:paraId="13AF8110">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 xml:space="preserve">0.25% </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 xml:space="preserve">         </w:t>
            </w:r>
          </w:p>
        </w:tc>
        <w:tc>
          <w:tcPr>
            <w:tcW w:w="1687" w:type="dxa"/>
          </w:tcPr>
          <w:p w14:paraId="69F3BBF0">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0.1%</w:t>
            </w:r>
          </w:p>
        </w:tc>
        <w:tc>
          <w:tcPr>
            <w:tcW w:w="1659" w:type="dxa"/>
          </w:tcPr>
          <w:p w14:paraId="4C40186A">
            <w:pPr>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0.2%</w:t>
            </w:r>
          </w:p>
        </w:tc>
      </w:tr>
      <w:tr w14:paraId="2CA0F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038FBCC0">
            <w:pPr>
              <w:spacing w:line="360" w:lineRule="auto"/>
              <w:rPr>
                <w:rFonts w:ascii="宋体" w:hAnsi="宋体"/>
                <w:color w:val="auto"/>
                <w:szCs w:val="21"/>
                <w:highlight w:val="none"/>
              </w:rPr>
            </w:pPr>
            <w:r>
              <w:rPr>
                <w:rFonts w:hint="eastAsia" w:ascii="宋体" w:hAnsi="宋体"/>
                <w:color w:val="auto"/>
                <w:szCs w:val="21"/>
                <w:highlight w:val="none"/>
              </w:rPr>
              <w:t>1～5亿元</w:t>
            </w:r>
          </w:p>
        </w:tc>
        <w:tc>
          <w:tcPr>
            <w:tcW w:w="1659" w:type="dxa"/>
          </w:tcPr>
          <w:p w14:paraId="38773D44">
            <w:pPr>
              <w:spacing w:line="360" w:lineRule="auto"/>
              <w:ind w:firstLine="210" w:firstLineChars="100"/>
              <w:rPr>
                <w:rFonts w:ascii="宋体" w:hAnsi="宋体"/>
                <w:color w:val="auto"/>
                <w:szCs w:val="21"/>
                <w:highlight w:val="none"/>
              </w:rPr>
            </w:pPr>
            <w:r>
              <w:rPr>
                <w:rFonts w:hint="eastAsia" w:ascii="宋体" w:hAnsi="宋体"/>
                <w:color w:val="auto"/>
                <w:szCs w:val="21"/>
                <w:highlight w:val="none"/>
              </w:rPr>
              <w:t>0.05%</w:t>
            </w:r>
          </w:p>
        </w:tc>
        <w:tc>
          <w:tcPr>
            <w:tcW w:w="1687" w:type="dxa"/>
          </w:tcPr>
          <w:p w14:paraId="73C1C8BF">
            <w:pPr>
              <w:spacing w:line="360" w:lineRule="auto"/>
              <w:rPr>
                <w:rFonts w:ascii="宋体" w:hAnsi="宋体"/>
                <w:color w:val="auto"/>
                <w:szCs w:val="21"/>
                <w:highlight w:val="none"/>
              </w:rPr>
            </w:pPr>
            <w:r>
              <w:rPr>
                <w:rFonts w:hint="eastAsia" w:ascii="宋体" w:hAnsi="宋体"/>
                <w:color w:val="auto"/>
                <w:szCs w:val="21"/>
                <w:highlight w:val="none"/>
              </w:rPr>
              <w:t xml:space="preserve">  0.05%</w:t>
            </w:r>
          </w:p>
        </w:tc>
        <w:tc>
          <w:tcPr>
            <w:tcW w:w="1659" w:type="dxa"/>
          </w:tcPr>
          <w:p w14:paraId="32590934">
            <w:pPr>
              <w:spacing w:line="360" w:lineRule="auto"/>
              <w:rPr>
                <w:rFonts w:ascii="宋体" w:hAnsi="宋体"/>
                <w:color w:val="auto"/>
                <w:szCs w:val="21"/>
                <w:highlight w:val="none"/>
              </w:rPr>
            </w:pPr>
            <w:r>
              <w:rPr>
                <w:rFonts w:hint="eastAsia" w:ascii="宋体" w:hAnsi="宋体"/>
                <w:color w:val="auto"/>
                <w:szCs w:val="21"/>
                <w:highlight w:val="none"/>
              </w:rPr>
              <w:t xml:space="preserve">  0.05%</w:t>
            </w:r>
          </w:p>
        </w:tc>
      </w:tr>
      <w:tr w14:paraId="5B9D6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67703ADB">
            <w:pPr>
              <w:spacing w:line="360" w:lineRule="auto"/>
              <w:rPr>
                <w:rFonts w:ascii="宋体" w:hAnsi="宋体"/>
                <w:color w:val="auto"/>
                <w:szCs w:val="21"/>
                <w:highlight w:val="none"/>
              </w:rPr>
            </w:pPr>
            <w:r>
              <w:rPr>
                <w:rFonts w:hint="eastAsia" w:ascii="宋体" w:hAnsi="宋体"/>
                <w:color w:val="auto"/>
                <w:szCs w:val="21"/>
                <w:highlight w:val="none"/>
              </w:rPr>
              <w:t>5～10亿元</w:t>
            </w:r>
          </w:p>
        </w:tc>
        <w:tc>
          <w:tcPr>
            <w:tcW w:w="1659" w:type="dxa"/>
          </w:tcPr>
          <w:p w14:paraId="2F33A941">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0.035%</w:t>
            </w:r>
          </w:p>
        </w:tc>
        <w:tc>
          <w:tcPr>
            <w:tcW w:w="1687" w:type="dxa"/>
          </w:tcPr>
          <w:p w14:paraId="46E19101">
            <w:pPr>
              <w:spacing w:line="360" w:lineRule="auto"/>
              <w:rPr>
                <w:rFonts w:ascii="宋体" w:hAnsi="宋体"/>
                <w:color w:val="auto"/>
                <w:szCs w:val="21"/>
                <w:highlight w:val="none"/>
              </w:rPr>
            </w:pPr>
            <w:r>
              <w:rPr>
                <w:rFonts w:hint="eastAsia" w:ascii="宋体" w:hAnsi="宋体"/>
                <w:color w:val="auto"/>
                <w:szCs w:val="21"/>
                <w:highlight w:val="none"/>
              </w:rPr>
              <w:t xml:space="preserve">  0.035%</w:t>
            </w:r>
          </w:p>
        </w:tc>
        <w:tc>
          <w:tcPr>
            <w:tcW w:w="1659" w:type="dxa"/>
          </w:tcPr>
          <w:p w14:paraId="4F3A189F">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0.035%</w:t>
            </w:r>
          </w:p>
        </w:tc>
      </w:tr>
      <w:tr w14:paraId="36569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3289F474">
            <w:pPr>
              <w:spacing w:line="360" w:lineRule="auto"/>
              <w:rPr>
                <w:rFonts w:ascii="宋体" w:hAnsi="宋体"/>
                <w:color w:val="auto"/>
                <w:szCs w:val="21"/>
                <w:highlight w:val="none"/>
              </w:rPr>
            </w:pPr>
            <w:r>
              <w:rPr>
                <w:rFonts w:hint="eastAsia" w:ascii="宋体" w:hAnsi="宋体"/>
                <w:color w:val="auto"/>
                <w:szCs w:val="21"/>
                <w:highlight w:val="none"/>
              </w:rPr>
              <w:t>10～50亿元</w:t>
            </w:r>
          </w:p>
        </w:tc>
        <w:tc>
          <w:tcPr>
            <w:tcW w:w="1659" w:type="dxa"/>
          </w:tcPr>
          <w:p w14:paraId="5182361C">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0.008%</w:t>
            </w:r>
          </w:p>
        </w:tc>
        <w:tc>
          <w:tcPr>
            <w:tcW w:w="1687" w:type="dxa"/>
          </w:tcPr>
          <w:p w14:paraId="4BFEA55E">
            <w:pPr>
              <w:spacing w:line="360" w:lineRule="auto"/>
              <w:ind w:firstLine="210" w:firstLineChars="100"/>
              <w:rPr>
                <w:rFonts w:ascii="宋体" w:hAnsi="宋体"/>
                <w:color w:val="auto"/>
                <w:szCs w:val="21"/>
                <w:highlight w:val="none"/>
              </w:rPr>
            </w:pPr>
            <w:r>
              <w:rPr>
                <w:rFonts w:hint="eastAsia" w:ascii="宋体" w:hAnsi="宋体"/>
                <w:color w:val="auto"/>
                <w:szCs w:val="21"/>
                <w:highlight w:val="none"/>
              </w:rPr>
              <w:t>0.008%</w:t>
            </w:r>
          </w:p>
        </w:tc>
        <w:tc>
          <w:tcPr>
            <w:tcW w:w="1659" w:type="dxa"/>
          </w:tcPr>
          <w:p w14:paraId="61B9045D">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0.008%</w:t>
            </w:r>
          </w:p>
        </w:tc>
      </w:tr>
      <w:tr w14:paraId="12B68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67B172F9">
            <w:pPr>
              <w:spacing w:line="360" w:lineRule="auto"/>
              <w:rPr>
                <w:rFonts w:ascii="宋体" w:hAnsi="宋体"/>
                <w:color w:val="auto"/>
                <w:szCs w:val="21"/>
                <w:highlight w:val="none"/>
              </w:rPr>
            </w:pPr>
            <w:r>
              <w:rPr>
                <w:rFonts w:hint="eastAsia" w:ascii="宋体" w:hAnsi="宋体"/>
                <w:color w:val="auto"/>
                <w:szCs w:val="21"/>
                <w:highlight w:val="none"/>
              </w:rPr>
              <w:t>50～100亿元</w:t>
            </w:r>
          </w:p>
        </w:tc>
        <w:tc>
          <w:tcPr>
            <w:tcW w:w="1659" w:type="dxa"/>
          </w:tcPr>
          <w:p w14:paraId="3D41BD9E">
            <w:pPr>
              <w:spacing w:line="360" w:lineRule="auto"/>
              <w:rPr>
                <w:rFonts w:ascii="宋体" w:hAnsi="宋体"/>
                <w:color w:val="auto"/>
                <w:szCs w:val="21"/>
                <w:highlight w:val="none"/>
              </w:rPr>
            </w:pPr>
            <w:r>
              <w:rPr>
                <w:rFonts w:hint="eastAsia" w:ascii="宋体" w:hAnsi="宋体"/>
                <w:color w:val="auto"/>
                <w:szCs w:val="21"/>
                <w:highlight w:val="none"/>
              </w:rPr>
              <w:t xml:space="preserve"> 0.006%</w:t>
            </w:r>
          </w:p>
        </w:tc>
        <w:tc>
          <w:tcPr>
            <w:tcW w:w="1687" w:type="dxa"/>
          </w:tcPr>
          <w:p w14:paraId="758982A2">
            <w:pPr>
              <w:spacing w:line="360" w:lineRule="auto"/>
              <w:ind w:firstLine="210" w:firstLineChars="100"/>
              <w:rPr>
                <w:rFonts w:ascii="宋体" w:hAnsi="宋体"/>
                <w:color w:val="auto"/>
                <w:szCs w:val="21"/>
                <w:highlight w:val="none"/>
              </w:rPr>
            </w:pPr>
            <w:r>
              <w:rPr>
                <w:rFonts w:hint="eastAsia" w:ascii="宋体" w:hAnsi="宋体"/>
                <w:color w:val="auto"/>
                <w:szCs w:val="21"/>
                <w:highlight w:val="none"/>
              </w:rPr>
              <w:t>0.006%</w:t>
            </w:r>
          </w:p>
        </w:tc>
        <w:tc>
          <w:tcPr>
            <w:tcW w:w="1659" w:type="dxa"/>
          </w:tcPr>
          <w:p w14:paraId="08254270">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0.006%</w:t>
            </w:r>
          </w:p>
        </w:tc>
      </w:tr>
      <w:tr w14:paraId="5E9CF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8E72E1E">
            <w:pPr>
              <w:spacing w:line="360" w:lineRule="auto"/>
              <w:rPr>
                <w:rFonts w:ascii="宋体" w:hAnsi="宋体"/>
                <w:color w:val="auto"/>
                <w:szCs w:val="21"/>
                <w:highlight w:val="none"/>
              </w:rPr>
            </w:pPr>
            <w:r>
              <w:rPr>
                <w:rFonts w:hint="eastAsia" w:ascii="宋体" w:hAnsi="宋体"/>
                <w:color w:val="auto"/>
                <w:szCs w:val="21"/>
                <w:highlight w:val="none"/>
              </w:rPr>
              <w:t>100亿以上</w:t>
            </w:r>
          </w:p>
        </w:tc>
        <w:tc>
          <w:tcPr>
            <w:tcW w:w="1659" w:type="dxa"/>
          </w:tcPr>
          <w:p w14:paraId="5E3569B4">
            <w:pPr>
              <w:spacing w:line="360" w:lineRule="auto"/>
              <w:rPr>
                <w:rFonts w:ascii="宋体" w:hAnsi="宋体"/>
                <w:color w:val="auto"/>
                <w:szCs w:val="21"/>
                <w:highlight w:val="none"/>
              </w:rPr>
            </w:pPr>
            <w:r>
              <w:rPr>
                <w:rFonts w:hint="eastAsia" w:ascii="宋体" w:hAnsi="宋体"/>
                <w:color w:val="auto"/>
                <w:szCs w:val="21"/>
                <w:highlight w:val="none"/>
              </w:rPr>
              <w:t xml:space="preserve"> 0.004%</w:t>
            </w:r>
          </w:p>
        </w:tc>
        <w:tc>
          <w:tcPr>
            <w:tcW w:w="1687" w:type="dxa"/>
          </w:tcPr>
          <w:p w14:paraId="5FF5C39F">
            <w:pPr>
              <w:spacing w:line="360" w:lineRule="auto"/>
              <w:ind w:firstLine="210" w:firstLineChars="100"/>
              <w:rPr>
                <w:rFonts w:ascii="宋体" w:hAnsi="宋体"/>
                <w:color w:val="auto"/>
                <w:szCs w:val="21"/>
                <w:highlight w:val="none"/>
              </w:rPr>
            </w:pPr>
            <w:r>
              <w:rPr>
                <w:rFonts w:hint="eastAsia" w:ascii="宋体" w:hAnsi="宋体"/>
                <w:color w:val="auto"/>
                <w:szCs w:val="21"/>
                <w:highlight w:val="none"/>
              </w:rPr>
              <w:t>0.004%</w:t>
            </w:r>
          </w:p>
        </w:tc>
        <w:tc>
          <w:tcPr>
            <w:tcW w:w="1659" w:type="dxa"/>
          </w:tcPr>
          <w:p w14:paraId="7DF5DBD4">
            <w:pPr>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0.004%</w:t>
            </w:r>
          </w:p>
        </w:tc>
      </w:tr>
    </w:tbl>
    <w:p w14:paraId="06362F40">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注:</w:t>
      </w:r>
      <w:r>
        <w:rPr>
          <w:rFonts w:ascii="宋体" w:hAnsi="宋体" w:cs="宋体"/>
          <w:color w:val="auto"/>
          <w:szCs w:val="21"/>
          <w:highlight w:val="none"/>
        </w:rPr>
        <w:t xml:space="preserve"> </w:t>
      </w:r>
    </w:p>
    <w:p w14:paraId="4741A10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按本表费率计算的收费为</w:t>
      </w:r>
      <w:r>
        <w:rPr>
          <w:rFonts w:hint="eastAsia" w:ascii="宋体" w:hAnsi="宋体" w:cs="宋体"/>
          <w:color w:val="auto"/>
          <w:szCs w:val="21"/>
          <w:highlight w:val="none"/>
        </w:rPr>
        <w:t>采购</w:t>
      </w:r>
      <w:r>
        <w:rPr>
          <w:rFonts w:ascii="宋体" w:hAnsi="宋体" w:cs="宋体"/>
          <w:color w:val="auto"/>
          <w:szCs w:val="21"/>
          <w:highlight w:val="none"/>
        </w:rPr>
        <w:t>代理的收费基准价格</w:t>
      </w:r>
      <w:r>
        <w:rPr>
          <w:rFonts w:hint="eastAsia" w:ascii="宋体" w:hAnsi="宋体" w:cs="宋体"/>
          <w:color w:val="auto"/>
          <w:szCs w:val="21"/>
          <w:highlight w:val="none"/>
        </w:rPr>
        <w:t>；</w:t>
      </w:r>
    </w:p>
    <w:p w14:paraId="7268E95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（2）采购</w:t>
      </w:r>
      <w:r>
        <w:rPr>
          <w:rFonts w:ascii="宋体" w:hAnsi="宋体" w:cs="宋体"/>
          <w:color w:val="auto"/>
          <w:szCs w:val="21"/>
          <w:highlight w:val="none"/>
        </w:rPr>
        <w:t>代理收费按差额定率累进法计算。</w:t>
      </w:r>
    </w:p>
    <w:p w14:paraId="76D22A88">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例如：某</w:t>
      </w:r>
      <w:r>
        <w:rPr>
          <w:rFonts w:hint="eastAsia" w:ascii="宋体" w:hAnsi="宋体" w:cs="宋体"/>
          <w:color w:val="auto"/>
          <w:szCs w:val="21"/>
          <w:highlight w:val="none"/>
        </w:rPr>
        <w:t>货物采购</w:t>
      </w:r>
      <w:r>
        <w:rPr>
          <w:rFonts w:ascii="宋体" w:hAnsi="宋体" w:cs="宋体"/>
          <w:color w:val="auto"/>
          <w:szCs w:val="21"/>
          <w:highlight w:val="none"/>
        </w:rPr>
        <w:t>代理业务</w:t>
      </w:r>
      <w:r>
        <w:rPr>
          <w:rFonts w:hint="eastAsia" w:ascii="宋体" w:hAnsi="宋体" w:cs="宋体"/>
          <w:color w:val="auto"/>
          <w:szCs w:val="21"/>
          <w:highlight w:val="none"/>
        </w:rPr>
        <w:t>中标</w:t>
      </w:r>
      <w:r>
        <w:rPr>
          <w:rFonts w:ascii="宋体" w:hAnsi="宋体" w:cs="宋体"/>
          <w:color w:val="auto"/>
          <w:szCs w:val="21"/>
          <w:highlight w:val="none"/>
        </w:rPr>
        <w:t>金额</w:t>
      </w:r>
      <w:r>
        <w:rPr>
          <w:rFonts w:hint="eastAsia" w:ascii="宋体" w:hAnsi="宋体" w:cs="宋体"/>
          <w:color w:val="auto"/>
          <w:szCs w:val="21"/>
          <w:highlight w:val="none"/>
        </w:rPr>
        <w:t>或者暂定价</w:t>
      </w:r>
      <w:r>
        <w:rPr>
          <w:rFonts w:ascii="宋体" w:hAnsi="宋体" w:cs="宋体"/>
          <w:color w:val="auto"/>
          <w:szCs w:val="21"/>
          <w:highlight w:val="none"/>
        </w:rPr>
        <w:t>为200万元，计算</w:t>
      </w:r>
      <w:r>
        <w:rPr>
          <w:rFonts w:hint="eastAsia" w:ascii="宋体" w:hAnsi="宋体" w:cs="宋体"/>
          <w:color w:val="auto"/>
          <w:szCs w:val="21"/>
          <w:highlight w:val="none"/>
        </w:rPr>
        <w:t>采购</w:t>
      </w:r>
      <w:r>
        <w:rPr>
          <w:rFonts w:ascii="宋体" w:hAnsi="宋体" w:cs="宋体"/>
          <w:color w:val="auto"/>
          <w:szCs w:val="21"/>
          <w:highlight w:val="none"/>
        </w:rPr>
        <w:t>代理收费额如下：</w:t>
      </w:r>
    </w:p>
    <w:p w14:paraId="2D1F7309">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100 万元×l.5 ％＝ 1.5 万元</w:t>
      </w:r>
    </w:p>
    <w:p w14:paraId="184410A8">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 200 － 100 ）万元 ×1.1％＝1.1万元</w:t>
      </w:r>
    </w:p>
    <w:p w14:paraId="4FB2655E">
      <w:pPr>
        <w:pStyle w:val="25"/>
        <w:snapToGrid w:val="0"/>
        <w:spacing w:before="120" w:after="120" w:line="360" w:lineRule="auto"/>
        <w:ind w:firstLine="420" w:firstLineChars="200"/>
        <w:rPr>
          <w:rFonts w:hAnsi="宋体" w:cs="宋体"/>
          <w:color w:val="auto"/>
          <w:sz w:val="21"/>
          <w:highlight w:val="none"/>
        </w:rPr>
      </w:pPr>
      <w:r>
        <w:rPr>
          <w:rFonts w:hAnsi="宋体" w:cs="宋体"/>
          <w:color w:val="auto"/>
          <w:sz w:val="21"/>
          <w:highlight w:val="none"/>
        </w:rPr>
        <w:t>合计收费＝ 1.5</w:t>
      </w:r>
      <w:r>
        <w:rPr>
          <w:rFonts w:hint="eastAsia" w:hAnsi="宋体" w:cs="宋体"/>
          <w:color w:val="auto"/>
          <w:sz w:val="21"/>
          <w:highlight w:val="none"/>
        </w:rPr>
        <w:t>+</w:t>
      </w:r>
      <w:r>
        <w:rPr>
          <w:rFonts w:hAnsi="宋体" w:cs="宋体"/>
          <w:color w:val="auto"/>
          <w:sz w:val="21"/>
          <w:highlight w:val="none"/>
        </w:rPr>
        <w:t xml:space="preserve">1.1＝ </w:t>
      </w:r>
      <w:r>
        <w:rPr>
          <w:rFonts w:hint="eastAsia" w:hAnsi="宋体" w:cs="宋体"/>
          <w:color w:val="auto"/>
          <w:sz w:val="21"/>
          <w:highlight w:val="none"/>
        </w:rPr>
        <w:t>2.6</w:t>
      </w:r>
      <w:r>
        <w:rPr>
          <w:rFonts w:hAnsi="宋体" w:cs="宋体"/>
          <w:color w:val="auto"/>
          <w:sz w:val="21"/>
          <w:highlight w:val="none"/>
        </w:rPr>
        <w:t>（万元）</w:t>
      </w:r>
    </w:p>
    <w:p w14:paraId="2319BF3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 xml:space="preserve">32.9 </w:t>
      </w:r>
      <w:r>
        <w:rPr>
          <w:rFonts w:hint="eastAsia" w:ascii="宋体" w:hAnsi="宋体" w:cs="宋体"/>
          <w:color w:val="auto"/>
          <w:szCs w:val="21"/>
          <w:highlight w:val="none"/>
        </w:rPr>
        <w:t>代理服务费交纳</w:t>
      </w:r>
      <w:r>
        <w:rPr>
          <w:rFonts w:ascii="宋体" w:hAnsi="宋体" w:cs="宋体"/>
          <w:color w:val="auto"/>
          <w:szCs w:val="21"/>
          <w:highlight w:val="none"/>
        </w:rPr>
        <w:t>银行帐号信息</w:t>
      </w:r>
    </w:p>
    <w:p w14:paraId="2C293C2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账户名称：广西科文招标有限公司南宁咨询三分公司</w:t>
      </w:r>
    </w:p>
    <w:p w14:paraId="6A4203A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开户银行：广西北部湾银行股份有限公司南宁市云景支行</w:t>
      </w:r>
    </w:p>
    <w:p w14:paraId="55A5285E">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rPr>
        <w:t>银行账号： 805030313600001</w:t>
      </w:r>
    </w:p>
    <w:p w14:paraId="27A7A1AE">
      <w:pPr>
        <w:pStyle w:val="8"/>
        <w:keepNext w:val="0"/>
        <w:keepLines w:val="0"/>
        <w:spacing w:before="0" w:after="0" w:line="360" w:lineRule="auto"/>
        <w:ind w:left="420" w:leftChars="200"/>
        <w:rPr>
          <w:rFonts w:ascii="宋体" w:hAnsi="宋体"/>
          <w:color w:val="auto"/>
          <w:sz w:val="24"/>
          <w:highlight w:val="none"/>
        </w:rPr>
      </w:pPr>
      <w:r>
        <w:rPr>
          <w:rFonts w:ascii="宋体" w:hAnsi="宋体"/>
          <w:color w:val="auto"/>
          <w:sz w:val="24"/>
          <w:highlight w:val="none"/>
        </w:rPr>
        <w:t>40. 需要补充的其他内容</w:t>
      </w:r>
    </w:p>
    <w:p w14:paraId="61E8F844">
      <w:pPr>
        <w:pStyle w:val="25"/>
        <w:spacing w:before="120" w:after="120" w:line="360" w:lineRule="auto"/>
        <w:ind w:firstLine="420" w:firstLineChars="200"/>
        <w:contextualSpacing/>
        <w:rPr>
          <w:rFonts w:hAnsi="宋体" w:cs="宋体"/>
          <w:color w:val="auto"/>
          <w:sz w:val="21"/>
          <w:highlight w:val="none"/>
        </w:rPr>
      </w:pPr>
      <w:r>
        <w:rPr>
          <w:rFonts w:hint="eastAsia" w:hAnsi="宋体" w:cs="宋体"/>
          <w:color w:val="auto"/>
          <w:sz w:val="21"/>
          <w:highlight w:val="none"/>
        </w:rPr>
        <w:t>40.1本招标文件解释规则详见“投标人须知前附表”。</w:t>
      </w:r>
    </w:p>
    <w:p w14:paraId="0D4F3896">
      <w:pPr>
        <w:pStyle w:val="25"/>
        <w:spacing w:before="120" w:after="120" w:line="360" w:lineRule="auto"/>
        <w:ind w:firstLine="420" w:firstLineChars="200"/>
        <w:contextualSpacing/>
        <w:rPr>
          <w:rFonts w:hAnsi="宋体" w:cs="宋体"/>
          <w:color w:val="auto"/>
          <w:sz w:val="21"/>
          <w:highlight w:val="none"/>
        </w:rPr>
      </w:pPr>
      <w:r>
        <w:rPr>
          <w:rFonts w:hint="eastAsia" w:hAnsi="宋体" w:cs="宋体"/>
          <w:color w:val="auto"/>
          <w:sz w:val="21"/>
          <w:highlight w:val="none"/>
        </w:rPr>
        <w:t>40.2 其他事项详见“投标人须知前附表”。</w:t>
      </w:r>
    </w:p>
    <w:p w14:paraId="078FA642">
      <w:pPr>
        <w:pStyle w:val="25"/>
        <w:spacing w:before="120" w:after="120" w:line="360" w:lineRule="auto"/>
        <w:ind w:firstLine="420" w:firstLineChars="200"/>
        <w:contextualSpacing/>
        <w:rPr>
          <w:rFonts w:hAnsi="宋体" w:cs="宋体"/>
          <w:color w:val="auto"/>
          <w:sz w:val="21"/>
          <w:highlight w:val="none"/>
        </w:rPr>
      </w:pPr>
      <w:r>
        <w:rPr>
          <w:rFonts w:hint="eastAsia" w:hAnsi="宋体" w:cs="宋体"/>
          <w:color w:val="auto"/>
          <w:sz w:val="21"/>
          <w:highlight w:val="none"/>
        </w:rPr>
        <w:t>40.3</w:t>
      </w:r>
      <w:bookmarkStart w:id="137" w:name="_Hlk65857140"/>
      <w:r>
        <w:rPr>
          <w:rFonts w:hint="eastAsia" w:hAnsi="宋体" w:cs="宋体"/>
          <w:color w:val="auto"/>
          <w:sz w:val="21"/>
          <w:highlight w:val="none"/>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01785EED">
      <w:pPr>
        <w:pStyle w:val="25"/>
        <w:spacing w:before="120" w:after="120" w:line="360" w:lineRule="auto"/>
        <w:ind w:firstLine="420" w:firstLineChars="200"/>
        <w:contextualSpacing/>
        <w:rPr>
          <w:rFonts w:hAnsi="宋体" w:cs="宋体"/>
          <w:color w:val="auto"/>
          <w:sz w:val="21"/>
          <w:highlight w:val="none"/>
        </w:rPr>
      </w:pPr>
      <w:r>
        <w:rPr>
          <w:rFonts w:hint="eastAsia" w:hAnsi="宋体" w:cs="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0389FCE0">
      <w:pPr>
        <w:pStyle w:val="25"/>
        <w:spacing w:before="120" w:after="120" w:line="360" w:lineRule="auto"/>
        <w:ind w:firstLine="420" w:firstLineChars="200"/>
        <w:contextualSpacing/>
        <w:rPr>
          <w:rFonts w:hAnsi="宋体" w:cs="宋体"/>
          <w:color w:val="auto"/>
          <w:sz w:val="21"/>
          <w:highlight w:val="none"/>
        </w:rPr>
      </w:pPr>
      <w:r>
        <w:rPr>
          <w:rFonts w:hint="eastAsia" w:hAnsi="宋体" w:cs="宋体"/>
          <w:color w:val="auto"/>
          <w:sz w:val="21"/>
          <w:highlight w:val="none"/>
        </w:rPr>
        <w:t>（2）在工程采购项目中，工程由中小企业承建，即工程施工单位为中小企业，不对其中涉及的货物的制造商和服务的承接商作出要求；</w:t>
      </w:r>
    </w:p>
    <w:p w14:paraId="213F659B">
      <w:pPr>
        <w:pStyle w:val="25"/>
        <w:spacing w:before="120" w:after="120" w:line="360" w:lineRule="auto"/>
        <w:ind w:firstLine="420" w:firstLineChars="200"/>
        <w:contextualSpacing/>
        <w:rPr>
          <w:rFonts w:hAnsi="宋体" w:cs="宋体"/>
          <w:color w:val="auto"/>
          <w:sz w:val="21"/>
          <w:highlight w:val="none"/>
        </w:rPr>
      </w:pPr>
      <w:r>
        <w:rPr>
          <w:rFonts w:hint="eastAsia" w:hAnsi="宋体" w:cs="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221F8331">
      <w:pPr>
        <w:pStyle w:val="25"/>
        <w:spacing w:before="120" w:after="120" w:line="360" w:lineRule="auto"/>
        <w:ind w:firstLine="420" w:firstLineChars="200"/>
        <w:contextualSpacing/>
        <w:rPr>
          <w:rFonts w:hAnsi="宋体" w:cs="宋体"/>
          <w:color w:val="auto"/>
          <w:sz w:val="21"/>
          <w:highlight w:val="none"/>
        </w:rPr>
      </w:pPr>
      <w:r>
        <w:rPr>
          <w:rFonts w:hint="eastAsia" w:hAnsi="宋体" w:cs="宋体"/>
          <w:color w:val="auto"/>
          <w:sz w:val="21"/>
          <w:highlight w:val="none"/>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5EA6B068">
      <w:pPr>
        <w:pStyle w:val="25"/>
        <w:spacing w:before="120" w:after="120" w:line="360" w:lineRule="auto"/>
        <w:ind w:firstLine="420" w:firstLineChars="200"/>
        <w:contextualSpacing/>
        <w:rPr>
          <w:rFonts w:hAnsi="宋体" w:cs="宋体"/>
          <w:color w:val="auto"/>
          <w:sz w:val="21"/>
          <w:highlight w:val="none"/>
        </w:rPr>
      </w:pPr>
      <w:r>
        <w:rPr>
          <w:rFonts w:hint="eastAsia" w:hAnsi="宋体" w:cs="宋体"/>
          <w:color w:val="auto"/>
          <w:sz w:val="21"/>
          <w:highlight w:val="none"/>
        </w:rPr>
        <w:t>依据本招标文件规定享受扶持政策获得政府采购合同的，小微企业不得将合同分包给大中型企业，中型企业不得将合同分包给大型企业。</w:t>
      </w:r>
      <w:bookmarkEnd w:id="137"/>
    </w:p>
    <w:p w14:paraId="687DF01D">
      <w:pPr>
        <w:pStyle w:val="20"/>
        <w:ind w:left="479" w:leftChars="114" w:hanging="240" w:hangingChars="100"/>
        <w:rPr>
          <w:rFonts w:ascii="宋体" w:hAnsi="宋体"/>
          <w:color w:val="auto"/>
          <w:highlight w:val="none"/>
        </w:rPr>
      </w:pPr>
      <w:r>
        <w:rPr>
          <w:rFonts w:ascii="宋体" w:hAnsi="宋体"/>
          <w:color w:val="auto"/>
          <w:highlight w:val="none"/>
        </w:rPr>
        <w:br w:type="page"/>
      </w:r>
    </w:p>
    <w:p w14:paraId="3031CE46">
      <w:pPr>
        <w:pStyle w:val="20"/>
        <w:ind w:left="479" w:leftChars="114" w:hanging="240" w:hangingChars="100"/>
        <w:rPr>
          <w:rFonts w:ascii="宋体" w:hAnsi="宋体"/>
          <w:color w:val="auto"/>
          <w:highlight w:val="none"/>
        </w:rPr>
      </w:pPr>
    </w:p>
    <w:p w14:paraId="33C4D7BD">
      <w:pPr>
        <w:pStyle w:val="20"/>
        <w:ind w:left="479" w:leftChars="114" w:hanging="240" w:hangingChars="100"/>
        <w:rPr>
          <w:rFonts w:ascii="宋体" w:hAnsi="宋体"/>
          <w:color w:val="auto"/>
          <w:highlight w:val="none"/>
        </w:rPr>
      </w:pPr>
    </w:p>
    <w:p w14:paraId="6137EECF">
      <w:pPr>
        <w:pStyle w:val="20"/>
        <w:ind w:left="479" w:leftChars="114" w:hanging="240" w:hangingChars="100"/>
        <w:rPr>
          <w:rFonts w:ascii="宋体" w:hAnsi="宋体"/>
          <w:color w:val="auto"/>
          <w:highlight w:val="none"/>
        </w:rPr>
      </w:pPr>
    </w:p>
    <w:p w14:paraId="2D6CCE15">
      <w:pPr>
        <w:pStyle w:val="25"/>
        <w:snapToGrid w:val="0"/>
        <w:spacing w:before="120" w:after="120"/>
        <w:rPr>
          <w:rFonts w:hAnsi="宋体"/>
          <w:color w:val="auto"/>
          <w:highlight w:val="none"/>
        </w:rPr>
      </w:pPr>
    </w:p>
    <w:p w14:paraId="10B763B7">
      <w:pPr>
        <w:pStyle w:val="25"/>
        <w:snapToGrid w:val="0"/>
        <w:spacing w:before="120" w:after="120"/>
        <w:rPr>
          <w:rFonts w:hAnsi="宋体"/>
          <w:color w:val="auto"/>
          <w:highlight w:val="none"/>
        </w:rPr>
      </w:pPr>
    </w:p>
    <w:p w14:paraId="151F69B5">
      <w:pPr>
        <w:pStyle w:val="25"/>
        <w:snapToGrid w:val="0"/>
        <w:spacing w:before="120" w:after="120"/>
        <w:rPr>
          <w:rFonts w:hAnsi="宋体"/>
          <w:color w:val="auto"/>
          <w:highlight w:val="none"/>
        </w:rPr>
      </w:pPr>
    </w:p>
    <w:p w14:paraId="7959F677">
      <w:pPr>
        <w:pStyle w:val="25"/>
        <w:snapToGrid w:val="0"/>
        <w:spacing w:before="120" w:after="120"/>
        <w:rPr>
          <w:rFonts w:hAnsi="宋体"/>
          <w:color w:val="auto"/>
          <w:highlight w:val="none"/>
        </w:rPr>
      </w:pPr>
    </w:p>
    <w:p w14:paraId="1FB6ACC8">
      <w:pPr>
        <w:pStyle w:val="25"/>
        <w:snapToGrid w:val="0"/>
        <w:spacing w:before="120" w:after="120"/>
        <w:rPr>
          <w:rFonts w:hAnsi="宋体"/>
          <w:color w:val="auto"/>
          <w:highlight w:val="none"/>
        </w:rPr>
      </w:pPr>
    </w:p>
    <w:p w14:paraId="097AE724">
      <w:pPr>
        <w:pStyle w:val="25"/>
        <w:snapToGrid w:val="0"/>
        <w:spacing w:before="120" w:after="120"/>
        <w:rPr>
          <w:rFonts w:hAnsi="宋体"/>
          <w:color w:val="auto"/>
          <w:highlight w:val="none"/>
        </w:rPr>
      </w:pPr>
    </w:p>
    <w:p w14:paraId="06F8C9B5">
      <w:pPr>
        <w:pStyle w:val="25"/>
        <w:snapToGrid w:val="0"/>
        <w:spacing w:before="120" w:after="120"/>
        <w:rPr>
          <w:rFonts w:hAnsi="宋体"/>
          <w:color w:val="auto"/>
          <w:highlight w:val="none"/>
        </w:rPr>
      </w:pPr>
    </w:p>
    <w:p w14:paraId="49BCD7A3">
      <w:pPr>
        <w:pStyle w:val="25"/>
        <w:snapToGrid w:val="0"/>
        <w:spacing w:before="120" w:after="120"/>
        <w:rPr>
          <w:rFonts w:hAnsi="宋体"/>
          <w:color w:val="auto"/>
          <w:highlight w:val="none"/>
        </w:rPr>
      </w:pPr>
    </w:p>
    <w:p w14:paraId="0A83AF29">
      <w:pPr>
        <w:pStyle w:val="25"/>
        <w:snapToGrid w:val="0"/>
        <w:spacing w:before="120" w:after="120"/>
        <w:rPr>
          <w:rFonts w:hAnsi="宋体"/>
          <w:color w:val="auto"/>
          <w:highlight w:val="none"/>
        </w:rPr>
      </w:pPr>
    </w:p>
    <w:p w14:paraId="47C6A55B">
      <w:pPr>
        <w:pStyle w:val="5"/>
        <w:jc w:val="center"/>
        <w:rPr>
          <w:rFonts w:ascii="宋体" w:hAnsi="宋体"/>
          <w:color w:val="auto"/>
          <w:highlight w:val="none"/>
        </w:rPr>
      </w:pPr>
      <w:bookmarkStart w:id="138" w:name="_Toc254970689"/>
      <w:bookmarkStart w:id="139" w:name="_Toc254970548"/>
      <w:bookmarkStart w:id="140" w:name="_Toc74320803"/>
      <w:bookmarkStart w:id="141" w:name="_Toc330456896"/>
      <w:r>
        <w:rPr>
          <w:rFonts w:hint="eastAsia" w:ascii="宋体" w:hAnsi="宋体"/>
          <w:color w:val="auto"/>
          <w:highlight w:val="none"/>
        </w:rPr>
        <w:t>第四章  评标方法及评标标准</w:t>
      </w:r>
      <w:bookmarkEnd w:id="138"/>
      <w:bookmarkEnd w:id="139"/>
      <w:bookmarkEnd w:id="140"/>
      <w:bookmarkEnd w:id="141"/>
    </w:p>
    <w:p w14:paraId="0E2D923B">
      <w:pPr>
        <w:pStyle w:val="25"/>
        <w:spacing w:before="120" w:after="120"/>
        <w:outlineLvl w:val="0"/>
        <w:rPr>
          <w:rFonts w:hAnsi="宋体"/>
          <w:b/>
          <w:color w:val="auto"/>
          <w:highlight w:val="none"/>
        </w:rPr>
      </w:pPr>
      <w:bookmarkStart w:id="142" w:name="_Toc254970549"/>
      <w:bookmarkStart w:id="143" w:name="_Toc254970690"/>
    </w:p>
    <w:bookmarkEnd w:id="142"/>
    <w:bookmarkEnd w:id="143"/>
    <w:p w14:paraId="56ADC230">
      <w:pPr>
        <w:pStyle w:val="25"/>
        <w:spacing w:before="120" w:after="120"/>
        <w:outlineLvl w:val="0"/>
        <w:rPr>
          <w:rFonts w:hAnsi="宋体"/>
          <w:bCs/>
          <w:color w:val="auto"/>
          <w:sz w:val="32"/>
          <w:szCs w:val="32"/>
          <w:highlight w:val="none"/>
        </w:rPr>
      </w:pPr>
    </w:p>
    <w:p w14:paraId="7187DD2E">
      <w:pPr>
        <w:pStyle w:val="25"/>
        <w:spacing w:before="120" w:after="120"/>
        <w:outlineLvl w:val="0"/>
        <w:rPr>
          <w:rFonts w:hAnsi="宋体"/>
          <w:bCs/>
          <w:color w:val="auto"/>
          <w:sz w:val="32"/>
          <w:szCs w:val="32"/>
          <w:highlight w:val="none"/>
        </w:rPr>
      </w:pPr>
    </w:p>
    <w:p w14:paraId="2CA9C5DB">
      <w:pPr>
        <w:pStyle w:val="25"/>
        <w:spacing w:before="120" w:after="120"/>
        <w:outlineLvl w:val="0"/>
        <w:rPr>
          <w:rFonts w:hAnsi="宋体"/>
          <w:bCs/>
          <w:color w:val="auto"/>
          <w:sz w:val="32"/>
          <w:szCs w:val="32"/>
          <w:highlight w:val="none"/>
        </w:rPr>
      </w:pPr>
    </w:p>
    <w:p w14:paraId="36F89230">
      <w:pPr>
        <w:spacing w:before="120" w:beforeLines="50" w:after="120" w:afterLines="50" w:line="400" w:lineRule="exact"/>
        <w:rPr>
          <w:rFonts w:ascii="宋体" w:hAnsi="宋体"/>
          <w:b/>
          <w:color w:val="auto"/>
          <w:sz w:val="24"/>
          <w:highlight w:val="none"/>
        </w:rPr>
      </w:pPr>
    </w:p>
    <w:p w14:paraId="0BBFB5D1">
      <w:pPr>
        <w:spacing w:before="120" w:beforeLines="50" w:after="120" w:afterLines="50" w:line="400" w:lineRule="exact"/>
        <w:rPr>
          <w:rFonts w:ascii="宋体" w:hAnsi="宋体"/>
          <w:b/>
          <w:color w:val="auto"/>
          <w:sz w:val="24"/>
          <w:highlight w:val="none"/>
        </w:rPr>
      </w:pPr>
    </w:p>
    <w:p w14:paraId="0969A511">
      <w:pPr>
        <w:spacing w:before="120" w:beforeLines="50" w:after="120" w:afterLines="50" w:line="400" w:lineRule="exact"/>
        <w:rPr>
          <w:rFonts w:ascii="宋体" w:hAnsi="宋体"/>
          <w:b/>
          <w:color w:val="auto"/>
          <w:sz w:val="24"/>
          <w:highlight w:val="none"/>
        </w:rPr>
      </w:pPr>
    </w:p>
    <w:p w14:paraId="381BB6F0">
      <w:pPr>
        <w:spacing w:before="120" w:beforeLines="50" w:after="120" w:afterLines="50" w:line="400" w:lineRule="exact"/>
        <w:rPr>
          <w:rFonts w:ascii="宋体" w:hAnsi="宋体"/>
          <w:b/>
          <w:color w:val="auto"/>
          <w:sz w:val="24"/>
          <w:highlight w:val="none"/>
        </w:rPr>
      </w:pPr>
    </w:p>
    <w:p w14:paraId="67F4392D">
      <w:pPr>
        <w:spacing w:before="120" w:beforeLines="50" w:after="120" w:afterLines="50" w:line="400" w:lineRule="exact"/>
        <w:rPr>
          <w:rFonts w:ascii="宋体" w:hAnsi="宋体"/>
          <w:b/>
          <w:color w:val="auto"/>
          <w:sz w:val="24"/>
          <w:highlight w:val="none"/>
        </w:rPr>
      </w:pPr>
    </w:p>
    <w:p w14:paraId="18462D7E">
      <w:pPr>
        <w:spacing w:before="120" w:beforeLines="50" w:after="120" w:afterLines="50" w:line="400" w:lineRule="exact"/>
        <w:rPr>
          <w:rFonts w:ascii="宋体" w:hAnsi="宋体"/>
          <w:b/>
          <w:color w:val="auto"/>
          <w:sz w:val="24"/>
          <w:highlight w:val="none"/>
        </w:rPr>
      </w:pPr>
    </w:p>
    <w:p w14:paraId="5429392C">
      <w:pPr>
        <w:spacing w:before="120" w:beforeLines="50" w:after="120" w:afterLines="50" w:line="400" w:lineRule="exact"/>
        <w:rPr>
          <w:rFonts w:ascii="宋体" w:hAnsi="宋体"/>
          <w:b/>
          <w:color w:val="auto"/>
          <w:sz w:val="24"/>
          <w:highlight w:val="none"/>
        </w:rPr>
      </w:pPr>
    </w:p>
    <w:p w14:paraId="72B1A48C">
      <w:pPr>
        <w:pStyle w:val="25"/>
        <w:spacing w:line="360" w:lineRule="exact"/>
        <w:rPr>
          <w:rFonts w:hAnsi="宋体"/>
          <w:b/>
          <w:color w:val="auto"/>
          <w:sz w:val="24"/>
          <w:highlight w:val="none"/>
        </w:rPr>
      </w:pPr>
    </w:p>
    <w:p w14:paraId="32636C76">
      <w:pPr>
        <w:pStyle w:val="7"/>
        <w:keepNext w:val="0"/>
        <w:keepLines w:val="0"/>
        <w:jc w:val="center"/>
        <w:rPr>
          <w:rFonts w:ascii="宋体" w:hAnsi="宋体"/>
          <w:color w:val="auto"/>
          <w:sz w:val="30"/>
          <w:szCs w:val="30"/>
          <w:highlight w:val="none"/>
        </w:rPr>
      </w:pPr>
      <w:r>
        <w:rPr>
          <w:rFonts w:ascii="宋体" w:hAnsi="宋体"/>
          <w:color w:val="auto"/>
          <w:sz w:val="30"/>
          <w:szCs w:val="30"/>
          <w:highlight w:val="none"/>
        </w:rPr>
        <w:br w:type="page"/>
      </w:r>
      <w:r>
        <w:rPr>
          <w:rFonts w:hint="eastAsia" w:ascii="宋体" w:hAnsi="宋体"/>
          <w:color w:val="auto"/>
          <w:sz w:val="30"/>
          <w:szCs w:val="30"/>
          <w:highlight w:val="none"/>
        </w:rPr>
        <w:t>一、评标方法</w:t>
      </w:r>
    </w:p>
    <w:p w14:paraId="6D19843E">
      <w:pPr>
        <w:pStyle w:val="25"/>
        <w:spacing w:line="360" w:lineRule="auto"/>
        <w:ind w:firstLine="420"/>
        <w:rPr>
          <w:rFonts w:hAnsi="宋体"/>
          <w:color w:val="auto"/>
          <w:sz w:val="21"/>
          <w:highlight w:val="none"/>
        </w:rPr>
      </w:pPr>
      <w:r>
        <w:rPr>
          <w:rFonts w:hint="eastAsia" w:hAnsi="宋体"/>
          <w:color w:val="auto"/>
          <w:sz w:val="21"/>
          <w:highlight w:val="none"/>
        </w:rPr>
        <w:t>综合评分法，是指投标文件满足招标文件全部实质性要求，且按照评审因素的量化指标评审得分最高的投标人为中标候选人的评标方法。</w:t>
      </w:r>
    </w:p>
    <w:p w14:paraId="0B042511">
      <w:pPr>
        <w:pStyle w:val="7"/>
        <w:keepNext w:val="0"/>
        <w:keepLines w:val="0"/>
        <w:jc w:val="center"/>
        <w:rPr>
          <w:rFonts w:ascii="宋体" w:hAnsi="宋体"/>
          <w:color w:val="auto"/>
          <w:sz w:val="30"/>
          <w:szCs w:val="30"/>
          <w:highlight w:val="none"/>
        </w:rPr>
      </w:pPr>
      <w:r>
        <w:rPr>
          <w:rFonts w:hint="eastAsia" w:ascii="宋体" w:hAnsi="宋体"/>
          <w:color w:val="auto"/>
          <w:sz w:val="30"/>
          <w:szCs w:val="30"/>
          <w:highlight w:val="none"/>
        </w:rPr>
        <w:t>二、评标程序</w:t>
      </w:r>
    </w:p>
    <w:p w14:paraId="0350D632">
      <w:pPr>
        <w:pStyle w:val="8"/>
        <w:keepNext w:val="0"/>
        <w:keepLines w:val="0"/>
        <w:spacing w:before="0" w:after="0" w:line="360" w:lineRule="auto"/>
        <w:ind w:left="420" w:leftChars="200"/>
        <w:rPr>
          <w:rFonts w:ascii="宋体" w:hAnsi="宋体"/>
          <w:color w:val="auto"/>
          <w:sz w:val="21"/>
          <w:szCs w:val="21"/>
          <w:highlight w:val="none"/>
        </w:rPr>
      </w:pPr>
      <w:r>
        <w:rPr>
          <w:rFonts w:hint="eastAsia" w:ascii="宋体" w:hAnsi="宋体"/>
          <w:color w:val="auto"/>
          <w:sz w:val="21"/>
          <w:szCs w:val="21"/>
          <w:highlight w:val="none"/>
        </w:rPr>
        <w:t>1.符合性审查</w:t>
      </w:r>
    </w:p>
    <w:p w14:paraId="5FFBA22D">
      <w:pPr>
        <w:pStyle w:val="25"/>
        <w:snapToGrid w:val="0"/>
        <w:spacing w:line="360" w:lineRule="auto"/>
        <w:ind w:left="1" w:firstLine="420"/>
        <w:rPr>
          <w:rFonts w:hAnsi="宋体"/>
          <w:b/>
          <w:color w:val="auto"/>
          <w:kern w:val="2"/>
          <w:sz w:val="21"/>
          <w:highlight w:val="none"/>
        </w:rPr>
      </w:pPr>
      <w:r>
        <w:rPr>
          <w:rFonts w:hint="eastAsia" w:hAnsi="宋体"/>
          <w:b/>
          <w:color w:val="auto"/>
          <w:kern w:val="2"/>
          <w:sz w:val="21"/>
          <w:highlight w:val="none"/>
        </w:rPr>
        <w:t>评标委员会应当对符合资格的投标人的投标文件进行投标报价、商务、技术等实质性内容符合性审查，以确定其是否满足招标文件的实质性要求。</w:t>
      </w:r>
    </w:p>
    <w:p w14:paraId="76324B31">
      <w:pPr>
        <w:pStyle w:val="8"/>
        <w:keepNext w:val="0"/>
        <w:keepLines w:val="0"/>
        <w:spacing w:before="0" w:after="0" w:line="360" w:lineRule="auto"/>
        <w:ind w:left="420" w:leftChars="200"/>
        <w:rPr>
          <w:rFonts w:ascii="宋体" w:hAnsi="宋体"/>
          <w:color w:val="auto"/>
          <w:sz w:val="21"/>
          <w:szCs w:val="21"/>
          <w:highlight w:val="none"/>
        </w:rPr>
      </w:pPr>
      <w:r>
        <w:rPr>
          <w:rFonts w:hint="eastAsia" w:ascii="宋体" w:hAnsi="宋体"/>
          <w:color w:val="auto"/>
          <w:sz w:val="21"/>
          <w:szCs w:val="21"/>
          <w:highlight w:val="none"/>
        </w:rPr>
        <w:t>2</w:t>
      </w:r>
      <w:r>
        <w:rPr>
          <w:rFonts w:ascii="宋体" w:hAnsi="宋体"/>
          <w:color w:val="auto"/>
          <w:sz w:val="21"/>
          <w:szCs w:val="21"/>
          <w:highlight w:val="none"/>
        </w:rPr>
        <w:t>.</w:t>
      </w:r>
      <w:r>
        <w:rPr>
          <w:rFonts w:hint="eastAsia" w:ascii="宋体" w:hAnsi="宋体"/>
          <w:color w:val="auto"/>
          <w:sz w:val="21"/>
          <w:szCs w:val="21"/>
          <w:highlight w:val="none"/>
        </w:rPr>
        <w:t>符合性审查不通过而导致投标无效的情形</w:t>
      </w:r>
    </w:p>
    <w:p w14:paraId="36539733">
      <w:p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投标人的投标文件中存在对招标文件的任何实质性要求和条件的负偏离，将被视为投标无效。</w:t>
      </w:r>
    </w:p>
    <w:p w14:paraId="2FE5F7CF">
      <w:pPr>
        <w:pStyle w:val="8"/>
        <w:keepNext w:val="0"/>
        <w:keepLines w:val="0"/>
        <w:spacing w:before="0" w:after="0" w:line="360" w:lineRule="auto"/>
        <w:ind w:left="420" w:leftChars="200"/>
        <w:rPr>
          <w:rFonts w:ascii="宋体" w:hAnsi="宋体"/>
          <w:color w:val="auto"/>
          <w:sz w:val="21"/>
          <w:szCs w:val="21"/>
          <w:highlight w:val="none"/>
        </w:rPr>
      </w:pPr>
      <w:r>
        <w:rPr>
          <w:rFonts w:hint="eastAsia" w:ascii="宋体" w:hAnsi="宋体"/>
          <w:color w:val="auto"/>
          <w:sz w:val="21"/>
          <w:szCs w:val="21"/>
          <w:highlight w:val="none"/>
        </w:rPr>
        <w:t>2.1在报价评审时，如发现下列情形之一的，将被视为投标无效：</w:t>
      </w:r>
    </w:p>
    <w:p w14:paraId="17C2E899">
      <w:pPr>
        <w:pStyle w:val="9"/>
        <w:numPr>
          <w:ilvl w:val="0"/>
          <w:numId w:val="4"/>
        </w:numPr>
        <w:spacing w:line="360" w:lineRule="auto"/>
        <w:ind w:firstLine="422"/>
        <w:rPr>
          <w:rFonts w:ascii="宋体" w:hAnsi="宋体"/>
          <w:b/>
          <w:color w:val="auto"/>
          <w:szCs w:val="21"/>
          <w:highlight w:val="none"/>
        </w:rPr>
      </w:pPr>
      <w:r>
        <w:rPr>
          <w:rFonts w:hint="eastAsia" w:ascii="宋体" w:hAnsi="宋体"/>
          <w:b/>
          <w:color w:val="auto"/>
          <w:spacing w:val="-6"/>
          <w:szCs w:val="21"/>
          <w:highlight w:val="none"/>
        </w:rPr>
        <w:t>报价文件</w:t>
      </w:r>
      <w:r>
        <w:rPr>
          <w:rFonts w:hint="eastAsia" w:ascii="宋体" w:hAnsi="宋体"/>
          <w:b/>
          <w:color w:val="auto"/>
          <w:szCs w:val="21"/>
          <w:highlight w:val="none"/>
        </w:rPr>
        <w:t>未提供“投标人须知前附表”第13.1条规定中“必须提供”的文件资料的；</w:t>
      </w:r>
    </w:p>
    <w:p w14:paraId="22C14F6F">
      <w:pPr>
        <w:pStyle w:val="9"/>
        <w:numPr>
          <w:ilvl w:val="0"/>
          <w:numId w:val="4"/>
        </w:numPr>
        <w:spacing w:line="360" w:lineRule="auto"/>
        <w:ind w:firstLine="422"/>
        <w:rPr>
          <w:rFonts w:ascii="宋体" w:hAnsi="宋体"/>
          <w:b/>
          <w:color w:val="auto"/>
          <w:szCs w:val="21"/>
          <w:highlight w:val="none"/>
        </w:rPr>
      </w:pPr>
      <w:r>
        <w:rPr>
          <w:rFonts w:hint="eastAsia" w:ascii="宋体" w:hAnsi="宋体"/>
          <w:b/>
          <w:color w:val="auto"/>
          <w:szCs w:val="21"/>
          <w:highlight w:val="none"/>
        </w:rPr>
        <w:t>未采用人民币报价或者未按照招标文件标明的币种报价的；</w:t>
      </w:r>
    </w:p>
    <w:p w14:paraId="600EF180">
      <w:pPr>
        <w:pStyle w:val="9"/>
        <w:numPr>
          <w:ilvl w:val="0"/>
          <w:numId w:val="4"/>
        </w:numPr>
        <w:spacing w:line="360" w:lineRule="auto"/>
        <w:ind w:firstLine="422"/>
        <w:rPr>
          <w:rFonts w:ascii="宋体" w:hAnsi="宋体"/>
          <w:b/>
          <w:color w:val="auto"/>
          <w:szCs w:val="21"/>
          <w:highlight w:val="none"/>
        </w:rPr>
      </w:pPr>
      <w:r>
        <w:rPr>
          <w:rFonts w:hint="eastAsia" w:ascii="宋体" w:hAnsi="宋体"/>
          <w:b/>
          <w:color w:val="auto"/>
          <w:szCs w:val="21"/>
          <w:highlight w:val="none"/>
        </w:rPr>
        <w:t>各分标报价超出招标文件相应分标规定最高限价，或者超出相应分标采购预算金额的；</w:t>
      </w:r>
    </w:p>
    <w:p w14:paraId="0E69894E">
      <w:pPr>
        <w:pStyle w:val="9"/>
        <w:numPr>
          <w:ilvl w:val="0"/>
          <w:numId w:val="4"/>
        </w:numPr>
        <w:spacing w:line="360" w:lineRule="auto"/>
        <w:ind w:firstLine="422"/>
        <w:rPr>
          <w:rFonts w:ascii="宋体" w:hAnsi="宋体"/>
          <w:b/>
          <w:color w:val="auto"/>
          <w:szCs w:val="21"/>
          <w:highlight w:val="none"/>
        </w:rPr>
      </w:pPr>
      <w:r>
        <w:rPr>
          <w:rFonts w:hint="eastAsia" w:ascii="宋体" w:hAnsi="宋体"/>
          <w:b/>
          <w:color w:val="auto"/>
          <w:szCs w:val="21"/>
          <w:highlight w:val="none"/>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14:paraId="393046E3">
      <w:pPr>
        <w:pStyle w:val="9"/>
        <w:numPr>
          <w:ilvl w:val="0"/>
          <w:numId w:val="4"/>
        </w:numPr>
        <w:spacing w:line="360" w:lineRule="auto"/>
        <w:ind w:firstLine="422"/>
        <w:rPr>
          <w:rFonts w:ascii="宋体" w:hAnsi="宋体"/>
          <w:b/>
          <w:color w:val="auto"/>
          <w:szCs w:val="21"/>
          <w:highlight w:val="none"/>
        </w:rPr>
      </w:pPr>
      <w:r>
        <w:rPr>
          <w:rFonts w:hint="eastAsia" w:ascii="宋体" w:hAnsi="宋体"/>
          <w:b/>
          <w:color w:val="auto"/>
          <w:szCs w:val="21"/>
          <w:highlight w:val="none"/>
        </w:rPr>
        <w:t>修正后的报价，投标人不确认的；</w:t>
      </w:r>
    </w:p>
    <w:p w14:paraId="6BF36306">
      <w:pPr>
        <w:pStyle w:val="9"/>
        <w:numPr>
          <w:ilvl w:val="0"/>
          <w:numId w:val="4"/>
        </w:numPr>
        <w:spacing w:line="360" w:lineRule="auto"/>
        <w:ind w:firstLine="422"/>
        <w:rPr>
          <w:rFonts w:ascii="宋体" w:hAnsi="宋体"/>
          <w:b/>
          <w:color w:val="auto"/>
          <w:szCs w:val="21"/>
          <w:highlight w:val="none"/>
        </w:rPr>
      </w:pPr>
      <w:r>
        <w:rPr>
          <w:rFonts w:hint="eastAsia" w:ascii="宋体" w:hAnsi="宋体"/>
          <w:b/>
          <w:color w:val="auto"/>
          <w:szCs w:val="21"/>
          <w:highlight w:val="none"/>
        </w:rPr>
        <w:t>投标人属于本章第</w:t>
      </w:r>
      <w:r>
        <w:rPr>
          <w:rFonts w:ascii="宋体" w:hAnsi="宋体"/>
          <w:b/>
          <w:color w:val="auto"/>
          <w:szCs w:val="21"/>
          <w:highlight w:val="none"/>
        </w:rPr>
        <w:t>5.1</w:t>
      </w:r>
      <w:r>
        <w:rPr>
          <w:rFonts w:hint="eastAsia" w:ascii="宋体" w:hAnsi="宋体"/>
          <w:b/>
          <w:color w:val="auto"/>
          <w:szCs w:val="21"/>
          <w:highlight w:val="none"/>
        </w:rPr>
        <w:t>条（2）或者第5</w:t>
      </w:r>
      <w:r>
        <w:rPr>
          <w:rFonts w:ascii="宋体" w:hAnsi="宋体"/>
          <w:b/>
          <w:color w:val="auto"/>
          <w:szCs w:val="21"/>
          <w:highlight w:val="none"/>
        </w:rPr>
        <w:t>.2条</w:t>
      </w:r>
      <w:r>
        <w:rPr>
          <w:rFonts w:hint="eastAsia" w:ascii="宋体" w:hAnsi="宋体"/>
          <w:b/>
          <w:color w:val="auto"/>
          <w:szCs w:val="21"/>
          <w:highlight w:val="none"/>
        </w:rPr>
        <w:t>（2）项情形的；</w:t>
      </w:r>
    </w:p>
    <w:p w14:paraId="0EEE55B6">
      <w:pPr>
        <w:pStyle w:val="9"/>
        <w:numPr>
          <w:ilvl w:val="0"/>
          <w:numId w:val="4"/>
        </w:numPr>
        <w:spacing w:line="360" w:lineRule="auto"/>
        <w:ind w:firstLine="422"/>
        <w:rPr>
          <w:rFonts w:ascii="宋体" w:hAnsi="宋体"/>
          <w:b/>
          <w:color w:val="auto"/>
          <w:szCs w:val="21"/>
          <w:highlight w:val="none"/>
        </w:rPr>
      </w:pPr>
      <w:r>
        <w:rPr>
          <w:rFonts w:hint="eastAsia" w:ascii="宋体" w:hAnsi="宋体"/>
          <w:b/>
          <w:color w:val="auto"/>
          <w:spacing w:val="-6"/>
          <w:szCs w:val="21"/>
          <w:highlight w:val="none"/>
        </w:rPr>
        <w:t>报价文件</w:t>
      </w:r>
      <w:r>
        <w:rPr>
          <w:rFonts w:hint="eastAsia" w:ascii="宋体" w:hAnsi="宋体"/>
          <w:b/>
          <w:color w:val="auto"/>
          <w:szCs w:val="21"/>
          <w:highlight w:val="none"/>
        </w:rPr>
        <w:t>响应的标的数量及单位与招标文件要求实质性不一致的。</w:t>
      </w:r>
    </w:p>
    <w:p w14:paraId="77D1093C">
      <w:pPr>
        <w:pStyle w:val="8"/>
        <w:keepNext w:val="0"/>
        <w:keepLines w:val="0"/>
        <w:spacing w:before="0" w:after="0" w:line="360" w:lineRule="auto"/>
        <w:ind w:left="420" w:leftChars="200"/>
        <w:rPr>
          <w:rFonts w:ascii="宋体" w:hAnsi="宋体"/>
          <w:color w:val="auto"/>
          <w:sz w:val="21"/>
          <w:szCs w:val="21"/>
          <w:highlight w:val="none"/>
        </w:rPr>
      </w:pPr>
      <w:r>
        <w:rPr>
          <w:rFonts w:hint="eastAsia" w:ascii="宋体" w:hAnsi="宋体"/>
          <w:color w:val="auto"/>
          <w:sz w:val="21"/>
          <w:szCs w:val="21"/>
          <w:highlight w:val="none"/>
        </w:rPr>
        <w:t>2.2在商务评审时，如发现下列情形之一的，将被视为投标无效：</w:t>
      </w:r>
    </w:p>
    <w:p w14:paraId="11854BC0">
      <w:pPr>
        <w:numPr>
          <w:ilvl w:val="0"/>
          <w:numId w:val="5"/>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投标文件未按招标文件要求签署、盖章的；</w:t>
      </w:r>
    </w:p>
    <w:p w14:paraId="28D18F15">
      <w:pPr>
        <w:numPr>
          <w:ilvl w:val="0"/>
          <w:numId w:val="5"/>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委托代理人未能出具有效身份证或者出具的身份证与授权委托书中的信息不符的；</w:t>
      </w:r>
    </w:p>
    <w:p w14:paraId="6C2FC091">
      <w:pPr>
        <w:numPr>
          <w:ilvl w:val="0"/>
          <w:numId w:val="5"/>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为无效投标保证金的或者未按照招标文件的规定提交投标保证金的；</w:t>
      </w:r>
    </w:p>
    <w:p w14:paraId="1A769529">
      <w:pPr>
        <w:numPr>
          <w:ilvl w:val="0"/>
          <w:numId w:val="5"/>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投标文件未提供“投标人须知前附表”第13.</w:t>
      </w:r>
      <w:r>
        <w:rPr>
          <w:rFonts w:ascii="宋体" w:hAnsi="宋体"/>
          <w:b/>
          <w:color w:val="auto"/>
          <w:szCs w:val="21"/>
          <w:highlight w:val="none"/>
        </w:rPr>
        <w:t>1</w:t>
      </w:r>
      <w:r>
        <w:rPr>
          <w:rFonts w:hint="eastAsia" w:ascii="宋体" w:hAnsi="宋体"/>
          <w:b/>
          <w:color w:val="auto"/>
          <w:szCs w:val="21"/>
          <w:highlight w:val="none"/>
        </w:rPr>
        <w:t>条规定中“必须提供”或者“委托时必须提供”的文件资料的；</w:t>
      </w:r>
    </w:p>
    <w:p w14:paraId="78A32832">
      <w:pPr>
        <w:numPr>
          <w:ilvl w:val="0"/>
          <w:numId w:val="5"/>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商务要求评审允许负偏离的条款数超过“投标人须知前附表”规定项数的；</w:t>
      </w:r>
    </w:p>
    <w:p w14:paraId="5204D909">
      <w:pPr>
        <w:numPr>
          <w:ilvl w:val="0"/>
          <w:numId w:val="5"/>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投标文件的实质性内容未使用中文表述、使用计量单位不符合招标文件要求的；</w:t>
      </w:r>
    </w:p>
    <w:p w14:paraId="724F11C0">
      <w:pPr>
        <w:numPr>
          <w:ilvl w:val="0"/>
          <w:numId w:val="5"/>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投标文件中的文件资料因填写不齐全或者内容虚假或者出现其他情形而导致被评标委员会认定无效的；</w:t>
      </w:r>
    </w:p>
    <w:p w14:paraId="34F535AC">
      <w:pPr>
        <w:numPr>
          <w:ilvl w:val="0"/>
          <w:numId w:val="5"/>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投标文件含有采购人不能接受的附加条件的；</w:t>
      </w:r>
    </w:p>
    <w:p w14:paraId="27BCAC80">
      <w:pPr>
        <w:numPr>
          <w:ilvl w:val="0"/>
          <w:numId w:val="5"/>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属于投标人须知正文第</w:t>
      </w:r>
      <w:r>
        <w:rPr>
          <w:rFonts w:ascii="宋体" w:hAnsi="宋体"/>
          <w:b/>
          <w:color w:val="auto"/>
          <w:szCs w:val="21"/>
          <w:highlight w:val="none"/>
        </w:rPr>
        <w:t>9.2</w:t>
      </w:r>
      <w:r>
        <w:rPr>
          <w:rFonts w:hint="eastAsia" w:ascii="宋体" w:hAnsi="宋体"/>
          <w:b/>
          <w:color w:val="auto"/>
          <w:szCs w:val="21"/>
          <w:highlight w:val="none"/>
        </w:rPr>
        <w:t>条情形的；</w:t>
      </w:r>
    </w:p>
    <w:p w14:paraId="26A0C7BC">
      <w:pPr>
        <w:numPr>
          <w:ilvl w:val="0"/>
          <w:numId w:val="5"/>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投标文件标注的项目名称或者项目编号与招标文件标注的项目名称或者项目编号不一致的；</w:t>
      </w:r>
    </w:p>
    <w:p w14:paraId="0B07D79F">
      <w:pPr>
        <w:numPr>
          <w:ilvl w:val="0"/>
          <w:numId w:val="5"/>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招标文件明确不允许分包，投标文件拟分包的；</w:t>
      </w:r>
    </w:p>
    <w:p w14:paraId="7EF1EFFB">
      <w:pPr>
        <w:numPr>
          <w:ilvl w:val="0"/>
          <w:numId w:val="5"/>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未响应招标文件实质性要求的；</w:t>
      </w:r>
    </w:p>
    <w:p w14:paraId="3D7039B8">
      <w:pPr>
        <w:numPr>
          <w:ilvl w:val="0"/>
          <w:numId w:val="5"/>
        </w:numPr>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法律、法规和招标文件规定的其他无效情形。</w:t>
      </w:r>
    </w:p>
    <w:p w14:paraId="3641C34E">
      <w:pPr>
        <w:pStyle w:val="8"/>
        <w:keepNext w:val="0"/>
        <w:keepLines w:val="0"/>
        <w:spacing w:before="0" w:after="0" w:line="360" w:lineRule="auto"/>
        <w:ind w:left="420" w:leftChars="200"/>
        <w:rPr>
          <w:rFonts w:ascii="宋体" w:hAnsi="宋体"/>
          <w:color w:val="auto"/>
          <w:sz w:val="21"/>
          <w:szCs w:val="21"/>
          <w:highlight w:val="none"/>
        </w:rPr>
      </w:pPr>
      <w:r>
        <w:rPr>
          <w:rFonts w:hint="eastAsia" w:ascii="宋体" w:hAnsi="宋体"/>
          <w:color w:val="auto"/>
          <w:sz w:val="21"/>
          <w:szCs w:val="21"/>
          <w:highlight w:val="none"/>
        </w:rPr>
        <w:t>2.3在技术评审时，如发现下列情形之一的，将被视为投标无效：</w:t>
      </w:r>
    </w:p>
    <w:p w14:paraId="30E7FE86">
      <w:pPr>
        <w:pStyle w:val="3"/>
        <w:snapToGrid w:val="0"/>
        <w:spacing w:line="360" w:lineRule="auto"/>
        <w:ind w:firstLine="413" w:firstLineChars="196"/>
        <w:rPr>
          <w:rFonts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（1）技术要求评审允许负偏离的条款数超过“投标人须知前附表”规定项数的；</w:t>
      </w:r>
    </w:p>
    <w:p w14:paraId="6EC3FB63">
      <w:pPr>
        <w:pStyle w:val="3"/>
        <w:snapToGrid w:val="0"/>
        <w:spacing w:line="360" w:lineRule="auto"/>
        <w:ind w:firstLine="413" w:firstLineChars="196"/>
        <w:rPr>
          <w:rFonts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（2）投标文件未提供“投标人须知前附表”第13.</w:t>
      </w:r>
      <w:r>
        <w:rPr>
          <w:rFonts w:ascii="宋体" w:hAnsi="宋体" w:eastAsia="宋体"/>
          <w:b/>
          <w:color w:val="auto"/>
          <w:kern w:val="2"/>
          <w:sz w:val="21"/>
          <w:szCs w:val="21"/>
          <w:highlight w:val="none"/>
        </w:rPr>
        <w:t>1</w:t>
      </w:r>
      <w:r>
        <w:rPr>
          <w:rFonts w:hint="eastAsia" w:ascii="宋体" w:hAnsi="宋体" w:eastAsia="宋体"/>
          <w:b/>
          <w:color w:val="auto"/>
          <w:kern w:val="2"/>
          <w:sz w:val="21"/>
          <w:szCs w:val="21"/>
          <w:highlight w:val="none"/>
        </w:rPr>
        <w:t>条规定中“必须提供”的文件资料的；</w:t>
      </w:r>
    </w:p>
    <w:p w14:paraId="522E1B82">
      <w:pPr>
        <w:pStyle w:val="3"/>
        <w:snapToGrid w:val="0"/>
        <w:spacing w:line="360" w:lineRule="auto"/>
        <w:ind w:firstLine="413" w:firstLineChars="196"/>
        <w:rPr>
          <w:rFonts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（3）虚假投标，或者出现其他情形而导致被评标委员会认定无效的；</w:t>
      </w:r>
    </w:p>
    <w:p w14:paraId="7F205BF9">
      <w:pPr>
        <w:pStyle w:val="3"/>
        <w:snapToGrid w:val="0"/>
        <w:spacing w:line="360" w:lineRule="auto"/>
        <w:ind w:firstLine="413" w:firstLineChars="196"/>
        <w:rPr>
          <w:rFonts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（4）</w:t>
      </w:r>
      <w:bookmarkStart w:id="144" w:name="_Hlk71706244"/>
      <w:r>
        <w:rPr>
          <w:rFonts w:hint="eastAsia" w:ascii="宋体" w:hAnsi="宋体" w:eastAsia="宋体"/>
          <w:b/>
          <w:color w:val="auto"/>
          <w:kern w:val="2"/>
          <w:sz w:val="21"/>
          <w:szCs w:val="21"/>
          <w:highlight w:val="none"/>
        </w:rPr>
        <w:t>招标文件未载明允许提供备选（替代）投标方案或明确不允许提供备选（替代）投标方案时，投标人提供了备选（替代）投标方案的；</w:t>
      </w:r>
      <w:bookmarkEnd w:id="144"/>
    </w:p>
    <w:p w14:paraId="65417B38">
      <w:pPr>
        <w:pStyle w:val="3"/>
        <w:snapToGrid w:val="0"/>
        <w:spacing w:line="360" w:lineRule="auto"/>
        <w:ind w:firstLine="413" w:firstLineChars="196"/>
        <w:rPr>
          <w:rFonts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（5）未响应招标文件实质性要求的。</w:t>
      </w:r>
    </w:p>
    <w:p w14:paraId="3F002955">
      <w:pPr>
        <w:pStyle w:val="3"/>
        <w:snapToGrid w:val="0"/>
        <w:spacing w:line="360" w:lineRule="auto"/>
        <w:ind w:firstLine="413" w:firstLineChars="196"/>
        <w:rPr>
          <w:rFonts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2.4通过符合性审查的投标人不足3家，评标委员会不得继续评标，并出具评标报告。</w:t>
      </w:r>
    </w:p>
    <w:p w14:paraId="5E6D5363">
      <w:pPr>
        <w:pStyle w:val="8"/>
        <w:keepNext w:val="0"/>
        <w:keepLines w:val="0"/>
        <w:spacing w:before="0" w:after="0" w:line="360" w:lineRule="auto"/>
        <w:ind w:left="420" w:leftChars="200"/>
        <w:rPr>
          <w:rFonts w:ascii="宋体" w:hAnsi="宋体"/>
          <w:color w:val="auto"/>
          <w:sz w:val="21"/>
          <w:szCs w:val="21"/>
          <w:highlight w:val="none"/>
        </w:rPr>
      </w:pPr>
      <w:r>
        <w:rPr>
          <w:rFonts w:hint="eastAsia" w:ascii="宋体" w:hAnsi="宋体"/>
          <w:color w:val="auto"/>
          <w:sz w:val="21"/>
          <w:szCs w:val="21"/>
          <w:highlight w:val="none"/>
        </w:rPr>
        <w:t>3</w:t>
      </w:r>
      <w:r>
        <w:rPr>
          <w:rFonts w:ascii="宋体" w:hAnsi="宋体"/>
          <w:color w:val="auto"/>
          <w:sz w:val="21"/>
          <w:szCs w:val="21"/>
          <w:highlight w:val="none"/>
        </w:rPr>
        <w:t>.</w:t>
      </w:r>
      <w:r>
        <w:rPr>
          <w:rFonts w:hint="eastAsia" w:ascii="宋体" w:hAnsi="宋体"/>
          <w:color w:val="auto"/>
          <w:sz w:val="21"/>
          <w:szCs w:val="21"/>
          <w:highlight w:val="none"/>
        </w:rPr>
        <w:t>澄清补正</w:t>
      </w:r>
    </w:p>
    <w:p w14:paraId="0BFD0CC6">
      <w:pPr>
        <w:snapToGrid w:val="0"/>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对投标文件中含义不明确、同类问题表述不一致或者有明显文字和计算错误的内容，评标委员会以</w:t>
      </w:r>
      <w:r>
        <w:rPr>
          <w:rFonts w:hint="eastAsia" w:ascii="宋体" w:hAnsi="宋体" w:cs="宋体"/>
          <w:color w:val="auto"/>
          <w:szCs w:val="21"/>
          <w:highlight w:val="none"/>
        </w:rPr>
        <w:t>电子澄清函形式</w:t>
      </w:r>
      <w:r>
        <w:rPr>
          <w:rFonts w:hint="eastAsia" w:ascii="宋体" w:hAnsi="宋体" w:cs="Courier New"/>
          <w:color w:val="auto"/>
          <w:szCs w:val="21"/>
          <w:highlight w:val="none"/>
        </w:rPr>
        <w:t>要求投标人在规定时间内作出必要的澄清、说明或者纠正。投标人的澄清、说明或者补正必须采用</w:t>
      </w:r>
      <w:r>
        <w:rPr>
          <w:rFonts w:hint="eastAsia" w:ascii="宋体" w:hAnsi="宋体" w:cs="宋体"/>
          <w:color w:val="auto"/>
          <w:szCs w:val="21"/>
          <w:highlight w:val="none"/>
        </w:rPr>
        <w:t>电子回函形式</w:t>
      </w:r>
      <w:r>
        <w:rPr>
          <w:rFonts w:hint="eastAsia" w:ascii="宋体" w:hAnsi="宋体" w:cs="Courier New"/>
          <w:color w:val="auto"/>
          <w:szCs w:val="21"/>
          <w:highlight w:val="none"/>
        </w:rPr>
        <w:t>，并加盖投标人公章，或者由法定代表人或者其授权的代表签字。投标人的澄清、说明或者补正不得超出投标文件的范围或者改变投标文件的实质性内容。</w:t>
      </w:r>
    </w:p>
    <w:p w14:paraId="65382154">
      <w:pPr>
        <w:pStyle w:val="8"/>
        <w:keepNext w:val="0"/>
        <w:keepLines w:val="0"/>
        <w:spacing w:before="0" w:after="0" w:line="360" w:lineRule="auto"/>
        <w:ind w:left="420" w:leftChars="200"/>
        <w:rPr>
          <w:rFonts w:ascii="宋体" w:hAnsi="宋体"/>
          <w:color w:val="auto"/>
          <w:sz w:val="21"/>
          <w:szCs w:val="21"/>
          <w:highlight w:val="none"/>
        </w:rPr>
      </w:pPr>
      <w:r>
        <w:rPr>
          <w:rFonts w:ascii="宋体" w:hAnsi="宋体"/>
          <w:color w:val="auto"/>
          <w:sz w:val="21"/>
          <w:szCs w:val="21"/>
          <w:highlight w:val="none"/>
        </w:rPr>
        <w:t>4.</w:t>
      </w:r>
      <w:r>
        <w:rPr>
          <w:rFonts w:hint="eastAsia" w:ascii="宋体" w:hAnsi="宋体"/>
          <w:color w:val="auto"/>
          <w:sz w:val="21"/>
          <w:szCs w:val="21"/>
          <w:highlight w:val="none"/>
        </w:rPr>
        <w:t>投标文件修正</w:t>
      </w:r>
    </w:p>
    <w:p w14:paraId="7082EBF0">
      <w:pPr>
        <w:pStyle w:val="8"/>
        <w:keepNext w:val="0"/>
        <w:keepLines w:val="0"/>
        <w:spacing w:before="0" w:after="0" w:line="360" w:lineRule="auto"/>
        <w:ind w:left="420" w:leftChars="200"/>
        <w:rPr>
          <w:rFonts w:ascii="宋体" w:hAnsi="宋体"/>
          <w:b w:val="0"/>
          <w:color w:val="auto"/>
          <w:sz w:val="21"/>
          <w:szCs w:val="21"/>
          <w:highlight w:val="none"/>
        </w:rPr>
      </w:pPr>
      <w:r>
        <w:rPr>
          <w:rFonts w:ascii="宋体" w:hAnsi="宋体"/>
          <w:b w:val="0"/>
          <w:color w:val="auto"/>
          <w:sz w:val="21"/>
          <w:szCs w:val="21"/>
          <w:highlight w:val="none"/>
        </w:rPr>
        <w:t>4</w:t>
      </w:r>
      <w:r>
        <w:rPr>
          <w:rFonts w:hint="eastAsia" w:ascii="宋体" w:hAnsi="宋体"/>
          <w:b w:val="0"/>
          <w:color w:val="auto"/>
          <w:sz w:val="21"/>
          <w:szCs w:val="21"/>
          <w:highlight w:val="none"/>
        </w:rPr>
        <w:t xml:space="preserve">.1投标文件报价出现前后不一致的，按照下列规定修正： </w:t>
      </w:r>
    </w:p>
    <w:p w14:paraId="108F9B4A">
      <w:pPr>
        <w:pStyle w:val="25"/>
        <w:snapToGrid w:val="0"/>
        <w:spacing w:line="360" w:lineRule="auto"/>
        <w:ind w:firstLine="420" w:firstLineChars="200"/>
        <w:rPr>
          <w:rFonts w:hAnsi="宋体"/>
          <w:color w:val="auto"/>
          <w:sz w:val="21"/>
          <w:highlight w:val="none"/>
        </w:rPr>
      </w:pPr>
      <w:r>
        <w:rPr>
          <w:rFonts w:hint="eastAsia" w:hAnsi="宋体"/>
          <w:color w:val="auto"/>
          <w:sz w:val="21"/>
          <w:highlight w:val="none"/>
        </w:rPr>
        <w:t>（1）投标文件中开标一览表（报价表）内容与投标文件中相应内容不一致的，以开标一览表（报价表）为准；</w:t>
      </w:r>
    </w:p>
    <w:p w14:paraId="0EC3C2DE">
      <w:pPr>
        <w:pStyle w:val="25"/>
        <w:snapToGrid w:val="0"/>
        <w:spacing w:line="360" w:lineRule="auto"/>
        <w:ind w:firstLine="420" w:firstLineChars="200"/>
        <w:rPr>
          <w:rFonts w:hAnsi="宋体"/>
          <w:color w:val="auto"/>
          <w:sz w:val="21"/>
          <w:highlight w:val="none"/>
        </w:rPr>
      </w:pPr>
      <w:r>
        <w:rPr>
          <w:rFonts w:hint="eastAsia" w:hAnsi="宋体"/>
          <w:color w:val="auto"/>
          <w:sz w:val="21"/>
          <w:highlight w:val="none"/>
        </w:rPr>
        <w:t>（2）大写金额和小写金额不一致的，以大写金额为准；</w:t>
      </w:r>
    </w:p>
    <w:p w14:paraId="258C5811">
      <w:pPr>
        <w:pStyle w:val="25"/>
        <w:snapToGrid w:val="0"/>
        <w:spacing w:line="360" w:lineRule="auto"/>
        <w:ind w:firstLine="420" w:firstLineChars="200"/>
        <w:rPr>
          <w:rFonts w:hAnsi="宋体"/>
          <w:color w:val="auto"/>
          <w:sz w:val="21"/>
          <w:highlight w:val="none"/>
        </w:rPr>
      </w:pPr>
      <w:r>
        <w:rPr>
          <w:rFonts w:hint="eastAsia" w:hAnsi="宋体"/>
          <w:color w:val="auto"/>
          <w:sz w:val="21"/>
          <w:highlight w:val="none"/>
        </w:rPr>
        <w:t>（3）单价金额小数点或者百分比有明显错位的，以开标一览表的总价为准，并修改单价；</w:t>
      </w:r>
    </w:p>
    <w:p w14:paraId="5F9BA1F1">
      <w:pPr>
        <w:pStyle w:val="25"/>
        <w:snapToGrid w:val="0"/>
        <w:spacing w:line="360" w:lineRule="auto"/>
        <w:ind w:firstLine="420" w:firstLineChars="200"/>
        <w:rPr>
          <w:rFonts w:hAnsi="宋体"/>
          <w:color w:val="auto"/>
          <w:sz w:val="21"/>
          <w:highlight w:val="none"/>
        </w:rPr>
      </w:pPr>
      <w:r>
        <w:rPr>
          <w:rFonts w:hint="eastAsia" w:hAnsi="宋体"/>
          <w:color w:val="auto"/>
          <w:sz w:val="21"/>
          <w:highlight w:val="none"/>
        </w:rPr>
        <w:t>（4）总价金额与按单价汇总金额不一致的，以单价金额计算结果为准。</w:t>
      </w:r>
    </w:p>
    <w:p w14:paraId="39E419A3">
      <w:pPr>
        <w:pStyle w:val="25"/>
        <w:snapToGrid w:val="0"/>
        <w:spacing w:line="360" w:lineRule="auto"/>
        <w:ind w:firstLine="420" w:firstLineChars="200"/>
        <w:rPr>
          <w:rFonts w:hAnsi="宋体"/>
          <w:color w:val="auto"/>
          <w:sz w:val="21"/>
          <w:highlight w:val="none"/>
        </w:rPr>
      </w:pPr>
      <w:r>
        <w:rPr>
          <w:rFonts w:hint="eastAsia" w:hAnsi="宋体"/>
          <w:color w:val="auto"/>
          <w:sz w:val="21"/>
          <w:highlight w:val="none"/>
        </w:rPr>
        <w:t>同时出现两种以上不一致的，按照以上（1）-（4）规定的顺序修正。修正后的报价经投标人确认后产生约束力，投标人不确认的，</w:t>
      </w:r>
      <w:r>
        <w:rPr>
          <w:rFonts w:hint="eastAsia" w:hAnsi="宋体"/>
          <w:b/>
          <w:color w:val="auto"/>
          <w:kern w:val="2"/>
          <w:sz w:val="21"/>
          <w:highlight w:val="none"/>
        </w:rPr>
        <w:t>其投标无效</w:t>
      </w:r>
      <w:r>
        <w:rPr>
          <w:rFonts w:hint="eastAsia" w:hAnsi="宋体"/>
          <w:color w:val="auto"/>
          <w:sz w:val="21"/>
          <w:highlight w:val="none"/>
        </w:rPr>
        <w:t>。</w:t>
      </w:r>
    </w:p>
    <w:p w14:paraId="613223B0">
      <w:pPr>
        <w:pStyle w:val="8"/>
        <w:keepNext w:val="0"/>
        <w:keepLines w:val="0"/>
        <w:spacing w:before="0" w:after="0" w:line="360" w:lineRule="auto"/>
        <w:rPr>
          <w:rFonts w:ascii="宋体" w:hAnsi="宋体"/>
          <w:b w:val="0"/>
          <w:color w:val="auto"/>
          <w:sz w:val="21"/>
          <w:szCs w:val="21"/>
          <w:highlight w:val="none"/>
        </w:rPr>
      </w:pPr>
      <w:r>
        <w:rPr>
          <w:rFonts w:ascii="宋体" w:hAnsi="宋体"/>
          <w:b w:val="0"/>
          <w:color w:val="auto"/>
          <w:sz w:val="21"/>
          <w:szCs w:val="21"/>
          <w:highlight w:val="none"/>
        </w:rPr>
        <w:t xml:space="preserve">    4</w:t>
      </w:r>
      <w:r>
        <w:rPr>
          <w:rFonts w:hint="eastAsia" w:ascii="宋体" w:hAnsi="宋体"/>
          <w:b w:val="0"/>
          <w:color w:val="auto"/>
          <w:sz w:val="21"/>
          <w:szCs w:val="21"/>
          <w:highlight w:val="none"/>
        </w:rPr>
        <w:t>.2经投标人确认修正后的报价若超过采购预算金额或者最高限价，</w:t>
      </w:r>
      <w:r>
        <w:rPr>
          <w:rFonts w:hint="eastAsia" w:ascii="宋体" w:hAnsi="宋体"/>
          <w:color w:val="auto"/>
          <w:sz w:val="21"/>
          <w:szCs w:val="21"/>
          <w:highlight w:val="none"/>
        </w:rPr>
        <w:t>投标人的投标文件作无效投标处理</w:t>
      </w:r>
      <w:r>
        <w:rPr>
          <w:rFonts w:hint="eastAsia" w:ascii="宋体" w:hAnsi="宋体"/>
          <w:b w:val="0"/>
          <w:color w:val="auto"/>
          <w:sz w:val="21"/>
          <w:szCs w:val="21"/>
          <w:highlight w:val="none"/>
        </w:rPr>
        <w:t>。</w:t>
      </w:r>
    </w:p>
    <w:p w14:paraId="4CD8C67A">
      <w:pPr>
        <w:snapToGrid w:val="0"/>
        <w:spacing w:line="360" w:lineRule="auto"/>
        <w:ind w:firstLine="420" w:firstLineChars="20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.3经投标人确认修正后的报价作为签订合同的依据，并以此报价计算价格分。</w:t>
      </w:r>
    </w:p>
    <w:p w14:paraId="707465DE">
      <w:pPr>
        <w:pStyle w:val="8"/>
        <w:keepNext w:val="0"/>
        <w:keepLines w:val="0"/>
        <w:spacing w:before="0" w:after="0" w:line="360" w:lineRule="auto"/>
        <w:ind w:left="420" w:leftChars="200"/>
        <w:rPr>
          <w:rFonts w:ascii="宋体" w:hAnsi="宋体"/>
          <w:color w:val="auto"/>
          <w:sz w:val="21"/>
          <w:szCs w:val="21"/>
          <w:highlight w:val="none"/>
        </w:rPr>
      </w:pPr>
      <w:r>
        <w:rPr>
          <w:rFonts w:ascii="宋体" w:hAnsi="宋体"/>
          <w:color w:val="auto"/>
          <w:sz w:val="21"/>
          <w:szCs w:val="21"/>
          <w:highlight w:val="none"/>
        </w:rPr>
        <w:t>5.</w:t>
      </w:r>
      <w:r>
        <w:rPr>
          <w:rFonts w:hint="eastAsia" w:ascii="宋体" w:hAnsi="宋体"/>
          <w:color w:val="auto"/>
          <w:sz w:val="21"/>
          <w:szCs w:val="21"/>
          <w:highlight w:val="none"/>
        </w:rPr>
        <w:t>比较与评价</w:t>
      </w:r>
    </w:p>
    <w:p w14:paraId="1A4CA7C3">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5.1采用综合评分法的</w:t>
      </w:r>
    </w:p>
    <w:p w14:paraId="022B7815">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（1）评标委员会按照招标文件中规定的评标方法及评标标准，对符合性审查合格的投标文件进行商务和技术评估，综合比较与评价。</w:t>
      </w:r>
    </w:p>
    <w:p w14:paraId="2B230F27">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（2）评标委员会独立对每个投标人的投标文件进行评价，并汇总每个投标人的得分。</w:t>
      </w:r>
    </w:p>
    <w:p w14:paraId="1FEF7993">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b/>
          <w:color w:val="auto"/>
          <w:szCs w:val="21"/>
          <w:highlight w:val="none"/>
        </w:rPr>
        <w:t>投标人不能证明其报价合理性的，评标委员会将其作为无效投标处理</w:t>
      </w:r>
      <w:r>
        <w:rPr>
          <w:rFonts w:hint="eastAsia" w:ascii="宋体" w:hAnsi="宋体"/>
          <w:color w:val="auto"/>
          <w:szCs w:val="21"/>
          <w:highlight w:val="none"/>
        </w:rPr>
        <w:t>。</w:t>
      </w:r>
    </w:p>
    <w:p w14:paraId="12BA61D1">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（3）评标委员会按照招标文件中规定的评标方法和标准计算各投标人的报价得分。在计算过程中，不得去掉最高报价或者最低报价。</w:t>
      </w:r>
    </w:p>
    <w:p w14:paraId="3776A16B">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（4）各投标人的得分为所有评委的有效评分的算术平均数。</w:t>
      </w:r>
    </w:p>
    <w:p w14:paraId="112EC46F">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（5）评标委员会按照招标文件中的规定推荐中标候选人。</w:t>
      </w:r>
    </w:p>
    <w:p w14:paraId="4A7BC654">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15F0DB7D">
      <w:pPr>
        <w:snapToGrid w:val="0"/>
        <w:spacing w:line="360" w:lineRule="auto"/>
        <w:jc w:val="center"/>
        <w:rPr>
          <w:rFonts w:ascii="宋体" w:hAnsi="宋体"/>
          <w:color w:val="auto"/>
          <w:highlight w:val="none"/>
        </w:rPr>
      </w:pPr>
      <w:r>
        <w:rPr>
          <w:rFonts w:ascii="宋体" w:hAnsi="宋体" w:cs="宋体"/>
          <w:b/>
          <w:bCs/>
          <w:color w:val="auto"/>
          <w:sz w:val="32"/>
          <w:szCs w:val="32"/>
          <w:highlight w:val="none"/>
        </w:rPr>
        <w:br w:type="page"/>
      </w:r>
      <w:r>
        <w:rPr>
          <w:rFonts w:ascii="宋体" w:hAnsi="宋体" w:cs="宋体"/>
          <w:b/>
          <w:bCs/>
          <w:color w:val="auto"/>
          <w:sz w:val="32"/>
          <w:szCs w:val="32"/>
          <w:highlight w:val="none"/>
        </w:rPr>
        <w:t>三</w:t>
      </w:r>
      <w:r>
        <w:rPr>
          <w:rFonts w:hint="eastAsia" w:ascii="宋体" w:hAnsi="宋体" w:cs="宋体"/>
          <w:b/>
          <w:bCs/>
          <w:color w:val="auto"/>
          <w:sz w:val="32"/>
          <w:szCs w:val="32"/>
          <w:highlight w:val="none"/>
        </w:rPr>
        <w:t>、评标标准</w:t>
      </w:r>
    </w:p>
    <w:p w14:paraId="01EA0CE3">
      <w:pPr>
        <w:pStyle w:val="7"/>
        <w:keepNext w:val="0"/>
        <w:keepLines w:val="0"/>
        <w:jc w:val="center"/>
        <w:rPr>
          <w:rFonts w:ascii="宋体" w:hAnsi="宋体"/>
          <w:bCs w:val="0"/>
          <w:color w:val="auto"/>
          <w:sz w:val="21"/>
          <w:highlight w:val="none"/>
        </w:rPr>
      </w:pPr>
      <w:r>
        <w:rPr>
          <w:rFonts w:hint="eastAsia" w:ascii="宋体" w:hAnsi="宋体"/>
          <w:color w:val="auto"/>
          <w:highlight w:val="none"/>
        </w:rPr>
        <w:t>综合评分法</w:t>
      </w:r>
    </w:p>
    <w:tbl>
      <w:tblPr>
        <w:tblStyle w:val="46"/>
        <w:tblW w:w="9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280"/>
        <w:gridCol w:w="709"/>
        <w:gridCol w:w="1545"/>
        <w:gridCol w:w="14"/>
        <w:gridCol w:w="5566"/>
      </w:tblGrid>
      <w:tr w14:paraId="5D347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730" w:type="dxa"/>
            <w:vAlign w:val="center"/>
          </w:tcPr>
          <w:p w14:paraId="58C78A87">
            <w:pPr>
              <w:adjustRightInd w:val="0"/>
              <w:spacing w:line="340" w:lineRule="exact"/>
              <w:jc w:val="center"/>
              <w:textAlignment w:val="baseline"/>
              <w:rPr>
                <w:rFonts w:ascii="宋体" w:hAnsi="宋体" w:cs="宋体"/>
                <w:b/>
                <w:color w:val="auto"/>
                <w:szCs w:val="21"/>
                <w:highlight w:val="none"/>
              </w:rPr>
            </w:pPr>
            <w:r>
              <w:rPr>
                <w:rFonts w:hint="eastAsia" w:ascii="宋体" w:hAnsi="宋体" w:cs="宋体"/>
                <w:b/>
                <w:color w:val="auto"/>
                <w:szCs w:val="21"/>
                <w:highlight w:val="none"/>
              </w:rPr>
              <w:t>序号</w:t>
            </w:r>
          </w:p>
        </w:tc>
        <w:tc>
          <w:tcPr>
            <w:tcW w:w="1280" w:type="dxa"/>
            <w:vAlign w:val="center"/>
          </w:tcPr>
          <w:p w14:paraId="4306F599">
            <w:pPr>
              <w:adjustRightInd w:val="0"/>
              <w:spacing w:line="340" w:lineRule="exact"/>
              <w:jc w:val="center"/>
              <w:textAlignment w:val="baseline"/>
              <w:rPr>
                <w:rFonts w:ascii="宋体" w:hAnsi="宋体" w:cs="宋体"/>
                <w:color w:val="auto"/>
                <w:szCs w:val="21"/>
                <w:highlight w:val="none"/>
              </w:rPr>
            </w:pPr>
            <w:r>
              <w:rPr>
                <w:rFonts w:hint="eastAsia" w:ascii="宋体" w:hAnsi="宋体" w:cs="宋体"/>
                <w:b/>
                <w:color w:val="auto"/>
                <w:szCs w:val="21"/>
                <w:highlight w:val="none"/>
              </w:rPr>
              <w:t>评审因素</w:t>
            </w:r>
          </w:p>
        </w:tc>
        <w:tc>
          <w:tcPr>
            <w:tcW w:w="709" w:type="dxa"/>
            <w:vAlign w:val="center"/>
          </w:tcPr>
          <w:p w14:paraId="57E17964">
            <w:pPr>
              <w:adjustRightInd w:val="0"/>
              <w:spacing w:line="340" w:lineRule="exact"/>
              <w:jc w:val="center"/>
              <w:textAlignment w:val="baseline"/>
              <w:rPr>
                <w:rFonts w:ascii="宋体" w:hAnsi="宋体" w:cs="宋体"/>
                <w:b/>
                <w:color w:val="auto"/>
                <w:szCs w:val="21"/>
                <w:highlight w:val="none"/>
              </w:rPr>
            </w:pPr>
            <w:r>
              <w:rPr>
                <w:rFonts w:hint="eastAsia" w:ascii="宋体" w:hAnsi="宋体" w:cs="宋体"/>
                <w:b/>
                <w:color w:val="auto"/>
                <w:szCs w:val="21"/>
                <w:highlight w:val="none"/>
              </w:rPr>
              <w:t>分值</w:t>
            </w:r>
          </w:p>
        </w:tc>
        <w:tc>
          <w:tcPr>
            <w:tcW w:w="7125" w:type="dxa"/>
            <w:gridSpan w:val="3"/>
            <w:vAlign w:val="center"/>
          </w:tcPr>
          <w:p w14:paraId="27E15C4E">
            <w:pPr>
              <w:adjustRightInd w:val="0"/>
              <w:spacing w:line="340" w:lineRule="exact"/>
              <w:jc w:val="center"/>
              <w:textAlignment w:val="baseline"/>
              <w:rPr>
                <w:rFonts w:ascii="宋体" w:hAnsi="宋体" w:cs="宋体"/>
                <w:b/>
                <w:color w:val="auto"/>
                <w:szCs w:val="21"/>
                <w:highlight w:val="none"/>
              </w:rPr>
            </w:pPr>
            <w:r>
              <w:rPr>
                <w:rFonts w:hint="eastAsia" w:ascii="宋体" w:hAnsi="宋体" w:cs="宋体"/>
                <w:b/>
                <w:color w:val="auto"/>
                <w:szCs w:val="21"/>
                <w:highlight w:val="none"/>
              </w:rPr>
              <w:t>评标标准</w:t>
            </w:r>
          </w:p>
        </w:tc>
      </w:tr>
      <w:tr w14:paraId="0629C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30" w:type="dxa"/>
            <w:vAlign w:val="center"/>
          </w:tcPr>
          <w:p w14:paraId="6E60703E">
            <w:pPr>
              <w:adjustRightInd w:val="0"/>
              <w:spacing w:line="340" w:lineRule="exact"/>
              <w:jc w:val="center"/>
              <w:textAlignment w:val="baseline"/>
              <w:rPr>
                <w:rFonts w:ascii="宋体" w:hAnsi="宋体" w:cs="宋体"/>
                <w:b/>
                <w:color w:val="auto"/>
                <w:szCs w:val="21"/>
                <w:highlight w:val="none"/>
              </w:rPr>
            </w:pPr>
            <w:r>
              <w:rPr>
                <w:rFonts w:hint="eastAsia" w:ascii="宋体" w:hAnsi="宋体" w:cs="宋体"/>
                <w:b/>
                <w:color w:val="auto"/>
                <w:szCs w:val="21"/>
                <w:highlight w:val="none"/>
              </w:rPr>
              <w:t>1</w:t>
            </w:r>
          </w:p>
        </w:tc>
        <w:tc>
          <w:tcPr>
            <w:tcW w:w="1280" w:type="dxa"/>
            <w:vAlign w:val="center"/>
          </w:tcPr>
          <w:p w14:paraId="45CC2AFF">
            <w:pPr>
              <w:adjustRightInd w:val="0"/>
              <w:spacing w:line="340" w:lineRule="exact"/>
              <w:jc w:val="center"/>
              <w:textAlignment w:val="baseline"/>
              <w:rPr>
                <w:rFonts w:ascii="宋体" w:hAnsi="宋体" w:cs="宋体"/>
                <w:b/>
                <w:color w:val="auto"/>
                <w:szCs w:val="21"/>
                <w:highlight w:val="none"/>
              </w:rPr>
            </w:pPr>
            <w:r>
              <w:rPr>
                <w:rFonts w:hint="eastAsia" w:ascii="宋体" w:hAnsi="宋体" w:cs="宋体"/>
                <w:b/>
                <w:color w:val="auto"/>
                <w:szCs w:val="21"/>
                <w:highlight w:val="none"/>
              </w:rPr>
              <w:t>投标报价</w:t>
            </w:r>
          </w:p>
        </w:tc>
        <w:tc>
          <w:tcPr>
            <w:tcW w:w="709" w:type="dxa"/>
            <w:vAlign w:val="center"/>
          </w:tcPr>
          <w:p w14:paraId="11B521E2">
            <w:pPr>
              <w:adjustRightInd w:val="0"/>
              <w:spacing w:line="340" w:lineRule="exact"/>
              <w:jc w:val="center"/>
              <w:textAlignment w:val="baseline"/>
              <w:rPr>
                <w:rFonts w:ascii="宋体" w:hAnsi="宋体" w:cs="宋体"/>
                <w:b/>
                <w:color w:val="auto"/>
                <w:szCs w:val="21"/>
                <w:highlight w:val="none"/>
              </w:rPr>
            </w:pPr>
            <w:r>
              <w:rPr>
                <w:rFonts w:hint="eastAsia" w:ascii="宋体" w:hAnsi="宋体" w:cs="宋体"/>
                <w:b/>
                <w:color w:val="auto"/>
                <w:szCs w:val="21"/>
                <w:highlight w:val="none"/>
                <w:lang w:val="en-US" w:eastAsia="zh-CN"/>
              </w:rPr>
              <w:t>30</w:t>
            </w:r>
            <w:r>
              <w:rPr>
                <w:rFonts w:hint="eastAsia" w:ascii="宋体" w:hAnsi="宋体" w:cs="宋体"/>
                <w:b/>
                <w:color w:val="auto"/>
                <w:szCs w:val="21"/>
                <w:highlight w:val="none"/>
              </w:rPr>
              <w:t>分</w:t>
            </w:r>
          </w:p>
        </w:tc>
        <w:tc>
          <w:tcPr>
            <w:tcW w:w="7125" w:type="dxa"/>
            <w:gridSpan w:val="3"/>
            <w:vAlign w:val="center"/>
          </w:tcPr>
          <w:p w14:paraId="088AE119">
            <w:pPr>
              <w:pStyle w:val="25"/>
              <w:spacing w:line="340" w:lineRule="exact"/>
              <w:rPr>
                <w:rFonts w:hAnsi="宋体" w:cs="宋体"/>
                <w:b/>
                <w:bCs/>
                <w:color w:val="auto"/>
                <w:kern w:val="2"/>
                <w:sz w:val="21"/>
                <w:highlight w:val="none"/>
              </w:rPr>
            </w:pPr>
            <w:r>
              <w:rPr>
                <w:rFonts w:hint="eastAsia" w:hAnsi="宋体" w:cs="宋体"/>
                <w:b/>
                <w:bCs/>
                <w:color w:val="auto"/>
                <w:kern w:val="2"/>
                <w:sz w:val="21"/>
                <w:highlight w:val="none"/>
              </w:rPr>
              <w:t>一、政府采购政策扣除</w:t>
            </w:r>
          </w:p>
          <w:p w14:paraId="3B00A2B7">
            <w:pPr>
              <w:pStyle w:val="25"/>
              <w:spacing w:line="340" w:lineRule="exact"/>
              <w:ind w:firstLine="420" w:firstLineChars="200"/>
              <w:rPr>
                <w:rFonts w:hAnsi="宋体" w:cs="宋体"/>
                <w:bCs/>
                <w:color w:val="auto"/>
                <w:kern w:val="2"/>
                <w:sz w:val="21"/>
                <w:highlight w:val="none"/>
              </w:rPr>
            </w:pPr>
            <w:r>
              <w:rPr>
                <w:rFonts w:hint="eastAsia" w:hAnsi="宋体" w:cs="宋体"/>
                <w:bCs/>
                <w:color w:val="auto"/>
                <w:kern w:val="2"/>
                <w:sz w:val="21"/>
                <w:highlight w:val="none"/>
              </w:rPr>
              <w:t>1.根据《政府采购促进中小企业发展管理办法》的规定，供应商属于《政府采购促进中小企业发展管理办法》规定的小微企业的，对投标报价给予10%（工程项目为5%）的扣除，用扣除后的价格参加评审；大中型企业与小微企业组成联合体或者大中型企业向一家或者多家小微企业分包，且联合协议或者分包意向协议约定小微企业的合同份额占到合同总金额30%以上的，对联合体或者大中型企业的报价给予6%（工程项目为2%）的扣除，用扣除后的价格参加评审。符合上述规定对报价给予扣除的，扣除后的价格为评标价，即评标价=最后报价×（1 - 扣除比例）；不符合上述给予扣除情形的，评标价=投标报价。</w:t>
            </w:r>
          </w:p>
          <w:p w14:paraId="2E1EE377">
            <w:pPr>
              <w:pStyle w:val="25"/>
              <w:spacing w:line="340" w:lineRule="exact"/>
              <w:ind w:firstLine="420" w:firstLineChars="200"/>
              <w:rPr>
                <w:rFonts w:hAnsi="宋体" w:cs="宋体"/>
                <w:bCs/>
                <w:color w:val="auto"/>
                <w:kern w:val="2"/>
                <w:sz w:val="21"/>
                <w:highlight w:val="none"/>
              </w:rPr>
            </w:pPr>
            <w:r>
              <w:rPr>
                <w:rFonts w:hint="eastAsia" w:hAnsi="宋体" w:cs="宋体"/>
                <w:bCs/>
                <w:color w:val="auto"/>
                <w:kern w:val="2"/>
                <w:sz w:val="21"/>
                <w:highlight w:val="none"/>
              </w:rPr>
              <w:t>2.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00A5F773">
            <w:pPr>
              <w:pStyle w:val="25"/>
              <w:spacing w:line="340" w:lineRule="exact"/>
              <w:ind w:firstLine="420" w:firstLineChars="200"/>
              <w:outlineLvl w:val="0"/>
              <w:rPr>
                <w:rFonts w:hAnsi="宋体" w:cs="宋体"/>
                <w:color w:val="auto"/>
                <w:sz w:val="21"/>
                <w:highlight w:val="none"/>
              </w:rPr>
            </w:pPr>
            <w:r>
              <w:rPr>
                <w:rFonts w:hint="eastAsia" w:hAnsi="宋体" w:cs="宋体"/>
                <w:bCs/>
                <w:color w:val="auto"/>
                <w:kern w:val="2"/>
                <w:sz w:val="21"/>
                <w:highlight w:val="none"/>
              </w:rPr>
              <w:t>3.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06FB4205">
            <w:pPr>
              <w:pStyle w:val="25"/>
              <w:spacing w:line="340" w:lineRule="exact"/>
              <w:outlineLvl w:val="0"/>
              <w:rPr>
                <w:rFonts w:hAnsi="宋体" w:cs="宋体"/>
                <w:b/>
                <w:color w:val="auto"/>
                <w:sz w:val="21"/>
                <w:highlight w:val="none"/>
              </w:rPr>
            </w:pPr>
            <w:r>
              <w:rPr>
                <w:rFonts w:hint="eastAsia" w:hAnsi="宋体" w:cs="宋体"/>
                <w:b/>
                <w:color w:val="auto"/>
                <w:sz w:val="21"/>
                <w:highlight w:val="none"/>
              </w:rPr>
              <w:t>二、投标报价分（满分</w:t>
            </w:r>
            <w:r>
              <w:rPr>
                <w:rFonts w:hint="eastAsia" w:hAnsi="宋体" w:cs="宋体"/>
                <w:b/>
                <w:color w:val="auto"/>
                <w:sz w:val="21"/>
                <w:highlight w:val="none"/>
                <w:lang w:val="en-US" w:eastAsia="zh-CN"/>
              </w:rPr>
              <w:t>30</w:t>
            </w:r>
            <w:r>
              <w:rPr>
                <w:rFonts w:hint="eastAsia" w:hAnsi="宋体" w:cs="宋体"/>
                <w:b/>
                <w:color w:val="auto"/>
                <w:sz w:val="21"/>
                <w:highlight w:val="none"/>
              </w:rPr>
              <w:t>分）</w:t>
            </w:r>
          </w:p>
          <w:p w14:paraId="1EBAFBB6">
            <w:pPr>
              <w:pStyle w:val="25"/>
              <w:spacing w:line="340" w:lineRule="exact"/>
              <w:ind w:firstLine="420" w:firstLineChars="200"/>
              <w:rPr>
                <w:rFonts w:hAnsi="宋体" w:cs="宋体"/>
                <w:bCs/>
                <w:color w:val="auto"/>
                <w:sz w:val="21"/>
                <w:highlight w:val="none"/>
              </w:rPr>
            </w:pPr>
            <w:r>
              <w:rPr>
                <w:rFonts w:hint="eastAsia" w:hAnsi="宋体" w:cs="宋体"/>
                <w:color w:val="auto"/>
                <w:sz w:val="21"/>
                <w:highlight w:val="none"/>
              </w:rPr>
              <w:t>1.</w:t>
            </w:r>
            <w:r>
              <w:rPr>
                <w:rFonts w:hint="eastAsia" w:hAnsi="宋体" w:cs="宋体"/>
                <w:bCs/>
                <w:color w:val="auto"/>
                <w:sz w:val="21"/>
                <w:highlight w:val="none"/>
              </w:rPr>
              <w:t>投标报价分采用低价优先法计算，满足招标文件要求且评标价最低的有效投标人的评标价为评标基准价，其投标报价分为满分。</w:t>
            </w:r>
          </w:p>
          <w:p w14:paraId="2963060F">
            <w:pPr>
              <w:pStyle w:val="25"/>
              <w:spacing w:line="340" w:lineRule="exact"/>
              <w:ind w:firstLine="420" w:firstLineChars="200"/>
              <w:rPr>
                <w:rFonts w:hAnsi="宋体" w:cs="宋体"/>
                <w:bCs/>
                <w:color w:val="auto"/>
                <w:sz w:val="21"/>
                <w:highlight w:val="none"/>
              </w:rPr>
            </w:pPr>
            <w:r>
              <w:rPr>
                <w:rFonts w:hint="eastAsia" w:hAnsi="宋体" w:cs="宋体"/>
                <w:bCs/>
                <w:color w:val="auto"/>
                <w:sz w:val="21"/>
                <w:highlight w:val="none"/>
              </w:rPr>
              <w:t>2.其他投标人的价格分统一按照下列公式计算：</w:t>
            </w:r>
          </w:p>
          <w:p w14:paraId="6B86B4AC">
            <w:pPr>
              <w:pStyle w:val="25"/>
              <w:spacing w:line="340" w:lineRule="exact"/>
              <w:rPr>
                <w:rFonts w:hAnsi="宋体" w:cs="宋体"/>
                <w:bCs/>
                <w:color w:val="auto"/>
                <w:kern w:val="2"/>
                <w:sz w:val="21"/>
                <w:highlight w:val="none"/>
              </w:rPr>
            </w:pPr>
            <w:r>
              <w:rPr>
                <w:rFonts w:hint="eastAsia" w:hAnsi="宋体" w:cs="宋体"/>
                <w:bCs/>
                <w:color w:val="auto"/>
                <w:sz w:val="21"/>
                <w:highlight w:val="none"/>
              </w:rPr>
              <w:t>某有效投标人的投标报价分=（评标基准价／某有效投标人评标价）×</w:t>
            </w:r>
            <w:r>
              <w:rPr>
                <w:rFonts w:hint="eastAsia" w:hAnsi="宋体" w:cs="宋体"/>
                <w:bCs/>
                <w:color w:val="auto"/>
                <w:sz w:val="21"/>
                <w:highlight w:val="none"/>
                <w:lang w:val="en-US" w:eastAsia="zh-CN"/>
              </w:rPr>
              <w:t>30</w:t>
            </w:r>
            <w:r>
              <w:rPr>
                <w:rFonts w:hint="eastAsia" w:hAnsi="宋体" w:cs="宋体"/>
                <w:bCs/>
                <w:color w:val="auto"/>
                <w:sz w:val="21"/>
                <w:highlight w:val="none"/>
              </w:rPr>
              <w:t>分</w:t>
            </w:r>
          </w:p>
        </w:tc>
      </w:tr>
      <w:tr w14:paraId="1877F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jc w:val="center"/>
        </w:trPr>
        <w:tc>
          <w:tcPr>
            <w:tcW w:w="730" w:type="dxa"/>
            <w:vMerge w:val="restart"/>
            <w:vAlign w:val="center"/>
          </w:tcPr>
          <w:p w14:paraId="7C6AB9C3">
            <w:pPr>
              <w:adjustRightInd w:val="0"/>
              <w:spacing w:line="340" w:lineRule="exact"/>
              <w:jc w:val="center"/>
              <w:textAlignment w:val="baseline"/>
              <w:rPr>
                <w:rFonts w:hint="eastAsia" w:ascii="宋体" w:hAnsi="宋体" w:cs="宋体"/>
                <w:b/>
                <w:color w:val="auto"/>
                <w:szCs w:val="21"/>
                <w:highlight w:val="none"/>
              </w:rPr>
            </w:pPr>
            <w:r>
              <w:rPr>
                <w:rFonts w:hint="eastAsia" w:ascii="宋体" w:hAnsi="宋体" w:cs="宋体"/>
                <w:b/>
                <w:color w:val="auto"/>
                <w:szCs w:val="21"/>
                <w:highlight w:val="none"/>
              </w:rPr>
              <w:t>2</w:t>
            </w:r>
          </w:p>
          <w:p w14:paraId="485E2F3C">
            <w:pPr>
              <w:adjustRightInd w:val="0"/>
              <w:spacing w:line="340" w:lineRule="exact"/>
              <w:jc w:val="center"/>
              <w:textAlignment w:val="baseline"/>
              <w:rPr>
                <w:rFonts w:ascii="宋体" w:hAnsi="宋体" w:cs="宋体"/>
                <w:b/>
                <w:color w:val="auto"/>
                <w:szCs w:val="21"/>
                <w:highlight w:val="none"/>
              </w:rPr>
            </w:pPr>
          </w:p>
          <w:p w14:paraId="7F5AFC04">
            <w:pPr>
              <w:pStyle w:val="20"/>
              <w:rPr>
                <w:color w:val="auto"/>
                <w:highlight w:val="none"/>
              </w:rPr>
            </w:pPr>
          </w:p>
        </w:tc>
        <w:tc>
          <w:tcPr>
            <w:tcW w:w="1280" w:type="dxa"/>
            <w:vMerge w:val="restart"/>
            <w:vAlign w:val="center"/>
          </w:tcPr>
          <w:p w14:paraId="7B1847CE">
            <w:pPr>
              <w:adjustRightInd w:val="0"/>
              <w:spacing w:line="340" w:lineRule="exact"/>
              <w:jc w:val="center"/>
              <w:textAlignment w:val="baseline"/>
              <w:rPr>
                <w:rFonts w:ascii="宋体" w:hAnsi="宋体" w:cs="宋体"/>
                <w:b/>
                <w:color w:val="auto"/>
                <w:szCs w:val="21"/>
                <w:highlight w:val="none"/>
              </w:rPr>
            </w:pPr>
            <w:r>
              <w:rPr>
                <w:rFonts w:hint="eastAsia" w:ascii="宋体" w:hAnsi="宋体" w:cs="宋体"/>
                <w:b/>
                <w:color w:val="auto"/>
                <w:szCs w:val="21"/>
                <w:highlight w:val="none"/>
              </w:rPr>
              <w:t>技术水平</w:t>
            </w:r>
          </w:p>
        </w:tc>
        <w:tc>
          <w:tcPr>
            <w:tcW w:w="709" w:type="dxa"/>
            <w:vMerge w:val="restart"/>
            <w:vAlign w:val="center"/>
          </w:tcPr>
          <w:p w14:paraId="3B354559">
            <w:pPr>
              <w:adjustRightInd w:val="0"/>
              <w:spacing w:line="340" w:lineRule="exact"/>
              <w:jc w:val="center"/>
              <w:textAlignment w:val="baseline"/>
              <w:rPr>
                <w:rFonts w:ascii="宋体" w:hAnsi="宋体" w:cs="宋体"/>
                <w:b/>
                <w:color w:val="auto"/>
                <w:szCs w:val="21"/>
                <w:highlight w:val="none"/>
              </w:rPr>
            </w:pPr>
            <w:r>
              <w:rPr>
                <w:rFonts w:hint="eastAsia" w:ascii="宋体" w:hAnsi="宋体" w:cs="宋体"/>
                <w:b/>
                <w:color w:val="auto"/>
                <w:szCs w:val="21"/>
                <w:highlight w:val="none"/>
                <w:lang w:val="en-US" w:eastAsia="zh-CN"/>
              </w:rPr>
              <w:t>53</w:t>
            </w:r>
            <w:r>
              <w:rPr>
                <w:rFonts w:hint="eastAsia" w:ascii="宋体" w:hAnsi="宋体" w:cs="宋体"/>
                <w:b/>
                <w:color w:val="auto"/>
                <w:szCs w:val="21"/>
                <w:highlight w:val="none"/>
              </w:rPr>
              <w:t>分</w:t>
            </w:r>
          </w:p>
        </w:tc>
        <w:tc>
          <w:tcPr>
            <w:tcW w:w="1559" w:type="dxa"/>
            <w:gridSpan w:val="2"/>
            <w:vAlign w:val="center"/>
          </w:tcPr>
          <w:p w14:paraId="7F0C82AA">
            <w:pPr>
              <w:spacing w:line="340" w:lineRule="exact"/>
              <w:jc w:val="center"/>
              <w:rPr>
                <w:rFonts w:ascii="宋体" w:hAnsi="宋体" w:cs="宋体"/>
                <w:bCs/>
                <w:color w:val="auto"/>
                <w:szCs w:val="21"/>
                <w:highlight w:val="none"/>
              </w:rPr>
            </w:pPr>
            <w:r>
              <w:rPr>
                <w:rFonts w:hint="eastAsia" w:ascii="宋体" w:hAnsi="宋体" w:cs="宋体"/>
                <w:bCs/>
                <w:color w:val="auto"/>
                <w:szCs w:val="21"/>
                <w:highlight w:val="none"/>
              </w:rPr>
              <w:t>（1）基本分（满分</w:t>
            </w:r>
            <w:r>
              <w:rPr>
                <w:rFonts w:hint="eastAsia" w:ascii="宋体" w:hAnsi="宋体" w:cs="宋体"/>
                <w:bCs/>
                <w:color w:val="auto"/>
                <w:szCs w:val="21"/>
                <w:highlight w:val="none"/>
                <w:lang w:val="en-US" w:eastAsia="zh-CN"/>
              </w:rPr>
              <w:t>45.9</w:t>
            </w:r>
            <w:r>
              <w:rPr>
                <w:rFonts w:hint="eastAsia" w:ascii="宋体" w:hAnsi="宋体" w:cs="宋体"/>
                <w:bCs/>
                <w:color w:val="auto"/>
                <w:szCs w:val="21"/>
                <w:highlight w:val="none"/>
              </w:rPr>
              <w:t>分）</w:t>
            </w:r>
          </w:p>
        </w:tc>
        <w:tc>
          <w:tcPr>
            <w:tcW w:w="5566" w:type="dxa"/>
            <w:vAlign w:val="center"/>
          </w:tcPr>
          <w:p w14:paraId="01D61A78">
            <w:pPr>
              <w:pStyle w:val="25"/>
              <w:spacing w:line="340" w:lineRule="exact"/>
              <w:rPr>
                <w:rFonts w:hint="eastAsia" w:hAnsi="宋体" w:cs="宋体"/>
                <w:bCs/>
                <w:color w:val="auto"/>
                <w:sz w:val="21"/>
                <w:highlight w:val="none"/>
                <w:lang w:val="en-US" w:eastAsia="zh-CN"/>
              </w:rPr>
            </w:pPr>
            <w:r>
              <w:rPr>
                <w:rFonts w:hint="eastAsia" w:hAnsi="宋体" w:cs="宋体"/>
                <w:bCs/>
                <w:color w:val="auto"/>
                <w:sz w:val="21"/>
                <w:highlight w:val="none"/>
                <w:lang w:val="en-US" w:eastAsia="zh-CN"/>
              </w:rPr>
              <w:t>1.一般参数（36.9分）</w:t>
            </w:r>
          </w:p>
          <w:p w14:paraId="01B5CF2A">
            <w:pPr>
              <w:pStyle w:val="25"/>
              <w:spacing w:line="340" w:lineRule="exact"/>
              <w:rPr>
                <w:rFonts w:hint="eastAsia" w:hAnsi="宋体" w:cs="宋体"/>
                <w:bCs/>
                <w:color w:val="auto"/>
                <w:sz w:val="21"/>
                <w:highlight w:val="none"/>
              </w:rPr>
            </w:pPr>
            <w:r>
              <w:rPr>
                <w:rFonts w:hint="eastAsia" w:hAnsi="宋体" w:cs="宋体"/>
                <w:bCs/>
                <w:color w:val="auto"/>
                <w:sz w:val="21"/>
                <w:highlight w:val="none"/>
              </w:rPr>
              <w:t>投标产品</w:t>
            </w:r>
            <w:r>
              <w:rPr>
                <w:rFonts w:hint="eastAsia" w:hAnsi="宋体" w:cs="宋体"/>
                <w:bCs/>
                <w:color w:val="auto"/>
                <w:sz w:val="21"/>
                <w:highlight w:val="none"/>
                <w:lang w:val="en-US" w:eastAsia="zh-CN"/>
              </w:rPr>
              <w:t>一般</w:t>
            </w:r>
            <w:r>
              <w:rPr>
                <w:rFonts w:hint="eastAsia" w:hAnsi="宋体" w:cs="宋体"/>
                <w:bCs/>
                <w:color w:val="auto"/>
                <w:sz w:val="21"/>
                <w:highlight w:val="none"/>
              </w:rPr>
              <w:t>参数完全满足招标文件要求的得</w:t>
            </w:r>
            <w:r>
              <w:rPr>
                <w:rFonts w:hint="eastAsia" w:hAnsi="宋体" w:cs="宋体"/>
                <w:bCs/>
                <w:color w:val="auto"/>
                <w:sz w:val="21"/>
                <w:highlight w:val="none"/>
                <w:lang w:val="en-US" w:eastAsia="zh-CN"/>
              </w:rPr>
              <w:t>36.9</w:t>
            </w:r>
            <w:r>
              <w:rPr>
                <w:rFonts w:hint="eastAsia" w:hAnsi="宋体" w:cs="宋体"/>
                <w:bCs/>
                <w:color w:val="auto"/>
                <w:sz w:val="21"/>
                <w:highlight w:val="none"/>
              </w:rPr>
              <w:t>分，一般技术参数有负偏离的每一项扣</w:t>
            </w:r>
            <w:r>
              <w:rPr>
                <w:rFonts w:hint="eastAsia" w:hAnsi="宋体" w:cs="宋体"/>
                <w:bCs/>
                <w:color w:val="auto"/>
                <w:sz w:val="21"/>
                <w:highlight w:val="none"/>
                <w:lang w:val="en-US" w:eastAsia="zh-CN"/>
              </w:rPr>
              <w:t>0.9</w:t>
            </w:r>
            <w:r>
              <w:rPr>
                <w:rFonts w:hint="eastAsia" w:hAnsi="宋体" w:cs="宋体"/>
                <w:bCs/>
                <w:color w:val="auto"/>
                <w:sz w:val="21"/>
                <w:highlight w:val="none"/>
              </w:rPr>
              <w:t>分，漏项的每一项扣</w:t>
            </w:r>
            <w:r>
              <w:rPr>
                <w:rFonts w:hint="eastAsia" w:hAnsi="宋体" w:cs="宋体"/>
                <w:bCs/>
                <w:color w:val="auto"/>
                <w:sz w:val="21"/>
                <w:highlight w:val="none"/>
                <w:lang w:val="en-US" w:eastAsia="zh-CN"/>
              </w:rPr>
              <w:t>0.9</w:t>
            </w:r>
            <w:r>
              <w:rPr>
                <w:rFonts w:hint="eastAsia" w:hAnsi="宋体" w:cs="宋体"/>
                <w:bCs/>
                <w:color w:val="auto"/>
                <w:sz w:val="21"/>
                <w:highlight w:val="none"/>
              </w:rPr>
              <w:t>分，最多扣完本项分值。一般技术参数负偏离或漏项、缺项超过10项的，视为严重背离采购需求，一般技术指标响应得分按0分计算。</w:t>
            </w:r>
          </w:p>
          <w:p w14:paraId="044CAE17">
            <w:pPr>
              <w:rPr>
                <w:rFonts w:hint="eastAsia" w:ascii="宋体" w:hAnsi="宋体" w:eastAsia="宋体" w:cs="宋体"/>
                <w:bCs/>
                <w:color w:val="auto"/>
                <w:kern w:val="0"/>
                <w:sz w:val="21"/>
                <w:szCs w:val="21"/>
                <w:highlight w:val="none"/>
                <w:lang w:val="en-US" w:eastAsia="zh-CN" w:bidi="ar-SA"/>
              </w:rPr>
            </w:pPr>
            <w:r>
              <w:rPr>
                <w:rFonts w:hint="eastAsia" w:hAnsi="宋体" w:cs="宋体"/>
                <w:bCs/>
                <w:color w:val="auto"/>
                <w:sz w:val="21"/>
                <w:highlight w:val="none"/>
                <w:lang w:val="en-US" w:eastAsia="zh-CN"/>
              </w:rPr>
              <w:t>一般</w:t>
            </w:r>
            <w:r>
              <w:rPr>
                <w:rFonts w:hint="eastAsia" w:hAnsi="宋体" w:cs="宋体"/>
                <w:bCs/>
                <w:color w:val="auto"/>
                <w:sz w:val="21"/>
                <w:highlight w:val="none"/>
              </w:rPr>
              <w:t>参数</w:t>
            </w:r>
            <w:r>
              <w:rPr>
                <w:rFonts w:hint="eastAsia" w:ascii="宋体" w:hAnsi="宋体" w:eastAsia="宋体" w:cs="宋体"/>
                <w:bCs/>
                <w:color w:val="auto"/>
                <w:kern w:val="0"/>
                <w:sz w:val="21"/>
                <w:szCs w:val="21"/>
                <w:highlight w:val="none"/>
                <w:lang w:val="en-US" w:eastAsia="zh-CN" w:bidi="ar-SA"/>
              </w:rPr>
              <w:t>项数统计共</w:t>
            </w:r>
            <w:r>
              <w:rPr>
                <w:rFonts w:hint="eastAsia" w:ascii="宋体" w:hAnsi="宋体" w:cs="宋体"/>
                <w:bCs/>
                <w:color w:val="auto"/>
                <w:kern w:val="0"/>
                <w:sz w:val="21"/>
                <w:szCs w:val="21"/>
                <w:highlight w:val="none"/>
                <w:lang w:val="en-US" w:eastAsia="zh-CN" w:bidi="ar-SA"/>
              </w:rPr>
              <w:t>41</w:t>
            </w:r>
            <w:r>
              <w:rPr>
                <w:rFonts w:hint="eastAsia" w:ascii="宋体" w:hAnsi="宋体" w:eastAsia="宋体" w:cs="宋体"/>
                <w:bCs/>
                <w:color w:val="auto"/>
                <w:kern w:val="0"/>
                <w:sz w:val="21"/>
                <w:szCs w:val="21"/>
                <w:highlight w:val="none"/>
                <w:lang w:val="en-US" w:eastAsia="zh-CN" w:bidi="ar-SA"/>
              </w:rPr>
              <w:t>项，具体如下:</w:t>
            </w:r>
          </w:p>
          <w:p w14:paraId="0CFC9E1F">
            <w:pPr>
              <w:pStyle w:val="2"/>
              <w:numPr>
                <w:ilvl w:val="0"/>
                <w:numId w:val="0"/>
              </w:numPr>
              <w:ind w:left="0" w:leftChars="0" w:firstLine="0" w:firstLineChars="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一、基本要求：1项；</w:t>
            </w:r>
          </w:p>
          <w:p w14:paraId="24A82C68">
            <w:pPr>
              <w:pStyle w:val="2"/>
              <w:numPr>
                <w:ilvl w:val="0"/>
                <w:numId w:val="0"/>
              </w:numPr>
              <w:ind w:left="0" w:leftChars="0" w:firstLine="0" w:firstLineChars="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二、具体参数要求（1）图像处理器： 10项；</w:t>
            </w:r>
          </w:p>
          <w:p w14:paraId="597F81F1">
            <w:pPr>
              <w:pStyle w:val="2"/>
              <w:numPr>
                <w:ilvl w:val="0"/>
                <w:numId w:val="0"/>
              </w:numPr>
              <w:ind w:left="0" w:leftChars="0" w:firstLine="0" w:firstLineChars="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二、具体参数要求（2）光源：4项；</w:t>
            </w:r>
          </w:p>
          <w:p w14:paraId="6BCAE760">
            <w:pPr>
              <w:pStyle w:val="2"/>
              <w:numPr>
                <w:ilvl w:val="0"/>
                <w:numId w:val="0"/>
              </w:numPr>
              <w:ind w:left="0" w:leftChars="0" w:firstLine="0" w:firstLineChars="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二、具体参数要求（3）显示器：1项；</w:t>
            </w:r>
          </w:p>
          <w:p w14:paraId="691B9A23">
            <w:pPr>
              <w:pStyle w:val="2"/>
              <w:numPr>
                <w:ilvl w:val="0"/>
                <w:numId w:val="0"/>
              </w:numPr>
              <w:ind w:left="0" w:leftChars="0" w:firstLine="0" w:firstLineChars="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二、具体参数要求（4）专用台车：1项；</w:t>
            </w:r>
          </w:p>
          <w:p w14:paraId="29F7DF53">
            <w:pPr>
              <w:pStyle w:val="2"/>
              <w:numPr>
                <w:ilvl w:val="0"/>
                <w:numId w:val="0"/>
              </w:numPr>
              <w:ind w:left="0" w:leftChars="0" w:firstLine="0" w:firstLineChars="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二、具体参数要求（5）电子上消化道内窥镜（治疗型）：5项；</w:t>
            </w:r>
          </w:p>
          <w:p w14:paraId="1D589801">
            <w:pPr>
              <w:pStyle w:val="2"/>
              <w:numPr>
                <w:ilvl w:val="0"/>
                <w:numId w:val="0"/>
              </w:numPr>
              <w:ind w:left="0" w:leftChars="0" w:firstLine="0" w:firstLineChars="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二、具体参数要求（6）电子上消化道内窥镜（放大型）：6项；</w:t>
            </w:r>
          </w:p>
          <w:p w14:paraId="2694E5DE">
            <w:pPr>
              <w:pStyle w:val="2"/>
              <w:numPr>
                <w:ilvl w:val="0"/>
                <w:numId w:val="0"/>
              </w:numPr>
              <w:ind w:left="0" w:leftChars="0" w:firstLine="0" w:firstLineChars="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二、具体参数要求（7）电子结肠内窥镜（放大型）：6项；</w:t>
            </w:r>
          </w:p>
          <w:p w14:paraId="47439620">
            <w:pPr>
              <w:pStyle w:val="2"/>
              <w:numPr>
                <w:ilvl w:val="0"/>
                <w:numId w:val="0"/>
              </w:numPr>
              <w:ind w:left="0" w:leftChars="0" w:firstLine="0" w:firstLineChars="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二、具体参数要求（8）电子结肠内窥镜（治疗型）：6项；</w:t>
            </w:r>
          </w:p>
          <w:p w14:paraId="45D15A7D">
            <w:pPr>
              <w:pStyle w:val="2"/>
              <w:numPr>
                <w:ilvl w:val="0"/>
                <w:numId w:val="0"/>
              </w:numPr>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三、配置清单：1项。</w:t>
            </w:r>
          </w:p>
          <w:p w14:paraId="73A97B8E">
            <w:pPr>
              <w:keepNext w:val="0"/>
              <w:keepLines w:val="0"/>
              <w:pageBreakBefore w:val="0"/>
              <w:widowControl w:val="0"/>
              <w:kinsoku/>
              <w:wordWrap/>
              <w:overflowPunct/>
              <w:topLinePunct w:val="0"/>
              <w:autoSpaceDE/>
              <w:autoSpaceDN/>
              <w:bidi w:val="0"/>
              <w:adjustRightInd w:val="0"/>
              <w:snapToGrid w:val="0"/>
              <w:spacing w:line="300" w:lineRule="auto"/>
              <w:jc w:val="left"/>
              <w:textAlignment w:val="auto"/>
              <w:rPr>
                <w:rFonts w:hint="eastAsia" w:hAnsi="宋体" w:cs="宋体"/>
                <w:bCs/>
                <w:color w:val="auto"/>
                <w:sz w:val="21"/>
                <w:highlight w:val="none"/>
                <w:lang w:val="en-US" w:eastAsia="zh-CN"/>
              </w:rPr>
            </w:pPr>
            <w:r>
              <w:rPr>
                <w:rFonts w:hint="eastAsia" w:ascii="宋体" w:hAnsi="宋体" w:eastAsia="宋体" w:cs="宋体"/>
                <w:b/>
                <w:bCs/>
                <w:color w:val="auto"/>
                <w:kern w:val="0"/>
                <w:sz w:val="21"/>
                <w:szCs w:val="21"/>
                <w:highlight w:val="none"/>
                <w:lang w:val="en-US" w:eastAsia="zh-CN" w:bidi="ar-SA"/>
              </w:rPr>
              <w:t>注：一般参数指标指未标注“▲”或“</w:t>
            </w:r>
            <w:r>
              <w:rPr>
                <w:rFonts w:hint="eastAsia" w:ascii="宋体" w:hAnsi="宋体" w:eastAsia="宋体" w:cs="宋体"/>
                <w:b/>
                <w:bCs/>
                <w:color w:val="auto"/>
                <w:highlight w:val="none"/>
              </w:rPr>
              <w:t>■</w:t>
            </w:r>
            <w:r>
              <w:rPr>
                <w:rFonts w:hint="eastAsia" w:ascii="宋体" w:hAnsi="宋体" w:eastAsia="宋体" w:cs="宋体"/>
                <w:b/>
                <w:bCs/>
                <w:color w:val="auto"/>
                <w:kern w:val="0"/>
                <w:sz w:val="21"/>
                <w:szCs w:val="21"/>
                <w:highlight w:val="none"/>
                <w:lang w:val="en-US" w:eastAsia="zh-CN" w:bidi="ar-SA"/>
              </w:rPr>
              <w:t>”的技术要求。</w:t>
            </w:r>
          </w:p>
          <w:p w14:paraId="1439B3A2">
            <w:pPr>
              <w:pStyle w:val="25"/>
              <w:spacing w:line="340" w:lineRule="exact"/>
              <w:rPr>
                <w:rFonts w:hint="eastAsia" w:hAnsi="宋体" w:cs="宋体"/>
                <w:bCs/>
                <w:color w:val="auto"/>
                <w:sz w:val="21"/>
                <w:highlight w:val="none"/>
                <w:lang w:val="en-US" w:eastAsia="zh-CN"/>
              </w:rPr>
            </w:pPr>
            <w:r>
              <w:rPr>
                <w:rFonts w:hint="eastAsia" w:hAnsi="宋体" w:cs="宋体"/>
                <w:bCs/>
                <w:color w:val="auto"/>
                <w:sz w:val="21"/>
                <w:highlight w:val="none"/>
                <w:lang w:val="en-US" w:eastAsia="zh-CN"/>
              </w:rPr>
              <w:t>2.重要参数（9分）</w:t>
            </w:r>
          </w:p>
          <w:p w14:paraId="31CD1838">
            <w:pPr>
              <w:pStyle w:val="25"/>
              <w:spacing w:line="340" w:lineRule="exact"/>
              <w:rPr>
                <w:rFonts w:hint="eastAsia" w:hAnsi="宋体" w:cs="宋体"/>
                <w:bCs/>
                <w:color w:val="auto"/>
                <w:sz w:val="21"/>
                <w:highlight w:val="none"/>
              </w:rPr>
            </w:pPr>
            <w:r>
              <w:rPr>
                <w:rFonts w:hint="eastAsia" w:hAnsi="宋体" w:cs="宋体"/>
                <w:bCs/>
                <w:color w:val="auto"/>
                <w:sz w:val="21"/>
                <w:highlight w:val="none"/>
                <w:lang w:val="en-US" w:eastAsia="zh-CN"/>
              </w:rPr>
              <w:t>投标产品重要参数完全满足招标文件要求的得9分，重要技术参数有</w:t>
            </w:r>
            <w:r>
              <w:rPr>
                <w:rFonts w:hint="eastAsia" w:hAnsi="宋体" w:cs="宋体"/>
                <w:bCs/>
                <w:color w:val="auto"/>
                <w:sz w:val="21"/>
                <w:highlight w:val="none"/>
              </w:rPr>
              <w:t>负偏离的每一项扣</w:t>
            </w:r>
            <w:r>
              <w:rPr>
                <w:rFonts w:hint="eastAsia" w:hAnsi="宋体" w:cs="宋体"/>
                <w:bCs/>
                <w:color w:val="auto"/>
                <w:sz w:val="21"/>
                <w:highlight w:val="none"/>
                <w:lang w:val="en-US" w:eastAsia="zh-CN"/>
              </w:rPr>
              <w:t>3</w:t>
            </w:r>
            <w:r>
              <w:rPr>
                <w:rFonts w:hint="eastAsia" w:hAnsi="宋体" w:cs="宋体"/>
                <w:bCs/>
                <w:color w:val="auto"/>
                <w:sz w:val="21"/>
                <w:highlight w:val="none"/>
              </w:rPr>
              <w:t>分，漏项的每一项扣</w:t>
            </w:r>
            <w:r>
              <w:rPr>
                <w:rFonts w:hint="eastAsia" w:hAnsi="宋体" w:cs="宋体"/>
                <w:bCs/>
                <w:color w:val="auto"/>
                <w:sz w:val="21"/>
                <w:highlight w:val="none"/>
                <w:lang w:val="en-US" w:eastAsia="zh-CN"/>
              </w:rPr>
              <w:t>3</w:t>
            </w:r>
            <w:r>
              <w:rPr>
                <w:rFonts w:hint="eastAsia" w:hAnsi="宋体" w:cs="宋体"/>
                <w:bCs/>
                <w:color w:val="auto"/>
                <w:sz w:val="21"/>
                <w:highlight w:val="none"/>
              </w:rPr>
              <w:t>分，最多扣完本项分值。</w:t>
            </w:r>
          </w:p>
          <w:p w14:paraId="4A2281AF">
            <w:pPr>
              <w:pStyle w:val="25"/>
              <w:spacing w:line="340" w:lineRule="exact"/>
              <w:rPr>
                <w:rFonts w:hint="default" w:hAnsi="宋体" w:cs="宋体"/>
                <w:bCs/>
                <w:color w:val="auto"/>
                <w:sz w:val="21"/>
                <w:highlight w:val="none"/>
                <w:lang w:val="en-US" w:eastAsia="zh-CN"/>
              </w:rPr>
            </w:pPr>
            <w:r>
              <w:rPr>
                <w:rFonts w:hint="eastAsia" w:ascii="宋体" w:hAnsi="宋体" w:eastAsia="宋体" w:cs="宋体"/>
                <w:b/>
                <w:bCs/>
                <w:color w:val="auto"/>
                <w:kern w:val="0"/>
                <w:sz w:val="21"/>
                <w:szCs w:val="21"/>
                <w:highlight w:val="none"/>
                <w:lang w:val="en-US" w:eastAsia="zh-CN" w:bidi="ar-SA"/>
              </w:rPr>
              <w:t>注：重要参数指标指标注“</w:t>
            </w:r>
            <w:r>
              <w:rPr>
                <w:rFonts w:hint="eastAsia" w:ascii="宋体" w:hAnsi="宋体" w:eastAsia="宋体" w:cs="宋体"/>
                <w:b/>
                <w:bCs/>
                <w:color w:val="auto"/>
                <w:highlight w:val="none"/>
              </w:rPr>
              <w:t>■</w:t>
            </w:r>
            <w:r>
              <w:rPr>
                <w:rFonts w:hint="eastAsia" w:ascii="宋体" w:hAnsi="宋体" w:eastAsia="宋体" w:cs="宋体"/>
                <w:b/>
                <w:bCs/>
                <w:color w:val="auto"/>
                <w:kern w:val="0"/>
                <w:sz w:val="21"/>
                <w:szCs w:val="21"/>
                <w:highlight w:val="none"/>
                <w:lang w:val="en-US" w:eastAsia="zh-CN" w:bidi="ar-SA"/>
              </w:rPr>
              <w:t>”的技术要求，标注“</w:t>
            </w:r>
            <w:r>
              <w:rPr>
                <w:rFonts w:hint="eastAsia" w:ascii="宋体" w:hAnsi="宋体" w:eastAsia="宋体" w:cs="宋体"/>
                <w:b/>
                <w:bCs/>
                <w:color w:val="auto"/>
                <w:highlight w:val="none"/>
              </w:rPr>
              <w:t>■</w:t>
            </w:r>
            <w:r>
              <w:rPr>
                <w:rFonts w:hint="eastAsia" w:ascii="宋体" w:hAnsi="宋体" w:eastAsia="宋体" w:cs="宋体"/>
                <w:b/>
                <w:bCs/>
                <w:color w:val="auto"/>
                <w:kern w:val="0"/>
                <w:sz w:val="21"/>
                <w:szCs w:val="21"/>
                <w:highlight w:val="none"/>
                <w:lang w:val="en-US" w:eastAsia="zh-CN" w:bidi="ar-SA"/>
              </w:rPr>
              <w:t>”的参数必须提供相应证明材料予以证明，否则评标委员会将可能不予以认可。</w:t>
            </w:r>
          </w:p>
        </w:tc>
      </w:tr>
      <w:tr w14:paraId="720D6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730" w:type="dxa"/>
            <w:vMerge w:val="continue"/>
            <w:vAlign w:val="center"/>
          </w:tcPr>
          <w:p w14:paraId="104BB2FE">
            <w:pPr>
              <w:pStyle w:val="20"/>
              <w:rPr>
                <w:color w:val="auto"/>
                <w:highlight w:val="none"/>
              </w:rPr>
            </w:pPr>
          </w:p>
        </w:tc>
        <w:tc>
          <w:tcPr>
            <w:tcW w:w="1280" w:type="dxa"/>
            <w:vMerge w:val="continue"/>
            <w:vAlign w:val="center"/>
          </w:tcPr>
          <w:p w14:paraId="2B8C89BB">
            <w:pPr>
              <w:adjustRightInd w:val="0"/>
              <w:spacing w:line="340" w:lineRule="exact"/>
              <w:jc w:val="center"/>
              <w:textAlignment w:val="baseline"/>
              <w:rPr>
                <w:rFonts w:ascii="宋体" w:hAnsi="宋体" w:cs="宋体"/>
                <w:b/>
                <w:color w:val="auto"/>
                <w:szCs w:val="21"/>
                <w:highlight w:val="none"/>
              </w:rPr>
            </w:pPr>
          </w:p>
        </w:tc>
        <w:tc>
          <w:tcPr>
            <w:tcW w:w="709" w:type="dxa"/>
            <w:vMerge w:val="continue"/>
            <w:vAlign w:val="center"/>
          </w:tcPr>
          <w:p w14:paraId="52E4D1EB">
            <w:pPr>
              <w:adjustRightInd w:val="0"/>
              <w:spacing w:line="340" w:lineRule="exact"/>
              <w:jc w:val="center"/>
              <w:textAlignment w:val="baseline"/>
              <w:rPr>
                <w:rFonts w:ascii="宋体" w:hAnsi="宋体" w:cs="宋体"/>
                <w:b/>
                <w:color w:val="auto"/>
                <w:szCs w:val="21"/>
                <w:highlight w:val="none"/>
              </w:rPr>
            </w:pPr>
          </w:p>
        </w:tc>
        <w:tc>
          <w:tcPr>
            <w:tcW w:w="1559" w:type="dxa"/>
            <w:gridSpan w:val="2"/>
            <w:vAlign w:val="center"/>
          </w:tcPr>
          <w:p w14:paraId="22196300">
            <w:pPr>
              <w:tabs>
                <w:tab w:val="left" w:pos="1367"/>
              </w:tabs>
              <w:spacing w:line="340" w:lineRule="exact"/>
              <w:jc w:val="left"/>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lang w:eastAsia="zh-CN"/>
              </w:rPr>
              <w:t>）项目实施方案（</w:t>
            </w:r>
            <w:r>
              <w:rPr>
                <w:rFonts w:hint="eastAsia" w:ascii="宋体" w:hAnsi="宋体" w:cs="宋体"/>
                <w:bCs/>
                <w:color w:val="auto"/>
                <w:szCs w:val="21"/>
                <w:highlight w:val="none"/>
                <w:lang w:val="en-US" w:eastAsia="zh-CN"/>
              </w:rPr>
              <w:t>满分7.1分</w:t>
            </w:r>
            <w:r>
              <w:rPr>
                <w:rFonts w:hint="eastAsia" w:ascii="宋体" w:hAnsi="宋体" w:cs="宋体"/>
                <w:bCs/>
                <w:color w:val="auto"/>
                <w:szCs w:val="21"/>
                <w:highlight w:val="none"/>
                <w:lang w:eastAsia="zh-CN"/>
              </w:rPr>
              <w:t>）</w:t>
            </w:r>
          </w:p>
        </w:tc>
        <w:tc>
          <w:tcPr>
            <w:tcW w:w="5566" w:type="dxa"/>
            <w:vAlign w:val="center"/>
          </w:tcPr>
          <w:p w14:paraId="76056B74">
            <w:pPr>
              <w:pStyle w:val="25"/>
              <w:ind w:firstLine="420" w:firstLineChars="200"/>
              <w:rPr>
                <w:rFonts w:hint="eastAsia" w:hAnsi="宋体" w:cs="宋体"/>
                <w:bCs/>
                <w:color w:val="auto"/>
                <w:sz w:val="21"/>
                <w:szCs w:val="21"/>
                <w:highlight w:val="none"/>
              </w:rPr>
            </w:pPr>
            <w:r>
              <w:rPr>
                <w:rFonts w:hint="eastAsia" w:hAnsi="宋体" w:cs="宋体"/>
                <w:bCs/>
                <w:color w:val="auto"/>
                <w:sz w:val="21"/>
                <w:szCs w:val="21"/>
                <w:highlight w:val="none"/>
              </w:rPr>
              <w:t>由评标委员会在根据各投标人提供的项目实施方案评定，达不到一档要求的不得分。</w:t>
            </w:r>
          </w:p>
          <w:p w14:paraId="702B7187">
            <w:pPr>
              <w:pStyle w:val="25"/>
              <w:ind w:firstLine="420" w:firstLineChars="200"/>
              <w:rPr>
                <w:rFonts w:hint="eastAsia" w:hAnsi="宋体" w:cs="宋体"/>
                <w:bCs/>
                <w:color w:val="auto"/>
                <w:sz w:val="21"/>
                <w:szCs w:val="21"/>
                <w:highlight w:val="none"/>
              </w:rPr>
            </w:pPr>
            <w:r>
              <w:rPr>
                <w:rFonts w:hint="eastAsia" w:hAnsi="宋体" w:cs="宋体"/>
                <w:bCs/>
                <w:color w:val="auto"/>
                <w:sz w:val="21"/>
                <w:szCs w:val="21"/>
                <w:highlight w:val="none"/>
              </w:rPr>
              <w:t>一档（</w:t>
            </w:r>
            <w:r>
              <w:rPr>
                <w:rFonts w:hint="eastAsia" w:hAnsi="宋体" w:cs="宋体"/>
                <w:bCs/>
                <w:color w:val="auto"/>
                <w:sz w:val="21"/>
                <w:szCs w:val="21"/>
                <w:highlight w:val="none"/>
                <w:lang w:val="en-US" w:eastAsia="zh-CN"/>
              </w:rPr>
              <w:t>1.1</w:t>
            </w:r>
            <w:r>
              <w:rPr>
                <w:rFonts w:hint="eastAsia" w:hAnsi="宋体" w:cs="宋体"/>
                <w:bCs/>
                <w:color w:val="auto"/>
                <w:sz w:val="21"/>
                <w:szCs w:val="21"/>
                <w:highlight w:val="none"/>
              </w:rPr>
              <w:t>分）：投标文件中提供的</w:t>
            </w:r>
            <w:r>
              <w:rPr>
                <w:rFonts w:hint="eastAsia" w:hAnsi="宋体" w:cs="宋体"/>
                <w:bCs/>
                <w:color w:val="auto"/>
                <w:sz w:val="21"/>
                <w:szCs w:val="21"/>
                <w:highlight w:val="none"/>
                <w:lang w:val="en-US" w:eastAsia="zh-CN"/>
              </w:rPr>
              <w:t>项目</w:t>
            </w:r>
            <w:r>
              <w:rPr>
                <w:rFonts w:hint="eastAsia" w:hAnsi="宋体" w:cs="宋体"/>
                <w:bCs/>
                <w:color w:val="auto"/>
                <w:sz w:val="21"/>
                <w:szCs w:val="21"/>
                <w:highlight w:val="none"/>
              </w:rPr>
              <w:t>实施方案对安装过程的难易程度等理解较为肤浅，提供的方案不够具体完善</w:t>
            </w:r>
            <w:r>
              <w:rPr>
                <w:rFonts w:hint="eastAsia" w:hAnsi="宋体" w:cs="宋体"/>
                <w:bCs/>
                <w:color w:val="auto"/>
                <w:sz w:val="21"/>
                <w:szCs w:val="21"/>
                <w:highlight w:val="none"/>
                <w:lang w:eastAsia="zh-CN"/>
              </w:rPr>
              <w:t>，</w:t>
            </w:r>
            <w:r>
              <w:rPr>
                <w:rFonts w:hint="eastAsia" w:hAnsi="宋体" w:cs="宋体"/>
                <w:bCs/>
                <w:color w:val="auto"/>
                <w:sz w:val="21"/>
                <w:szCs w:val="21"/>
                <w:highlight w:val="none"/>
                <w:lang w:val="en-US" w:eastAsia="zh-CN"/>
              </w:rPr>
              <w:t>仅有简单的实施流程和进度安排</w:t>
            </w:r>
            <w:r>
              <w:rPr>
                <w:rFonts w:hint="eastAsia" w:hAnsi="宋体" w:cs="宋体"/>
                <w:bCs/>
                <w:color w:val="auto"/>
                <w:sz w:val="21"/>
                <w:szCs w:val="21"/>
                <w:highlight w:val="none"/>
              </w:rPr>
              <w:t>。</w:t>
            </w:r>
          </w:p>
          <w:p w14:paraId="17DA1C2D">
            <w:pPr>
              <w:pStyle w:val="25"/>
              <w:ind w:firstLine="420" w:firstLineChars="200"/>
              <w:rPr>
                <w:rFonts w:hint="eastAsia" w:hAnsi="宋体" w:cs="宋体"/>
                <w:bCs/>
                <w:color w:val="auto"/>
                <w:sz w:val="21"/>
                <w:szCs w:val="21"/>
                <w:highlight w:val="none"/>
              </w:rPr>
            </w:pPr>
            <w:r>
              <w:rPr>
                <w:rFonts w:hint="eastAsia" w:hAnsi="宋体" w:cs="宋体"/>
                <w:bCs/>
                <w:color w:val="auto"/>
                <w:sz w:val="21"/>
                <w:szCs w:val="21"/>
                <w:highlight w:val="none"/>
              </w:rPr>
              <w:t>二档（</w:t>
            </w:r>
            <w:r>
              <w:rPr>
                <w:rFonts w:hint="eastAsia" w:hAnsi="宋体" w:cs="宋体"/>
                <w:bCs/>
                <w:color w:val="auto"/>
                <w:sz w:val="21"/>
                <w:szCs w:val="21"/>
                <w:highlight w:val="none"/>
                <w:lang w:val="en-US" w:eastAsia="zh-CN"/>
              </w:rPr>
              <w:t>4.1</w:t>
            </w:r>
            <w:r>
              <w:rPr>
                <w:rFonts w:hint="eastAsia" w:hAnsi="宋体" w:cs="宋体"/>
                <w:bCs/>
                <w:color w:val="auto"/>
                <w:sz w:val="21"/>
                <w:szCs w:val="21"/>
                <w:highlight w:val="none"/>
              </w:rPr>
              <w:t>分）：投标文件中提供的项目实施方案对安装过程的难易程度、项目的特点、难点等理解</w:t>
            </w:r>
            <w:r>
              <w:rPr>
                <w:rFonts w:hint="eastAsia" w:hAnsi="宋体" w:cs="宋体"/>
                <w:bCs/>
                <w:color w:val="auto"/>
                <w:sz w:val="21"/>
                <w:szCs w:val="21"/>
                <w:highlight w:val="none"/>
                <w:lang w:val="en-US" w:eastAsia="zh-CN"/>
              </w:rPr>
              <w:t>基本</w:t>
            </w:r>
            <w:r>
              <w:rPr>
                <w:rFonts w:hint="eastAsia" w:hAnsi="宋体" w:cs="宋体"/>
                <w:bCs/>
                <w:color w:val="auto"/>
                <w:sz w:val="21"/>
                <w:szCs w:val="21"/>
                <w:highlight w:val="none"/>
              </w:rPr>
              <w:t>准确，提供的方案也较为详细，能满足招标文件要求，对项目建设要求有可操作方案，</w:t>
            </w:r>
            <w:r>
              <w:rPr>
                <w:rFonts w:hint="eastAsia" w:hAnsi="宋体" w:cs="宋体"/>
                <w:bCs/>
                <w:color w:val="auto"/>
                <w:sz w:val="21"/>
                <w:szCs w:val="21"/>
                <w:highlight w:val="none"/>
                <w:lang w:val="en-US" w:eastAsia="zh-CN"/>
              </w:rPr>
              <w:t>有实施流程和进度安排，</w:t>
            </w:r>
            <w:r>
              <w:rPr>
                <w:rFonts w:hint="eastAsia" w:hAnsi="宋体" w:cs="宋体"/>
                <w:bCs/>
                <w:color w:val="auto"/>
                <w:sz w:val="21"/>
                <w:szCs w:val="21"/>
                <w:highlight w:val="none"/>
              </w:rPr>
              <w:t>但整体方案不够系统，缺乏先进性；</w:t>
            </w:r>
          </w:p>
          <w:p w14:paraId="1F19441A">
            <w:pPr>
              <w:pStyle w:val="25"/>
              <w:ind w:firstLine="420" w:firstLineChars="200"/>
              <w:rPr>
                <w:rFonts w:hint="eastAsia" w:ascii="宋体" w:hAnsi="宋体" w:cs="宋体"/>
                <w:bCs/>
                <w:color w:val="auto"/>
                <w:szCs w:val="21"/>
                <w:highlight w:val="none"/>
              </w:rPr>
            </w:pPr>
            <w:r>
              <w:rPr>
                <w:rFonts w:hint="eastAsia" w:hAnsi="宋体" w:cs="宋体"/>
                <w:bCs/>
                <w:color w:val="auto"/>
                <w:sz w:val="21"/>
                <w:szCs w:val="21"/>
                <w:highlight w:val="none"/>
              </w:rPr>
              <w:t>三档（</w:t>
            </w:r>
            <w:r>
              <w:rPr>
                <w:rFonts w:hint="eastAsia" w:hAnsi="宋体" w:cs="宋体"/>
                <w:bCs/>
                <w:color w:val="auto"/>
                <w:sz w:val="21"/>
                <w:szCs w:val="21"/>
                <w:highlight w:val="none"/>
                <w:lang w:val="en-US" w:eastAsia="zh-CN"/>
              </w:rPr>
              <w:t>7.1</w:t>
            </w:r>
            <w:r>
              <w:rPr>
                <w:rFonts w:hint="eastAsia" w:hAnsi="宋体" w:cs="宋体"/>
                <w:bCs/>
                <w:color w:val="auto"/>
                <w:sz w:val="21"/>
                <w:szCs w:val="21"/>
                <w:highlight w:val="none"/>
              </w:rPr>
              <w:t>分）：投标文件中提供的项目实施方案对安装过程的难易程度、项目的特点、难点等理解准确，符合采购人需求，所提出的方案详细具体，</w:t>
            </w:r>
            <w:r>
              <w:rPr>
                <w:rFonts w:hint="eastAsia" w:hAnsi="宋体" w:cs="宋体"/>
                <w:bCs/>
                <w:color w:val="auto"/>
                <w:sz w:val="21"/>
                <w:szCs w:val="21"/>
                <w:highlight w:val="none"/>
                <w:lang w:val="en-US" w:eastAsia="zh-CN"/>
              </w:rPr>
              <w:t>有</w:t>
            </w:r>
            <w:r>
              <w:rPr>
                <w:rFonts w:hint="eastAsia" w:hAnsi="宋体" w:cs="宋体"/>
                <w:bCs/>
                <w:color w:val="auto"/>
                <w:sz w:val="21"/>
                <w:highlight w:val="none"/>
              </w:rPr>
              <w:t>详细的实施流程</w:t>
            </w:r>
            <w:r>
              <w:rPr>
                <w:rFonts w:hint="eastAsia" w:hAnsi="宋体" w:cs="宋体"/>
                <w:bCs/>
                <w:color w:val="auto"/>
                <w:sz w:val="21"/>
                <w:highlight w:val="none"/>
                <w:lang w:val="en-US" w:eastAsia="zh-CN"/>
              </w:rPr>
              <w:t>和</w:t>
            </w:r>
            <w:r>
              <w:rPr>
                <w:rFonts w:hint="eastAsia" w:hAnsi="宋体" w:cs="宋体"/>
                <w:bCs/>
                <w:color w:val="auto"/>
                <w:sz w:val="21"/>
                <w:highlight w:val="none"/>
              </w:rPr>
              <w:t>进度安排</w:t>
            </w:r>
            <w:r>
              <w:rPr>
                <w:rFonts w:hint="eastAsia" w:hAnsi="宋体" w:cs="宋体"/>
                <w:bCs/>
                <w:color w:val="auto"/>
                <w:sz w:val="21"/>
                <w:highlight w:val="none"/>
                <w:lang w:eastAsia="zh-CN"/>
              </w:rPr>
              <w:t>，</w:t>
            </w:r>
            <w:r>
              <w:rPr>
                <w:rFonts w:hint="eastAsia" w:hAnsi="宋体" w:cs="宋体"/>
                <w:bCs/>
                <w:color w:val="auto"/>
                <w:sz w:val="21"/>
                <w:szCs w:val="21"/>
                <w:highlight w:val="none"/>
              </w:rPr>
              <w:t>合理、清晰，满足招标文件要求的基础上对项目建设要求有针对性方案，</w:t>
            </w:r>
            <w:r>
              <w:rPr>
                <w:rFonts w:hint="eastAsia" w:hAnsi="宋体" w:cs="宋体"/>
                <w:bCs/>
                <w:color w:val="auto"/>
                <w:sz w:val="21"/>
                <w:szCs w:val="21"/>
                <w:highlight w:val="none"/>
                <w:lang w:val="en-US" w:eastAsia="zh-CN"/>
              </w:rPr>
              <w:t>具备</w:t>
            </w:r>
            <w:r>
              <w:rPr>
                <w:rFonts w:hint="eastAsia" w:hAnsi="宋体" w:cs="宋体"/>
                <w:bCs/>
                <w:color w:val="auto"/>
                <w:sz w:val="21"/>
                <w:szCs w:val="21"/>
                <w:highlight w:val="none"/>
              </w:rPr>
              <w:t>先进性</w:t>
            </w:r>
            <w:r>
              <w:rPr>
                <w:rFonts w:hint="eastAsia" w:hAnsi="宋体" w:cs="宋体"/>
                <w:bCs/>
                <w:color w:val="auto"/>
                <w:sz w:val="21"/>
                <w:szCs w:val="21"/>
                <w:highlight w:val="none"/>
                <w:lang w:eastAsia="zh-CN"/>
              </w:rPr>
              <w:t>。</w:t>
            </w:r>
          </w:p>
        </w:tc>
      </w:tr>
      <w:tr w14:paraId="0537F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5" w:hRule="atLeast"/>
          <w:jc w:val="center"/>
        </w:trPr>
        <w:tc>
          <w:tcPr>
            <w:tcW w:w="730" w:type="dxa"/>
            <w:vMerge w:val="restart"/>
            <w:vAlign w:val="center"/>
          </w:tcPr>
          <w:p w14:paraId="7E317F9E">
            <w:pPr>
              <w:adjustRightInd w:val="0"/>
              <w:spacing w:line="340" w:lineRule="exact"/>
              <w:jc w:val="center"/>
              <w:textAlignment w:val="baseline"/>
              <w:rPr>
                <w:rFonts w:ascii="宋体" w:hAnsi="宋体" w:cs="宋体"/>
                <w:b/>
                <w:color w:val="auto"/>
                <w:szCs w:val="21"/>
                <w:highlight w:val="none"/>
              </w:rPr>
            </w:pPr>
            <w:r>
              <w:rPr>
                <w:rFonts w:hint="eastAsia" w:ascii="宋体" w:hAnsi="宋体" w:cs="宋体"/>
                <w:b/>
                <w:color w:val="auto"/>
                <w:szCs w:val="21"/>
                <w:highlight w:val="none"/>
              </w:rPr>
              <w:t>3</w:t>
            </w:r>
          </w:p>
        </w:tc>
        <w:tc>
          <w:tcPr>
            <w:tcW w:w="1280" w:type="dxa"/>
            <w:vMerge w:val="restart"/>
            <w:vAlign w:val="center"/>
          </w:tcPr>
          <w:p w14:paraId="4EC017C7">
            <w:pPr>
              <w:adjustRightInd w:val="0"/>
              <w:spacing w:line="340" w:lineRule="exact"/>
              <w:jc w:val="center"/>
              <w:textAlignment w:val="baseline"/>
              <w:rPr>
                <w:rFonts w:ascii="宋体" w:hAnsi="宋体" w:cs="宋体"/>
                <w:b/>
                <w:color w:val="auto"/>
                <w:szCs w:val="21"/>
                <w:highlight w:val="none"/>
              </w:rPr>
            </w:pPr>
            <w:r>
              <w:rPr>
                <w:rFonts w:hint="eastAsia" w:ascii="宋体" w:hAnsi="宋体" w:cs="宋体"/>
                <w:b/>
                <w:color w:val="auto"/>
                <w:szCs w:val="21"/>
                <w:highlight w:val="none"/>
              </w:rPr>
              <w:t>售后服务</w:t>
            </w:r>
          </w:p>
        </w:tc>
        <w:tc>
          <w:tcPr>
            <w:tcW w:w="709" w:type="dxa"/>
            <w:vMerge w:val="restart"/>
            <w:vAlign w:val="center"/>
          </w:tcPr>
          <w:p w14:paraId="592D9079">
            <w:pPr>
              <w:adjustRightInd w:val="0"/>
              <w:spacing w:line="340" w:lineRule="exact"/>
              <w:jc w:val="center"/>
              <w:textAlignment w:val="baseline"/>
              <w:rPr>
                <w:rFonts w:ascii="宋体" w:hAnsi="宋体" w:cs="宋体"/>
                <w:b/>
                <w:color w:val="auto"/>
                <w:szCs w:val="21"/>
                <w:highlight w:val="none"/>
              </w:rPr>
            </w:pPr>
            <w:r>
              <w:rPr>
                <w:rFonts w:hint="eastAsia" w:ascii="宋体" w:hAnsi="宋体" w:cs="宋体"/>
                <w:b/>
                <w:color w:val="auto"/>
                <w:szCs w:val="21"/>
                <w:highlight w:val="none"/>
                <w:lang w:val="en-US" w:eastAsia="zh-CN"/>
              </w:rPr>
              <w:t>12</w:t>
            </w:r>
            <w:r>
              <w:rPr>
                <w:rFonts w:hint="eastAsia" w:ascii="宋体" w:hAnsi="宋体" w:cs="宋体"/>
                <w:b/>
                <w:color w:val="auto"/>
                <w:szCs w:val="21"/>
                <w:highlight w:val="none"/>
              </w:rPr>
              <w:t>分</w:t>
            </w:r>
          </w:p>
        </w:tc>
        <w:tc>
          <w:tcPr>
            <w:tcW w:w="1545" w:type="dxa"/>
            <w:vAlign w:val="center"/>
          </w:tcPr>
          <w:p w14:paraId="26370D91">
            <w:pPr>
              <w:spacing w:line="340" w:lineRule="exact"/>
              <w:ind w:left="0" w:leftChars="0" w:firstLine="0" w:firstLineChars="0"/>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1</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售后服务方案（满分7分）</w:t>
            </w:r>
          </w:p>
        </w:tc>
        <w:tc>
          <w:tcPr>
            <w:tcW w:w="5580" w:type="dxa"/>
            <w:gridSpan w:val="2"/>
            <w:shd w:val="clear" w:color="auto" w:fill="auto"/>
            <w:vAlign w:val="center"/>
          </w:tcPr>
          <w:p w14:paraId="074CC3D7">
            <w:pPr>
              <w:spacing w:line="340" w:lineRule="exact"/>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由评标委员会根据投标人的售后服务方案，包括安装要求及方案、实现功能要求及后续追加性能的解决方案、材质、结构以及特定的技术要求、保修期、保修期内和保修期外保修维修养护具体措施、安全保障措施、服务响应时间、服务质量保障、服务项目流程设计、承诺响应时间、应急处理方案、驻场人员、技术人员资质水平等内容，进行综合评定并打分：</w:t>
            </w:r>
          </w:p>
          <w:p w14:paraId="3C8B3660">
            <w:pPr>
              <w:spacing w:line="340" w:lineRule="exact"/>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一</w:t>
            </w:r>
            <w:r>
              <w:rPr>
                <w:rFonts w:hint="eastAsia" w:ascii="宋体" w:hAnsi="宋体" w:cs="宋体"/>
                <w:bCs/>
                <w:color w:val="auto"/>
                <w:szCs w:val="21"/>
                <w:highlight w:val="none"/>
              </w:rPr>
              <w:t>档（</w:t>
            </w:r>
            <w:r>
              <w:rPr>
                <w:rFonts w:hint="eastAsia" w:ascii="宋体" w:hAnsi="宋体" w:cs="宋体"/>
                <w:bCs/>
                <w:color w:val="auto"/>
                <w:szCs w:val="21"/>
                <w:highlight w:val="none"/>
                <w:lang w:val="en-US" w:eastAsia="zh-CN"/>
              </w:rPr>
              <w:t>1</w:t>
            </w:r>
            <w:r>
              <w:rPr>
                <w:rFonts w:hint="eastAsia" w:ascii="宋体" w:hAnsi="宋体" w:cs="宋体"/>
                <w:bCs/>
                <w:color w:val="auto"/>
                <w:szCs w:val="21"/>
                <w:highlight w:val="none"/>
              </w:rPr>
              <w:t>分）：仅对采购单位提出的要求进行了部分细化，售后服务承诺书中各项措施缺乏针对性，提供的内容措施缺乏合理性，仅能满足项目基本需求。</w:t>
            </w:r>
          </w:p>
          <w:p w14:paraId="3D8C2AA0">
            <w:pPr>
              <w:spacing w:line="340" w:lineRule="exact"/>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二</w:t>
            </w:r>
            <w:r>
              <w:rPr>
                <w:rFonts w:hint="eastAsia" w:ascii="宋体" w:hAnsi="宋体" w:cs="宋体"/>
                <w:bCs/>
                <w:color w:val="auto"/>
                <w:szCs w:val="21"/>
                <w:highlight w:val="none"/>
              </w:rPr>
              <w:t>档（</w:t>
            </w:r>
            <w:r>
              <w:rPr>
                <w:rFonts w:hint="eastAsia" w:ascii="宋体" w:hAnsi="宋体" w:cs="宋体"/>
                <w:bCs/>
                <w:color w:val="auto"/>
                <w:szCs w:val="21"/>
                <w:highlight w:val="none"/>
                <w:lang w:val="en-US" w:eastAsia="zh-CN"/>
              </w:rPr>
              <w:t>4</w:t>
            </w:r>
            <w:r>
              <w:rPr>
                <w:rFonts w:hint="eastAsia" w:ascii="宋体" w:hAnsi="宋体" w:cs="宋体"/>
                <w:bCs/>
                <w:color w:val="auto"/>
                <w:szCs w:val="21"/>
                <w:highlight w:val="none"/>
              </w:rPr>
              <w:t>分）：售后服务方案具体细致，在满足</w:t>
            </w:r>
            <w:r>
              <w:rPr>
                <w:rFonts w:hint="eastAsia" w:ascii="宋体" w:hAnsi="宋体" w:cs="宋体"/>
                <w:bCs/>
                <w:color w:val="auto"/>
                <w:szCs w:val="21"/>
                <w:highlight w:val="none"/>
                <w:lang w:val="en-US" w:eastAsia="zh-CN"/>
              </w:rPr>
              <w:t>一</w:t>
            </w:r>
            <w:r>
              <w:rPr>
                <w:rFonts w:hint="eastAsia" w:ascii="宋体" w:hAnsi="宋体" w:cs="宋体"/>
                <w:bCs/>
                <w:color w:val="auto"/>
                <w:szCs w:val="21"/>
                <w:highlight w:val="none"/>
              </w:rPr>
              <w:t>档的基础上，对采购文件的基本要求进行了全面细化，各项措施针对采购单位需求提出，考虑到了项目实际需求、设置合理。</w:t>
            </w:r>
          </w:p>
          <w:p w14:paraId="1AACF3CE">
            <w:pPr>
              <w:spacing w:line="340" w:lineRule="exact"/>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三</w:t>
            </w:r>
            <w:r>
              <w:rPr>
                <w:rFonts w:hint="eastAsia" w:ascii="宋体" w:hAnsi="宋体" w:cs="宋体"/>
                <w:bCs/>
                <w:color w:val="auto"/>
                <w:szCs w:val="21"/>
                <w:highlight w:val="none"/>
              </w:rPr>
              <w:t>档（</w:t>
            </w:r>
            <w:r>
              <w:rPr>
                <w:rFonts w:hint="eastAsia" w:ascii="宋体" w:hAnsi="宋体" w:cs="宋体"/>
                <w:bCs/>
                <w:color w:val="auto"/>
                <w:szCs w:val="21"/>
                <w:highlight w:val="none"/>
                <w:lang w:val="en-US" w:eastAsia="zh-CN"/>
              </w:rPr>
              <w:t>7</w:t>
            </w:r>
            <w:r>
              <w:rPr>
                <w:rFonts w:hint="eastAsia" w:ascii="宋体" w:hAnsi="宋体" w:cs="宋体"/>
                <w:bCs/>
                <w:color w:val="auto"/>
                <w:szCs w:val="21"/>
                <w:highlight w:val="none"/>
              </w:rPr>
              <w:t>分）：在满足</w:t>
            </w:r>
            <w:r>
              <w:rPr>
                <w:rFonts w:hint="eastAsia" w:ascii="宋体" w:hAnsi="宋体" w:cs="宋体"/>
                <w:bCs/>
                <w:color w:val="auto"/>
                <w:szCs w:val="21"/>
                <w:highlight w:val="none"/>
                <w:lang w:val="en-US" w:eastAsia="zh-CN"/>
              </w:rPr>
              <w:t>二</w:t>
            </w:r>
            <w:r>
              <w:rPr>
                <w:rFonts w:hint="eastAsia" w:ascii="宋体" w:hAnsi="宋体" w:cs="宋体"/>
                <w:bCs/>
                <w:color w:val="auto"/>
                <w:szCs w:val="21"/>
                <w:highlight w:val="none"/>
              </w:rPr>
              <w:t>档要求的情况下，售后服务方案周密详尽，售后服务承诺书条款对采购单位、采购项目的特点均有针对性，服务宗旨明确、服务方案的设计充分合理、响应机制充分满足使用需求，后续跟踪服务具体到位。</w:t>
            </w:r>
          </w:p>
          <w:p w14:paraId="034BED3B">
            <w:pPr>
              <w:spacing w:line="340" w:lineRule="exact"/>
              <w:ind w:firstLine="420" w:firstLineChars="200"/>
              <w:jc w:val="left"/>
              <w:rPr>
                <w:rFonts w:hint="eastAsia" w:ascii="宋体" w:hAnsi="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未提供不得分。</w:t>
            </w:r>
          </w:p>
        </w:tc>
      </w:tr>
      <w:tr w14:paraId="4870A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5" w:hRule="atLeast"/>
          <w:jc w:val="center"/>
        </w:trPr>
        <w:tc>
          <w:tcPr>
            <w:tcW w:w="730" w:type="dxa"/>
            <w:vMerge w:val="continue"/>
            <w:vAlign w:val="center"/>
          </w:tcPr>
          <w:p w14:paraId="1D944328">
            <w:pPr>
              <w:adjustRightInd w:val="0"/>
              <w:spacing w:line="340" w:lineRule="exact"/>
              <w:jc w:val="center"/>
              <w:textAlignment w:val="baseline"/>
              <w:rPr>
                <w:rFonts w:hint="eastAsia" w:ascii="宋体" w:hAnsi="宋体" w:cs="宋体"/>
                <w:b/>
                <w:color w:val="auto"/>
                <w:szCs w:val="21"/>
                <w:highlight w:val="none"/>
              </w:rPr>
            </w:pPr>
          </w:p>
        </w:tc>
        <w:tc>
          <w:tcPr>
            <w:tcW w:w="1280" w:type="dxa"/>
            <w:vMerge w:val="continue"/>
            <w:vAlign w:val="center"/>
          </w:tcPr>
          <w:p w14:paraId="28FCBB7C">
            <w:pPr>
              <w:adjustRightInd w:val="0"/>
              <w:spacing w:line="340" w:lineRule="exact"/>
              <w:jc w:val="center"/>
              <w:textAlignment w:val="baseline"/>
              <w:rPr>
                <w:rFonts w:hint="eastAsia" w:ascii="宋体" w:hAnsi="宋体" w:cs="宋体"/>
                <w:b/>
                <w:color w:val="auto"/>
                <w:szCs w:val="21"/>
                <w:highlight w:val="none"/>
              </w:rPr>
            </w:pPr>
          </w:p>
        </w:tc>
        <w:tc>
          <w:tcPr>
            <w:tcW w:w="709" w:type="dxa"/>
            <w:vMerge w:val="continue"/>
            <w:vAlign w:val="center"/>
          </w:tcPr>
          <w:p w14:paraId="06CDE955">
            <w:pPr>
              <w:adjustRightInd w:val="0"/>
              <w:spacing w:line="340" w:lineRule="exact"/>
              <w:jc w:val="center"/>
              <w:textAlignment w:val="baseline"/>
              <w:rPr>
                <w:rFonts w:hint="eastAsia" w:ascii="宋体" w:hAnsi="宋体" w:cs="宋体"/>
                <w:b/>
                <w:color w:val="auto"/>
                <w:szCs w:val="21"/>
                <w:highlight w:val="none"/>
                <w:lang w:val="en-US" w:eastAsia="zh-CN"/>
              </w:rPr>
            </w:pPr>
          </w:p>
        </w:tc>
        <w:tc>
          <w:tcPr>
            <w:tcW w:w="1545" w:type="dxa"/>
            <w:vAlign w:val="center"/>
          </w:tcPr>
          <w:p w14:paraId="44EEAAAE">
            <w:pPr>
              <w:spacing w:line="340" w:lineRule="exact"/>
              <w:ind w:left="0" w:leftChars="0" w:firstLine="0" w:firstLineChars="0"/>
              <w:jc w:val="left"/>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lang w:eastAsia="zh-CN"/>
              </w:rPr>
              <w:t>）培训方案（</w:t>
            </w:r>
            <w:r>
              <w:rPr>
                <w:rFonts w:hint="eastAsia" w:ascii="宋体" w:hAnsi="宋体" w:cs="宋体"/>
                <w:bCs/>
                <w:color w:val="auto"/>
                <w:szCs w:val="21"/>
                <w:highlight w:val="none"/>
                <w:lang w:val="en-US" w:eastAsia="zh-CN"/>
              </w:rPr>
              <w:t>满分5分</w:t>
            </w:r>
            <w:r>
              <w:rPr>
                <w:rFonts w:hint="eastAsia" w:ascii="宋体" w:hAnsi="宋体" w:cs="宋体"/>
                <w:bCs/>
                <w:color w:val="auto"/>
                <w:szCs w:val="21"/>
                <w:highlight w:val="none"/>
                <w:lang w:eastAsia="zh-CN"/>
              </w:rPr>
              <w:t>）</w:t>
            </w:r>
          </w:p>
        </w:tc>
        <w:tc>
          <w:tcPr>
            <w:tcW w:w="5580" w:type="dxa"/>
            <w:gridSpan w:val="2"/>
            <w:vAlign w:val="center"/>
          </w:tcPr>
          <w:p w14:paraId="62C103CB">
            <w:pPr>
              <w:spacing w:line="340" w:lineRule="exact"/>
              <w:ind w:firstLine="420" w:firstLineChars="20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一档（</w:t>
            </w:r>
            <w:r>
              <w:rPr>
                <w:rFonts w:hint="eastAsia" w:ascii="宋体" w:hAnsi="宋体" w:cs="宋体"/>
                <w:bCs/>
                <w:color w:val="auto"/>
                <w:szCs w:val="21"/>
                <w:highlight w:val="none"/>
                <w:lang w:val="en-US" w:eastAsia="zh-CN"/>
              </w:rPr>
              <w:t>2</w:t>
            </w:r>
            <w:r>
              <w:rPr>
                <w:rFonts w:hint="eastAsia" w:ascii="宋体" w:hAnsi="宋体" w:eastAsia="宋体" w:cs="宋体"/>
                <w:bCs/>
                <w:color w:val="auto"/>
                <w:szCs w:val="21"/>
                <w:highlight w:val="none"/>
              </w:rPr>
              <w:t>分）：</w:t>
            </w:r>
            <w:r>
              <w:rPr>
                <w:rFonts w:hint="eastAsia" w:ascii="宋体" w:hAnsi="宋体" w:eastAsia="宋体" w:cs="宋体"/>
                <w:bCs/>
                <w:color w:val="auto"/>
                <w:szCs w:val="21"/>
                <w:highlight w:val="none"/>
                <w:lang w:val="en-US" w:eastAsia="zh-CN"/>
              </w:rPr>
              <w:t>提供有</w:t>
            </w:r>
            <w:r>
              <w:rPr>
                <w:rFonts w:hint="eastAsia" w:ascii="宋体" w:hAnsi="宋体" w:eastAsia="宋体" w:cs="宋体"/>
                <w:bCs/>
                <w:color w:val="auto"/>
                <w:szCs w:val="21"/>
                <w:highlight w:val="none"/>
              </w:rPr>
              <w:t>培训</w:t>
            </w:r>
            <w:r>
              <w:rPr>
                <w:rFonts w:hint="eastAsia" w:ascii="宋体" w:hAnsi="宋体" w:eastAsia="宋体" w:cs="宋体"/>
                <w:bCs/>
                <w:color w:val="auto"/>
                <w:szCs w:val="21"/>
                <w:highlight w:val="none"/>
                <w:lang w:val="en-US" w:eastAsia="zh-CN"/>
              </w:rPr>
              <w:t>方案，方案内容</w:t>
            </w:r>
            <w:r>
              <w:rPr>
                <w:rFonts w:hint="eastAsia" w:ascii="宋体" w:hAnsi="宋体" w:eastAsia="宋体" w:cs="宋体"/>
                <w:bCs/>
                <w:color w:val="auto"/>
                <w:szCs w:val="21"/>
                <w:highlight w:val="none"/>
              </w:rPr>
              <w:t>满足招标文件基本要求，培训计划安排清晰合理（包括培训时间安排</w:t>
            </w:r>
            <w:r>
              <w:rPr>
                <w:rFonts w:hint="eastAsia" w:ascii="宋体" w:hAnsi="宋体" w:cs="宋体"/>
                <w:bCs/>
                <w:color w:val="auto"/>
                <w:szCs w:val="21"/>
                <w:highlight w:val="none"/>
                <w:lang w:eastAsia="zh-CN"/>
              </w:rPr>
              <w:t>、</w:t>
            </w:r>
            <w:r>
              <w:rPr>
                <w:rFonts w:hint="eastAsia" w:ascii="宋体" w:hAnsi="宋体" w:eastAsia="宋体" w:cs="宋体"/>
                <w:bCs/>
                <w:color w:val="auto"/>
                <w:szCs w:val="21"/>
                <w:highlight w:val="none"/>
              </w:rPr>
              <w:t>培训人员安排，培训内容安排）。</w:t>
            </w:r>
          </w:p>
          <w:p w14:paraId="16AE7164">
            <w:pPr>
              <w:spacing w:line="340" w:lineRule="exact"/>
              <w:ind w:firstLine="420" w:firstLineChars="20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二</w:t>
            </w:r>
            <w:r>
              <w:rPr>
                <w:rFonts w:hint="eastAsia" w:ascii="宋体" w:hAnsi="宋体" w:eastAsia="宋体" w:cs="宋体"/>
                <w:bCs/>
                <w:color w:val="auto"/>
                <w:szCs w:val="21"/>
                <w:highlight w:val="none"/>
              </w:rPr>
              <w:t>档（</w:t>
            </w:r>
            <w:r>
              <w:rPr>
                <w:rFonts w:hint="eastAsia" w:ascii="宋体" w:hAnsi="宋体" w:cs="宋体"/>
                <w:bCs/>
                <w:color w:val="auto"/>
                <w:szCs w:val="21"/>
                <w:highlight w:val="none"/>
                <w:lang w:val="en-US" w:eastAsia="zh-CN"/>
              </w:rPr>
              <w:t>5</w:t>
            </w:r>
            <w:r>
              <w:rPr>
                <w:rFonts w:hint="eastAsia" w:ascii="宋体" w:hAnsi="宋体" w:eastAsia="宋体" w:cs="宋体"/>
                <w:bCs/>
                <w:color w:val="auto"/>
                <w:szCs w:val="21"/>
                <w:highlight w:val="none"/>
              </w:rPr>
              <w:t>分）培训计划优于招标文件基本要求，培训方案详细、具体，有可行性，方案内容包括培训时间安排，师资人员安排，培训内容安排，其中培训内容安排包括设备功能理论培训计划、操作培训计划、设备常见问题的基本维修操作培训计划。</w:t>
            </w:r>
          </w:p>
          <w:p w14:paraId="4A2C3EBE">
            <w:pPr>
              <w:spacing w:line="340" w:lineRule="exact"/>
              <w:ind w:firstLine="420" w:firstLineChars="200"/>
              <w:jc w:val="left"/>
              <w:rPr>
                <w:rFonts w:hint="eastAsia" w:ascii="宋体" w:hAnsi="宋体" w:cs="宋体"/>
                <w:bCs/>
                <w:color w:val="auto"/>
                <w:szCs w:val="21"/>
                <w:highlight w:val="none"/>
              </w:rPr>
            </w:pPr>
            <w:r>
              <w:rPr>
                <w:rFonts w:hint="eastAsia" w:ascii="宋体" w:hAnsi="宋体" w:eastAsia="宋体" w:cs="宋体"/>
                <w:bCs/>
                <w:color w:val="auto"/>
                <w:szCs w:val="21"/>
                <w:highlight w:val="none"/>
                <w:lang w:val="en-US" w:eastAsia="zh-CN"/>
              </w:rPr>
              <w:t>未提供不得分。</w:t>
            </w:r>
          </w:p>
        </w:tc>
      </w:tr>
      <w:tr w14:paraId="3174F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30" w:type="dxa"/>
            <w:vAlign w:val="center"/>
          </w:tcPr>
          <w:p w14:paraId="612970A1">
            <w:pPr>
              <w:adjustRightInd w:val="0"/>
              <w:spacing w:line="340" w:lineRule="exact"/>
              <w:jc w:val="center"/>
              <w:textAlignment w:val="baseline"/>
              <w:rPr>
                <w:rFonts w:ascii="宋体" w:hAnsi="宋体" w:cs="宋体"/>
                <w:b/>
                <w:color w:val="auto"/>
                <w:szCs w:val="21"/>
                <w:highlight w:val="none"/>
              </w:rPr>
            </w:pPr>
            <w:r>
              <w:rPr>
                <w:rFonts w:hint="eastAsia" w:ascii="宋体" w:hAnsi="宋体" w:cs="宋体"/>
                <w:b/>
                <w:color w:val="auto"/>
                <w:szCs w:val="21"/>
                <w:highlight w:val="none"/>
              </w:rPr>
              <w:t>4</w:t>
            </w:r>
          </w:p>
        </w:tc>
        <w:tc>
          <w:tcPr>
            <w:tcW w:w="1280" w:type="dxa"/>
            <w:vAlign w:val="center"/>
          </w:tcPr>
          <w:p w14:paraId="183D666E">
            <w:pPr>
              <w:adjustRightInd w:val="0"/>
              <w:spacing w:line="340" w:lineRule="exact"/>
              <w:jc w:val="center"/>
              <w:textAlignment w:val="baseline"/>
              <w:rPr>
                <w:rFonts w:ascii="宋体" w:hAnsi="宋体" w:cs="宋体"/>
                <w:b/>
                <w:color w:val="auto"/>
                <w:szCs w:val="21"/>
                <w:highlight w:val="none"/>
              </w:rPr>
            </w:pPr>
            <w:r>
              <w:rPr>
                <w:rFonts w:hint="eastAsia" w:ascii="宋体" w:hAnsi="宋体" w:cs="宋体"/>
                <w:b/>
                <w:color w:val="auto"/>
                <w:szCs w:val="21"/>
                <w:highlight w:val="none"/>
              </w:rPr>
              <w:t>信誉业绩</w:t>
            </w:r>
          </w:p>
        </w:tc>
        <w:tc>
          <w:tcPr>
            <w:tcW w:w="709" w:type="dxa"/>
            <w:vAlign w:val="center"/>
          </w:tcPr>
          <w:p w14:paraId="0B5F2764">
            <w:pPr>
              <w:adjustRightInd w:val="0"/>
              <w:spacing w:line="340" w:lineRule="exact"/>
              <w:jc w:val="center"/>
              <w:textAlignment w:val="baseline"/>
              <w:rPr>
                <w:rFonts w:ascii="宋体" w:hAnsi="宋体" w:cs="宋体"/>
                <w:b/>
                <w:color w:val="auto"/>
                <w:szCs w:val="21"/>
                <w:highlight w:val="none"/>
              </w:rPr>
            </w:pPr>
            <w:r>
              <w:rPr>
                <w:rFonts w:hint="eastAsia" w:ascii="宋体" w:hAnsi="宋体" w:cs="宋体"/>
                <w:b/>
                <w:color w:val="auto"/>
                <w:szCs w:val="21"/>
                <w:highlight w:val="none"/>
                <w:lang w:val="en-US" w:eastAsia="zh-CN"/>
              </w:rPr>
              <w:t>4</w:t>
            </w:r>
            <w:r>
              <w:rPr>
                <w:rFonts w:hint="eastAsia" w:ascii="宋体" w:hAnsi="宋体" w:cs="宋体"/>
                <w:b/>
                <w:color w:val="auto"/>
                <w:szCs w:val="21"/>
                <w:highlight w:val="none"/>
              </w:rPr>
              <w:t>分</w:t>
            </w:r>
          </w:p>
        </w:tc>
        <w:tc>
          <w:tcPr>
            <w:tcW w:w="7125" w:type="dxa"/>
            <w:gridSpan w:val="3"/>
            <w:vAlign w:val="center"/>
          </w:tcPr>
          <w:p w14:paraId="7A4CDA66">
            <w:pPr>
              <w:pStyle w:val="25"/>
              <w:spacing w:line="340" w:lineRule="exact"/>
              <w:ind w:firstLine="420" w:firstLineChars="200"/>
              <w:jc w:val="left"/>
              <w:rPr>
                <w:rFonts w:hAnsi="宋体" w:cs="宋体"/>
                <w:bCs/>
                <w:color w:val="auto"/>
                <w:sz w:val="21"/>
                <w:highlight w:val="none"/>
              </w:rPr>
            </w:pPr>
            <w:r>
              <w:rPr>
                <w:rFonts w:hint="eastAsia" w:hAnsi="宋体" w:cs="宋体"/>
                <w:bCs/>
                <w:color w:val="auto"/>
                <w:sz w:val="21"/>
                <w:highlight w:val="none"/>
              </w:rPr>
              <w:t>（1）投标人或其投标产品生产厂家通过ISO13485医疗器械质量管理体系认证、ISO9001</w:t>
            </w:r>
            <w:r>
              <w:rPr>
                <w:rFonts w:hint="eastAsia" w:hAnsi="宋体" w:cs="宋体"/>
                <w:bCs/>
                <w:color w:val="auto"/>
                <w:sz w:val="21"/>
                <w:highlight w:val="none"/>
                <w:lang w:val="en-US" w:eastAsia="zh-CN"/>
              </w:rPr>
              <w:t>质量</w:t>
            </w:r>
            <w:r>
              <w:rPr>
                <w:rFonts w:hint="eastAsia" w:hAnsi="宋体" w:cs="宋体"/>
                <w:bCs/>
                <w:color w:val="auto"/>
                <w:sz w:val="21"/>
                <w:highlight w:val="none"/>
              </w:rPr>
              <w:t>管理体系认证的，每提供一份得1分，满分</w:t>
            </w:r>
            <w:r>
              <w:rPr>
                <w:rFonts w:hint="eastAsia" w:hAnsi="宋体" w:cs="宋体"/>
                <w:bCs/>
                <w:color w:val="auto"/>
                <w:sz w:val="21"/>
                <w:highlight w:val="none"/>
                <w:lang w:val="en-US" w:eastAsia="zh-CN"/>
              </w:rPr>
              <w:t>2</w:t>
            </w:r>
            <w:r>
              <w:rPr>
                <w:rFonts w:hint="eastAsia" w:hAnsi="宋体" w:cs="宋体"/>
                <w:bCs/>
                <w:color w:val="auto"/>
                <w:sz w:val="21"/>
                <w:highlight w:val="none"/>
              </w:rPr>
              <w:t>分（应提供</w:t>
            </w:r>
            <w:r>
              <w:rPr>
                <w:rFonts w:hint="eastAsia" w:hAnsi="宋体" w:cs="宋体"/>
                <w:bCs/>
                <w:color w:val="auto"/>
                <w:sz w:val="21"/>
                <w:highlight w:val="none"/>
                <w:lang w:val="en-US" w:eastAsia="zh-CN"/>
              </w:rPr>
              <w:t>有效期内的</w:t>
            </w:r>
            <w:r>
              <w:rPr>
                <w:rFonts w:hint="eastAsia" w:hAnsi="宋体" w:cs="宋体"/>
                <w:bCs/>
                <w:color w:val="auto"/>
                <w:sz w:val="21"/>
                <w:highlight w:val="none"/>
              </w:rPr>
              <w:t>认证证书</w:t>
            </w:r>
            <w:r>
              <w:rPr>
                <w:rFonts w:hint="eastAsia" w:hAnsi="宋体" w:cs="宋体"/>
                <w:bCs/>
                <w:color w:val="auto"/>
                <w:sz w:val="21"/>
                <w:highlight w:val="none"/>
                <w:lang w:val="en-US" w:eastAsia="zh-CN"/>
              </w:rPr>
              <w:t>扫描</w:t>
            </w:r>
            <w:r>
              <w:rPr>
                <w:rFonts w:hint="eastAsia" w:hAnsi="宋体" w:cs="宋体"/>
                <w:bCs/>
                <w:color w:val="auto"/>
                <w:sz w:val="21"/>
                <w:highlight w:val="none"/>
              </w:rPr>
              <w:t>件）。</w:t>
            </w:r>
          </w:p>
          <w:p w14:paraId="1681D97E">
            <w:pPr>
              <w:pStyle w:val="25"/>
              <w:spacing w:line="340" w:lineRule="exact"/>
              <w:ind w:firstLine="420" w:firstLineChars="200"/>
              <w:jc w:val="left"/>
              <w:rPr>
                <w:rFonts w:hAnsi="宋体" w:cs="宋体"/>
                <w:bCs/>
                <w:color w:val="auto"/>
                <w:sz w:val="21"/>
                <w:highlight w:val="none"/>
              </w:rPr>
            </w:pPr>
            <w:r>
              <w:rPr>
                <w:rFonts w:hint="eastAsia" w:hAnsi="宋体" w:cs="宋体"/>
                <w:bCs/>
                <w:color w:val="auto"/>
                <w:sz w:val="21"/>
                <w:highlight w:val="none"/>
              </w:rPr>
              <w:t>（</w:t>
            </w:r>
            <w:r>
              <w:rPr>
                <w:rFonts w:hint="eastAsia" w:hAnsi="宋体" w:cs="宋体"/>
                <w:bCs/>
                <w:color w:val="auto"/>
                <w:sz w:val="21"/>
                <w:highlight w:val="none"/>
                <w:lang w:val="en-US" w:eastAsia="zh-CN"/>
              </w:rPr>
              <w:t>2</w:t>
            </w:r>
            <w:r>
              <w:rPr>
                <w:rFonts w:hint="eastAsia" w:hAnsi="宋体" w:cs="宋体"/>
                <w:bCs/>
                <w:color w:val="auto"/>
                <w:sz w:val="21"/>
                <w:highlight w:val="none"/>
              </w:rPr>
              <w:t>）业绩分（满分</w:t>
            </w:r>
            <w:r>
              <w:rPr>
                <w:rFonts w:hint="eastAsia" w:hAnsi="宋体" w:cs="宋体"/>
                <w:bCs/>
                <w:color w:val="auto"/>
                <w:sz w:val="21"/>
                <w:highlight w:val="none"/>
                <w:lang w:val="en-US" w:eastAsia="zh-CN"/>
              </w:rPr>
              <w:t>2</w:t>
            </w:r>
            <w:r>
              <w:rPr>
                <w:rFonts w:hint="eastAsia" w:hAnsi="宋体" w:cs="宋体"/>
                <w:bCs/>
                <w:color w:val="auto"/>
                <w:sz w:val="21"/>
                <w:highlight w:val="none"/>
              </w:rPr>
              <w:t>分）</w:t>
            </w:r>
          </w:p>
          <w:p w14:paraId="7EB0C2D4">
            <w:pPr>
              <w:pStyle w:val="25"/>
              <w:spacing w:line="340" w:lineRule="exact"/>
              <w:ind w:firstLine="420" w:firstLineChars="200"/>
              <w:jc w:val="left"/>
              <w:rPr>
                <w:rFonts w:hAnsi="宋体" w:cs="宋体"/>
                <w:bCs/>
                <w:color w:val="auto"/>
                <w:sz w:val="21"/>
                <w:highlight w:val="none"/>
              </w:rPr>
            </w:pPr>
            <w:r>
              <w:rPr>
                <w:rFonts w:hint="eastAsia" w:hAnsi="宋体" w:cs="宋体"/>
                <w:bCs/>
                <w:color w:val="auto"/>
                <w:sz w:val="21"/>
                <w:highlight w:val="none"/>
              </w:rPr>
              <w:t>以投标人或其投标产品生产厂家自</w:t>
            </w:r>
            <w:r>
              <w:rPr>
                <w:rFonts w:hint="eastAsia" w:hAnsi="宋体" w:cs="宋体"/>
                <w:bCs/>
                <w:color w:val="auto"/>
                <w:sz w:val="21"/>
                <w:highlight w:val="none"/>
                <w:lang w:val="en-US" w:eastAsia="zh-CN"/>
              </w:rPr>
              <w:t>2022</w:t>
            </w:r>
            <w:r>
              <w:rPr>
                <w:rFonts w:hint="eastAsia" w:hAnsi="宋体" w:cs="宋体"/>
                <w:bCs/>
                <w:color w:val="auto"/>
                <w:sz w:val="21"/>
                <w:highlight w:val="none"/>
              </w:rPr>
              <w:t>年以来的同类项目业绩计算，每提供一份同类项目业绩得</w:t>
            </w:r>
            <w:r>
              <w:rPr>
                <w:rFonts w:hint="eastAsia" w:hAnsi="宋体" w:cs="宋体"/>
                <w:bCs/>
                <w:color w:val="auto"/>
                <w:sz w:val="21"/>
                <w:highlight w:val="none"/>
                <w:lang w:val="en-US" w:eastAsia="zh-CN"/>
              </w:rPr>
              <w:t>1</w:t>
            </w:r>
            <w:r>
              <w:rPr>
                <w:rFonts w:hint="eastAsia" w:hAnsi="宋体" w:cs="宋体"/>
                <w:bCs/>
                <w:color w:val="auto"/>
                <w:sz w:val="21"/>
                <w:highlight w:val="none"/>
              </w:rPr>
              <w:t>分，最高得</w:t>
            </w:r>
            <w:r>
              <w:rPr>
                <w:rFonts w:hint="eastAsia" w:hAnsi="宋体" w:cs="宋体"/>
                <w:bCs/>
                <w:color w:val="auto"/>
                <w:sz w:val="21"/>
                <w:highlight w:val="none"/>
                <w:lang w:val="en-US" w:eastAsia="zh-CN"/>
              </w:rPr>
              <w:t>2</w:t>
            </w:r>
            <w:r>
              <w:rPr>
                <w:rFonts w:hint="eastAsia" w:hAnsi="宋体" w:cs="宋体"/>
                <w:bCs/>
                <w:color w:val="auto"/>
                <w:sz w:val="21"/>
                <w:highlight w:val="none"/>
              </w:rPr>
              <w:t>分。（以采购合同复印件或中标通知书复印件为加分依据）</w:t>
            </w:r>
          </w:p>
        </w:tc>
      </w:tr>
      <w:tr w14:paraId="24BA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30" w:type="dxa"/>
            <w:vAlign w:val="center"/>
          </w:tcPr>
          <w:p w14:paraId="60A33B53">
            <w:pPr>
              <w:adjustRightInd w:val="0"/>
              <w:spacing w:line="340" w:lineRule="exact"/>
              <w:jc w:val="center"/>
              <w:textAlignment w:val="baseline"/>
              <w:rPr>
                <w:rFonts w:ascii="宋体" w:hAnsi="宋体" w:cs="宋体"/>
                <w:b/>
                <w:color w:val="auto"/>
                <w:szCs w:val="21"/>
                <w:highlight w:val="none"/>
              </w:rPr>
            </w:pPr>
            <w:r>
              <w:rPr>
                <w:rFonts w:hint="eastAsia" w:ascii="宋体" w:hAnsi="宋体" w:cs="宋体"/>
                <w:b/>
                <w:color w:val="auto"/>
                <w:szCs w:val="21"/>
                <w:highlight w:val="none"/>
              </w:rPr>
              <w:t>5</w:t>
            </w:r>
          </w:p>
        </w:tc>
        <w:tc>
          <w:tcPr>
            <w:tcW w:w="1280" w:type="dxa"/>
            <w:vAlign w:val="center"/>
          </w:tcPr>
          <w:p w14:paraId="088216FD">
            <w:pPr>
              <w:adjustRightInd w:val="0"/>
              <w:spacing w:line="340" w:lineRule="exact"/>
              <w:jc w:val="center"/>
              <w:textAlignment w:val="baseline"/>
              <w:rPr>
                <w:rFonts w:ascii="宋体" w:hAnsi="宋体" w:cs="宋体"/>
                <w:b/>
                <w:color w:val="auto"/>
                <w:szCs w:val="21"/>
                <w:highlight w:val="none"/>
              </w:rPr>
            </w:pPr>
            <w:r>
              <w:rPr>
                <w:rFonts w:hint="eastAsia" w:ascii="宋体" w:hAnsi="宋体" w:cs="宋体"/>
                <w:b/>
                <w:color w:val="auto"/>
                <w:szCs w:val="21"/>
                <w:highlight w:val="none"/>
              </w:rPr>
              <w:t>政策功能</w:t>
            </w:r>
          </w:p>
        </w:tc>
        <w:tc>
          <w:tcPr>
            <w:tcW w:w="709" w:type="dxa"/>
            <w:vAlign w:val="center"/>
          </w:tcPr>
          <w:p w14:paraId="779DFB7C">
            <w:pPr>
              <w:adjustRightInd w:val="0"/>
              <w:spacing w:line="340" w:lineRule="exact"/>
              <w:jc w:val="center"/>
              <w:textAlignment w:val="baseline"/>
              <w:rPr>
                <w:rFonts w:ascii="宋体" w:hAnsi="宋体" w:cs="宋体"/>
                <w:b/>
                <w:color w:val="auto"/>
                <w:szCs w:val="21"/>
                <w:highlight w:val="none"/>
              </w:rPr>
            </w:pPr>
            <w:r>
              <w:rPr>
                <w:rFonts w:hint="eastAsia" w:ascii="宋体" w:hAnsi="宋体" w:cs="宋体"/>
                <w:b/>
                <w:color w:val="auto"/>
                <w:szCs w:val="21"/>
                <w:highlight w:val="none"/>
                <w:lang w:val="en-US" w:eastAsia="zh-CN"/>
              </w:rPr>
              <w:t>1</w:t>
            </w:r>
            <w:r>
              <w:rPr>
                <w:rFonts w:hint="eastAsia" w:ascii="宋体" w:hAnsi="宋体" w:cs="宋体"/>
                <w:b/>
                <w:color w:val="auto"/>
                <w:szCs w:val="21"/>
                <w:highlight w:val="none"/>
              </w:rPr>
              <w:t>分</w:t>
            </w:r>
          </w:p>
        </w:tc>
        <w:tc>
          <w:tcPr>
            <w:tcW w:w="7125" w:type="dxa"/>
            <w:gridSpan w:val="3"/>
            <w:vAlign w:val="center"/>
          </w:tcPr>
          <w:p w14:paraId="0BAC74F0">
            <w:pPr>
              <w:pStyle w:val="25"/>
              <w:spacing w:line="340" w:lineRule="exact"/>
              <w:ind w:firstLine="420" w:firstLineChars="200"/>
              <w:jc w:val="left"/>
              <w:rPr>
                <w:rFonts w:hAnsi="宋体" w:cs="宋体"/>
                <w:bCs/>
                <w:color w:val="auto"/>
                <w:sz w:val="21"/>
                <w:highlight w:val="none"/>
              </w:rPr>
            </w:pPr>
            <w:r>
              <w:rPr>
                <w:rFonts w:hint="eastAsia" w:hAnsi="宋体" w:cs="宋体"/>
                <w:bCs/>
                <w:color w:val="auto"/>
                <w:sz w:val="21"/>
                <w:highlight w:val="none"/>
              </w:rPr>
              <w:t>（1）主要投标产品（金额占总额50%以上）为政府采购节能产品的得</w:t>
            </w:r>
            <w:r>
              <w:rPr>
                <w:rFonts w:hint="eastAsia" w:hAnsi="宋体" w:cs="宋体"/>
                <w:bCs/>
                <w:color w:val="auto"/>
                <w:sz w:val="21"/>
                <w:highlight w:val="none"/>
                <w:lang w:val="en-US" w:eastAsia="zh-CN"/>
              </w:rPr>
              <w:t>0.5</w:t>
            </w:r>
            <w:r>
              <w:rPr>
                <w:rFonts w:hint="eastAsia" w:hAnsi="宋体" w:cs="宋体"/>
                <w:bCs/>
                <w:color w:val="auto"/>
                <w:sz w:val="21"/>
                <w:highlight w:val="none"/>
              </w:rPr>
              <w:t>分，满分</w:t>
            </w:r>
            <w:r>
              <w:rPr>
                <w:rFonts w:hint="eastAsia" w:hAnsi="宋体" w:cs="宋体"/>
                <w:bCs/>
                <w:color w:val="auto"/>
                <w:sz w:val="21"/>
                <w:highlight w:val="none"/>
                <w:lang w:val="en-US" w:eastAsia="zh-CN"/>
              </w:rPr>
              <w:t>0.5</w:t>
            </w:r>
            <w:r>
              <w:rPr>
                <w:rFonts w:hint="eastAsia" w:hAnsi="宋体" w:cs="宋体"/>
                <w:bCs/>
                <w:color w:val="auto"/>
                <w:sz w:val="21"/>
                <w:highlight w:val="none"/>
              </w:rPr>
              <w:t>分（适用于非强制采购节能产品，以有效的政府采购节能产品认证证书复印件为准，投标产品需清晰反映在证书上）。</w:t>
            </w:r>
          </w:p>
          <w:p w14:paraId="449F478D">
            <w:pPr>
              <w:pStyle w:val="25"/>
              <w:spacing w:line="340" w:lineRule="exact"/>
              <w:ind w:firstLine="420" w:firstLineChars="200"/>
              <w:jc w:val="left"/>
              <w:rPr>
                <w:rFonts w:hAnsi="宋体" w:cs="宋体"/>
                <w:bCs/>
                <w:color w:val="auto"/>
                <w:sz w:val="21"/>
                <w:highlight w:val="none"/>
              </w:rPr>
            </w:pPr>
            <w:r>
              <w:rPr>
                <w:rFonts w:hint="eastAsia" w:hAnsi="宋体" w:cs="宋体"/>
                <w:bCs/>
                <w:color w:val="auto"/>
                <w:sz w:val="21"/>
                <w:highlight w:val="none"/>
              </w:rPr>
              <w:t>（2）主要投标产品（金额占总额50%以上）为政府采购环境标志产品的得</w:t>
            </w:r>
            <w:r>
              <w:rPr>
                <w:rFonts w:hint="eastAsia" w:hAnsi="宋体" w:cs="宋体"/>
                <w:bCs/>
                <w:color w:val="auto"/>
                <w:sz w:val="21"/>
                <w:highlight w:val="none"/>
                <w:lang w:val="en-US" w:eastAsia="zh-CN"/>
              </w:rPr>
              <w:t>0.5</w:t>
            </w:r>
            <w:r>
              <w:rPr>
                <w:rFonts w:hint="eastAsia" w:hAnsi="宋体" w:cs="宋体"/>
                <w:bCs/>
                <w:color w:val="auto"/>
                <w:sz w:val="21"/>
                <w:highlight w:val="none"/>
              </w:rPr>
              <w:t>分，满分</w:t>
            </w:r>
            <w:r>
              <w:rPr>
                <w:rFonts w:hint="eastAsia" w:hAnsi="宋体" w:cs="宋体"/>
                <w:bCs/>
                <w:color w:val="auto"/>
                <w:sz w:val="21"/>
                <w:highlight w:val="none"/>
                <w:lang w:val="en-US" w:eastAsia="zh-CN"/>
              </w:rPr>
              <w:t>0.5</w:t>
            </w:r>
            <w:r>
              <w:rPr>
                <w:rFonts w:hint="eastAsia" w:hAnsi="宋体" w:cs="宋体"/>
                <w:bCs/>
                <w:color w:val="auto"/>
                <w:sz w:val="21"/>
                <w:highlight w:val="none"/>
              </w:rPr>
              <w:t>分（以有效的政府采购环境标志产品认证证书复印件为准，投标产品需清晰反映在证书上）。</w:t>
            </w:r>
          </w:p>
        </w:tc>
      </w:tr>
      <w:tr w14:paraId="07B2E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44" w:type="dxa"/>
            <w:gridSpan w:val="6"/>
            <w:vAlign w:val="center"/>
          </w:tcPr>
          <w:p w14:paraId="1593E2C4">
            <w:pPr>
              <w:pStyle w:val="25"/>
              <w:spacing w:line="340" w:lineRule="exact"/>
              <w:rPr>
                <w:rFonts w:hAnsi="宋体" w:cs="宋体"/>
                <w:bCs/>
                <w:color w:val="auto"/>
                <w:kern w:val="2"/>
                <w:sz w:val="21"/>
                <w:highlight w:val="none"/>
              </w:rPr>
            </w:pPr>
            <w:r>
              <w:rPr>
                <w:rFonts w:hint="eastAsia" w:hAnsi="宋体" w:cs="宋体"/>
                <w:b/>
                <w:bCs/>
                <w:color w:val="auto"/>
                <w:kern w:val="2"/>
                <w:sz w:val="21"/>
                <w:highlight w:val="none"/>
              </w:rPr>
              <w:t>总得分=1+2+3+4+5。</w:t>
            </w:r>
          </w:p>
        </w:tc>
      </w:tr>
    </w:tbl>
    <w:p w14:paraId="7CFD6D1D">
      <w:pPr>
        <w:pStyle w:val="25"/>
        <w:spacing w:line="360" w:lineRule="auto"/>
        <w:ind w:firstLine="420"/>
        <w:rPr>
          <w:rFonts w:hAnsi="宋体"/>
          <w:bCs/>
          <w:color w:val="auto"/>
          <w:sz w:val="21"/>
          <w:highlight w:val="none"/>
        </w:rPr>
      </w:pPr>
      <w:r>
        <w:rPr>
          <w:rFonts w:hint="eastAsia" w:hAnsi="宋体"/>
          <w:bCs/>
          <w:color w:val="auto"/>
          <w:sz w:val="21"/>
          <w:highlight w:val="none"/>
        </w:rPr>
        <w:t>注：1.计分方法按四舍五入取至百分位；</w:t>
      </w:r>
    </w:p>
    <w:p w14:paraId="4C1C5A08">
      <w:pPr>
        <w:pStyle w:val="25"/>
        <w:spacing w:line="360" w:lineRule="auto"/>
        <w:ind w:firstLine="420"/>
        <w:rPr>
          <w:rFonts w:hAnsi="宋体"/>
          <w:bCs/>
          <w:color w:val="auto"/>
          <w:sz w:val="21"/>
          <w:highlight w:val="none"/>
        </w:rPr>
      </w:pPr>
      <w:r>
        <w:rPr>
          <w:rFonts w:hint="eastAsia" w:hAnsi="宋体"/>
          <w:bCs/>
          <w:color w:val="auto"/>
          <w:sz w:val="21"/>
          <w:highlight w:val="none"/>
        </w:rPr>
        <w:t xml:space="preserve">    2.因落实政府采购政策进行价格调整的，以调整后的价格计算评标基准价和投标报价。</w:t>
      </w:r>
    </w:p>
    <w:p w14:paraId="46042D64">
      <w:pPr>
        <w:spacing w:line="360" w:lineRule="auto"/>
        <w:ind w:firstLine="420" w:firstLineChars="200"/>
        <w:rPr>
          <w:rFonts w:ascii="宋体" w:hAnsi="宋体" w:cs="宋体"/>
          <w:color w:val="auto"/>
          <w:szCs w:val="21"/>
          <w:highlight w:val="none"/>
        </w:rPr>
      </w:pPr>
      <w:r>
        <w:rPr>
          <w:rFonts w:ascii="宋体" w:hAnsi="宋体"/>
          <w:color w:val="auto"/>
          <w:highlight w:val="none"/>
        </w:rPr>
        <w:br w:type="page"/>
      </w:r>
    </w:p>
    <w:p w14:paraId="0086D7F3">
      <w:pPr>
        <w:pStyle w:val="7"/>
        <w:keepNext w:val="0"/>
        <w:keepLines w:val="0"/>
        <w:jc w:val="center"/>
        <w:rPr>
          <w:rFonts w:ascii="宋体" w:hAnsi="宋体"/>
          <w:color w:val="auto"/>
          <w:sz w:val="30"/>
          <w:szCs w:val="30"/>
          <w:highlight w:val="none"/>
        </w:rPr>
      </w:pPr>
      <w:r>
        <w:rPr>
          <w:rFonts w:hint="eastAsia" w:ascii="宋体" w:hAnsi="宋体"/>
          <w:color w:val="auto"/>
          <w:sz w:val="30"/>
          <w:szCs w:val="30"/>
          <w:highlight w:val="none"/>
        </w:rPr>
        <w:t>四、中标候选人推荐原则</w:t>
      </w:r>
    </w:p>
    <w:p w14:paraId="6C599711">
      <w:pPr>
        <w:pStyle w:val="25"/>
        <w:spacing w:line="360" w:lineRule="auto"/>
        <w:contextualSpacing/>
        <w:rPr>
          <w:rFonts w:hAnsi="宋体"/>
          <w:b/>
          <w:bCs/>
          <w:color w:val="auto"/>
          <w:sz w:val="24"/>
          <w:szCs w:val="24"/>
          <w:highlight w:val="none"/>
        </w:rPr>
      </w:pPr>
      <w:r>
        <w:rPr>
          <w:rFonts w:hint="eastAsia" w:hAnsi="宋体"/>
          <w:b/>
          <w:bCs/>
          <w:color w:val="auto"/>
          <w:sz w:val="24"/>
          <w:szCs w:val="24"/>
          <w:highlight w:val="none"/>
        </w:rPr>
        <w:t>（一）综合评分法</w:t>
      </w:r>
    </w:p>
    <w:p w14:paraId="46EC7BC4">
      <w:pPr>
        <w:pStyle w:val="25"/>
        <w:spacing w:line="360" w:lineRule="auto"/>
        <w:ind w:firstLine="420" w:firstLineChars="200"/>
        <w:contextualSpacing/>
        <w:rPr>
          <w:rFonts w:hAnsi="宋体"/>
          <w:color w:val="auto"/>
          <w:sz w:val="21"/>
          <w:highlight w:val="none"/>
        </w:rPr>
      </w:pPr>
      <w:r>
        <w:rPr>
          <w:rFonts w:hint="eastAsia" w:hAnsi="宋体"/>
          <w:color w:val="auto"/>
          <w:sz w:val="21"/>
          <w:highlight w:val="none"/>
        </w:rPr>
        <w:t>评标委员会将根据总得分由高到低排列次序并推荐中标候选人。</w:t>
      </w:r>
      <w:r>
        <w:rPr>
          <w:rFonts w:hAnsi="宋体"/>
          <w:color w:val="auto"/>
          <w:sz w:val="21"/>
          <w:highlight w:val="none"/>
        </w:rPr>
        <w:t>得分相同的，按投标报价由低到高顺序排列。得分且投标报价相同的并列。投标文件满足招标文件全部实质性要求，且按照评审因素的量化指标评审得分最高的投标人为排名第一的中标候选人。</w:t>
      </w:r>
    </w:p>
    <w:p w14:paraId="298D9FF2">
      <w:pPr>
        <w:pStyle w:val="25"/>
        <w:spacing w:line="360" w:lineRule="auto"/>
        <w:ind w:firstLine="420" w:firstLineChars="200"/>
        <w:contextualSpacing/>
        <w:rPr>
          <w:rFonts w:hAnsi="宋体"/>
          <w:color w:val="auto"/>
          <w:sz w:val="21"/>
          <w:highlight w:val="none"/>
        </w:rPr>
      </w:pPr>
    </w:p>
    <w:p w14:paraId="47F22955">
      <w:pPr>
        <w:spacing w:before="120" w:beforeLines="50" w:after="120" w:afterLines="50" w:line="400" w:lineRule="exact"/>
        <w:rPr>
          <w:rFonts w:ascii="宋体" w:hAnsi="宋体"/>
          <w:b/>
          <w:color w:val="auto"/>
          <w:sz w:val="24"/>
          <w:highlight w:val="none"/>
        </w:rPr>
      </w:pPr>
    </w:p>
    <w:p w14:paraId="386F1FCF">
      <w:pPr>
        <w:spacing w:before="120" w:beforeLines="50" w:after="120" w:afterLines="50" w:line="400" w:lineRule="exact"/>
        <w:rPr>
          <w:rFonts w:ascii="宋体" w:hAnsi="宋体"/>
          <w:b/>
          <w:color w:val="auto"/>
          <w:sz w:val="24"/>
          <w:highlight w:val="none"/>
        </w:rPr>
      </w:pPr>
    </w:p>
    <w:p w14:paraId="5F63EDA0">
      <w:pPr>
        <w:spacing w:before="120" w:beforeLines="50" w:after="120" w:afterLines="50" w:line="400" w:lineRule="exact"/>
        <w:rPr>
          <w:rFonts w:ascii="宋体" w:hAnsi="宋体"/>
          <w:b/>
          <w:color w:val="auto"/>
          <w:sz w:val="24"/>
          <w:highlight w:val="none"/>
        </w:rPr>
      </w:pPr>
    </w:p>
    <w:p w14:paraId="6BC4045A">
      <w:pPr>
        <w:spacing w:before="120" w:beforeLines="50" w:after="120" w:afterLines="50" w:line="400" w:lineRule="exact"/>
        <w:rPr>
          <w:rFonts w:ascii="宋体" w:hAnsi="宋体"/>
          <w:b/>
          <w:color w:val="auto"/>
          <w:sz w:val="24"/>
          <w:highlight w:val="none"/>
        </w:rPr>
      </w:pPr>
    </w:p>
    <w:p w14:paraId="59E6A3DE">
      <w:pPr>
        <w:spacing w:before="120" w:beforeLines="50" w:after="120" w:afterLines="50" w:line="400" w:lineRule="exact"/>
        <w:rPr>
          <w:rFonts w:ascii="宋体" w:hAnsi="宋体"/>
          <w:b/>
          <w:color w:val="auto"/>
          <w:sz w:val="24"/>
          <w:highlight w:val="none"/>
        </w:rPr>
      </w:pPr>
    </w:p>
    <w:p w14:paraId="738E8917">
      <w:pPr>
        <w:spacing w:before="120" w:beforeLines="50" w:after="120" w:afterLines="50" w:line="400" w:lineRule="exact"/>
        <w:rPr>
          <w:rFonts w:ascii="宋体" w:hAnsi="宋体"/>
          <w:b/>
          <w:color w:val="auto"/>
          <w:sz w:val="24"/>
          <w:highlight w:val="none"/>
        </w:rPr>
      </w:pPr>
    </w:p>
    <w:p w14:paraId="2E3F59BA">
      <w:pPr>
        <w:spacing w:before="120" w:beforeLines="50" w:after="120" w:afterLines="50" w:line="400" w:lineRule="exact"/>
        <w:rPr>
          <w:rFonts w:ascii="宋体" w:hAnsi="宋体"/>
          <w:b/>
          <w:color w:val="auto"/>
          <w:sz w:val="24"/>
          <w:highlight w:val="none"/>
        </w:rPr>
      </w:pPr>
    </w:p>
    <w:p w14:paraId="63B4CA7B">
      <w:pPr>
        <w:spacing w:before="120" w:beforeLines="50" w:after="120" w:afterLines="50" w:line="400" w:lineRule="exact"/>
        <w:rPr>
          <w:rFonts w:ascii="宋体" w:hAnsi="宋体"/>
          <w:b/>
          <w:color w:val="auto"/>
          <w:sz w:val="24"/>
          <w:highlight w:val="none"/>
        </w:rPr>
      </w:pPr>
    </w:p>
    <w:p w14:paraId="5CF0A741">
      <w:pPr>
        <w:spacing w:before="120" w:beforeLines="50" w:after="120" w:afterLines="50" w:line="400" w:lineRule="exact"/>
        <w:rPr>
          <w:rFonts w:ascii="宋体" w:hAnsi="宋体"/>
          <w:b/>
          <w:color w:val="auto"/>
          <w:sz w:val="24"/>
          <w:highlight w:val="none"/>
        </w:rPr>
      </w:pPr>
    </w:p>
    <w:p w14:paraId="3CC2D88D">
      <w:pPr>
        <w:spacing w:before="120" w:beforeLines="50" w:after="120" w:afterLines="50" w:line="400" w:lineRule="exact"/>
        <w:rPr>
          <w:rFonts w:ascii="宋体" w:hAnsi="宋体"/>
          <w:b/>
          <w:color w:val="auto"/>
          <w:sz w:val="24"/>
          <w:highlight w:val="none"/>
        </w:rPr>
      </w:pPr>
    </w:p>
    <w:p w14:paraId="468780A5">
      <w:pPr>
        <w:pStyle w:val="6"/>
        <w:keepNext w:val="0"/>
        <w:keepLines w:val="0"/>
        <w:jc w:val="center"/>
        <w:rPr>
          <w:rFonts w:ascii="宋体" w:hAnsi="宋体" w:eastAsia="宋体"/>
          <w:color w:val="auto"/>
          <w:highlight w:val="none"/>
        </w:rPr>
      </w:pPr>
      <w:r>
        <w:rPr>
          <w:rFonts w:ascii="宋体" w:hAnsi="宋体" w:eastAsia="宋体"/>
          <w:color w:val="auto"/>
          <w:highlight w:val="none"/>
        </w:rPr>
        <w:br w:type="page"/>
      </w:r>
    </w:p>
    <w:p w14:paraId="5B3B4B8E">
      <w:pPr>
        <w:pStyle w:val="6"/>
        <w:keepNext w:val="0"/>
        <w:keepLines w:val="0"/>
        <w:jc w:val="center"/>
        <w:rPr>
          <w:rFonts w:ascii="宋体" w:hAnsi="宋体" w:eastAsia="宋体"/>
          <w:color w:val="auto"/>
          <w:highlight w:val="none"/>
        </w:rPr>
      </w:pPr>
    </w:p>
    <w:p w14:paraId="69485744">
      <w:pPr>
        <w:pStyle w:val="6"/>
        <w:keepNext w:val="0"/>
        <w:keepLines w:val="0"/>
        <w:jc w:val="center"/>
        <w:rPr>
          <w:rFonts w:ascii="宋体" w:hAnsi="宋体" w:eastAsia="宋体"/>
          <w:color w:val="auto"/>
          <w:highlight w:val="none"/>
        </w:rPr>
      </w:pPr>
    </w:p>
    <w:p w14:paraId="7CB5752C">
      <w:pPr>
        <w:pStyle w:val="6"/>
        <w:keepNext w:val="0"/>
        <w:keepLines w:val="0"/>
        <w:jc w:val="center"/>
        <w:rPr>
          <w:rFonts w:ascii="宋体" w:hAnsi="宋体" w:eastAsia="宋体"/>
          <w:color w:val="auto"/>
          <w:highlight w:val="none"/>
        </w:rPr>
      </w:pPr>
    </w:p>
    <w:p w14:paraId="6C957E1B">
      <w:pPr>
        <w:pStyle w:val="6"/>
        <w:keepNext w:val="0"/>
        <w:keepLines w:val="0"/>
        <w:jc w:val="center"/>
        <w:rPr>
          <w:rFonts w:ascii="宋体" w:hAnsi="宋体" w:eastAsia="宋体"/>
          <w:color w:val="auto"/>
          <w:highlight w:val="none"/>
        </w:rPr>
      </w:pPr>
    </w:p>
    <w:p w14:paraId="3E2CDD65">
      <w:pPr>
        <w:pStyle w:val="6"/>
        <w:keepNext w:val="0"/>
        <w:keepLines w:val="0"/>
        <w:jc w:val="center"/>
        <w:rPr>
          <w:rFonts w:ascii="宋体" w:hAnsi="宋体" w:eastAsia="宋体"/>
          <w:color w:val="auto"/>
          <w:highlight w:val="none"/>
        </w:rPr>
      </w:pPr>
    </w:p>
    <w:p w14:paraId="2591ECE3">
      <w:pPr>
        <w:pStyle w:val="6"/>
        <w:keepNext w:val="0"/>
        <w:keepLines w:val="0"/>
        <w:jc w:val="center"/>
        <w:rPr>
          <w:rFonts w:ascii="宋体" w:hAnsi="宋体" w:eastAsia="宋体"/>
          <w:color w:val="auto"/>
          <w:highlight w:val="none"/>
        </w:rPr>
      </w:pPr>
    </w:p>
    <w:p w14:paraId="105830F3">
      <w:pPr>
        <w:pStyle w:val="5"/>
        <w:jc w:val="center"/>
        <w:rPr>
          <w:rFonts w:ascii="宋体" w:hAnsi="宋体"/>
          <w:color w:val="auto"/>
          <w:highlight w:val="none"/>
        </w:rPr>
      </w:pPr>
      <w:bookmarkStart w:id="145" w:name="_Toc74320804"/>
      <w:r>
        <w:rPr>
          <w:rFonts w:hint="eastAsia" w:ascii="宋体" w:hAnsi="宋体"/>
          <w:color w:val="auto"/>
          <w:highlight w:val="none"/>
        </w:rPr>
        <w:t>第五章  拟签订的合同文本</w:t>
      </w:r>
      <w:bookmarkEnd w:id="145"/>
    </w:p>
    <w:p w14:paraId="32D17B9B">
      <w:pPr>
        <w:snapToGrid w:val="0"/>
        <w:jc w:val="center"/>
        <w:rPr>
          <w:rFonts w:ascii="宋体" w:hAnsi="宋体"/>
          <w:bCs/>
          <w:color w:val="auto"/>
          <w:sz w:val="32"/>
          <w:szCs w:val="32"/>
          <w:highlight w:val="none"/>
        </w:rPr>
      </w:pPr>
    </w:p>
    <w:p w14:paraId="3F14CC7F">
      <w:pPr>
        <w:snapToGrid w:val="0"/>
        <w:jc w:val="center"/>
        <w:rPr>
          <w:rFonts w:ascii="宋体" w:hAnsi="宋体"/>
          <w:bCs/>
          <w:color w:val="auto"/>
          <w:sz w:val="32"/>
          <w:szCs w:val="32"/>
          <w:highlight w:val="none"/>
        </w:rPr>
      </w:pPr>
    </w:p>
    <w:p w14:paraId="7C73E504">
      <w:pPr>
        <w:snapToGrid w:val="0"/>
        <w:jc w:val="center"/>
        <w:rPr>
          <w:rFonts w:ascii="宋体" w:hAnsi="宋体"/>
          <w:bCs/>
          <w:color w:val="auto"/>
          <w:sz w:val="32"/>
          <w:szCs w:val="32"/>
          <w:highlight w:val="none"/>
        </w:rPr>
      </w:pPr>
    </w:p>
    <w:p w14:paraId="5313F1FE">
      <w:pPr>
        <w:snapToGrid w:val="0"/>
        <w:jc w:val="center"/>
        <w:rPr>
          <w:rFonts w:ascii="宋体" w:hAnsi="宋体"/>
          <w:bCs/>
          <w:color w:val="auto"/>
          <w:sz w:val="32"/>
          <w:szCs w:val="32"/>
          <w:highlight w:val="none"/>
        </w:rPr>
      </w:pPr>
    </w:p>
    <w:p w14:paraId="55912ADD">
      <w:pPr>
        <w:snapToGrid w:val="0"/>
        <w:jc w:val="center"/>
        <w:rPr>
          <w:rFonts w:ascii="宋体" w:hAnsi="宋体"/>
          <w:bCs/>
          <w:color w:val="auto"/>
          <w:sz w:val="32"/>
          <w:szCs w:val="32"/>
          <w:highlight w:val="none"/>
        </w:rPr>
      </w:pPr>
    </w:p>
    <w:p w14:paraId="68BE921D">
      <w:pPr>
        <w:snapToGrid w:val="0"/>
        <w:jc w:val="center"/>
        <w:rPr>
          <w:rFonts w:ascii="宋体" w:hAnsi="宋体"/>
          <w:bCs/>
          <w:color w:val="auto"/>
          <w:sz w:val="32"/>
          <w:szCs w:val="32"/>
          <w:highlight w:val="none"/>
        </w:rPr>
      </w:pPr>
    </w:p>
    <w:p w14:paraId="590810C0">
      <w:pPr>
        <w:snapToGrid w:val="0"/>
        <w:jc w:val="center"/>
        <w:rPr>
          <w:rFonts w:ascii="宋体" w:hAnsi="宋体"/>
          <w:bCs/>
          <w:color w:val="auto"/>
          <w:sz w:val="32"/>
          <w:szCs w:val="32"/>
          <w:highlight w:val="none"/>
        </w:rPr>
      </w:pPr>
    </w:p>
    <w:p w14:paraId="2ABA95A2">
      <w:pPr>
        <w:snapToGrid w:val="0"/>
        <w:jc w:val="center"/>
        <w:rPr>
          <w:rFonts w:ascii="宋体" w:hAnsi="宋体"/>
          <w:bCs/>
          <w:color w:val="auto"/>
          <w:sz w:val="32"/>
          <w:szCs w:val="32"/>
          <w:highlight w:val="none"/>
        </w:rPr>
      </w:pPr>
    </w:p>
    <w:p w14:paraId="53D6278B">
      <w:pPr>
        <w:snapToGrid w:val="0"/>
        <w:jc w:val="center"/>
        <w:rPr>
          <w:rFonts w:ascii="宋体" w:hAnsi="宋体"/>
          <w:bCs/>
          <w:color w:val="auto"/>
          <w:sz w:val="32"/>
          <w:szCs w:val="32"/>
          <w:highlight w:val="none"/>
        </w:rPr>
      </w:pPr>
    </w:p>
    <w:p w14:paraId="62A8421D">
      <w:pPr>
        <w:snapToGrid w:val="0"/>
        <w:jc w:val="center"/>
        <w:rPr>
          <w:rFonts w:ascii="宋体" w:hAnsi="宋体"/>
          <w:bCs/>
          <w:color w:val="auto"/>
          <w:sz w:val="32"/>
          <w:szCs w:val="32"/>
          <w:highlight w:val="none"/>
        </w:rPr>
      </w:pPr>
    </w:p>
    <w:p w14:paraId="46FF365F">
      <w:pPr>
        <w:snapToGrid w:val="0"/>
        <w:jc w:val="center"/>
        <w:rPr>
          <w:rFonts w:ascii="宋体" w:hAnsi="宋体"/>
          <w:bCs/>
          <w:color w:val="auto"/>
          <w:sz w:val="32"/>
          <w:szCs w:val="32"/>
          <w:highlight w:val="none"/>
        </w:rPr>
      </w:pPr>
    </w:p>
    <w:p w14:paraId="37C6EE19">
      <w:pPr>
        <w:snapToGrid w:val="0"/>
        <w:jc w:val="center"/>
        <w:rPr>
          <w:rFonts w:ascii="宋体" w:hAnsi="宋体"/>
          <w:bCs/>
          <w:color w:val="auto"/>
          <w:sz w:val="32"/>
          <w:szCs w:val="32"/>
          <w:highlight w:val="none"/>
        </w:rPr>
      </w:pPr>
    </w:p>
    <w:p w14:paraId="59C69DDB">
      <w:pPr>
        <w:pStyle w:val="25"/>
        <w:tabs>
          <w:tab w:val="left" w:pos="422"/>
          <w:tab w:val="center" w:pos="5198"/>
        </w:tabs>
        <w:spacing w:line="840" w:lineRule="exact"/>
        <w:ind w:firstLine="420"/>
        <w:jc w:val="center"/>
        <w:rPr>
          <w:rFonts w:hint="eastAsia" w:hAnsi="宋体"/>
          <w:b/>
          <w:bCs/>
          <w:color w:val="auto"/>
          <w:sz w:val="72"/>
          <w:highlight w:val="none"/>
        </w:rPr>
      </w:pPr>
      <w:r>
        <w:rPr>
          <w:rFonts w:ascii="宋体" w:hAnsi="宋体"/>
          <w:bCs/>
          <w:color w:val="auto"/>
          <w:sz w:val="32"/>
          <w:szCs w:val="32"/>
          <w:highlight w:val="none"/>
        </w:rPr>
        <w:br w:type="page"/>
      </w:r>
      <w:bookmarkStart w:id="146" w:name="_Hlk55381736"/>
    </w:p>
    <w:p w14:paraId="5D7A9E35">
      <w:pPr>
        <w:pStyle w:val="25"/>
        <w:tabs>
          <w:tab w:val="left" w:pos="422"/>
          <w:tab w:val="center" w:pos="5198"/>
        </w:tabs>
        <w:spacing w:line="840" w:lineRule="exact"/>
        <w:jc w:val="center"/>
        <w:rPr>
          <w:rFonts w:hint="eastAsia" w:ascii="华文中宋" w:hAnsi="华文中宋" w:eastAsia="华文中宋" w:cs="华文中宋"/>
          <w:b/>
          <w:bCs/>
          <w:color w:val="auto"/>
          <w:sz w:val="72"/>
          <w:highlight w:val="none"/>
        </w:rPr>
      </w:pPr>
      <w:r>
        <w:rPr>
          <w:rFonts w:hint="eastAsia" w:ascii="华文中宋" w:hAnsi="华文中宋" w:eastAsia="华文中宋" w:cs="华文中宋"/>
          <w:b/>
          <w:bCs/>
          <w:color w:val="auto"/>
          <w:sz w:val="72"/>
          <w:highlight w:val="none"/>
        </w:rPr>
        <w:t>广西壮族自治区人民医院</w:t>
      </w:r>
    </w:p>
    <w:p w14:paraId="7F0C5944">
      <w:pPr>
        <w:pStyle w:val="25"/>
        <w:tabs>
          <w:tab w:val="left" w:pos="422"/>
          <w:tab w:val="center" w:pos="5198"/>
        </w:tabs>
        <w:spacing w:line="840" w:lineRule="exact"/>
        <w:ind w:firstLine="420"/>
        <w:jc w:val="center"/>
        <w:rPr>
          <w:rFonts w:hint="eastAsia" w:ascii="华文中宋" w:hAnsi="华文中宋" w:eastAsia="华文中宋" w:cs="华文中宋"/>
          <w:b/>
          <w:bCs/>
          <w:color w:val="auto"/>
          <w:sz w:val="72"/>
          <w:highlight w:val="none"/>
        </w:rPr>
      </w:pPr>
      <w:r>
        <w:rPr>
          <w:rFonts w:hint="eastAsia" w:ascii="华文中宋" w:hAnsi="华文中宋" w:eastAsia="华文中宋" w:cs="华文中宋"/>
          <w:b/>
          <w:bCs/>
          <w:color w:val="auto"/>
          <w:sz w:val="72"/>
          <w:highlight w:val="none"/>
        </w:rPr>
        <w:t>采购合同书</w:t>
      </w:r>
    </w:p>
    <w:p w14:paraId="4D1BAA3F">
      <w:pPr>
        <w:pStyle w:val="25"/>
        <w:spacing w:line="340" w:lineRule="exact"/>
        <w:ind w:firstLine="420"/>
        <w:rPr>
          <w:rFonts w:hint="eastAsia" w:hAnsi="宋体"/>
          <w:color w:val="auto"/>
          <w:highlight w:val="none"/>
        </w:rPr>
      </w:pPr>
    </w:p>
    <w:p w14:paraId="56BFD51B">
      <w:pPr>
        <w:pStyle w:val="25"/>
        <w:spacing w:line="340" w:lineRule="exact"/>
        <w:rPr>
          <w:rFonts w:hint="eastAsia" w:hAnsi="宋体"/>
          <w:color w:val="auto"/>
          <w:highlight w:val="none"/>
        </w:rPr>
      </w:pPr>
    </w:p>
    <w:p w14:paraId="58DAFDEF">
      <w:pPr>
        <w:pStyle w:val="25"/>
        <w:spacing w:line="340" w:lineRule="exact"/>
        <w:rPr>
          <w:rFonts w:hint="eastAsia" w:hAnsi="宋体"/>
          <w:color w:val="auto"/>
          <w:highlight w:val="none"/>
        </w:rPr>
      </w:pPr>
    </w:p>
    <w:p w14:paraId="641CB533">
      <w:pPr>
        <w:pStyle w:val="25"/>
        <w:spacing w:line="340" w:lineRule="exact"/>
        <w:rPr>
          <w:rFonts w:hint="eastAsia" w:hAnsi="宋体"/>
          <w:color w:val="auto"/>
          <w:highlight w:val="none"/>
        </w:rPr>
      </w:pPr>
    </w:p>
    <w:p w14:paraId="4C3F183A">
      <w:pPr>
        <w:pStyle w:val="25"/>
        <w:spacing w:line="340" w:lineRule="exact"/>
        <w:rPr>
          <w:rFonts w:hint="eastAsia" w:hAnsi="宋体"/>
          <w:color w:val="auto"/>
          <w:highlight w:val="none"/>
        </w:rPr>
      </w:pPr>
    </w:p>
    <w:p w14:paraId="67957392">
      <w:pPr>
        <w:pStyle w:val="25"/>
        <w:spacing w:line="340" w:lineRule="exact"/>
        <w:rPr>
          <w:rFonts w:hint="eastAsia" w:hAnsi="宋体"/>
          <w:color w:val="auto"/>
          <w:highlight w:val="none"/>
        </w:rPr>
      </w:pPr>
    </w:p>
    <w:p w14:paraId="298EB0EA">
      <w:pPr>
        <w:pStyle w:val="25"/>
        <w:spacing w:line="340" w:lineRule="exact"/>
        <w:rPr>
          <w:rFonts w:hint="eastAsia" w:hAnsi="宋体"/>
          <w:color w:val="auto"/>
          <w:highlight w:val="none"/>
        </w:rPr>
      </w:pPr>
    </w:p>
    <w:p w14:paraId="47FAA93A">
      <w:pPr>
        <w:pStyle w:val="25"/>
        <w:spacing w:line="340" w:lineRule="exact"/>
        <w:rPr>
          <w:rFonts w:hint="eastAsia" w:hAnsi="宋体"/>
          <w:color w:val="auto"/>
          <w:highlight w:val="none"/>
        </w:rPr>
      </w:pPr>
    </w:p>
    <w:p w14:paraId="12639B25">
      <w:pPr>
        <w:pStyle w:val="25"/>
        <w:spacing w:line="340" w:lineRule="exact"/>
        <w:rPr>
          <w:rFonts w:hint="eastAsia" w:hAnsi="宋体"/>
          <w:color w:val="auto"/>
          <w:highlight w:val="none"/>
        </w:rPr>
      </w:pPr>
    </w:p>
    <w:p w14:paraId="48A5750A">
      <w:pPr>
        <w:pStyle w:val="25"/>
        <w:spacing w:line="340" w:lineRule="exact"/>
        <w:rPr>
          <w:rFonts w:hint="eastAsia" w:hAnsi="宋体"/>
          <w:color w:val="auto"/>
          <w:highlight w:val="none"/>
        </w:rPr>
      </w:pPr>
    </w:p>
    <w:p w14:paraId="3B107258">
      <w:pPr>
        <w:pStyle w:val="25"/>
        <w:spacing w:line="340" w:lineRule="exact"/>
        <w:rPr>
          <w:rFonts w:hint="eastAsia" w:hAnsi="宋体"/>
          <w:color w:val="auto"/>
          <w:highlight w:val="none"/>
        </w:rPr>
      </w:pPr>
    </w:p>
    <w:p w14:paraId="4341594E">
      <w:pPr>
        <w:pStyle w:val="25"/>
        <w:spacing w:line="340" w:lineRule="exact"/>
        <w:rPr>
          <w:rFonts w:hint="eastAsia" w:hAnsi="宋体"/>
          <w:color w:val="auto"/>
          <w:highlight w:val="none"/>
        </w:rPr>
      </w:pPr>
    </w:p>
    <w:p w14:paraId="719E5AEA">
      <w:pPr>
        <w:pStyle w:val="25"/>
        <w:spacing w:line="340" w:lineRule="exact"/>
        <w:rPr>
          <w:rFonts w:hint="eastAsia" w:hAnsi="宋体"/>
          <w:color w:val="auto"/>
          <w:highlight w:val="none"/>
        </w:rPr>
      </w:pPr>
    </w:p>
    <w:p w14:paraId="4F7F9777">
      <w:pPr>
        <w:pStyle w:val="25"/>
        <w:spacing w:line="500" w:lineRule="exact"/>
        <w:ind w:left="1674" w:leftChars="797" w:firstLine="5" w:firstLineChars="0"/>
        <w:rPr>
          <w:rFonts w:hint="eastAsia" w:hAnsi="宋体"/>
          <w:b/>
          <w:color w:val="auto"/>
          <w:spacing w:val="37"/>
          <w:kern w:val="0"/>
          <w:sz w:val="30"/>
          <w:szCs w:val="30"/>
          <w:highlight w:val="none"/>
          <w:fitText w:val="337" w:id="1939154515"/>
        </w:rPr>
      </w:pPr>
    </w:p>
    <w:p w14:paraId="2D500427">
      <w:pPr>
        <w:pStyle w:val="25"/>
        <w:spacing w:line="500" w:lineRule="exact"/>
        <w:ind w:left="1674" w:leftChars="797" w:firstLine="5" w:firstLineChars="0"/>
        <w:rPr>
          <w:rFonts w:hint="eastAsia" w:hAnsi="宋体"/>
          <w:b/>
          <w:color w:val="auto"/>
          <w:kern w:val="0"/>
          <w:sz w:val="30"/>
          <w:szCs w:val="30"/>
          <w:highlight w:val="none"/>
        </w:rPr>
      </w:pPr>
    </w:p>
    <w:p w14:paraId="407EDDA7">
      <w:pPr>
        <w:pStyle w:val="25"/>
        <w:spacing w:line="500" w:lineRule="exact"/>
        <w:ind w:left="1674" w:leftChars="797" w:firstLine="5" w:firstLineChars="0"/>
        <w:rPr>
          <w:rFonts w:hint="eastAsia" w:hAnsi="宋体"/>
          <w:b/>
          <w:color w:val="auto"/>
          <w:kern w:val="0"/>
          <w:sz w:val="30"/>
          <w:szCs w:val="30"/>
          <w:highlight w:val="none"/>
        </w:rPr>
      </w:pPr>
    </w:p>
    <w:tbl>
      <w:tblPr>
        <w:tblStyle w:val="47"/>
        <w:tblpPr w:leftFromText="180" w:rightFromText="180" w:vertAnchor="text" w:horzAnchor="page" w:tblpX="3029" w:tblpY="84"/>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60"/>
        <w:gridCol w:w="5239"/>
      </w:tblGrid>
      <w:tr w14:paraId="29C32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760" w:type="dxa"/>
            <w:noWrap w:val="0"/>
            <w:vAlign w:val="top"/>
          </w:tcPr>
          <w:p w14:paraId="5B3D108F">
            <w:pPr>
              <w:pStyle w:val="25"/>
              <w:spacing w:line="500" w:lineRule="exact"/>
              <w:jc w:val="both"/>
              <w:rPr>
                <w:rFonts w:hint="eastAsia" w:hAnsi="宋体"/>
                <w:b/>
                <w:color w:val="auto"/>
                <w:spacing w:val="37"/>
                <w:kern w:val="0"/>
                <w:sz w:val="30"/>
                <w:szCs w:val="30"/>
                <w:highlight w:val="none"/>
                <w:fitText w:val="337" w:id="1939154515"/>
                <w:vertAlign w:val="baseline"/>
              </w:rPr>
            </w:pPr>
            <w:r>
              <w:rPr>
                <w:rFonts w:hint="eastAsia" w:hAnsi="宋体"/>
                <w:b/>
                <w:color w:val="auto"/>
                <w:spacing w:val="37"/>
                <w:kern w:val="0"/>
                <w:sz w:val="30"/>
                <w:szCs w:val="30"/>
                <w:highlight w:val="none"/>
                <w:fitText w:val="1800" w:id="1515791597"/>
              </w:rPr>
              <w:t>合同名称</w:t>
            </w:r>
            <w:r>
              <w:rPr>
                <w:rFonts w:hint="eastAsia" w:hAnsi="宋体"/>
                <w:b/>
                <w:color w:val="auto"/>
                <w:spacing w:val="2"/>
                <w:kern w:val="0"/>
                <w:sz w:val="30"/>
                <w:szCs w:val="30"/>
                <w:highlight w:val="none"/>
                <w:fitText w:val="1800" w:id="1515791597"/>
              </w:rPr>
              <w:t>：</w:t>
            </w:r>
          </w:p>
        </w:tc>
        <w:tc>
          <w:tcPr>
            <w:tcW w:w="5239" w:type="dxa"/>
            <w:tcBorders>
              <w:bottom w:val="nil"/>
            </w:tcBorders>
            <w:noWrap w:val="0"/>
            <w:vAlign w:val="center"/>
          </w:tcPr>
          <w:p w14:paraId="63CA4D54">
            <w:pPr>
              <w:pStyle w:val="25"/>
              <w:spacing w:line="500" w:lineRule="exact"/>
              <w:jc w:val="both"/>
              <w:rPr>
                <w:rFonts w:hint="default" w:hAnsi="宋体"/>
                <w:b/>
                <w:color w:val="auto"/>
                <w:kern w:val="0"/>
                <w:sz w:val="30"/>
                <w:szCs w:val="30"/>
                <w:highlight w:val="none"/>
                <w:vertAlign w:val="baseline"/>
                <w:lang w:val="en-US"/>
              </w:rPr>
            </w:pPr>
          </w:p>
        </w:tc>
      </w:tr>
      <w:tr w14:paraId="39EF1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760" w:type="dxa"/>
            <w:noWrap w:val="0"/>
            <w:vAlign w:val="top"/>
          </w:tcPr>
          <w:p w14:paraId="5A55B37C">
            <w:pPr>
              <w:pStyle w:val="25"/>
              <w:spacing w:line="500" w:lineRule="exact"/>
              <w:jc w:val="both"/>
              <w:rPr>
                <w:rFonts w:hint="eastAsia" w:hAnsi="宋体"/>
                <w:b/>
                <w:color w:val="auto"/>
                <w:kern w:val="0"/>
                <w:sz w:val="30"/>
                <w:szCs w:val="30"/>
                <w:highlight w:val="none"/>
                <w:vertAlign w:val="baseline"/>
              </w:rPr>
            </w:pPr>
            <w:r>
              <w:rPr>
                <w:rFonts w:hint="eastAsia" w:hAnsi="宋体"/>
                <w:b/>
                <w:color w:val="auto"/>
                <w:spacing w:val="37"/>
                <w:kern w:val="0"/>
                <w:sz w:val="30"/>
                <w:szCs w:val="30"/>
                <w:highlight w:val="none"/>
                <w:fitText w:val="1800" w:id="1088845853"/>
              </w:rPr>
              <w:t>合同编号</w:t>
            </w:r>
            <w:r>
              <w:rPr>
                <w:rFonts w:hint="eastAsia" w:hAnsi="宋体"/>
                <w:b/>
                <w:color w:val="auto"/>
                <w:spacing w:val="2"/>
                <w:kern w:val="0"/>
                <w:sz w:val="30"/>
                <w:szCs w:val="30"/>
                <w:highlight w:val="none"/>
                <w:fitText w:val="1800" w:id="1088845853"/>
              </w:rPr>
              <w:t>：</w:t>
            </w:r>
          </w:p>
        </w:tc>
        <w:tc>
          <w:tcPr>
            <w:tcW w:w="5239" w:type="dxa"/>
            <w:tcBorders>
              <w:top w:val="nil"/>
              <w:bottom w:val="nil"/>
            </w:tcBorders>
            <w:noWrap w:val="0"/>
            <w:vAlign w:val="center"/>
          </w:tcPr>
          <w:p w14:paraId="1011C9CE">
            <w:pPr>
              <w:pStyle w:val="25"/>
              <w:spacing w:line="500" w:lineRule="exact"/>
              <w:jc w:val="both"/>
              <w:rPr>
                <w:rFonts w:hint="eastAsia" w:hAnsi="宋体"/>
                <w:b/>
                <w:color w:val="auto"/>
                <w:kern w:val="0"/>
                <w:sz w:val="30"/>
                <w:szCs w:val="30"/>
                <w:highlight w:val="none"/>
                <w:vertAlign w:val="baseline"/>
              </w:rPr>
            </w:pPr>
          </w:p>
        </w:tc>
      </w:tr>
      <w:tr w14:paraId="602EB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760" w:type="dxa"/>
            <w:noWrap w:val="0"/>
            <w:vAlign w:val="top"/>
          </w:tcPr>
          <w:p w14:paraId="7208B6CE">
            <w:pPr>
              <w:pStyle w:val="25"/>
              <w:spacing w:line="500" w:lineRule="exact"/>
              <w:jc w:val="both"/>
              <w:rPr>
                <w:rFonts w:hint="eastAsia" w:hAnsi="宋体"/>
                <w:b/>
                <w:color w:val="auto"/>
                <w:kern w:val="0"/>
                <w:sz w:val="30"/>
                <w:szCs w:val="30"/>
                <w:highlight w:val="none"/>
                <w:vertAlign w:val="baseline"/>
              </w:rPr>
            </w:pPr>
            <w:r>
              <w:rPr>
                <w:rFonts w:hint="eastAsia" w:hAnsi="宋体"/>
                <w:b/>
                <w:color w:val="auto"/>
                <w:spacing w:val="0"/>
                <w:kern w:val="0"/>
                <w:sz w:val="30"/>
                <w:szCs w:val="30"/>
                <w:highlight w:val="none"/>
                <w:fitText w:val="1800" w:id="1497770944"/>
              </w:rPr>
              <w:t>需方</w:t>
            </w:r>
            <w:r>
              <w:rPr>
                <w:rFonts w:hint="eastAsia" w:hAnsi="宋体"/>
                <w:b/>
                <w:color w:val="auto"/>
                <w:spacing w:val="0"/>
                <w:kern w:val="0"/>
                <w:sz w:val="30"/>
                <w:szCs w:val="30"/>
                <w:highlight w:val="none"/>
                <w:fitText w:val="1800" w:id="1497770944"/>
                <w:lang w:val="en-US" w:eastAsia="zh-CN"/>
              </w:rPr>
              <w:t>(</w:t>
            </w:r>
            <w:r>
              <w:rPr>
                <w:rFonts w:hint="eastAsia" w:hAnsi="宋体"/>
                <w:b/>
                <w:color w:val="auto"/>
                <w:spacing w:val="0"/>
                <w:kern w:val="0"/>
                <w:sz w:val="30"/>
                <w:szCs w:val="30"/>
                <w:highlight w:val="none"/>
                <w:fitText w:val="1800" w:id="1497770944"/>
              </w:rPr>
              <w:t>甲方</w:t>
            </w:r>
            <w:r>
              <w:rPr>
                <w:rFonts w:hint="eastAsia" w:hAnsi="宋体"/>
                <w:b/>
                <w:color w:val="auto"/>
                <w:spacing w:val="0"/>
                <w:kern w:val="0"/>
                <w:sz w:val="30"/>
                <w:szCs w:val="30"/>
                <w:highlight w:val="none"/>
                <w:fitText w:val="1800" w:id="1497770944"/>
                <w:lang w:val="en-US" w:eastAsia="zh-CN"/>
              </w:rPr>
              <w:t>)</w:t>
            </w:r>
            <w:r>
              <w:rPr>
                <w:rFonts w:hint="eastAsia" w:hAnsi="宋体"/>
                <w:b/>
                <w:color w:val="auto"/>
                <w:spacing w:val="0"/>
                <w:kern w:val="0"/>
                <w:sz w:val="30"/>
                <w:szCs w:val="30"/>
                <w:highlight w:val="none"/>
                <w:fitText w:val="1800" w:id="1497770944"/>
              </w:rPr>
              <w:t>：</w:t>
            </w:r>
          </w:p>
        </w:tc>
        <w:tc>
          <w:tcPr>
            <w:tcW w:w="5239" w:type="dxa"/>
            <w:tcBorders>
              <w:top w:val="nil"/>
              <w:bottom w:val="nil"/>
            </w:tcBorders>
            <w:noWrap w:val="0"/>
            <w:vAlign w:val="center"/>
          </w:tcPr>
          <w:p w14:paraId="27096C54">
            <w:pPr>
              <w:pStyle w:val="25"/>
              <w:spacing w:line="500" w:lineRule="exact"/>
              <w:jc w:val="left"/>
              <w:rPr>
                <w:rFonts w:hint="eastAsia" w:hAnsi="宋体"/>
                <w:b/>
                <w:color w:val="auto"/>
                <w:spacing w:val="37"/>
                <w:kern w:val="0"/>
                <w:sz w:val="30"/>
                <w:szCs w:val="30"/>
                <w:highlight w:val="none"/>
                <w:fitText w:val="337" w:id="1939154515"/>
                <w:vertAlign w:val="baseline"/>
              </w:rPr>
            </w:pPr>
            <w:r>
              <w:rPr>
                <w:rFonts w:hint="eastAsia" w:ascii="Times New Roman" w:hAnsi="宋体" w:eastAsia="宋体" w:cs="Times New Roman"/>
                <w:b/>
                <w:color w:val="auto"/>
                <w:sz w:val="30"/>
                <w:szCs w:val="30"/>
                <w:highlight w:val="none"/>
                <w:lang w:eastAsia="zh-CN"/>
              </w:rPr>
              <w:t>广西壮族自治区人民医院</w:t>
            </w:r>
          </w:p>
        </w:tc>
      </w:tr>
      <w:tr w14:paraId="2F180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760" w:type="dxa"/>
            <w:noWrap w:val="0"/>
            <w:vAlign w:val="top"/>
          </w:tcPr>
          <w:p w14:paraId="13AA0B20">
            <w:pPr>
              <w:pStyle w:val="25"/>
              <w:spacing w:line="500" w:lineRule="exact"/>
              <w:jc w:val="both"/>
              <w:rPr>
                <w:rFonts w:hint="eastAsia" w:hAnsi="宋体"/>
                <w:b/>
                <w:color w:val="auto"/>
                <w:spacing w:val="1500"/>
                <w:kern w:val="0"/>
                <w:sz w:val="30"/>
                <w:szCs w:val="30"/>
                <w:highlight w:val="none"/>
                <w:fitText w:val="1800" w:id="1300850442"/>
              </w:rPr>
            </w:pPr>
            <w:r>
              <w:rPr>
                <w:rFonts w:hint="eastAsia" w:hAnsi="宋体"/>
                <w:b/>
                <w:color w:val="auto"/>
                <w:spacing w:val="0"/>
                <w:kern w:val="0"/>
                <w:sz w:val="30"/>
                <w:szCs w:val="30"/>
                <w:highlight w:val="none"/>
                <w:fitText w:val="1800" w:id="1713900900"/>
              </w:rPr>
              <w:t>供方</w:t>
            </w:r>
            <w:r>
              <w:rPr>
                <w:rFonts w:hint="eastAsia" w:hAnsi="宋体"/>
                <w:b/>
                <w:color w:val="auto"/>
                <w:spacing w:val="0"/>
                <w:kern w:val="0"/>
                <w:sz w:val="30"/>
                <w:szCs w:val="30"/>
                <w:highlight w:val="none"/>
                <w:fitText w:val="1800" w:id="1713900900"/>
                <w:lang w:val="en-US" w:eastAsia="zh-CN"/>
              </w:rPr>
              <w:t>(</w:t>
            </w:r>
            <w:r>
              <w:rPr>
                <w:rFonts w:hint="eastAsia" w:hAnsi="宋体"/>
                <w:b/>
                <w:color w:val="auto"/>
                <w:spacing w:val="0"/>
                <w:kern w:val="0"/>
                <w:sz w:val="30"/>
                <w:szCs w:val="30"/>
                <w:highlight w:val="none"/>
                <w:fitText w:val="1800" w:id="1713900900"/>
              </w:rPr>
              <w:t>乙方</w:t>
            </w:r>
            <w:r>
              <w:rPr>
                <w:rFonts w:hint="eastAsia" w:hAnsi="宋体"/>
                <w:b/>
                <w:color w:val="auto"/>
                <w:spacing w:val="0"/>
                <w:kern w:val="0"/>
                <w:sz w:val="30"/>
                <w:szCs w:val="30"/>
                <w:highlight w:val="none"/>
                <w:fitText w:val="1800" w:id="1713900900"/>
                <w:lang w:val="en-US" w:eastAsia="zh-CN"/>
              </w:rPr>
              <w:t>)</w:t>
            </w:r>
            <w:r>
              <w:rPr>
                <w:rFonts w:hint="eastAsia" w:hAnsi="宋体"/>
                <w:b/>
                <w:color w:val="auto"/>
                <w:spacing w:val="0"/>
                <w:kern w:val="0"/>
                <w:sz w:val="30"/>
                <w:szCs w:val="30"/>
                <w:highlight w:val="none"/>
                <w:fitText w:val="1800" w:id="1713900900"/>
              </w:rPr>
              <w:t>：</w:t>
            </w:r>
          </w:p>
        </w:tc>
        <w:tc>
          <w:tcPr>
            <w:tcW w:w="5239" w:type="dxa"/>
            <w:tcBorders>
              <w:top w:val="nil"/>
              <w:bottom w:val="nil"/>
            </w:tcBorders>
            <w:noWrap w:val="0"/>
            <w:vAlign w:val="center"/>
          </w:tcPr>
          <w:p w14:paraId="1A432E43">
            <w:pPr>
              <w:pStyle w:val="25"/>
              <w:spacing w:line="500" w:lineRule="exact"/>
              <w:jc w:val="both"/>
              <w:rPr>
                <w:rFonts w:hint="eastAsia" w:ascii="Times New Roman" w:hAnsi="宋体" w:eastAsia="宋体" w:cs="Times New Roman"/>
                <w:b/>
                <w:color w:val="auto"/>
                <w:kern w:val="0"/>
                <w:sz w:val="30"/>
                <w:szCs w:val="30"/>
                <w:highlight w:val="none"/>
                <w:vertAlign w:val="baseline"/>
              </w:rPr>
            </w:pPr>
          </w:p>
        </w:tc>
      </w:tr>
      <w:tr w14:paraId="32F9C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760" w:type="dxa"/>
            <w:noWrap w:val="0"/>
            <w:vAlign w:val="top"/>
          </w:tcPr>
          <w:p w14:paraId="462E1053">
            <w:pPr>
              <w:pStyle w:val="25"/>
              <w:spacing w:line="500" w:lineRule="exact"/>
              <w:jc w:val="both"/>
              <w:rPr>
                <w:rFonts w:hint="eastAsia" w:hAnsi="宋体"/>
                <w:b/>
                <w:color w:val="auto"/>
                <w:spacing w:val="10"/>
                <w:kern w:val="0"/>
                <w:sz w:val="30"/>
                <w:szCs w:val="30"/>
                <w:highlight w:val="none"/>
                <w:fitText w:val="1800" w:id="1300850442"/>
              </w:rPr>
            </w:pPr>
            <w:r>
              <w:rPr>
                <w:rFonts w:hint="eastAsia" w:hAnsi="宋体"/>
                <w:b/>
                <w:color w:val="auto"/>
                <w:spacing w:val="37"/>
                <w:kern w:val="0"/>
                <w:sz w:val="30"/>
                <w:szCs w:val="30"/>
                <w:highlight w:val="none"/>
                <w:fitText w:val="1800" w:id="603077365"/>
              </w:rPr>
              <w:t>签订地点</w:t>
            </w:r>
            <w:r>
              <w:rPr>
                <w:rFonts w:hint="eastAsia" w:hAnsi="宋体"/>
                <w:b/>
                <w:color w:val="auto"/>
                <w:spacing w:val="2"/>
                <w:kern w:val="0"/>
                <w:sz w:val="30"/>
                <w:szCs w:val="30"/>
                <w:highlight w:val="none"/>
                <w:fitText w:val="1800" w:id="603077365"/>
              </w:rPr>
              <w:t>：</w:t>
            </w:r>
          </w:p>
        </w:tc>
        <w:tc>
          <w:tcPr>
            <w:tcW w:w="5239" w:type="dxa"/>
            <w:tcBorders>
              <w:top w:val="nil"/>
              <w:bottom w:val="nil"/>
            </w:tcBorders>
            <w:noWrap w:val="0"/>
            <w:vAlign w:val="center"/>
          </w:tcPr>
          <w:p w14:paraId="6C917770">
            <w:pPr>
              <w:pStyle w:val="25"/>
              <w:spacing w:line="500" w:lineRule="exact"/>
              <w:jc w:val="left"/>
              <w:rPr>
                <w:rFonts w:hint="eastAsia" w:hAnsi="宋体"/>
                <w:b/>
                <w:color w:val="auto"/>
                <w:spacing w:val="37"/>
                <w:kern w:val="0"/>
                <w:sz w:val="30"/>
                <w:szCs w:val="30"/>
                <w:highlight w:val="none"/>
                <w:fitText w:val="337" w:id="1939154515"/>
                <w:vertAlign w:val="baseline"/>
              </w:rPr>
            </w:pPr>
            <w:r>
              <w:rPr>
                <w:rFonts w:hint="eastAsia" w:hAnsi="宋体"/>
                <w:b/>
                <w:color w:val="auto"/>
                <w:sz w:val="30"/>
                <w:szCs w:val="30"/>
                <w:highlight w:val="none"/>
              </w:rPr>
              <w:t>南宁市青秀区</w:t>
            </w:r>
          </w:p>
        </w:tc>
      </w:tr>
      <w:tr w14:paraId="4DF14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760" w:type="dxa"/>
            <w:noWrap w:val="0"/>
            <w:vAlign w:val="top"/>
          </w:tcPr>
          <w:p w14:paraId="34995999">
            <w:pPr>
              <w:pStyle w:val="25"/>
              <w:spacing w:line="500" w:lineRule="exact"/>
              <w:jc w:val="both"/>
              <w:rPr>
                <w:rFonts w:hint="eastAsia" w:hAnsi="宋体"/>
                <w:b/>
                <w:color w:val="auto"/>
                <w:spacing w:val="1500"/>
                <w:kern w:val="0"/>
                <w:sz w:val="30"/>
                <w:szCs w:val="30"/>
                <w:highlight w:val="none"/>
                <w:fitText w:val="1800" w:id="1300850442"/>
              </w:rPr>
            </w:pPr>
            <w:r>
              <w:rPr>
                <w:rFonts w:hint="eastAsia" w:hAnsi="宋体"/>
                <w:b/>
                <w:color w:val="auto"/>
                <w:spacing w:val="37"/>
                <w:kern w:val="0"/>
                <w:sz w:val="30"/>
                <w:szCs w:val="30"/>
                <w:highlight w:val="none"/>
                <w:fitText w:val="1800" w:id="1497195710"/>
              </w:rPr>
              <w:t>签订时间</w:t>
            </w:r>
            <w:r>
              <w:rPr>
                <w:rFonts w:hint="eastAsia" w:hAnsi="宋体"/>
                <w:b/>
                <w:color w:val="auto"/>
                <w:spacing w:val="2"/>
                <w:kern w:val="0"/>
                <w:sz w:val="30"/>
                <w:szCs w:val="30"/>
                <w:highlight w:val="none"/>
                <w:fitText w:val="1800" w:id="1497195710"/>
              </w:rPr>
              <w:t>：</w:t>
            </w:r>
          </w:p>
        </w:tc>
        <w:tc>
          <w:tcPr>
            <w:tcW w:w="5239" w:type="dxa"/>
            <w:tcBorders>
              <w:top w:val="nil"/>
              <w:bottom w:val="nil"/>
            </w:tcBorders>
            <w:noWrap w:val="0"/>
            <w:vAlign w:val="center"/>
          </w:tcPr>
          <w:p w14:paraId="48ECD626">
            <w:pPr>
              <w:pStyle w:val="25"/>
              <w:spacing w:line="500" w:lineRule="exact"/>
              <w:jc w:val="left"/>
              <w:rPr>
                <w:rFonts w:hint="eastAsia" w:hAnsi="宋体"/>
                <w:b/>
                <w:color w:val="auto"/>
                <w:spacing w:val="37"/>
                <w:kern w:val="0"/>
                <w:sz w:val="30"/>
                <w:szCs w:val="30"/>
                <w:highlight w:val="none"/>
                <w:fitText w:val="337" w:id="1939154515"/>
                <w:vertAlign w:val="baseline"/>
              </w:rPr>
            </w:pPr>
            <w:r>
              <w:rPr>
                <w:rFonts w:hint="eastAsia" w:hAnsi="宋体"/>
                <w:b/>
                <w:color w:val="auto"/>
                <w:sz w:val="30"/>
                <w:szCs w:val="30"/>
                <w:highlight w:val="none"/>
                <w:lang w:val="en-US" w:eastAsia="zh-CN"/>
              </w:rPr>
              <w:t>2025</w:t>
            </w:r>
            <w:r>
              <w:rPr>
                <w:rFonts w:hint="eastAsia" w:hAnsi="宋体"/>
                <w:b/>
                <w:color w:val="auto"/>
                <w:sz w:val="30"/>
                <w:szCs w:val="30"/>
                <w:highlight w:val="none"/>
              </w:rPr>
              <w:t>年   月   日</w:t>
            </w:r>
          </w:p>
        </w:tc>
      </w:tr>
    </w:tbl>
    <w:p w14:paraId="26DA3500">
      <w:pPr>
        <w:snapToGrid w:val="0"/>
        <w:spacing w:line="400" w:lineRule="exact"/>
        <w:jc w:val="center"/>
        <w:rPr>
          <w:rFonts w:hint="eastAsia" w:hAnsi="宋体"/>
          <w:b/>
          <w:color w:val="auto"/>
          <w:sz w:val="30"/>
          <w:szCs w:val="30"/>
          <w:highlight w:val="none"/>
        </w:rPr>
      </w:pPr>
    </w:p>
    <w:p w14:paraId="08031980">
      <w:pPr>
        <w:snapToGrid w:val="0"/>
        <w:spacing w:line="400" w:lineRule="exact"/>
        <w:jc w:val="center"/>
        <w:rPr>
          <w:rFonts w:hint="eastAsia" w:hAnsi="宋体"/>
          <w:b/>
          <w:color w:val="auto"/>
          <w:sz w:val="30"/>
          <w:szCs w:val="30"/>
          <w:highlight w:val="none"/>
        </w:rPr>
      </w:pPr>
    </w:p>
    <w:p w14:paraId="1CA255C8">
      <w:pPr>
        <w:snapToGrid w:val="0"/>
        <w:spacing w:line="400" w:lineRule="exact"/>
        <w:jc w:val="center"/>
        <w:rPr>
          <w:rFonts w:hint="eastAsia" w:hAnsi="宋体"/>
          <w:b/>
          <w:color w:val="auto"/>
          <w:sz w:val="30"/>
          <w:szCs w:val="30"/>
          <w:highlight w:val="none"/>
        </w:rPr>
      </w:pPr>
    </w:p>
    <w:p w14:paraId="7AF4DF4B">
      <w:pPr>
        <w:snapToGrid w:val="0"/>
        <w:spacing w:line="400" w:lineRule="exact"/>
        <w:jc w:val="center"/>
        <w:rPr>
          <w:rFonts w:hint="eastAsia" w:hAnsi="宋体"/>
          <w:b/>
          <w:color w:val="auto"/>
          <w:sz w:val="30"/>
          <w:szCs w:val="30"/>
          <w:highlight w:val="none"/>
        </w:rPr>
      </w:pPr>
    </w:p>
    <w:p w14:paraId="265E913F">
      <w:pPr>
        <w:snapToGrid w:val="0"/>
        <w:spacing w:line="400" w:lineRule="exact"/>
        <w:jc w:val="center"/>
        <w:rPr>
          <w:rFonts w:hint="eastAsia" w:hAnsi="宋体"/>
          <w:b/>
          <w:color w:val="auto"/>
          <w:sz w:val="30"/>
          <w:szCs w:val="30"/>
          <w:highlight w:val="none"/>
        </w:rPr>
      </w:pPr>
    </w:p>
    <w:p w14:paraId="133A93B1">
      <w:pPr>
        <w:snapToGrid w:val="0"/>
        <w:spacing w:line="400" w:lineRule="exact"/>
        <w:jc w:val="center"/>
        <w:rPr>
          <w:rFonts w:hint="eastAsia" w:hAnsi="宋体"/>
          <w:b/>
          <w:color w:val="auto"/>
          <w:sz w:val="30"/>
          <w:szCs w:val="30"/>
          <w:highlight w:val="none"/>
        </w:rPr>
      </w:pPr>
    </w:p>
    <w:p w14:paraId="1F885715">
      <w:pPr>
        <w:snapToGrid w:val="0"/>
        <w:spacing w:line="400" w:lineRule="exact"/>
        <w:jc w:val="center"/>
        <w:rPr>
          <w:rFonts w:hint="eastAsia" w:hAnsi="宋体"/>
          <w:b/>
          <w:color w:val="auto"/>
          <w:sz w:val="30"/>
          <w:szCs w:val="30"/>
          <w:highlight w:val="none"/>
        </w:rPr>
      </w:pPr>
    </w:p>
    <w:p w14:paraId="2706B8D7">
      <w:pPr>
        <w:snapToGrid w:val="0"/>
        <w:spacing w:line="400" w:lineRule="exact"/>
        <w:jc w:val="center"/>
        <w:rPr>
          <w:rFonts w:hint="eastAsia" w:hAnsi="宋体"/>
          <w:b/>
          <w:color w:val="auto"/>
          <w:sz w:val="30"/>
          <w:szCs w:val="30"/>
          <w:highlight w:val="none"/>
        </w:rPr>
      </w:pPr>
    </w:p>
    <w:p w14:paraId="0B7DDDF3">
      <w:pPr>
        <w:snapToGrid w:val="0"/>
        <w:spacing w:line="400" w:lineRule="exact"/>
        <w:jc w:val="center"/>
        <w:rPr>
          <w:rFonts w:hint="eastAsia" w:hAnsi="宋体"/>
          <w:b/>
          <w:color w:val="auto"/>
          <w:sz w:val="30"/>
          <w:szCs w:val="30"/>
          <w:highlight w:val="none"/>
        </w:rPr>
      </w:pPr>
    </w:p>
    <w:p w14:paraId="725F0474">
      <w:pPr>
        <w:snapToGrid w:val="0"/>
        <w:spacing w:line="400" w:lineRule="exact"/>
        <w:jc w:val="center"/>
        <w:rPr>
          <w:rFonts w:hint="eastAsia" w:ascii="微软雅黑" w:hAnsi="微软雅黑" w:eastAsia="微软雅黑"/>
          <w:b/>
          <w:bCs/>
          <w:color w:val="auto"/>
          <w:sz w:val="32"/>
          <w:szCs w:val="32"/>
          <w:highlight w:val="none"/>
        </w:rPr>
        <w:sectPr>
          <w:headerReference r:id="rId8" w:type="default"/>
          <w:footerReference r:id="rId9" w:type="default"/>
          <w:pgSz w:w="11906" w:h="16838"/>
          <w:pgMar w:top="850" w:right="1134" w:bottom="1134" w:left="1134" w:header="851" w:footer="992" w:gutter="0"/>
          <w:cols w:space="720" w:num="1"/>
          <w:docGrid w:type="lines" w:linePitch="312" w:charSpace="0"/>
        </w:sectPr>
      </w:pPr>
    </w:p>
    <w:p w14:paraId="6B131D67">
      <w:pPr>
        <w:snapToGrid w:val="0"/>
        <w:spacing w:line="400" w:lineRule="exact"/>
        <w:jc w:val="center"/>
        <w:rPr>
          <w:rFonts w:ascii="微软雅黑" w:hAnsi="微软雅黑" w:eastAsia="微软雅黑"/>
          <w:b/>
          <w:bCs/>
          <w:color w:val="auto"/>
          <w:sz w:val="32"/>
          <w:szCs w:val="32"/>
          <w:highlight w:val="none"/>
        </w:rPr>
      </w:pPr>
      <w:r>
        <w:rPr>
          <w:rFonts w:hint="eastAsia" w:ascii="微软雅黑" w:hAnsi="微软雅黑" w:eastAsia="微软雅黑"/>
          <w:b/>
          <w:bCs/>
          <w:color w:val="auto"/>
          <w:sz w:val="32"/>
          <w:szCs w:val="32"/>
          <w:highlight w:val="none"/>
        </w:rPr>
        <w:t>广西壮族自治区人民医院采购合同</w:t>
      </w:r>
    </w:p>
    <w:p w14:paraId="24846731">
      <w:pPr>
        <w:snapToGrid w:val="0"/>
        <w:spacing w:line="400" w:lineRule="exact"/>
        <w:jc w:val="center"/>
        <w:rPr>
          <w:rFonts w:ascii="微软雅黑" w:hAnsi="微软雅黑" w:eastAsia="微软雅黑"/>
          <w:b/>
          <w:bCs/>
          <w:color w:val="auto"/>
          <w:sz w:val="32"/>
          <w:szCs w:val="32"/>
          <w:highlight w:val="none"/>
        </w:rPr>
      </w:pPr>
    </w:p>
    <w:p w14:paraId="61CA7430">
      <w:pPr>
        <w:snapToGrid w:val="0"/>
        <w:spacing w:line="400" w:lineRule="exact"/>
        <w:ind w:right="480"/>
        <w:jc w:val="right"/>
        <w:rPr>
          <w:rFonts w:ascii="微软雅黑" w:hAnsi="微软雅黑" w:eastAsia="微软雅黑"/>
          <w:bCs/>
          <w:color w:val="auto"/>
          <w:szCs w:val="21"/>
          <w:highlight w:val="none"/>
        </w:rPr>
      </w:pPr>
      <w:r>
        <w:rPr>
          <w:rFonts w:hint="eastAsia" w:ascii="微软雅黑" w:hAnsi="微软雅黑" w:eastAsia="微软雅黑"/>
          <w:bCs/>
          <w:color w:val="auto"/>
          <w:sz w:val="15"/>
          <w:szCs w:val="15"/>
          <w:highlight w:val="none"/>
        </w:rPr>
        <w:t>【</w:t>
      </w:r>
      <w:r>
        <w:rPr>
          <w:rFonts w:hint="eastAsia" w:ascii="微软雅黑" w:hAnsi="微软雅黑" w:eastAsia="微软雅黑" w:cs="Times New Roman"/>
          <w:bCs/>
          <w:color w:val="auto"/>
          <w:sz w:val="15"/>
          <w:szCs w:val="15"/>
          <w:highlight w:val="none"/>
        </w:rPr>
        <w:t>202</w:t>
      </w:r>
      <w:r>
        <w:rPr>
          <w:rFonts w:hint="eastAsia" w:ascii="微软雅黑" w:hAnsi="微软雅黑" w:eastAsia="微软雅黑" w:cs="Times New Roman"/>
          <w:bCs/>
          <w:color w:val="auto"/>
          <w:sz w:val="15"/>
          <w:szCs w:val="15"/>
          <w:highlight w:val="none"/>
          <w:lang w:val="en-US" w:eastAsia="zh-CN"/>
        </w:rPr>
        <w:t>5</w:t>
      </w:r>
      <w:r>
        <w:rPr>
          <w:rFonts w:hint="eastAsia" w:ascii="微软雅黑" w:hAnsi="微软雅黑" w:eastAsia="微软雅黑"/>
          <w:bCs/>
          <w:color w:val="auto"/>
          <w:sz w:val="15"/>
          <w:szCs w:val="15"/>
          <w:highlight w:val="none"/>
        </w:rPr>
        <w:t>年</w:t>
      </w:r>
      <w:r>
        <w:rPr>
          <w:rFonts w:hint="eastAsia" w:ascii="微软雅黑" w:hAnsi="微软雅黑" w:eastAsia="微软雅黑"/>
          <w:bCs/>
          <w:color w:val="auto"/>
          <w:sz w:val="15"/>
          <w:szCs w:val="15"/>
          <w:highlight w:val="none"/>
          <w:lang w:val="en-US" w:eastAsia="zh-CN"/>
        </w:rPr>
        <w:t>4</w:t>
      </w:r>
      <w:r>
        <w:rPr>
          <w:rFonts w:hint="eastAsia" w:ascii="微软雅黑" w:hAnsi="微软雅黑" w:eastAsia="微软雅黑"/>
          <w:bCs/>
          <w:color w:val="auto"/>
          <w:sz w:val="15"/>
          <w:szCs w:val="15"/>
          <w:highlight w:val="none"/>
        </w:rPr>
        <w:t>月版】</w:t>
      </w:r>
    </w:p>
    <w:p w14:paraId="52BEC30C">
      <w:pPr>
        <w:snapToGrid w:val="0"/>
        <w:spacing w:line="360" w:lineRule="exact"/>
        <w:rPr>
          <w:rFonts w:hint="eastAsia" w:ascii="宋体" w:hAnsi="宋体" w:eastAsia="宋体" w:cs="宋体"/>
          <w:color w:val="auto"/>
          <w:szCs w:val="21"/>
          <w:highlight w:val="none"/>
          <w:u w:val="single"/>
        </w:rPr>
      </w:pPr>
      <w:r>
        <w:rPr>
          <w:rFonts w:hint="eastAsia" w:ascii="微软雅黑" w:hAnsi="微软雅黑" w:eastAsia="微软雅黑"/>
          <w:color w:val="auto"/>
          <w:szCs w:val="21"/>
          <w:highlight w:val="none"/>
        </w:rPr>
        <w:t>采</w:t>
      </w:r>
      <w:r>
        <w:rPr>
          <w:rFonts w:hint="eastAsia" w:ascii="宋体" w:hAnsi="宋体" w:eastAsia="宋体" w:cs="宋体"/>
          <w:color w:val="auto"/>
          <w:szCs w:val="21"/>
          <w:highlight w:val="none"/>
        </w:rPr>
        <w:t>购单位（甲方）</w:t>
      </w:r>
      <w:r>
        <w:rPr>
          <w:rFonts w:hint="eastAsia" w:ascii="宋体" w:hAnsi="宋体" w:eastAsia="宋体" w:cs="宋体"/>
          <w:color w:val="auto"/>
          <w:szCs w:val="21"/>
          <w:highlight w:val="none"/>
          <w:u w:val="single"/>
        </w:rPr>
        <w:t xml:space="preserve">  广西壮族自治区人民医院     </w:t>
      </w:r>
      <w:r>
        <w:rPr>
          <w:rFonts w:hint="eastAsia" w:ascii="宋体" w:hAnsi="宋体" w:eastAsia="宋体" w:cs="宋体"/>
          <w:color w:val="auto"/>
          <w:szCs w:val="21"/>
          <w:highlight w:val="none"/>
        </w:rPr>
        <w:t xml:space="preserve">  </w:t>
      </w:r>
    </w:p>
    <w:p w14:paraId="64C6F38D">
      <w:pPr>
        <w:snapToGrid w:val="0"/>
        <w:spacing w:line="360" w:lineRule="exac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供 应 商（乙方）</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 xml:space="preserve">  合 同 编 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p>
    <w:p w14:paraId="1F10284B">
      <w:pPr>
        <w:snapToGrid w:val="0"/>
        <w:spacing w:line="360" w:lineRule="exac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 xml:space="preserve">签  订  地  点  </w:t>
      </w:r>
      <w:r>
        <w:rPr>
          <w:rFonts w:hint="eastAsia" w:ascii="宋体" w:hAnsi="宋体" w:eastAsia="宋体" w:cs="宋体"/>
          <w:color w:val="auto"/>
          <w:szCs w:val="21"/>
          <w:highlight w:val="none"/>
          <w:u w:val="single"/>
        </w:rPr>
        <w:t xml:space="preserve">    南宁市青秀区             </w:t>
      </w:r>
      <w:r>
        <w:rPr>
          <w:rFonts w:hint="eastAsia" w:ascii="宋体" w:hAnsi="宋体" w:eastAsia="宋体" w:cs="宋体"/>
          <w:color w:val="auto"/>
          <w:szCs w:val="21"/>
          <w:highlight w:val="none"/>
        </w:rPr>
        <w:t xml:space="preserve">  签 订 时 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2025</w:t>
      </w:r>
      <w:r>
        <w:rPr>
          <w:rFonts w:hint="eastAsia" w:ascii="宋体" w:hAnsi="宋体" w:eastAsia="宋体" w:cs="宋体"/>
          <w:color w:val="auto"/>
          <w:szCs w:val="21"/>
          <w:highlight w:val="none"/>
          <w:u w:val="single"/>
        </w:rPr>
        <w:t xml:space="preserve">年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月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日 </w:t>
      </w:r>
    </w:p>
    <w:p w14:paraId="40F068F3">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根据《中华人民共和国政府采购法》《中华人民共和国民法典》等法律法规规定，按照采购文件规定条款和中标供应商承诺，甲乙双方签订本合同。</w:t>
      </w:r>
    </w:p>
    <w:p w14:paraId="7610AA4D">
      <w:pPr>
        <w:spacing w:after="124" w:afterLines="40" w:line="36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第一条 合同标的</w:t>
      </w:r>
    </w:p>
    <w:p w14:paraId="6A8327D8">
      <w:pPr>
        <w:spacing w:after="124" w:afterLines="4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供货一览表</w:t>
      </w:r>
    </w:p>
    <w:tbl>
      <w:tblPr>
        <w:tblStyle w:val="4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1247"/>
        <w:gridCol w:w="1248"/>
        <w:gridCol w:w="1571"/>
        <w:gridCol w:w="1230"/>
        <w:gridCol w:w="1208"/>
        <w:gridCol w:w="1228"/>
        <w:gridCol w:w="1360"/>
      </w:tblGrid>
      <w:tr w14:paraId="10BB3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387" w:type="pct"/>
            <w:noWrap w:val="0"/>
            <w:vAlign w:val="center"/>
          </w:tcPr>
          <w:p w14:paraId="606D0652">
            <w:pPr>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633" w:type="pct"/>
            <w:noWrap w:val="0"/>
            <w:vAlign w:val="center"/>
          </w:tcPr>
          <w:p w14:paraId="70E752F3">
            <w:pPr>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产品名称</w:t>
            </w:r>
          </w:p>
        </w:tc>
        <w:tc>
          <w:tcPr>
            <w:tcW w:w="633" w:type="pct"/>
            <w:noWrap w:val="0"/>
            <w:vAlign w:val="center"/>
          </w:tcPr>
          <w:p w14:paraId="0CCDCF69">
            <w:pPr>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商标品牌</w:t>
            </w:r>
          </w:p>
        </w:tc>
        <w:tc>
          <w:tcPr>
            <w:tcW w:w="797" w:type="pct"/>
            <w:noWrap w:val="0"/>
            <w:vAlign w:val="center"/>
          </w:tcPr>
          <w:p w14:paraId="6351D344">
            <w:pPr>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规格型号</w:t>
            </w:r>
          </w:p>
        </w:tc>
        <w:tc>
          <w:tcPr>
            <w:tcW w:w="624" w:type="pct"/>
            <w:noWrap w:val="0"/>
            <w:vAlign w:val="center"/>
          </w:tcPr>
          <w:p w14:paraId="7694EB8D">
            <w:pPr>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生产厂家</w:t>
            </w:r>
          </w:p>
        </w:tc>
        <w:tc>
          <w:tcPr>
            <w:tcW w:w="613" w:type="pct"/>
            <w:noWrap w:val="0"/>
            <w:vAlign w:val="center"/>
          </w:tcPr>
          <w:p w14:paraId="66612E55">
            <w:pPr>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w:t>
            </w:r>
          </w:p>
          <w:p w14:paraId="07925C57">
            <w:pPr>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w:t>
            </w:r>
          </w:p>
        </w:tc>
        <w:tc>
          <w:tcPr>
            <w:tcW w:w="623" w:type="pct"/>
            <w:noWrap w:val="0"/>
            <w:vAlign w:val="center"/>
          </w:tcPr>
          <w:p w14:paraId="0192C9A8">
            <w:pPr>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单价(元)</w:t>
            </w:r>
          </w:p>
        </w:tc>
        <w:tc>
          <w:tcPr>
            <w:tcW w:w="689" w:type="pct"/>
            <w:noWrap w:val="0"/>
            <w:vAlign w:val="center"/>
          </w:tcPr>
          <w:p w14:paraId="4EFDA194">
            <w:pPr>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金额(元)</w:t>
            </w:r>
          </w:p>
        </w:tc>
      </w:tr>
      <w:tr w14:paraId="5488C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387" w:type="pct"/>
            <w:noWrap w:val="0"/>
            <w:vAlign w:val="center"/>
          </w:tcPr>
          <w:p w14:paraId="2B66619E">
            <w:pPr>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633" w:type="pct"/>
            <w:noWrap w:val="0"/>
            <w:vAlign w:val="center"/>
          </w:tcPr>
          <w:p w14:paraId="0D508838">
            <w:pPr>
              <w:spacing w:line="360" w:lineRule="exact"/>
              <w:jc w:val="both"/>
              <w:rPr>
                <w:rFonts w:hint="eastAsia" w:ascii="宋体" w:hAnsi="宋体" w:eastAsia="宋体" w:cs="宋体"/>
                <w:color w:val="auto"/>
                <w:szCs w:val="21"/>
                <w:highlight w:val="none"/>
                <w:lang w:eastAsia="zh-CN"/>
              </w:rPr>
            </w:pPr>
            <w:r>
              <w:rPr>
                <w:rFonts w:hint="eastAsia" w:ascii="宋体" w:hAnsi="宋体" w:eastAsia="宋体" w:cs="宋体"/>
                <w:color w:val="auto"/>
                <w:sz w:val="20"/>
                <w:szCs w:val="20"/>
                <w:highlight w:val="none"/>
                <w:lang w:eastAsia="zh-CN"/>
              </w:rPr>
              <w:t>（</w:t>
            </w:r>
            <w:r>
              <w:rPr>
                <w:rFonts w:hint="eastAsia" w:ascii="宋体" w:hAnsi="宋体" w:eastAsia="宋体" w:cs="宋体"/>
                <w:color w:val="auto"/>
                <w:sz w:val="21"/>
                <w:szCs w:val="21"/>
                <w:highlight w:val="none"/>
              </w:rPr>
              <w:t>产品名称</w:t>
            </w:r>
            <w:r>
              <w:rPr>
                <w:rFonts w:hint="eastAsia" w:ascii="宋体" w:hAnsi="宋体" w:eastAsia="宋体" w:cs="宋体"/>
                <w:color w:val="auto"/>
                <w:sz w:val="21"/>
                <w:szCs w:val="21"/>
                <w:highlight w:val="none"/>
                <w:lang w:val="en-US" w:eastAsia="zh-CN"/>
              </w:rPr>
              <w:t>必须</w:t>
            </w:r>
            <w:r>
              <w:rPr>
                <w:rFonts w:hint="eastAsia" w:ascii="宋体" w:hAnsi="宋体" w:eastAsia="宋体" w:cs="宋体"/>
                <w:color w:val="auto"/>
                <w:sz w:val="21"/>
                <w:szCs w:val="21"/>
                <w:highlight w:val="none"/>
              </w:rPr>
              <w:t>与注册证一致</w:t>
            </w:r>
            <w:r>
              <w:rPr>
                <w:rFonts w:hint="eastAsia" w:ascii="宋体" w:hAnsi="宋体" w:eastAsia="宋体" w:cs="宋体"/>
                <w:color w:val="auto"/>
                <w:sz w:val="20"/>
                <w:szCs w:val="20"/>
                <w:highlight w:val="none"/>
                <w:lang w:eastAsia="zh-CN"/>
              </w:rPr>
              <w:t>）</w:t>
            </w:r>
          </w:p>
        </w:tc>
        <w:tc>
          <w:tcPr>
            <w:tcW w:w="633" w:type="pct"/>
            <w:noWrap w:val="0"/>
            <w:vAlign w:val="center"/>
          </w:tcPr>
          <w:p w14:paraId="4C2AFFC9">
            <w:pPr>
              <w:spacing w:line="360" w:lineRule="exact"/>
              <w:rPr>
                <w:rFonts w:hint="eastAsia" w:ascii="宋体" w:hAnsi="宋体" w:eastAsia="宋体" w:cs="宋体"/>
                <w:color w:val="auto"/>
                <w:szCs w:val="21"/>
                <w:highlight w:val="none"/>
              </w:rPr>
            </w:pPr>
          </w:p>
        </w:tc>
        <w:tc>
          <w:tcPr>
            <w:tcW w:w="797" w:type="pct"/>
            <w:noWrap w:val="0"/>
            <w:vAlign w:val="center"/>
          </w:tcPr>
          <w:p w14:paraId="7286647D">
            <w:pPr>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 w:val="22"/>
                <w:szCs w:val="22"/>
                <w:highlight w:val="none"/>
                <w:lang w:val="en-US" w:eastAsia="zh-CN"/>
              </w:rPr>
              <w:t>（规格型号必须与注册证一致</w:t>
            </w:r>
            <w:r>
              <w:rPr>
                <w:rFonts w:hint="eastAsia" w:ascii="宋体" w:hAnsi="宋体" w:eastAsia="宋体" w:cs="宋体"/>
                <w:color w:val="auto"/>
                <w:sz w:val="22"/>
                <w:szCs w:val="22"/>
                <w:highlight w:val="none"/>
                <w:lang w:eastAsia="zh-CN"/>
              </w:rPr>
              <w:t>）</w:t>
            </w:r>
          </w:p>
        </w:tc>
        <w:tc>
          <w:tcPr>
            <w:tcW w:w="624" w:type="pct"/>
            <w:noWrap w:val="0"/>
            <w:vAlign w:val="center"/>
          </w:tcPr>
          <w:p w14:paraId="5AC65B4A">
            <w:pPr>
              <w:spacing w:line="360" w:lineRule="exact"/>
              <w:jc w:val="center"/>
              <w:rPr>
                <w:rFonts w:hint="eastAsia" w:ascii="宋体" w:hAnsi="宋体" w:eastAsia="宋体" w:cs="宋体"/>
                <w:color w:val="auto"/>
                <w:szCs w:val="21"/>
                <w:highlight w:val="none"/>
              </w:rPr>
            </w:pPr>
          </w:p>
        </w:tc>
        <w:tc>
          <w:tcPr>
            <w:tcW w:w="613" w:type="pct"/>
            <w:noWrap w:val="0"/>
            <w:vAlign w:val="center"/>
          </w:tcPr>
          <w:p w14:paraId="6E485756">
            <w:pPr>
              <w:spacing w:line="360" w:lineRule="exact"/>
              <w:jc w:val="center"/>
              <w:rPr>
                <w:rFonts w:hint="eastAsia" w:ascii="宋体" w:hAnsi="宋体" w:eastAsia="宋体" w:cs="宋体"/>
                <w:color w:val="auto"/>
                <w:szCs w:val="21"/>
                <w:highlight w:val="none"/>
              </w:rPr>
            </w:pPr>
          </w:p>
        </w:tc>
        <w:tc>
          <w:tcPr>
            <w:tcW w:w="623" w:type="pct"/>
            <w:noWrap w:val="0"/>
            <w:vAlign w:val="center"/>
          </w:tcPr>
          <w:p w14:paraId="427B7FB6">
            <w:pPr>
              <w:spacing w:line="360" w:lineRule="exact"/>
              <w:jc w:val="center"/>
              <w:rPr>
                <w:rFonts w:hint="eastAsia" w:ascii="宋体" w:hAnsi="宋体" w:eastAsia="宋体" w:cs="宋体"/>
                <w:color w:val="auto"/>
                <w:szCs w:val="21"/>
                <w:highlight w:val="none"/>
              </w:rPr>
            </w:pPr>
          </w:p>
        </w:tc>
        <w:tc>
          <w:tcPr>
            <w:tcW w:w="689" w:type="pct"/>
            <w:noWrap w:val="0"/>
            <w:vAlign w:val="center"/>
          </w:tcPr>
          <w:p w14:paraId="35962E82">
            <w:pPr>
              <w:spacing w:line="360" w:lineRule="exact"/>
              <w:jc w:val="center"/>
              <w:rPr>
                <w:rFonts w:hint="eastAsia" w:ascii="宋体" w:hAnsi="宋体" w:eastAsia="宋体" w:cs="宋体"/>
                <w:color w:val="auto"/>
                <w:szCs w:val="21"/>
                <w:highlight w:val="none"/>
              </w:rPr>
            </w:pPr>
          </w:p>
        </w:tc>
      </w:tr>
      <w:tr w14:paraId="275B4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5000" w:type="pct"/>
            <w:gridSpan w:val="8"/>
            <w:noWrap w:val="0"/>
            <w:vAlign w:val="center"/>
          </w:tcPr>
          <w:p w14:paraId="3943BDD0">
            <w:pPr>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人民币合计金额（含税）(大写)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元整(小写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tc>
      </w:tr>
    </w:tbl>
    <w:p w14:paraId="2B620EAA">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合同合计金额包括货物价款，备件、专用工具、安装、调试、检验、技术培训及技术资料和包装、运输、搬卸、税金、售后服务、软件升级等全部费用。如公告规定、采购文件及投标文件对其另有规定的，从其规定。</w:t>
      </w:r>
    </w:p>
    <w:p w14:paraId="218C91A0">
      <w:pPr>
        <w:spacing w:after="124" w:afterLines="40" w:line="36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第二条 质量保证</w:t>
      </w:r>
    </w:p>
    <w:p w14:paraId="089DE9BB">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乙方所提供的货物型号、技术规格、技术参数等应符合</w:t>
      </w:r>
      <w:r>
        <w:rPr>
          <w:rFonts w:hint="eastAsia" w:ascii="宋体" w:hAnsi="宋体" w:eastAsia="宋体" w:cs="宋体"/>
          <w:color w:val="auto"/>
          <w:szCs w:val="21"/>
          <w:highlight w:val="none"/>
          <w:lang w:eastAsia="zh-Hans"/>
        </w:rPr>
        <w:t>国家标准、行业标准、地方标准等标准、规范（上述标准、规范有出入的，以较严格为准）</w:t>
      </w:r>
      <w:r>
        <w:rPr>
          <w:rFonts w:hint="eastAsia" w:ascii="宋体" w:hAnsi="宋体" w:eastAsia="宋体" w:cs="宋体"/>
          <w:color w:val="auto"/>
          <w:szCs w:val="21"/>
          <w:highlight w:val="none"/>
        </w:rPr>
        <w:t>，并与公告规定、采购文件及投标文件承诺的质量相一致，以确保使用过程的安全有效</w:t>
      </w:r>
      <w:r>
        <w:rPr>
          <w:rFonts w:hint="eastAsia" w:ascii="宋体" w:hAnsi="宋体" w:eastAsia="宋体" w:cs="宋体"/>
          <w:color w:val="auto"/>
          <w:szCs w:val="21"/>
          <w:highlight w:val="none"/>
          <w:lang w:eastAsia="zh-Hans"/>
        </w:rPr>
        <w:t>，如采购文件中明确对货物提出更高的技术要求的，乙方还应当确保符合采购文件提出的技术要求</w:t>
      </w:r>
      <w:r>
        <w:rPr>
          <w:rFonts w:hint="eastAsia" w:ascii="宋体" w:hAnsi="宋体" w:eastAsia="宋体" w:cs="宋体"/>
          <w:color w:val="auto"/>
          <w:szCs w:val="21"/>
          <w:highlight w:val="none"/>
        </w:rPr>
        <w:t>。</w:t>
      </w:r>
    </w:p>
    <w:p w14:paraId="36F98B66">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乙方所提供的货物必须是全新、未使用的原装产品，且在正常安装、使用和保养条件下，其使用寿命期内各项指标均达到公告规定、采购文件或投标文件承诺的质量要求。</w:t>
      </w:r>
    </w:p>
    <w:p w14:paraId="06863EA3">
      <w:pPr>
        <w:spacing w:after="124" w:afterLines="40" w:line="36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第三条 权利保证</w:t>
      </w:r>
    </w:p>
    <w:p w14:paraId="676F0C99">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乙方应保证所提供货物在使用时不会侵犯任何第三方的专利权、商标权、工业设计权或其他权利。</w:t>
      </w:r>
    </w:p>
    <w:p w14:paraId="21C7A383">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乙方应按公告规定、采购文件或投标文件承诺的时间向甲方提供使用货物的有关技术资料。</w:t>
      </w:r>
    </w:p>
    <w:p w14:paraId="4D53655F">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该保密义务为永久性，不因本合同的解除、撤销、无效、终止而免除。</w:t>
      </w:r>
    </w:p>
    <w:p w14:paraId="1FD22151">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乙方保证将要交付的货物的所有权完全属于乙方，且无任何抵押、质押、查封、留置等产权瑕疵。</w:t>
      </w:r>
    </w:p>
    <w:p w14:paraId="2058DBE4">
      <w:pPr>
        <w:spacing w:after="124" w:afterLines="40" w:line="36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第四条 包装和运输</w:t>
      </w:r>
    </w:p>
    <w:p w14:paraId="238E0C34">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乙方提供的货物均应按照公告规定、采购文件或投标文件承诺的包装材料、包装标准、包装方式进行包装，每一包装单元内应附详细的装箱单和质量合格证。</w:t>
      </w:r>
    </w:p>
    <w:p w14:paraId="7CC96FD6">
      <w:pPr>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货物的运输方式：</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kern w:val="1"/>
          <w:szCs w:val="21"/>
          <w:highlight w:val="none"/>
          <w:u w:val="single"/>
        </w:rPr>
        <w:t>不限</w:t>
      </w:r>
      <w:r>
        <w:rPr>
          <w:rFonts w:hint="eastAsia" w:ascii="宋体" w:hAnsi="宋体" w:eastAsia="宋体" w:cs="宋体"/>
          <w:color w:val="auto"/>
          <w:szCs w:val="21"/>
          <w:highlight w:val="none"/>
          <w:u w:val="single"/>
        </w:rPr>
        <w:t xml:space="preserve">    </w:t>
      </w:r>
    </w:p>
    <w:p w14:paraId="6A432633">
      <w:pPr>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乙方负责货物运输及相关费用，货物运输合理损耗及计算方法：</w:t>
      </w:r>
      <w:r>
        <w:rPr>
          <w:rFonts w:hint="eastAsia" w:ascii="宋体" w:hAnsi="宋体" w:eastAsia="宋体" w:cs="宋体"/>
          <w:color w:val="auto"/>
          <w:szCs w:val="21"/>
          <w:highlight w:val="none"/>
          <w:u w:val="single"/>
        </w:rPr>
        <w:t>货物运输保险费已包含在合同总价中，乙方须确保货物安全无损地运抵安装地点</w:t>
      </w:r>
      <w:r>
        <w:rPr>
          <w:rFonts w:hint="eastAsia" w:ascii="宋体" w:hAnsi="宋体" w:eastAsia="宋体" w:cs="宋体"/>
          <w:color w:val="auto"/>
          <w:szCs w:val="21"/>
          <w:highlight w:val="none"/>
        </w:rPr>
        <w:t>。</w:t>
      </w:r>
    </w:p>
    <w:p w14:paraId="5C61BDD0">
      <w:pPr>
        <w:spacing w:line="360" w:lineRule="exact"/>
        <w:ind w:firstLine="422" w:firstLineChars="200"/>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第五条 交付和验收</w:t>
      </w:r>
    </w:p>
    <w:p w14:paraId="5BA922E1">
      <w:pPr>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交货时间：</w:t>
      </w:r>
      <w:r>
        <w:rPr>
          <w:rFonts w:hint="eastAsia" w:ascii="宋体" w:hAnsi="宋体" w:eastAsia="宋体" w:cs="宋体"/>
          <w:color w:val="auto"/>
          <w:szCs w:val="21"/>
          <w:highlight w:val="none"/>
          <w:u w:val="single"/>
        </w:rPr>
        <w:t>自合同签订之日起     天内全部货物交货并安装调试完毕。</w:t>
      </w:r>
    </w:p>
    <w:p w14:paraId="34C4205F">
      <w:pPr>
        <w:spacing w:line="360" w:lineRule="exact"/>
        <w:ind w:firstLine="630" w:firstLineChars="3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 xml:space="preserve"> 交货地点：</w:t>
      </w:r>
      <w:r>
        <w:rPr>
          <w:rFonts w:hint="eastAsia" w:ascii="宋体" w:hAnsi="宋体" w:eastAsia="宋体" w:cs="宋体"/>
          <w:color w:val="auto"/>
          <w:kern w:val="1"/>
          <w:szCs w:val="21"/>
          <w:highlight w:val="none"/>
          <w:u w:val="single"/>
        </w:rPr>
        <w:t>甲方指定地点</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u w:val="single"/>
          <w:lang w:val="en-US" w:eastAsia="zh-CN"/>
        </w:rPr>
        <w:t xml:space="preserve">  </w:t>
      </w:r>
    </w:p>
    <w:p w14:paraId="578D3641">
      <w:pPr>
        <w:numPr>
          <w:ilvl w:val="0"/>
          <w:numId w:val="6"/>
        </w:numPr>
        <w:snapToGrid w:val="0"/>
        <w:spacing w:before="120" w:after="120" w:line="360" w:lineRule="exact"/>
        <w:ind w:firstLine="420" w:firstLineChars="200"/>
        <w:jc w:val="left"/>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甲方对乙方提交的货物依据采购文件上的技术规格要求和国家有关质量标准进行现</w:t>
      </w:r>
      <w:r>
        <w:rPr>
          <w:rFonts w:hint="eastAsia" w:ascii="宋体" w:hAnsi="宋体" w:eastAsia="宋体" w:cs="宋体"/>
          <w:bCs/>
          <w:color w:val="auto"/>
          <w:szCs w:val="21"/>
          <w:highlight w:val="none"/>
        </w:rPr>
        <w:t>场签收，外观、说明书符合采购文件技术要求的，给予签收，不合格的不予签收。该签收仅指外观、说明书符合采购文件技术要求而非认可货物验收合格。</w:t>
      </w:r>
    </w:p>
    <w:p w14:paraId="2E93898A">
      <w:pPr>
        <w:numPr>
          <w:ilvl w:val="0"/>
          <w:numId w:val="6"/>
        </w:numPr>
        <w:snapToGrid w:val="0"/>
        <w:spacing w:before="120" w:after="120" w:line="360" w:lineRule="exact"/>
        <w:ind w:firstLine="420" w:firstLineChars="200"/>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甲方如发现乙方所交付的货物有短装、次品、损坏或其它不符合</w:t>
      </w:r>
      <w:r>
        <w:rPr>
          <w:rFonts w:hint="eastAsia" w:ascii="宋体" w:hAnsi="宋体" w:eastAsia="宋体" w:cs="宋体"/>
          <w:color w:val="auto"/>
          <w:szCs w:val="21"/>
          <w:highlight w:val="none"/>
        </w:rPr>
        <w:t>公告规定、采购文件、投标文件承诺、</w:t>
      </w:r>
      <w:r>
        <w:rPr>
          <w:rFonts w:hint="eastAsia" w:ascii="宋体" w:hAnsi="宋体" w:eastAsia="宋体" w:cs="宋体"/>
          <w:bCs/>
          <w:color w:val="auto"/>
          <w:szCs w:val="21"/>
          <w:highlight w:val="none"/>
        </w:rPr>
        <w:t>本合同规定之情形的，甲方有权拒绝接受并根据货物具体情形做出现场记录（或由甲乙双方签署备忘录），此现场记录（或备忘录）可用作证明货物应补充更换、存在损坏的有效证据。乙方应负责免费补充、更换货物，由此产生的时间延误与有关费用由乙方承担，验收期限相应顺延。</w:t>
      </w:r>
      <w:r>
        <w:rPr>
          <w:rFonts w:hint="eastAsia" w:ascii="宋体" w:hAnsi="宋体" w:eastAsia="宋体" w:cs="宋体"/>
          <w:bCs/>
          <w:color w:val="auto"/>
          <w:szCs w:val="21"/>
          <w:highlight w:val="none"/>
          <w:lang w:val="en-US" w:eastAsia="zh-CN"/>
        </w:rPr>
        <w:t>如乙方</w:t>
      </w:r>
      <w:r>
        <w:rPr>
          <w:rFonts w:hint="eastAsia" w:ascii="宋体" w:hAnsi="宋体" w:eastAsia="宋体" w:cs="宋体"/>
          <w:bCs/>
          <w:color w:val="auto"/>
          <w:szCs w:val="21"/>
          <w:highlight w:val="none"/>
        </w:rPr>
        <w:t>补充、更换的货物</w:t>
      </w:r>
      <w:r>
        <w:rPr>
          <w:rFonts w:hint="eastAsia" w:ascii="宋体" w:hAnsi="宋体" w:eastAsia="宋体" w:cs="宋体"/>
          <w:bCs/>
          <w:color w:val="auto"/>
          <w:szCs w:val="21"/>
          <w:highlight w:val="none"/>
          <w:lang w:val="en-US" w:eastAsia="zh-CN"/>
        </w:rPr>
        <w:t>仍然</w:t>
      </w:r>
      <w:r>
        <w:rPr>
          <w:rFonts w:hint="eastAsia" w:ascii="宋体" w:hAnsi="宋体" w:eastAsia="宋体" w:cs="宋体"/>
          <w:bCs/>
          <w:color w:val="auto"/>
          <w:szCs w:val="21"/>
          <w:highlight w:val="none"/>
        </w:rPr>
        <w:t>不符合公告规定、采购文件、投标文件承诺、本合同规定之情形的</w:t>
      </w:r>
      <w:r>
        <w:rPr>
          <w:rFonts w:hint="eastAsia" w:ascii="宋体" w:hAnsi="宋体" w:eastAsia="宋体" w:cs="宋体"/>
          <w:bCs/>
          <w:color w:val="auto"/>
          <w:szCs w:val="21"/>
          <w:highlight w:val="none"/>
          <w:lang w:eastAsia="zh-CN"/>
        </w:rPr>
        <w:t>，</w:t>
      </w:r>
      <w:r>
        <w:rPr>
          <w:rFonts w:hint="eastAsia" w:ascii="宋体" w:hAnsi="宋体" w:eastAsia="宋体" w:cs="宋体"/>
          <w:bCs/>
          <w:color w:val="auto"/>
          <w:szCs w:val="21"/>
          <w:highlight w:val="none"/>
          <w:lang w:val="en-US" w:eastAsia="zh-CN"/>
        </w:rPr>
        <w:t>视为验收不合格。</w:t>
      </w:r>
    </w:p>
    <w:p w14:paraId="03AFDBF2">
      <w:pPr>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4. </w:t>
      </w:r>
      <w:r>
        <w:rPr>
          <w:rFonts w:hint="eastAsia" w:ascii="宋体" w:hAnsi="宋体" w:eastAsia="宋体" w:cs="宋体"/>
          <w:bCs/>
          <w:color w:val="auto"/>
          <w:szCs w:val="21"/>
          <w:highlight w:val="none"/>
        </w:rPr>
        <w:t>乙方交货前应对拟提交的货物作出全面检查和对验收文件进行整理，并列出清单，作为甲方收货验收和使用的技术条件依据，检验的结果同样应随货物交甲方。同时，</w:t>
      </w:r>
      <w:r>
        <w:rPr>
          <w:rFonts w:hint="eastAsia" w:ascii="宋体" w:hAnsi="宋体" w:eastAsia="宋体" w:cs="宋体"/>
          <w:color w:val="auto"/>
          <w:szCs w:val="21"/>
          <w:highlight w:val="none"/>
        </w:rPr>
        <w:t>乙方应将所提供货物的装箱清单、用户手册、原厂保修卡、随机资料、工具和备品、备件等一并交付给甲方。</w:t>
      </w:r>
      <w:r>
        <w:rPr>
          <w:rFonts w:hint="eastAsia" w:ascii="宋体" w:hAnsi="宋体" w:eastAsia="宋体" w:cs="宋体"/>
          <w:bCs/>
          <w:color w:val="auto"/>
          <w:szCs w:val="21"/>
          <w:highlight w:val="none"/>
        </w:rPr>
        <w:t>乙方不能完整交付货物及本款规定的单证和工具的，必须负责补齐，否则视为逾期交货。</w:t>
      </w:r>
    </w:p>
    <w:p w14:paraId="76FF855E">
      <w:pPr>
        <w:numPr>
          <w:ilvl w:val="0"/>
          <w:numId w:val="7"/>
        </w:numPr>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乙方需负责货物的安装、调试，并培训甲方的使用操作人员，直到设备运行符合技术要求，甲方方可验收。</w:t>
      </w:r>
    </w:p>
    <w:p w14:paraId="3F4567E4">
      <w:pPr>
        <w:numPr>
          <w:ilvl w:val="0"/>
          <w:numId w:val="7"/>
        </w:numPr>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甲方应当在到货并安装、调试完后</w:t>
      </w:r>
      <w:bookmarkStart w:id="147" w:name="OLE_LINK12"/>
      <w:bookmarkStart w:id="148" w:name="OLE_LINK11"/>
      <w:r>
        <w:rPr>
          <w:rFonts w:hint="eastAsia" w:ascii="宋体" w:hAnsi="宋体" w:eastAsia="宋体" w:cs="宋体"/>
          <w:color w:val="auto"/>
          <w:szCs w:val="21"/>
          <w:highlight w:val="none"/>
        </w:rPr>
        <w:t>一个月内进行验收</w:t>
      </w:r>
      <w:bookmarkEnd w:id="147"/>
      <w:bookmarkEnd w:id="148"/>
      <w:r>
        <w:rPr>
          <w:rFonts w:hint="eastAsia" w:ascii="宋体" w:hAnsi="宋体" w:eastAsia="宋体" w:cs="宋体"/>
          <w:color w:val="auto"/>
          <w:szCs w:val="21"/>
          <w:highlight w:val="none"/>
        </w:rPr>
        <w:t>，逾期不验收的，亦不免除乙方质量保证责任。甲方组织验收，</w:t>
      </w:r>
      <w:r>
        <w:rPr>
          <w:rFonts w:hint="eastAsia" w:ascii="宋体" w:hAnsi="宋体" w:eastAsia="宋体" w:cs="宋体"/>
          <w:bCs/>
          <w:color w:val="auto"/>
          <w:szCs w:val="21"/>
          <w:highlight w:val="none"/>
        </w:rPr>
        <w:t>乙方必须到场</w:t>
      </w:r>
      <w:r>
        <w:rPr>
          <w:rFonts w:hint="eastAsia" w:ascii="宋体" w:hAnsi="宋体" w:eastAsia="宋体" w:cs="宋体"/>
          <w:color w:val="auto"/>
          <w:szCs w:val="21"/>
          <w:highlight w:val="none"/>
        </w:rPr>
        <w:t>配合，验收合格后由甲乙双方签署货物验收单并加盖双方公章，甲乙双方各执一份。对技术复杂的货物，甲方可请国家认可的专业检测机构参与验收，费用由乙方承担。</w:t>
      </w:r>
    </w:p>
    <w:p w14:paraId="1DC4D27B">
      <w:pPr>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 若甲方委托第三方组织的验收项目，其验收时间以该项目验收方案确定的验收时间为准，验收结果以该项目验收报告结论为准。在验收过程中发现乙方有违约问题，可暂缓资金结算，待违约问题解决后，方可办理资金结算事宜，在此期间，甲方不承担逾期付款责任。</w:t>
      </w:r>
    </w:p>
    <w:p w14:paraId="1664A376">
      <w:pPr>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 甲方对验收有异议的，在验收后五个工作日内以书面形式向乙方提出，乙方应自收到甲方书面异议后三日内及时予以解决，乙方不予答复或未予以实质解决的，视为认可甲方异议及处置意见。</w:t>
      </w:r>
    </w:p>
    <w:p w14:paraId="75DBE251">
      <w:pPr>
        <w:snapToGrid w:val="0"/>
        <w:spacing w:before="120" w:after="120" w:line="36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9. 其他未尽事宜应严格参照《关于印发广西壮族自治区政府采购项目履约验收管理办法的通知》[桂财采〔2015〕22号]以及《财政部关于进一步加强政府采购需求和履约验收管理的指导意见》[财库〔2016〕205号]规定执行。</w:t>
      </w:r>
    </w:p>
    <w:p w14:paraId="605C5F5A">
      <w:pPr>
        <w:spacing w:after="124" w:afterLines="40" w:line="36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第六条 安装和培训</w:t>
      </w:r>
    </w:p>
    <w:p w14:paraId="2B85158E">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甲方应提供必要安装条件（如场地、电源、水源等）。乙方应在到货之日起</w:t>
      </w:r>
      <w:r>
        <w:rPr>
          <w:rFonts w:hint="eastAsia" w:ascii="宋体" w:hAnsi="宋体" w:eastAsia="宋体" w:cs="宋体"/>
          <w:color w:val="auto"/>
          <w:szCs w:val="21"/>
          <w:highlight w:val="none"/>
          <w:u w:val="single"/>
        </w:rPr>
        <w:t xml:space="preserve"> 5</w:t>
      </w:r>
      <w:r>
        <w:rPr>
          <w:rFonts w:hint="eastAsia" w:ascii="宋体" w:hAnsi="宋体" w:eastAsia="宋体" w:cs="宋体"/>
          <w:i/>
          <w:iCs/>
          <w:color w:val="auto"/>
          <w:szCs w:val="21"/>
          <w:highlight w:val="none"/>
          <w:u w:val="single"/>
        </w:rPr>
        <w:t xml:space="preserve"> </w:t>
      </w:r>
      <w:r>
        <w:rPr>
          <w:rFonts w:hint="eastAsia" w:ascii="宋体" w:hAnsi="宋体" w:eastAsia="宋体" w:cs="宋体"/>
          <w:color w:val="auto"/>
          <w:szCs w:val="21"/>
          <w:highlight w:val="none"/>
        </w:rPr>
        <w:t>个工作日内对货物进行安装、调试。</w:t>
      </w:r>
    </w:p>
    <w:p w14:paraId="02CD98CF">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乙方负责甲方有关人员的培训</w:t>
      </w:r>
      <w:r>
        <w:rPr>
          <w:rFonts w:hint="eastAsia" w:ascii="宋体" w:hAnsi="宋体" w:eastAsia="宋体" w:cs="宋体"/>
          <w:color w:val="auto"/>
          <w:szCs w:val="21"/>
          <w:highlight w:val="none"/>
          <w:lang w:eastAsia="zh-Hans"/>
        </w:rPr>
        <w:t>，具体培训时间由甲方予以确定</w:t>
      </w:r>
      <w:r>
        <w:rPr>
          <w:rFonts w:hint="eastAsia" w:ascii="宋体" w:hAnsi="宋体" w:eastAsia="宋体" w:cs="宋体"/>
          <w:color w:val="auto"/>
          <w:szCs w:val="21"/>
          <w:highlight w:val="none"/>
        </w:rPr>
        <w:t>。</w:t>
      </w:r>
    </w:p>
    <w:p w14:paraId="5966BE0A">
      <w:pPr>
        <w:spacing w:after="124" w:afterLines="40" w:line="36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第七条 售后服务、质保期</w:t>
      </w:r>
    </w:p>
    <w:p w14:paraId="57E90651">
      <w:pPr>
        <w:spacing w:after="124" w:afterLines="4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乙方应按照国家有关法律法规和“三包”规定以及公告、采购文件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投标文件和本合同所附的《服务承诺》，为甲方提供售后服务。</w:t>
      </w:r>
    </w:p>
    <w:p w14:paraId="4999BB0D">
      <w:pPr>
        <w:spacing w:after="124" w:afterLines="40" w:line="360" w:lineRule="exact"/>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2</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货物保修期：</w:t>
      </w:r>
      <w:r>
        <w:rPr>
          <w:rFonts w:hint="eastAsia" w:ascii="宋体" w:hAnsi="宋体" w:eastAsia="宋体" w:cs="宋体"/>
          <w:color w:val="auto"/>
          <w:szCs w:val="21"/>
          <w:highlight w:val="none"/>
          <w:u w:val="single"/>
        </w:rPr>
        <w:t xml:space="preserve">  自验收合格之日起   年。</w:t>
      </w:r>
      <w:r>
        <w:rPr>
          <w:rFonts w:hint="eastAsia" w:ascii="宋体" w:hAnsi="宋体" w:eastAsia="宋体" w:cs="宋体"/>
          <w:color w:val="auto"/>
          <w:szCs w:val="21"/>
          <w:highlight w:val="none"/>
          <w:u w:val="single"/>
          <w:lang w:val="en-US" w:eastAsia="zh-CN"/>
        </w:rPr>
        <w:t xml:space="preserve">  </w:t>
      </w:r>
    </w:p>
    <w:p w14:paraId="6D14E7BE">
      <w:pPr>
        <w:spacing w:after="124" w:afterLines="4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乙方提供的服务承诺和售后服务及质保期责任等其它具体约定事项（见合同附件)。</w:t>
      </w:r>
    </w:p>
    <w:p w14:paraId="4CD8F2A6">
      <w:pPr>
        <w:spacing w:after="124" w:afterLines="40" w:line="36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第八条 付款方式</w:t>
      </w:r>
    </w:p>
    <w:p w14:paraId="075912BF">
      <w:pPr>
        <w:spacing w:after="124" w:afterLines="4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当采购数量与实际使用数量不一致时，乙方应根据实际使用量供货，合同的最终结算金额按实际使用量乘以中标单价进行计算。如最终结算金额超过本合同约定合计金额的，双方应在不改变本合同其他条款的情况下签订补充合同，否则甲方有权拒绝支付超过部分的合同款且无须承担违约责任，但所有补充合同的采购金额不得超过本合同约定合计金额的10%。</w:t>
      </w:r>
    </w:p>
    <w:p w14:paraId="2C659FFC">
      <w:pPr>
        <w:suppressAutoHyphens/>
        <w:spacing w:after="124" w:afterLines="40" w:line="360" w:lineRule="exact"/>
        <w:ind w:firstLine="420" w:firstLineChars="200"/>
        <w:rPr>
          <w:rFonts w:hint="eastAsia"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rPr>
        <w:t>2. 付款方式：</w:t>
      </w:r>
      <w:r>
        <w:rPr>
          <w:rFonts w:hint="eastAsia" w:ascii="宋体" w:hAnsi="宋体" w:eastAsia="宋体" w:cs="宋体"/>
          <w:color w:val="auto"/>
          <w:kern w:val="1"/>
          <w:szCs w:val="21"/>
          <w:highlight w:val="none"/>
          <w:u w:val="single"/>
        </w:rPr>
        <w:t>合同签订后，甲方支付合同金额的30%作为预付款，乙方所有货物交货安装调试完毕并验收合格后支付剩余合同款。每次支付前，乙方需开具合法有效的全额发票。乙方未开具合法有效的全额发票的，甲方有权不支付合同款。</w:t>
      </w:r>
    </w:p>
    <w:p w14:paraId="3199BC63">
      <w:pPr>
        <w:spacing w:after="124" w:afterLines="40" w:line="36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第九条 履约保证金</w:t>
      </w:r>
    </w:p>
    <w:p w14:paraId="39256FA4">
      <w:pPr>
        <w:suppressAutoHyphens/>
        <w:snapToGrid w:val="0"/>
        <w:spacing w:line="360" w:lineRule="exact"/>
        <w:ind w:firstLine="420" w:firstLineChars="200"/>
        <w:rPr>
          <w:rFonts w:hint="eastAsia"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none"/>
        </w:rPr>
        <w:t>履约保证金：</w:t>
      </w:r>
      <w:r>
        <w:rPr>
          <w:rFonts w:hint="eastAsia" w:ascii="宋体" w:hAnsi="宋体" w:eastAsia="宋体" w:cs="宋体"/>
          <w:color w:val="auto"/>
          <w:kern w:val="1"/>
          <w:szCs w:val="21"/>
          <w:highlight w:val="none"/>
          <w:u w:val="single"/>
        </w:rPr>
        <w:t>按</w:t>
      </w:r>
      <w:r>
        <w:rPr>
          <w:rFonts w:hint="eastAsia" w:ascii="宋体" w:hAnsi="宋体" w:eastAsia="宋体" w:cs="宋体"/>
          <w:color w:val="auto"/>
          <w:kern w:val="1"/>
          <w:szCs w:val="21"/>
          <w:highlight w:val="none"/>
          <w:u w:val="single"/>
          <w:lang w:val="en-US" w:eastAsia="zh-CN"/>
        </w:rPr>
        <w:t>成交</w:t>
      </w:r>
      <w:r>
        <w:rPr>
          <w:rFonts w:hint="eastAsia" w:ascii="宋体" w:hAnsi="宋体" w:eastAsia="宋体" w:cs="宋体"/>
          <w:color w:val="auto"/>
          <w:kern w:val="1"/>
          <w:szCs w:val="21"/>
          <w:highlight w:val="none"/>
          <w:u w:val="single"/>
        </w:rPr>
        <w:t>金额的</w:t>
      </w:r>
      <w:r>
        <w:rPr>
          <w:rFonts w:hint="eastAsia" w:ascii="宋体" w:hAnsi="宋体" w:eastAsia="宋体" w:cs="宋体"/>
          <w:color w:val="auto"/>
          <w:kern w:val="1"/>
          <w:szCs w:val="21"/>
          <w:highlight w:val="none"/>
          <w:u w:val="single"/>
          <w:lang w:val="en-US" w:eastAsia="zh-CN"/>
        </w:rPr>
        <w:t>5</w:t>
      </w:r>
      <w:r>
        <w:rPr>
          <w:rFonts w:hint="eastAsia" w:ascii="宋体" w:hAnsi="宋体" w:eastAsia="宋体" w:cs="宋体"/>
          <w:color w:val="auto"/>
          <w:kern w:val="1"/>
          <w:szCs w:val="21"/>
          <w:highlight w:val="none"/>
          <w:u w:val="single"/>
        </w:rPr>
        <w:t>%</w:t>
      </w:r>
      <w:r>
        <w:rPr>
          <w:rFonts w:hint="eastAsia" w:ascii="宋体" w:hAnsi="宋体" w:eastAsia="宋体" w:cs="宋体"/>
          <w:color w:val="auto"/>
          <w:kern w:val="1"/>
          <w:szCs w:val="21"/>
          <w:highlight w:val="none"/>
          <w:u w:val="single"/>
          <w:lang w:val="en-US" w:eastAsia="zh-CN"/>
        </w:rPr>
        <w:t>(如为中小微企业按2%计算)</w:t>
      </w:r>
      <w:r>
        <w:rPr>
          <w:rFonts w:hint="eastAsia" w:ascii="宋体" w:hAnsi="宋体" w:eastAsia="宋体" w:cs="宋体"/>
          <w:color w:val="auto"/>
          <w:kern w:val="1"/>
          <w:szCs w:val="21"/>
          <w:highlight w:val="none"/>
          <w:u w:val="single"/>
        </w:rPr>
        <w:t>：</w:t>
      </w:r>
      <w:r>
        <w:rPr>
          <w:rFonts w:hint="eastAsia" w:ascii="宋体" w:hAnsi="宋体" w:eastAsia="宋体" w:cs="宋体"/>
          <w:color w:val="auto"/>
          <w:kern w:val="1"/>
          <w:szCs w:val="21"/>
          <w:highlight w:val="none"/>
          <w:u w:val="single"/>
          <w:lang w:val="en-US" w:eastAsia="zh-CN"/>
        </w:rPr>
        <w:t>人民币</w:t>
      </w:r>
      <w:r>
        <w:rPr>
          <w:rFonts w:hint="eastAsia" w:ascii="宋体" w:hAnsi="宋体" w:eastAsia="宋体" w:cs="宋体"/>
          <w:color w:val="auto"/>
          <w:kern w:val="1"/>
          <w:szCs w:val="21"/>
          <w:highlight w:val="none"/>
          <w:u w:val="single"/>
        </w:rPr>
        <w:t xml:space="preserve">  </w:t>
      </w:r>
      <w:r>
        <w:rPr>
          <w:rFonts w:hint="eastAsia" w:ascii="宋体" w:hAnsi="宋体" w:eastAsia="宋体" w:cs="宋体"/>
          <w:color w:val="auto"/>
          <w:kern w:val="1"/>
          <w:szCs w:val="21"/>
          <w:highlight w:val="none"/>
          <w:u w:val="single"/>
          <w:lang w:val="en-US" w:eastAsia="zh-CN"/>
        </w:rPr>
        <w:t xml:space="preserve">   元</w:t>
      </w:r>
      <w:r>
        <w:rPr>
          <w:rFonts w:hint="eastAsia" w:ascii="宋体" w:hAnsi="宋体" w:eastAsia="宋体" w:cs="宋体"/>
          <w:color w:val="auto"/>
          <w:kern w:val="1"/>
          <w:szCs w:val="21"/>
          <w:highlight w:val="none"/>
          <w:u w:val="single"/>
        </w:rPr>
        <w:t>（¥      ）。</w:t>
      </w:r>
    </w:p>
    <w:p w14:paraId="6ED0336B">
      <w:pPr>
        <w:suppressAutoHyphens/>
        <w:snapToGrid w:val="0"/>
        <w:spacing w:line="360" w:lineRule="exact"/>
        <w:ind w:firstLine="420" w:firstLineChars="200"/>
        <w:rPr>
          <w:rFonts w:hint="eastAsia" w:ascii="宋体" w:hAnsi="宋体" w:eastAsia="宋体" w:cs="宋体"/>
          <w:color w:val="auto"/>
          <w:kern w:val="1"/>
          <w:szCs w:val="21"/>
          <w:highlight w:val="none"/>
          <w:lang w:val="en-US" w:eastAsia="zh-CN"/>
        </w:rPr>
      </w:pPr>
      <w:r>
        <w:rPr>
          <w:rFonts w:hint="eastAsia" w:ascii="宋体" w:hAnsi="宋体" w:eastAsia="宋体" w:cs="宋体"/>
          <w:color w:val="auto"/>
          <w:kern w:val="1"/>
          <w:szCs w:val="21"/>
          <w:highlight w:val="none"/>
        </w:rPr>
        <w:t>履约保证金递交方式：银行转账或电汇</w:t>
      </w:r>
      <w:r>
        <w:rPr>
          <w:rFonts w:hint="eastAsia" w:ascii="宋体" w:hAnsi="宋体" w:eastAsia="宋体" w:cs="宋体"/>
          <w:color w:val="auto"/>
          <w:kern w:val="1"/>
          <w:szCs w:val="21"/>
          <w:highlight w:val="none"/>
          <w:lang w:eastAsia="zh-CN"/>
        </w:rPr>
        <w:t>。</w:t>
      </w:r>
    </w:p>
    <w:p w14:paraId="06EAE468">
      <w:pPr>
        <w:suppressAutoHyphens/>
        <w:snapToGrid w:val="0"/>
        <w:spacing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备注：在签订合同之前，乙方需把履约保证金足额交到甲方指定账户。未提交履约保证金的，不予签订本合同。履约保证金自项目验收合格后，待乙方履行完质保义务且无违约的情况下，由乙方提出书面退还申请，甲方在收到乙方书面申请后无息退还。本合同履行期间，乙方存在违约的，甲方有权从履约保证金中先行扣除违约金、赔偿金等按本合同约定乙方应付款项，不足部分由乙方另行支付，甲方直接从履约保证金中扣除违约金、赔偿金等按本合同约定乙方应付的其他款项的，乙方应于接到甲方补足履约保证金通知之日起3个工作日内补足。</w:t>
      </w:r>
    </w:p>
    <w:p w14:paraId="0A2FCCA4">
      <w:pPr>
        <w:suppressAutoHyphens/>
        <w:snapToGrid w:val="0"/>
        <w:spacing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履约保证金指定账户：</w:t>
      </w:r>
    </w:p>
    <w:p w14:paraId="37EC8E1C">
      <w:pPr>
        <w:suppressAutoHyphens/>
        <w:snapToGrid w:val="0"/>
        <w:spacing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开户名称：广西壮族自治区人民医院</w:t>
      </w:r>
    </w:p>
    <w:p w14:paraId="7E4F36DC">
      <w:pPr>
        <w:suppressAutoHyphens/>
        <w:snapToGrid w:val="0"/>
        <w:spacing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开户银行：中国民生银行股份有限公司南宁金湖支行</w:t>
      </w:r>
    </w:p>
    <w:p w14:paraId="3F17D5C3">
      <w:pPr>
        <w:suppressAutoHyphens/>
        <w:snapToGrid w:val="0"/>
        <w:spacing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履约保证金的银行账户为：6313 33260</w:t>
      </w:r>
    </w:p>
    <w:p w14:paraId="26206E65">
      <w:pPr>
        <w:spacing w:after="124" w:afterLines="40" w:line="36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第十条 税费</w:t>
      </w:r>
    </w:p>
    <w:p w14:paraId="3FD47665">
      <w:pPr>
        <w:spacing w:after="124" w:afterLines="4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本合同执行中相关的一切税费均由乙方负担。</w:t>
      </w:r>
    </w:p>
    <w:p w14:paraId="69253209">
      <w:pPr>
        <w:spacing w:after="124" w:afterLines="40" w:line="360" w:lineRule="exact"/>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第十一条 质量保证及售后服务</w:t>
      </w:r>
    </w:p>
    <w:p w14:paraId="6D012891">
      <w:pPr>
        <w:suppressAutoHyphens/>
        <w:snapToGrid w:val="0"/>
        <w:spacing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1. 乙方应按采购文件规定的货物性能、技术要求、质量标准向甲方提供未经使用的全新产品。乙方提供货物的质量保证期按交货验收合格之日起计（期限见《采购需求》中的要求）。在保证期内因货物本身的质量问题发生故障，乙方应负责免费修理和更换零部件。对达不到技术要求者，根据实际情况，经双方协商，可按以下办法处理：</w:t>
      </w:r>
    </w:p>
    <w:p w14:paraId="1DA8A117">
      <w:pPr>
        <w:suppressAutoHyphens/>
        <w:snapToGrid w:val="0"/>
        <w:spacing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（1）更换：产品出现质量问题、经乙方</w:t>
      </w:r>
      <w:r>
        <w:rPr>
          <w:rFonts w:hint="eastAsia" w:ascii="宋体" w:hAnsi="宋体" w:eastAsia="宋体" w:cs="宋体"/>
          <w:color w:val="auto"/>
          <w:kern w:val="1"/>
          <w:szCs w:val="21"/>
          <w:highlight w:val="none"/>
          <w:u w:val="none"/>
        </w:rPr>
        <w:t>1</w:t>
      </w:r>
      <w:r>
        <w:rPr>
          <w:rFonts w:hint="eastAsia" w:ascii="宋体" w:hAnsi="宋体" w:eastAsia="宋体" w:cs="宋体"/>
          <w:color w:val="auto"/>
          <w:kern w:val="1"/>
          <w:szCs w:val="21"/>
          <w:highlight w:val="none"/>
        </w:rPr>
        <w:t>次维修仍不能达到合同约定的质量标准的，甲方有权更换，并由乙方承担所发生的全部费用。</w:t>
      </w:r>
    </w:p>
    <w:p w14:paraId="1FF986EA">
      <w:pPr>
        <w:suppressAutoHyphens/>
        <w:snapToGrid w:val="0"/>
        <w:spacing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（2）贬值处理：</w:t>
      </w:r>
      <w:r>
        <w:rPr>
          <w:rFonts w:hint="eastAsia" w:ascii="宋体" w:hAnsi="宋体" w:eastAsia="宋体" w:cs="宋体"/>
          <w:color w:val="auto"/>
          <w:kern w:val="1"/>
          <w:szCs w:val="21"/>
          <w:highlight w:val="none"/>
          <w:lang w:eastAsia="zh-Hans"/>
        </w:rPr>
        <w:t>因乙方</w:t>
      </w:r>
      <w:r>
        <w:rPr>
          <w:rFonts w:hint="eastAsia" w:ascii="宋体" w:hAnsi="宋体" w:eastAsia="宋体" w:cs="宋体"/>
          <w:color w:val="auto"/>
          <w:kern w:val="1"/>
          <w:szCs w:val="21"/>
          <w:highlight w:val="none"/>
        </w:rPr>
        <w:t>产品出现质量问题</w:t>
      </w:r>
      <w:r>
        <w:rPr>
          <w:rFonts w:hint="eastAsia" w:ascii="宋体" w:hAnsi="宋体" w:eastAsia="宋体" w:cs="宋体"/>
          <w:color w:val="auto"/>
          <w:kern w:val="1"/>
          <w:szCs w:val="21"/>
          <w:highlight w:val="none"/>
          <w:lang w:eastAsia="zh-Hans"/>
        </w:rPr>
        <w:t>造成退换货产生的贬值由乙方自行承担</w:t>
      </w:r>
      <w:r>
        <w:rPr>
          <w:rFonts w:hint="eastAsia" w:ascii="宋体" w:hAnsi="宋体" w:eastAsia="宋体" w:cs="宋体"/>
          <w:color w:val="auto"/>
          <w:kern w:val="1"/>
          <w:szCs w:val="21"/>
          <w:highlight w:val="none"/>
        </w:rPr>
        <w:t>。</w:t>
      </w:r>
    </w:p>
    <w:p w14:paraId="10DFEC8B">
      <w:pPr>
        <w:suppressAutoHyphens/>
        <w:snapToGrid w:val="0"/>
        <w:spacing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3）退货处理：产品出现严重质量问题（如主部件损坏、反应迟钝、无法满足需求、更换一次后仍出现质量问题）的，甲方有权退货，乙方应退还甲方支付的合同款，同时承担退货所发生的所有费用（运输、保险、检验、货款利息及银行手续费等），并视作乙方不能交付货物而须支付违约赔偿金给甲方，甲方还可依法追究乙方的违约责任，且甲方有权终止合同，由此造成的损失由乙方负责。</w:t>
      </w:r>
    </w:p>
    <w:p w14:paraId="14C16749">
      <w:pPr>
        <w:snapToGrid w:val="0"/>
        <w:spacing w:before="120" w:after="12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 如在使用过程中出现故障，乙方应在接到甲方通知后</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小时内响应，</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小时内解决故障，否则须在</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工作日内提供与原设备技术参数要求相同或高于原设备技术参数要求的备用产品，以保证甲方的正常工作。乙方在接到甲方通知后拒不响应或解决故障的，甲方有权聘请第三方进行维修，由此产生的费用由乙方承担。</w:t>
      </w:r>
    </w:p>
    <w:p w14:paraId="413CA19D">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 在质保期内，乙方应对货物出现的质量及安全问题负责处理解决并承担一切费用。如有产品质量争议，则按照国家相关法律法规及行业标准</w:t>
      </w:r>
      <w:r>
        <w:rPr>
          <w:rFonts w:hint="eastAsia" w:ascii="宋体" w:hAnsi="宋体" w:eastAsia="宋体" w:cs="宋体"/>
          <w:color w:val="auto"/>
          <w:szCs w:val="21"/>
          <w:highlight w:val="none"/>
          <w:lang w:eastAsia="zh-Hans"/>
        </w:rPr>
        <w:t>、地方标准等标准、规范解决（上述标准、规范有出入的，以较严格为准）</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Hans"/>
        </w:rPr>
        <w:t>如采购文件中明确对货物提出更高的技术要求的，乙方还应当确保符合采购文件提出的技术要求</w:t>
      </w:r>
      <w:r>
        <w:rPr>
          <w:rFonts w:hint="eastAsia" w:ascii="宋体" w:hAnsi="宋体" w:eastAsia="宋体" w:cs="宋体"/>
          <w:color w:val="auto"/>
          <w:szCs w:val="21"/>
          <w:highlight w:val="none"/>
        </w:rPr>
        <w:t>。</w:t>
      </w:r>
    </w:p>
    <w:p w14:paraId="14E26532">
      <w:pPr>
        <w:snapToGrid w:val="0"/>
        <w:spacing w:before="120" w:after="12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上述的货物因人为因素出现的故障不在免费保修范围内。超过质保期的机器设备，终生维修，维修时只收取部件成本费。</w:t>
      </w:r>
    </w:p>
    <w:p w14:paraId="35CAEEC3">
      <w:pPr>
        <w:snapToGrid w:val="0"/>
        <w:spacing w:before="120" w:after="120" w:line="360" w:lineRule="exact"/>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第十二条 货物包装、发运及运输</w:t>
      </w:r>
    </w:p>
    <w:p w14:paraId="5A116F19">
      <w:pPr>
        <w:snapToGrid w:val="0"/>
        <w:spacing w:before="120" w:after="120" w:line="36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 乙方应在货物发运前对其进行满足运输距离、防潮、防震、防锈和防破损装卸等要求包装，以保证货物安全运达甲方指定地点。</w:t>
      </w:r>
    </w:p>
    <w:p w14:paraId="65A46D0E">
      <w:pPr>
        <w:snapToGrid w:val="0"/>
        <w:spacing w:before="120" w:after="120" w:line="36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 使用说明书、质量检验证明书、随配附件和工具以及清单一并附于货物内。</w:t>
      </w:r>
    </w:p>
    <w:p w14:paraId="5C6652B5">
      <w:pPr>
        <w:snapToGrid w:val="0"/>
        <w:spacing w:before="120" w:after="120" w:line="36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 乙方在货物发运手续办理完毕后二十四小时内或货到甲方四十八小时前通知甲方，以准备接货。</w:t>
      </w:r>
    </w:p>
    <w:p w14:paraId="51D6CA4C">
      <w:pPr>
        <w:snapToGrid w:val="0"/>
        <w:spacing w:before="120" w:after="120" w:line="36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 货物在交付甲方签收前发生的风险均由乙方负责。</w:t>
      </w:r>
    </w:p>
    <w:p w14:paraId="45594AD8">
      <w:pPr>
        <w:snapToGrid w:val="0"/>
        <w:spacing w:before="120" w:after="120" w:line="36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 货物在规定的交付期限内由乙方送达甲方指定的地点。</w:t>
      </w:r>
    </w:p>
    <w:p w14:paraId="4F8DD12A">
      <w:pPr>
        <w:snapToGrid w:val="0"/>
        <w:spacing w:before="120" w:after="120" w:line="36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第十三条 违约责任</w:t>
      </w:r>
    </w:p>
    <w:p w14:paraId="410DCAD5">
      <w:pPr>
        <w:suppressAutoHyphens/>
        <w:snapToGrid w:val="0"/>
        <w:spacing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1.</w:t>
      </w:r>
      <w:r>
        <w:rPr>
          <w:rFonts w:hint="eastAsia" w:ascii="宋体" w:hAnsi="宋体" w:eastAsia="宋体" w:cs="宋体"/>
          <w:color w:val="auto"/>
          <w:kern w:val="1"/>
          <w:szCs w:val="21"/>
          <w:highlight w:val="none"/>
          <w:lang w:val="en-US" w:eastAsia="zh-CN"/>
        </w:rPr>
        <w:t xml:space="preserve"> </w:t>
      </w:r>
      <w:r>
        <w:rPr>
          <w:rFonts w:hint="eastAsia" w:ascii="宋体" w:hAnsi="宋体" w:eastAsia="宋体" w:cs="宋体"/>
          <w:color w:val="auto"/>
          <w:kern w:val="1"/>
          <w:szCs w:val="21"/>
          <w:highlight w:val="none"/>
        </w:rPr>
        <w:t>乙方所提供的货物规格、技术标准、材料、品牌等不符合采购文件、投标文件、国家质量标准、行业质量标准的，应在</w:t>
      </w:r>
      <w:r>
        <w:rPr>
          <w:rFonts w:hint="eastAsia" w:ascii="宋体" w:hAnsi="宋体" w:eastAsia="宋体" w:cs="宋体"/>
          <w:color w:val="auto"/>
          <w:kern w:val="1"/>
          <w:szCs w:val="21"/>
          <w:highlight w:val="none"/>
          <w:u w:val="single"/>
          <w:lang w:val="en-US" w:eastAsia="zh-CN"/>
        </w:rPr>
        <w:t xml:space="preserve"> </w:t>
      </w:r>
      <w:r>
        <w:rPr>
          <w:rFonts w:hint="eastAsia" w:ascii="宋体" w:hAnsi="宋体" w:eastAsia="宋体" w:cs="宋体"/>
          <w:color w:val="auto"/>
          <w:szCs w:val="21"/>
          <w:highlight w:val="none"/>
          <w:u w:val="single"/>
        </w:rPr>
        <w:t xml:space="preserve">15 </w:t>
      </w:r>
      <w:r>
        <w:rPr>
          <w:rFonts w:hint="eastAsia" w:ascii="宋体" w:hAnsi="宋体" w:eastAsia="宋体" w:cs="宋体"/>
          <w:color w:val="auto"/>
          <w:kern w:val="1"/>
          <w:szCs w:val="21"/>
          <w:highlight w:val="none"/>
          <w:u w:val="none"/>
        </w:rPr>
        <w:t>个工作日</w:t>
      </w:r>
      <w:r>
        <w:rPr>
          <w:rFonts w:hint="eastAsia" w:ascii="宋体" w:hAnsi="宋体" w:eastAsia="宋体" w:cs="宋体"/>
          <w:color w:val="auto"/>
          <w:kern w:val="1"/>
          <w:szCs w:val="21"/>
          <w:highlight w:val="none"/>
        </w:rPr>
        <w:t>内更换，换货期间计入乙方交货时间，如因换货导致逾期交货的，乙方应承担相应违约责任。乙方拒绝更换或更换货物后仍不符合本合同约定</w:t>
      </w:r>
      <w:r>
        <w:rPr>
          <w:rFonts w:hint="eastAsia" w:ascii="宋体" w:hAnsi="宋体" w:eastAsia="宋体" w:cs="宋体"/>
          <w:color w:val="auto"/>
          <w:kern w:val="1"/>
          <w:szCs w:val="21"/>
          <w:highlight w:val="none"/>
          <w:lang w:val="en-US" w:eastAsia="zh-CN"/>
        </w:rPr>
        <w:t>或验收不合格</w:t>
      </w:r>
      <w:r>
        <w:rPr>
          <w:rFonts w:hint="eastAsia" w:ascii="宋体" w:hAnsi="宋体" w:eastAsia="宋体" w:cs="宋体"/>
          <w:color w:val="auto"/>
          <w:kern w:val="1"/>
          <w:szCs w:val="21"/>
          <w:highlight w:val="none"/>
        </w:rPr>
        <w:t>的，该货物的价款不计入结算金额（或从合同合计金额中扣除），且乙方应按合同合计金额的</w:t>
      </w:r>
      <w:r>
        <w:rPr>
          <w:rFonts w:hint="eastAsia" w:ascii="宋体" w:hAnsi="宋体" w:eastAsia="宋体" w:cs="宋体"/>
          <w:color w:val="auto"/>
          <w:kern w:val="1"/>
          <w:szCs w:val="21"/>
          <w:highlight w:val="none"/>
          <w:u w:val="none"/>
        </w:rPr>
        <w:t>30%</w:t>
      </w:r>
      <w:r>
        <w:rPr>
          <w:rFonts w:hint="eastAsia" w:ascii="宋体" w:hAnsi="宋体" w:eastAsia="宋体" w:cs="宋体"/>
          <w:color w:val="auto"/>
          <w:kern w:val="1"/>
          <w:szCs w:val="21"/>
          <w:highlight w:val="none"/>
        </w:rPr>
        <w:t>向甲方支付违约金；乙方所提供的货物仅存在不影响使用的质量瑕疵且特殊情况下甲方同意接收的，乙方应向甲方支付违约货款额</w:t>
      </w:r>
      <w:r>
        <w:rPr>
          <w:rFonts w:hint="eastAsia" w:ascii="宋体" w:hAnsi="宋体" w:eastAsia="宋体" w:cs="宋体"/>
          <w:color w:val="auto"/>
          <w:kern w:val="1"/>
          <w:szCs w:val="21"/>
          <w:highlight w:val="none"/>
          <w:u w:val="none"/>
        </w:rPr>
        <w:t>5%</w:t>
      </w:r>
      <w:r>
        <w:rPr>
          <w:rFonts w:hint="eastAsia" w:ascii="宋体" w:hAnsi="宋体" w:eastAsia="宋体" w:cs="宋体"/>
          <w:color w:val="auto"/>
          <w:kern w:val="1"/>
          <w:szCs w:val="21"/>
          <w:highlight w:val="none"/>
        </w:rPr>
        <w:t>的违约金。</w:t>
      </w:r>
    </w:p>
    <w:p w14:paraId="27227736">
      <w:pPr>
        <w:suppressAutoHyphens/>
        <w:snapToGrid w:val="0"/>
        <w:spacing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2.</w:t>
      </w:r>
      <w:r>
        <w:rPr>
          <w:rFonts w:hint="eastAsia" w:ascii="宋体" w:hAnsi="宋体" w:eastAsia="宋体" w:cs="宋体"/>
          <w:color w:val="auto"/>
          <w:kern w:val="1"/>
          <w:szCs w:val="21"/>
          <w:highlight w:val="none"/>
          <w:lang w:val="en-US" w:eastAsia="zh-CN"/>
        </w:rPr>
        <w:t xml:space="preserve"> </w:t>
      </w:r>
      <w:r>
        <w:rPr>
          <w:rFonts w:hint="eastAsia" w:ascii="宋体" w:hAnsi="宋体" w:eastAsia="宋体" w:cs="宋体"/>
          <w:color w:val="auto"/>
          <w:kern w:val="1"/>
          <w:szCs w:val="21"/>
          <w:highlight w:val="none"/>
        </w:rPr>
        <w:t>乙方提供的货物如侵犯了第三方合法权益（包括但不限于知识产权、所有权、用益物权、担保物权等）而引发的任何纠纷或诉讼，均由乙方负责交涉并承担全部责任。在处理纠纷或诉讼的过程中，乙方应为甲方取得继续使用该货物的权利，或者将该货物替换或修改，以便使用该货物不再侵权。如果乙方不能合理地完成这些补救措施，并且甲方必须停止使用侵权的货物，甲方有权解除合同，要求乙方需退还甲方已付价款，没收履约保证金，并有权要求乙方按合同合计金额的</w:t>
      </w:r>
      <w:r>
        <w:rPr>
          <w:rFonts w:hint="eastAsia" w:ascii="宋体" w:hAnsi="宋体" w:eastAsia="宋体" w:cs="宋体"/>
          <w:color w:val="auto"/>
          <w:kern w:val="1"/>
          <w:szCs w:val="21"/>
          <w:highlight w:val="none"/>
          <w:u w:val="none"/>
        </w:rPr>
        <w:t>30%</w:t>
      </w:r>
      <w:r>
        <w:rPr>
          <w:rFonts w:hint="eastAsia" w:ascii="宋体" w:hAnsi="宋体" w:eastAsia="宋体" w:cs="宋体"/>
          <w:color w:val="auto"/>
          <w:kern w:val="1"/>
          <w:szCs w:val="21"/>
          <w:highlight w:val="none"/>
        </w:rPr>
        <w:t>支付违约金。</w:t>
      </w:r>
    </w:p>
    <w:p w14:paraId="27108D94">
      <w:pPr>
        <w:suppressAutoHyphens/>
        <w:snapToGrid w:val="0"/>
        <w:spacing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3.</w:t>
      </w:r>
      <w:r>
        <w:rPr>
          <w:rFonts w:hint="eastAsia" w:ascii="宋体" w:hAnsi="宋体" w:eastAsia="宋体" w:cs="宋体"/>
          <w:color w:val="auto"/>
          <w:kern w:val="1"/>
          <w:szCs w:val="21"/>
          <w:highlight w:val="none"/>
          <w:lang w:val="en-US" w:eastAsia="zh-CN"/>
        </w:rPr>
        <w:t xml:space="preserve"> </w:t>
      </w:r>
      <w:r>
        <w:rPr>
          <w:rFonts w:hint="eastAsia" w:ascii="宋体" w:hAnsi="宋体" w:eastAsia="宋体" w:cs="宋体"/>
          <w:color w:val="auto"/>
          <w:kern w:val="1"/>
          <w:szCs w:val="21"/>
          <w:highlight w:val="none"/>
        </w:rPr>
        <w:t>因包装、运输引起的货物损坏，</w:t>
      </w:r>
      <w:r>
        <w:rPr>
          <w:rFonts w:hint="eastAsia" w:ascii="宋体" w:hAnsi="宋体" w:eastAsia="宋体" w:cs="宋体"/>
          <w:color w:val="auto"/>
          <w:kern w:val="1"/>
          <w:szCs w:val="21"/>
          <w:highlight w:val="none"/>
          <w:lang w:eastAsia="zh-Hans"/>
        </w:rPr>
        <w:t>甲方有权选择不予接收或</w:t>
      </w:r>
      <w:r>
        <w:rPr>
          <w:rFonts w:hint="eastAsia" w:ascii="宋体" w:hAnsi="宋体" w:eastAsia="宋体" w:cs="宋体"/>
          <w:color w:val="auto"/>
          <w:kern w:val="1"/>
          <w:szCs w:val="21"/>
          <w:highlight w:val="none"/>
        </w:rPr>
        <w:t>按质量不合格要求乙方承担相应违约责任。</w:t>
      </w:r>
    </w:p>
    <w:p w14:paraId="0CBD0D90">
      <w:pPr>
        <w:suppressAutoHyphens/>
        <w:snapToGrid w:val="0"/>
        <w:spacing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4.</w:t>
      </w:r>
      <w:r>
        <w:rPr>
          <w:rFonts w:hint="eastAsia" w:ascii="宋体" w:hAnsi="宋体" w:eastAsia="宋体" w:cs="宋体"/>
          <w:color w:val="auto"/>
          <w:kern w:val="1"/>
          <w:szCs w:val="21"/>
          <w:highlight w:val="none"/>
          <w:lang w:val="en-US" w:eastAsia="zh-CN"/>
        </w:rPr>
        <w:t xml:space="preserve"> </w:t>
      </w:r>
      <w:r>
        <w:rPr>
          <w:rFonts w:hint="eastAsia" w:ascii="宋体" w:hAnsi="宋体" w:eastAsia="宋体" w:cs="宋体"/>
          <w:color w:val="auto"/>
          <w:kern w:val="1"/>
          <w:szCs w:val="21"/>
          <w:highlight w:val="none"/>
        </w:rPr>
        <w:t>甲方无故延期接收货物的</w:t>
      </w:r>
      <w:r>
        <w:rPr>
          <w:rFonts w:hint="eastAsia" w:ascii="宋体" w:hAnsi="宋体" w:eastAsia="宋体" w:cs="宋体"/>
          <w:color w:val="auto"/>
          <w:highlight w:val="none"/>
        </w:rPr>
        <w:t>，需补偿乙方因此增加的直接成本。</w:t>
      </w:r>
      <w:r>
        <w:rPr>
          <w:rFonts w:hint="eastAsia" w:ascii="宋体" w:hAnsi="宋体" w:eastAsia="宋体" w:cs="宋体"/>
          <w:color w:val="auto"/>
          <w:kern w:val="1"/>
          <w:szCs w:val="21"/>
          <w:highlight w:val="none"/>
        </w:rPr>
        <w:t>乙方逾期交货的，每天向甲方偿付违约货款额</w:t>
      </w:r>
      <w:r>
        <w:rPr>
          <w:rFonts w:hint="eastAsia" w:ascii="宋体" w:hAnsi="宋体" w:eastAsia="宋体" w:cs="宋体"/>
          <w:color w:val="auto"/>
          <w:kern w:val="1"/>
          <w:szCs w:val="21"/>
          <w:highlight w:val="none"/>
          <w:u w:val="none"/>
        </w:rPr>
        <w:t>0.4‰</w:t>
      </w:r>
      <w:r>
        <w:rPr>
          <w:rFonts w:hint="eastAsia" w:ascii="宋体" w:hAnsi="宋体" w:eastAsia="宋体" w:cs="宋体"/>
          <w:color w:val="auto"/>
          <w:kern w:val="1"/>
          <w:szCs w:val="21"/>
          <w:highlight w:val="none"/>
        </w:rPr>
        <w:t>的违约金，超过</w:t>
      </w:r>
      <w:r>
        <w:rPr>
          <w:rFonts w:hint="eastAsia" w:ascii="宋体" w:hAnsi="宋体" w:eastAsia="宋体" w:cs="宋体"/>
          <w:color w:val="auto"/>
          <w:kern w:val="1"/>
          <w:szCs w:val="21"/>
          <w:highlight w:val="none"/>
          <w:u w:val="none"/>
        </w:rPr>
        <w:t>30</w:t>
      </w:r>
      <w:r>
        <w:rPr>
          <w:rFonts w:hint="eastAsia" w:ascii="宋体" w:hAnsi="宋体" w:eastAsia="宋体" w:cs="宋体"/>
          <w:color w:val="auto"/>
          <w:kern w:val="1"/>
          <w:szCs w:val="21"/>
          <w:highlight w:val="none"/>
        </w:rPr>
        <w:t>天甲方有权解除合同；甲方延期付货款的，每天向乙方偿付延期货款额</w:t>
      </w:r>
      <w:r>
        <w:rPr>
          <w:rFonts w:hint="eastAsia" w:ascii="宋体" w:hAnsi="宋体" w:eastAsia="宋体" w:cs="宋体"/>
          <w:color w:val="auto"/>
          <w:kern w:val="1"/>
          <w:szCs w:val="21"/>
          <w:highlight w:val="none"/>
          <w:u w:val="none"/>
        </w:rPr>
        <w:t>0.1‰</w:t>
      </w:r>
      <w:r>
        <w:rPr>
          <w:rFonts w:hint="eastAsia" w:ascii="宋体" w:hAnsi="宋体" w:eastAsia="宋体" w:cs="宋体"/>
          <w:color w:val="auto"/>
          <w:kern w:val="1"/>
          <w:szCs w:val="21"/>
          <w:highlight w:val="none"/>
          <w:lang w:val="en-US" w:eastAsia="zh-CN"/>
        </w:rPr>
        <w:t>违约金</w:t>
      </w:r>
      <w:r>
        <w:rPr>
          <w:rFonts w:hint="eastAsia" w:ascii="宋体" w:hAnsi="宋体" w:eastAsia="宋体" w:cs="宋体"/>
          <w:color w:val="auto"/>
          <w:kern w:val="1"/>
          <w:szCs w:val="21"/>
          <w:highlight w:val="none"/>
        </w:rPr>
        <w:t>，但</w:t>
      </w:r>
      <w:r>
        <w:rPr>
          <w:rFonts w:hint="eastAsia" w:ascii="宋体" w:hAnsi="宋体" w:eastAsia="宋体" w:cs="宋体"/>
          <w:color w:val="auto"/>
          <w:kern w:val="1"/>
          <w:szCs w:val="21"/>
          <w:highlight w:val="none"/>
          <w:lang w:val="en-US" w:eastAsia="zh-CN"/>
        </w:rPr>
        <w:t>违约金</w:t>
      </w:r>
      <w:r>
        <w:rPr>
          <w:rFonts w:hint="eastAsia" w:ascii="宋体" w:hAnsi="宋体" w:eastAsia="宋体" w:cs="宋体"/>
          <w:color w:val="auto"/>
          <w:kern w:val="1"/>
          <w:szCs w:val="21"/>
          <w:highlight w:val="none"/>
        </w:rPr>
        <w:t>累计不得超过延期货款额</w:t>
      </w:r>
      <w:r>
        <w:rPr>
          <w:rFonts w:hint="eastAsia" w:ascii="宋体" w:hAnsi="宋体" w:eastAsia="宋体" w:cs="宋体"/>
          <w:color w:val="auto"/>
          <w:kern w:val="1"/>
          <w:szCs w:val="21"/>
          <w:highlight w:val="none"/>
          <w:u w:val="none"/>
        </w:rPr>
        <w:t>5%</w:t>
      </w:r>
      <w:r>
        <w:rPr>
          <w:rFonts w:hint="eastAsia" w:ascii="宋体" w:hAnsi="宋体" w:eastAsia="宋体" w:cs="宋体"/>
          <w:color w:val="auto"/>
          <w:kern w:val="1"/>
          <w:szCs w:val="21"/>
          <w:highlight w:val="none"/>
        </w:rPr>
        <w:t>。乙方逾期交付货物核心部件导致货物无法使用的，乙方须赔偿甲方所受到的全部损失（包括但不限于：替代物购置及安装费用等）并按本合同合计金额的</w:t>
      </w:r>
      <w:r>
        <w:rPr>
          <w:rFonts w:hint="eastAsia" w:ascii="宋体" w:hAnsi="宋体" w:eastAsia="宋体" w:cs="宋体"/>
          <w:color w:val="auto"/>
          <w:kern w:val="1"/>
          <w:szCs w:val="21"/>
          <w:highlight w:val="none"/>
          <w:u w:val="none"/>
        </w:rPr>
        <w:t>30%</w:t>
      </w:r>
      <w:r>
        <w:rPr>
          <w:rFonts w:hint="eastAsia" w:ascii="宋体" w:hAnsi="宋体" w:eastAsia="宋体" w:cs="宋体"/>
          <w:color w:val="auto"/>
          <w:kern w:val="1"/>
          <w:szCs w:val="21"/>
          <w:highlight w:val="none"/>
        </w:rPr>
        <w:t>支付违约金。</w:t>
      </w:r>
    </w:p>
    <w:p w14:paraId="1412A43B">
      <w:pPr>
        <w:suppressAutoHyphens/>
        <w:snapToGrid w:val="0"/>
        <w:spacing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5.</w:t>
      </w:r>
      <w:r>
        <w:rPr>
          <w:rFonts w:hint="eastAsia" w:ascii="宋体" w:hAnsi="宋体" w:eastAsia="宋体" w:cs="宋体"/>
          <w:color w:val="auto"/>
          <w:kern w:val="1"/>
          <w:szCs w:val="21"/>
          <w:highlight w:val="none"/>
          <w:lang w:val="en-US" w:eastAsia="zh-CN"/>
        </w:rPr>
        <w:t xml:space="preserve"> </w:t>
      </w:r>
      <w:r>
        <w:rPr>
          <w:rFonts w:hint="eastAsia" w:ascii="宋体" w:hAnsi="宋体" w:eastAsia="宋体" w:cs="宋体"/>
          <w:color w:val="auto"/>
          <w:kern w:val="1"/>
          <w:szCs w:val="21"/>
          <w:highlight w:val="none"/>
        </w:rPr>
        <w:t>乙方未按本合同和投标文件中规定的服务承诺提供售后服务的，每出现一次，乙方应按本合同合计金额的</w:t>
      </w:r>
      <w:r>
        <w:rPr>
          <w:rFonts w:hint="eastAsia" w:ascii="宋体" w:hAnsi="宋体" w:eastAsia="宋体" w:cs="宋体"/>
          <w:color w:val="auto"/>
          <w:kern w:val="1"/>
          <w:szCs w:val="21"/>
          <w:highlight w:val="none"/>
          <w:u w:val="none"/>
        </w:rPr>
        <w:t>5%</w:t>
      </w:r>
      <w:r>
        <w:rPr>
          <w:rFonts w:hint="eastAsia" w:ascii="宋体" w:hAnsi="宋体" w:eastAsia="宋体" w:cs="宋体"/>
          <w:color w:val="auto"/>
          <w:kern w:val="1"/>
          <w:szCs w:val="21"/>
          <w:highlight w:val="none"/>
        </w:rPr>
        <w:t>向甲方支付违约金，同时甲方有权根据本合同第十一条第2项的约定自行交由第三方提供售后服务，乙方每次除向甲方支付违约金外，还需承担甲方为此支出的配件费、工时费等一切售后服务相关费用。</w:t>
      </w:r>
    </w:p>
    <w:p w14:paraId="1DFAA174">
      <w:pPr>
        <w:suppressAutoHyphens/>
        <w:snapToGrid w:val="0"/>
        <w:spacing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6.</w:t>
      </w:r>
      <w:r>
        <w:rPr>
          <w:rFonts w:hint="eastAsia" w:ascii="宋体" w:hAnsi="宋体" w:eastAsia="宋体" w:cs="宋体"/>
          <w:color w:val="auto"/>
          <w:kern w:val="1"/>
          <w:szCs w:val="21"/>
          <w:highlight w:val="none"/>
          <w:lang w:val="en-US" w:eastAsia="zh-CN"/>
        </w:rPr>
        <w:t xml:space="preserve"> </w:t>
      </w:r>
      <w:r>
        <w:rPr>
          <w:rFonts w:hint="eastAsia" w:ascii="宋体" w:hAnsi="宋体" w:eastAsia="宋体" w:cs="宋体"/>
          <w:color w:val="auto"/>
          <w:kern w:val="1"/>
          <w:szCs w:val="21"/>
          <w:highlight w:val="none"/>
        </w:rPr>
        <w:t>乙方提供的货物在质量保证期内，因设计、工艺或材料的缺陷和其它质量原因造成甲方人员（含经允许进入甲方场地的第三人）、该货物之外的其他物品受到伤害（损坏）的，由乙方负责承担由此产生的一切赔偿责任。赔偿款从履约保证金中扣除，履约保证金不足以支付的，由乙方另行支付。</w:t>
      </w:r>
    </w:p>
    <w:p w14:paraId="2D139D84">
      <w:pPr>
        <w:suppressAutoHyphens/>
        <w:snapToGrid w:val="0"/>
        <w:spacing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7.</w:t>
      </w:r>
      <w:r>
        <w:rPr>
          <w:rFonts w:hint="eastAsia" w:ascii="宋体" w:hAnsi="宋体" w:eastAsia="宋体" w:cs="宋体"/>
          <w:color w:val="auto"/>
          <w:kern w:val="1"/>
          <w:szCs w:val="21"/>
          <w:highlight w:val="none"/>
          <w:lang w:val="en-US" w:eastAsia="zh-CN"/>
        </w:rPr>
        <w:t xml:space="preserve"> </w:t>
      </w:r>
      <w:r>
        <w:rPr>
          <w:rFonts w:hint="eastAsia" w:ascii="宋体" w:hAnsi="宋体" w:eastAsia="宋体" w:cs="宋体"/>
          <w:color w:val="auto"/>
          <w:kern w:val="1"/>
          <w:szCs w:val="21"/>
          <w:highlight w:val="none"/>
        </w:rPr>
        <w:t>未经甲方书面许可，乙方擅自将本合同项下义务交由第三方完成的，视为乙方根本违约，甲方有权解除本合同。</w:t>
      </w:r>
    </w:p>
    <w:p w14:paraId="2F783AFC">
      <w:pPr>
        <w:suppressAutoHyphens/>
        <w:snapToGrid w:val="0"/>
        <w:spacing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8.</w:t>
      </w:r>
      <w:r>
        <w:rPr>
          <w:rFonts w:hint="eastAsia" w:ascii="宋体" w:hAnsi="宋体" w:eastAsia="宋体" w:cs="宋体"/>
          <w:color w:val="auto"/>
          <w:kern w:val="1"/>
          <w:szCs w:val="21"/>
          <w:highlight w:val="none"/>
          <w:lang w:val="en-US" w:eastAsia="zh-CN"/>
        </w:rPr>
        <w:t xml:space="preserve"> </w:t>
      </w:r>
      <w:r>
        <w:rPr>
          <w:rFonts w:hint="eastAsia" w:ascii="宋体" w:hAnsi="宋体" w:eastAsia="宋体" w:cs="宋体"/>
          <w:color w:val="auto"/>
          <w:kern w:val="1"/>
          <w:szCs w:val="21"/>
          <w:highlight w:val="none"/>
        </w:rPr>
        <w:t>乙方未按约提供合法有效的足额发票的，除须向甲方补开发票外，还须向甲方支付相当于不符合合同约定的发票票面金额30%的违约金</w:t>
      </w:r>
      <w:r>
        <w:rPr>
          <w:rFonts w:hint="eastAsia" w:ascii="宋体" w:hAnsi="宋体" w:eastAsia="宋体" w:cs="宋体"/>
          <w:color w:val="auto"/>
          <w:kern w:val="1"/>
          <w:szCs w:val="21"/>
          <w:highlight w:val="none"/>
          <w:lang w:eastAsia="zh-CN"/>
        </w:rPr>
        <w:t>，</w:t>
      </w:r>
      <w:r>
        <w:rPr>
          <w:rFonts w:hint="eastAsia" w:ascii="宋体" w:hAnsi="宋体" w:eastAsia="宋体" w:cs="宋体"/>
          <w:color w:val="auto"/>
          <w:kern w:val="1"/>
          <w:szCs w:val="21"/>
          <w:highlight w:val="none"/>
        </w:rPr>
        <w:t>且甲方有权解除合同，要求乙方退还已付款项。</w:t>
      </w:r>
    </w:p>
    <w:p w14:paraId="4A397229">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1"/>
          <w:szCs w:val="21"/>
          <w:highlight w:val="none"/>
        </w:rPr>
        <w:t>9.</w:t>
      </w:r>
      <w:r>
        <w:rPr>
          <w:rFonts w:hint="eastAsia" w:ascii="宋体" w:hAnsi="宋体" w:eastAsia="宋体" w:cs="宋体"/>
          <w:color w:val="auto"/>
          <w:kern w:val="1"/>
          <w:szCs w:val="21"/>
          <w:highlight w:val="none"/>
          <w:lang w:val="en-US" w:eastAsia="zh-CN"/>
        </w:rPr>
        <w:t xml:space="preserve"> </w:t>
      </w:r>
      <w:r>
        <w:rPr>
          <w:rFonts w:hint="eastAsia" w:ascii="宋体" w:hAnsi="宋体" w:eastAsia="宋体" w:cs="宋体"/>
          <w:color w:val="auto"/>
          <w:szCs w:val="21"/>
          <w:highlight w:val="none"/>
        </w:rPr>
        <w:t>乙方违反</w:t>
      </w:r>
      <w:r>
        <w:rPr>
          <w:rFonts w:hint="eastAsia" w:ascii="宋体" w:hAnsi="宋体" w:eastAsia="宋体" w:cs="宋体"/>
          <w:color w:val="auto"/>
          <w:kern w:val="1"/>
          <w:szCs w:val="21"/>
          <w:highlight w:val="none"/>
        </w:rPr>
        <w:t>第三条第3款</w:t>
      </w:r>
      <w:r>
        <w:rPr>
          <w:rFonts w:hint="eastAsia" w:ascii="宋体" w:hAnsi="宋体" w:eastAsia="宋体" w:cs="宋体"/>
          <w:color w:val="auto"/>
          <w:szCs w:val="21"/>
          <w:highlight w:val="none"/>
        </w:rPr>
        <w:t>约定的，应向甲方一次性支付合同合计金额30%的违约金。</w:t>
      </w:r>
    </w:p>
    <w:p w14:paraId="74B7F3DB">
      <w:pPr>
        <w:suppressAutoHyphens/>
        <w:snapToGrid w:val="0"/>
        <w:spacing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10.乙方的其它违约行为，按违约货款额5%收取违约金。</w:t>
      </w:r>
    </w:p>
    <w:p w14:paraId="17BB7D40">
      <w:pPr>
        <w:suppressAutoHyphens/>
        <w:snapToGrid w:val="0"/>
        <w:spacing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11.甲方解除合同的，除有权要求乙方按相应违约条款承担违约责任外，还有权要求乙方按本合同合计金额的30%支付违约金。</w:t>
      </w:r>
    </w:p>
    <w:p w14:paraId="3482D7EB">
      <w:pPr>
        <w:suppressAutoHyphens/>
        <w:snapToGrid w:val="0"/>
        <w:spacing w:line="360" w:lineRule="exact"/>
        <w:ind w:firstLine="420" w:firstLineChars="200"/>
        <w:rPr>
          <w:rFonts w:hint="eastAsia" w:ascii="宋体" w:hAnsi="宋体" w:eastAsia="宋体" w:cs="宋体"/>
          <w:color w:val="auto"/>
          <w:kern w:val="1"/>
          <w:szCs w:val="21"/>
          <w:highlight w:val="none"/>
          <w:lang w:eastAsia="zh-Hans"/>
        </w:rPr>
      </w:pPr>
      <w:r>
        <w:rPr>
          <w:rFonts w:hint="eastAsia" w:ascii="宋体" w:hAnsi="宋体" w:eastAsia="宋体" w:cs="宋体"/>
          <w:color w:val="auto"/>
          <w:kern w:val="1"/>
          <w:szCs w:val="21"/>
          <w:highlight w:val="none"/>
        </w:rPr>
        <w:t>12.</w:t>
      </w:r>
      <w:r>
        <w:rPr>
          <w:rFonts w:hint="eastAsia" w:ascii="宋体" w:hAnsi="宋体" w:eastAsia="宋体" w:cs="宋体"/>
          <w:color w:val="auto"/>
          <w:kern w:val="1"/>
          <w:szCs w:val="21"/>
          <w:highlight w:val="none"/>
          <w:lang w:eastAsia="zh-Hans"/>
        </w:rPr>
        <w:t>任何一方存在任何违约行为的，除按合同约定承担</w:t>
      </w:r>
      <w:r>
        <w:rPr>
          <w:rFonts w:hint="eastAsia" w:ascii="宋体" w:hAnsi="宋体" w:eastAsia="宋体" w:cs="宋体"/>
          <w:color w:val="auto"/>
          <w:kern w:val="1"/>
          <w:szCs w:val="21"/>
          <w:highlight w:val="none"/>
        </w:rPr>
        <w:t>违约</w:t>
      </w:r>
      <w:r>
        <w:rPr>
          <w:rFonts w:hint="eastAsia" w:ascii="宋体" w:hAnsi="宋体" w:eastAsia="宋体" w:cs="宋体"/>
          <w:color w:val="auto"/>
          <w:kern w:val="1"/>
          <w:szCs w:val="21"/>
          <w:highlight w:val="none"/>
          <w:lang w:eastAsia="zh-Hans"/>
        </w:rPr>
        <w:t>责任外，还应赔偿守约方的一切</w:t>
      </w:r>
      <w:r>
        <w:rPr>
          <w:rFonts w:hint="eastAsia" w:ascii="宋体" w:hAnsi="宋体" w:eastAsia="宋体" w:cs="宋体"/>
          <w:color w:val="auto"/>
          <w:kern w:val="1"/>
          <w:szCs w:val="21"/>
          <w:highlight w:val="none"/>
        </w:rPr>
        <w:t>经济</w:t>
      </w:r>
      <w:r>
        <w:rPr>
          <w:rFonts w:hint="eastAsia" w:ascii="宋体" w:hAnsi="宋体" w:eastAsia="宋体" w:cs="宋体"/>
          <w:color w:val="auto"/>
          <w:kern w:val="1"/>
          <w:szCs w:val="21"/>
          <w:highlight w:val="none"/>
          <w:lang w:eastAsia="zh-Hans"/>
        </w:rPr>
        <w:t>损失（包括但不限于向第三方支付</w:t>
      </w:r>
      <w:r>
        <w:rPr>
          <w:rFonts w:hint="eastAsia" w:ascii="宋体" w:hAnsi="宋体" w:eastAsia="宋体" w:cs="宋体"/>
          <w:color w:val="auto"/>
          <w:kern w:val="1"/>
          <w:szCs w:val="21"/>
          <w:highlight w:val="none"/>
        </w:rPr>
        <w:t>的</w:t>
      </w:r>
      <w:r>
        <w:rPr>
          <w:rFonts w:hint="eastAsia" w:ascii="宋体" w:hAnsi="宋体" w:eastAsia="宋体" w:cs="宋体"/>
          <w:color w:val="auto"/>
          <w:kern w:val="1"/>
          <w:szCs w:val="21"/>
          <w:highlight w:val="none"/>
          <w:lang w:eastAsia="zh-Hans"/>
        </w:rPr>
        <w:t>赔偿金、补偿金、违约金等，为实现债权而支付的律师费、公证费、诉讼费、保全费、公告费、鉴定费、诉讼财产保全责任险保</w:t>
      </w:r>
      <w:r>
        <w:rPr>
          <w:rFonts w:hint="eastAsia" w:ascii="宋体" w:hAnsi="宋体" w:eastAsia="宋体" w:cs="宋体"/>
          <w:color w:val="auto"/>
          <w:kern w:val="1"/>
          <w:szCs w:val="21"/>
          <w:highlight w:val="none"/>
        </w:rPr>
        <w:t>险</w:t>
      </w:r>
      <w:r>
        <w:rPr>
          <w:rFonts w:hint="eastAsia" w:ascii="宋体" w:hAnsi="宋体" w:eastAsia="宋体" w:cs="宋体"/>
          <w:color w:val="auto"/>
          <w:kern w:val="1"/>
          <w:szCs w:val="21"/>
          <w:highlight w:val="none"/>
          <w:lang w:eastAsia="zh-Hans"/>
        </w:rPr>
        <w:t>费等一切费用）。</w:t>
      </w:r>
    </w:p>
    <w:p w14:paraId="2CDAFAF4">
      <w:pPr>
        <w:snapToGrid w:val="0"/>
        <w:spacing w:before="120" w:after="120" w:line="36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第十四条 不可抗力事件处理</w:t>
      </w:r>
    </w:p>
    <w:p w14:paraId="6A026109">
      <w:pPr>
        <w:suppressAutoHyphens/>
        <w:snapToGrid w:val="0"/>
        <w:spacing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1. 在合同有效期内，任何一方因不可抗力事件导致不能履行合同，则合同履行期可延长，其延长期与不可抗力影响期相同。</w:t>
      </w:r>
    </w:p>
    <w:p w14:paraId="670EDBBB">
      <w:pPr>
        <w:suppressAutoHyphens/>
        <w:snapToGrid w:val="0"/>
        <w:spacing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2. 不可抗力事件发生后，应立即通知对方，并寄送有关权威机构出具的证明。</w:t>
      </w:r>
    </w:p>
    <w:p w14:paraId="4AF5B3F2">
      <w:pPr>
        <w:suppressAutoHyphens/>
        <w:snapToGrid w:val="0"/>
        <w:spacing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3. 不可抗力事件延续一百二十天以上，双方应通过友好协商，确定是否继续履行合同。</w:t>
      </w:r>
    </w:p>
    <w:p w14:paraId="2D69E7C3">
      <w:pPr>
        <w:snapToGrid w:val="0"/>
        <w:spacing w:before="120" w:after="120" w:line="36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第十五条 合同争议解决</w:t>
      </w:r>
    </w:p>
    <w:p w14:paraId="4C9F423F">
      <w:pPr>
        <w:suppressAutoHyphens/>
        <w:snapToGrid w:val="0"/>
        <w:spacing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1. 因货物质量问题发生争议的，应邀请国家认可的质量检测机构按照国家标准对货物质量进行</w:t>
      </w:r>
      <w:r>
        <w:rPr>
          <w:rFonts w:hint="eastAsia" w:ascii="宋体" w:hAnsi="宋体" w:eastAsia="宋体" w:cs="宋体"/>
          <w:color w:val="auto"/>
          <w:kern w:val="1"/>
          <w:szCs w:val="21"/>
          <w:highlight w:val="none"/>
          <w:lang w:eastAsia="zh-Hans"/>
        </w:rPr>
        <w:t>鉴定</w:t>
      </w:r>
      <w:r>
        <w:rPr>
          <w:rFonts w:hint="eastAsia" w:ascii="宋体" w:hAnsi="宋体" w:eastAsia="宋体" w:cs="宋体"/>
          <w:color w:val="auto"/>
          <w:kern w:val="1"/>
          <w:szCs w:val="21"/>
          <w:highlight w:val="none"/>
        </w:rPr>
        <w:t>。货物符合国家标准的，鉴定费由甲方承担；货物不符合国家标准的，鉴定费由乙方承担。</w:t>
      </w:r>
    </w:p>
    <w:p w14:paraId="54957D6C">
      <w:pPr>
        <w:suppressAutoHyphens/>
        <w:snapToGrid w:val="0"/>
        <w:spacing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2. 因履行本合同引起的或与本合同有关的争议，甲乙双方应首先通过友好协商解决，如果协商不能解决，可向甲方所在地人民法院提起诉讼。</w:t>
      </w:r>
    </w:p>
    <w:p w14:paraId="2762E27B">
      <w:pPr>
        <w:suppressAutoHyphens/>
        <w:snapToGrid w:val="0"/>
        <w:spacing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3. 诉讼期间，本合同继续履行。</w:t>
      </w:r>
    </w:p>
    <w:p w14:paraId="76918F6C">
      <w:pPr>
        <w:snapToGrid w:val="0"/>
        <w:spacing w:before="120" w:after="120" w:line="36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第十六条 合同生效及其它</w:t>
      </w:r>
    </w:p>
    <w:p w14:paraId="21741D19">
      <w:pPr>
        <w:suppressAutoHyphens/>
        <w:snapToGrid w:val="0"/>
        <w:spacing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1.</w:t>
      </w:r>
      <w:r>
        <w:rPr>
          <w:rFonts w:hint="eastAsia" w:ascii="宋体" w:hAnsi="宋体" w:eastAsia="宋体" w:cs="宋体"/>
          <w:color w:val="auto"/>
          <w:kern w:val="1"/>
          <w:szCs w:val="21"/>
          <w:highlight w:val="none"/>
          <w:lang w:val="en-US" w:eastAsia="zh-CN"/>
        </w:rPr>
        <w:t xml:space="preserve"> </w:t>
      </w:r>
      <w:r>
        <w:rPr>
          <w:rFonts w:hint="eastAsia" w:ascii="宋体" w:hAnsi="宋体" w:eastAsia="宋体" w:cs="宋体"/>
          <w:color w:val="auto"/>
          <w:kern w:val="1"/>
          <w:szCs w:val="21"/>
          <w:highlight w:val="none"/>
        </w:rPr>
        <w:t>合同履行地点为：</w:t>
      </w:r>
      <w:r>
        <w:rPr>
          <w:rFonts w:hint="eastAsia" w:ascii="宋体" w:hAnsi="宋体" w:eastAsia="宋体" w:cs="宋体"/>
          <w:color w:val="auto"/>
          <w:kern w:val="1"/>
          <w:szCs w:val="21"/>
          <w:highlight w:val="none"/>
          <w:u w:val="single"/>
        </w:rPr>
        <w:t>广西壮族自治区人民医院</w:t>
      </w:r>
      <w:r>
        <w:rPr>
          <w:rFonts w:hint="eastAsia" w:ascii="宋体" w:hAnsi="宋体" w:eastAsia="宋体" w:cs="宋体"/>
          <w:color w:val="auto"/>
          <w:kern w:val="1"/>
          <w:szCs w:val="21"/>
          <w:highlight w:val="none"/>
        </w:rPr>
        <w:t>；合同履行的方式：</w:t>
      </w:r>
      <w:r>
        <w:rPr>
          <w:rFonts w:hint="eastAsia" w:ascii="宋体" w:hAnsi="宋体" w:eastAsia="宋体" w:cs="宋体"/>
          <w:color w:val="auto"/>
          <w:kern w:val="1"/>
          <w:szCs w:val="21"/>
          <w:highlight w:val="none"/>
          <w:u w:val="single"/>
        </w:rPr>
        <w:t>按照本合同约定</w:t>
      </w:r>
      <w:r>
        <w:rPr>
          <w:rFonts w:hint="eastAsia" w:ascii="宋体" w:hAnsi="宋体" w:eastAsia="宋体" w:cs="宋体"/>
          <w:color w:val="auto"/>
          <w:kern w:val="1"/>
          <w:szCs w:val="21"/>
          <w:highlight w:val="none"/>
        </w:rPr>
        <w:t>。</w:t>
      </w:r>
    </w:p>
    <w:p w14:paraId="0D1759C3">
      <w:pPr>
        <w:suppressAutoHyphens/>
        <w:snapToGrid w:val="0"/>
        <w:spacing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 xml:space="preserve">2. </w:t>
      </w:r>
      <w:r>
        <w:rPr>
          <w:rFonts w:hint="eastAsia" w:ascii="宋体" w:hAnsi="宋体" w:eastAsia="宋体" w:cs="宋体"/>
          <w:color w:val="auto"/>
          <w:kern w:val="1"/>
          <w:szCs w:val="21"/>
          <w:highlight w:val="none"/>
          <w:lang w:val="en-US" w:eastAsia="zh-CN"/>
        </w:rPr>
        <w:t>本</w:t>
      </w:r>
      <w:r>
        <w:rPr>
          <w:rFonts w:hint="eastAsia" w:ascii="宋体" w:hAnsi="宋体" w:eastAsia="宋体" w:cs="宋体"/>
          <w:color w:val="auto"/>
          <w:kern w:val="1"/>
          <w:szCs w:val="21"/>
          <w:highlight w:val="none"/>
        </w:rPr>
        <w:t>合同经双方法定代表人或委托代理人签字并加盖</w:t>
      </w:r>
      <w:r>
        <w:rPr>
          <w:rFonts w:hint="eastAsia" w:ascii="宋体" w:hAnsi="宋体" w:eastAsia="宋体" w:cs="宋体"/>
          <w:color w:val="auto"/>
          <w:kern w:val="1"/>
          <w:szCs w:val="21"/>
          <w:highlight w:val="none"/>
          <w:lang w:val="en-US" w:eastAsia="zh-CN"/>
        </w:rPr>
        <w:t>双方</w:t>
      </w:r>
      <w:r>
        <w:rPr>
          <w:rFonts w:hint="eastAsia" w:ascii="宋体" w:hAnsi="宋体" w:eastAsia="宋体" w:cs="宋体"/>
          <w:color w:val="auto"/>
          <w:kern w:val="1"/>
          <w:szCs w:val="21"/>
          <w:highlight w:val="none"/>
        </w:rPr>
        <w:t>单位公章后生效。</w:t>
      </w:r>
    </w:p>
    <w:p w14:paraId="0BFE7748">
      <w:pPr>
        <w:suppressAutoHyphens/>
        <w:snapToGrid w:val="0"/>
        <w:spacing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 xml:space="preserve">3. </w:t>
      </w:r>
      <w:r>
        <w:rPr>
          <w:rFonts w:hint="eastAsia" w:ascii="宋体" w:hAnsi="宋体" w:eastAsia="宋体" w:cs="宋体"/>
          <w:color w:val="auto"/>
          <w:szCs w:val="21"/>
          <w:highlight w:val="none"/>
        </w:rPr>
        <w:t>合同执行中涉及采购内容修改或补充的，按政府采购相关规定要求签订书面补充协议，并作为主合同不可分割的一部分</w:t>
      </w:r>
      <w:r>
        <w:rPr>
          <w:rFonts w:hint="eastAsia" w:ascii="宋体" w:hAnsi="宋体" w:eastAsia="宋体" w:cs="宋体"/>
          <w:color w:val="auto"/>
          <w:kern w:val="1"/>
          <w:szCs w:val="21"/>
          <w:highlight w:val="none"/>
        </w:rPr>
        <w:t>。</w:t>
      </w:r>
    </w:p>
    <w:p w14:paraId="25201DFC">
      <w:pPr>
        <w:suppressAutoHyphens/>
        <w:snapToGrid w:val="0"/>
        <w:spacing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4. 本合同未尽事宜，遵照《中华人民共和国民法典》有关条文执行。</w:t>
      </w:r>
    </w:p>
    <w:p w14:paraId="4C68F8B7">
      <w:pPr>
        <w:snapToGrid w:val="0"/>
        <w:spacing w:before="120" w:after="120" w:line="360" w:lineRule="exact"/>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第十七条 合同的变更、终止与转让</w:t>
      </w:r>
    </w:p>
    <w:p w14:paraId="6B32BC1F">
      <w:pPr>
        <w:suppressAutoHyphens/>
        <w:snapToGrid w:val="0"/>
        <w:spacing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1.</w:t>
      </w:r>
      <w:r>
        <w:rPr>
          <w:rFonts w:hint="eastAsia" w:ascii="宋体" w:hAnsi="宋体" w:eastAsia="宋体" w:cs="宋体"/>
          <w:color w:val="auto"/>
          <w:kern w:val="1"/>
          <w:szCs w:val="21"/>
          <w:highlight w:val="none"/>
          <w:lang w:val="en-US" w:eastAsia="zh-CN"/>
        </w:rPr>
        <w:t xml:space="preserve"> </w:t>
      </w:r>
      <w:r>
        <w:rPr>
          <w:rFonts w:hint="eastAsia" w:ascii="宋体" w:hAnsi="宋体" w:eastAsia="宋体" w:cs="宋体"/>
          <w:color w:val="auto"/>
          <w:kern w:val="1"/>
          <w:szCs w:val="21"/>
          <w:highlight w:val="none"/>
        </w:rPr>
        <w:t>本合同一经签订，甲乙双方不得擅自变更、中止或终止。</w:t>
      </w:r>
    </w:p>
    <w:p w14:paraId="2C4610B3">
      <w:pPr>
        <w:suppressAutoHyphens/>
        <w:snapToGrid w:val="0"/>
        <w:spacing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2.</w:t>
      </w:r>
      <w:r>
        <w:rPr>
          <w:rFonts w:hint="eastAsia" w:ascii="宋体" w:hAnsi="宋体" w:eastAsia="宋体" w:cs="宋体"/>
          <w:color w:val="auto"/>
          <w:kern w:val="1"/>
          <w:szCs w:val="21"/>
          <w:highlight w:val="none"/>
          <w:lang w:val="en-US" w:eastAsia="zh-CN"/>
        </w:rPr>
        <w:t xml:space="preserve"> </w:t>
      </w:r>
      <w:r>
        <w:rPr>
          <w:rFonts w:hint="eastAsia" w:ascii="宋体" w:hAnsi="宋体" w:eastAsia="宋体" w:cs="宋体"/>
          <w:color w:val="auto"/>
          <w:kern w:val="1"/>
          <w:szCs w:val="21"/>
          <w:highlight w:val="none"/>
        </w:rPr>
        <w:t>未经甲方书面同意，乙方不得擅自转让</w:t>
      </w:r>
      <w:r>
        <w:rPr>
          <w:rFonts w:hint="eastAsia" w:ascii="宋体" w:hAnsi="宋体" w:eastAsia="宋体" w:cs="宋体"/>
          <w:color w:val="auto"/>
          <w:kern w:val="1"/>
          <w:szCs w:val="21"/>
          <w:highlight w:val="none"/>
          <w:lang w:eastAsia="zh-Hans"/>
        </w:rPr>
        <w:t>、分包</w:t>
      </w:r>
      <w:r>
        <w:rPr>
          <w:rFonts w:hint="eastAsia" w:ascii="宋体" w:hAnsi="宋体" w:eastAsia="宋体" w:cs="宋体"/>
          <w:color w:val="auto"/>
          <w:kern w:val="1"/>
          <w:szCs w:val="21"/>
          <w:highlight w:val="none"/>
        </w:rPr>
        <w:t>（无进口资格的乙方委托进口货物除外）其应履行的合同义务。</w:t>
      </w:r>
    </w:p>
    <w:p w14:paraId="79EE6F22">
      <w:pPr>
        <w:spacing w:after="124" w:afterLines="40" w:line="360" w:lineRule="exact"/>
        <w:ind w:firstLine="422" w:firstLineChars="200"/>
        <w:rPr>
          <w:rFonts w:hint="eastAsia" w:ascii="宋体" w:hAnsi="宋体" w:eastAsia="宋体" w:cs="宋体"/>
          <w:b/>
          <w:color w:val="auto"/>
          <w:kern w:val="1"/>
          <w:szCs w:val="21"/>
          <w:highlight w:val="none"/>
        </w:rPr>
      </w:pPr>
      <w:r>
        <w:rPr>
          <w:rFonts w:hint="eastAsia" w:ascii="宋体" w:hAnsi="宋体" w:eastAsia="宋体" w:cs="宋体"/>
          <w:b/>
          <w:color w:val="auto"/>
          <w:kern w:val="1"/>
          <w:szCs w:val="21"/>
          <w:highlight w:val="none"/>
        </w:rPr>
        <w:t>第十八条 签订本合同依据</w:t>
      </w:r>
    </w:p>
    <w:p w14:paraId="062525F1">
      <w:pPr>
        <w:spacing w:after="124" w:afterLines="40"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 xml:space="preserve">1. 本合同； </w:t>
      </w:r>
    </w:p>
    <w:p w14:paraId="0FDD50BE">
      <w:pPr>
        <w:spacing w:after="124" w:afterLines="40"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1"/>
          <w:szCs w:val="21"/>
          <w:highlight w:val="none"/>
        </w:rPr>
        <w:t>2. 中标（成交）通知书；</w:t>
      </w:r>
    </w:p>
    <w:p w14:paraId="5414915E">
      <w:pPr>
        <w:suppressAutoHyphens/>
        <w:spacing w:after="124" w:afterLines="40"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3. 乙方提供的投标（响应）文件；</w:t>
      </w:r>
    </w:p>
    <w:p w14:paraId="73FC7E81">
      <w:pPr>
        <w:suppressAutoHyphens/>
        <w:spacing w:after="124" w:afterLines="40" w:line="360" w:lineRule="exact"/>
        <w:ind w:firstLine="420" w:firstLineChars="200"/>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4. 采购文件。</w:t>
      </w:r>
    </w:p>
    <w:p w14:paraId="224A26DE">
      <w:pPr>
        <w:autoSpaceDE w:val="0"/>
        <w:autoSpaceDN w:val="0"/>
        <w:adjustRightInd w:val="0"/>
        <w:spacing w:line="420" w:lineRule="exact"/>
        <w:ind w:firstLine="422" w:firstLineChars="200"/>
        <w:outlineLvl w:val="0"/>
        <w:rPr>
          <w:rFonts w:hint="eastAsia" w:ascii="宋体" w:hAnsi="宋体" w:eastAsia="宋体" w:cs="宋体"/>
          <w:b/>
          <w:bCs/>
          <w:color w:val="auto"/>
          <w:kern w:val="1"/>
          <w:szCs w:val="21"/>
          <w:highlight w:val="none"/>
        </w:rPr>
      </w:pPr>
      <w:r>
        <w:rPr>
          <w:rFonts w:hint="eastAsia" w:ascii="宋体" w:hAnsi="宋体" w:eastAsia="宋体" w:cs="宋体"/>
          <w:b/>
          <w:bCs/>
          <w:color w:val="auto"/>
          <w:kern w:val="1"/>
          <w:szCs w:val="21"/>
          <w:highlight w:val="none"/>
        </w:rPr>
        <w:t>上述合同文件互相补充和解释。如果合同文件之间存在矛盾或者不一致之处，以上述文件的排列顺序在先者为准。</w:t>
      </w:r>
    </w:p>
    <w:p w14:paraId="1D3C0D60">
      <w:pPr>
        <w:snapToGrid w:val="0"/>
        <w:spacing w:line="420" w:lineRule="exact"/>
        <w:ind w:firstLine="422" w:firstLineChars="200"/>
        <w:jc w:val="left"/>
        <w:rPr>
          <w:rFonts w:hint="eastAsia" w:ascii="宋体" w:hAnsi="宋体" w:eastAsia="宋体" w:cs="宋体"/>
          <w:color w:val="auto"/>
          <w:kern w:val="1"/>
          <w:szCs w:val="21"/>
          <w:highlight w:val="none"/>
        </w:rPr>
      </w:pPr>
      <w:r>
        <w:rPr>
          <w:rFonts w:hint="eastAsia" w:ascii="宋体" w:hAnsi="宋体" w:eastAsia="宋体" w:cs="宋体"/>
          <w:b/>
          <w:color w:val="auto"/>
          <w:szCs w:val="21"/>
          <w:highlight w:val="none"/>
        </w:rPr>
        <w:t xml:space="preserve">第十九条 </w:t>
      </w:r>
      <w:r>
        <w:rPr>
          <w:rFonts w:hint="eastAsia" w:ascii="宋体" w:hAnsi="宋体" w:eastAsia="宋体" w:cs="宋体"/>
          <w:b/>
          <w:color w:val="auto"/>
          <w:szCs w:val="21"/>
          <w:highlight w:val="none"/>
          <w:lang w:eastAsia="zh-Hans"/>
        </w:rPr>
        <w:t>通知</w:t>
      </w:r>
    </w:p>
    <w:p w14:paraId="6325E1DA">
      <w:pPr>
        <w:snapToGrid w:val="0"/>
        <w:spacing w:line="420" w:lineRule="exact"/>
        <w:ind w:firstLine="420" w:firstLineChars="200"/>
        <w:jc w:val="left"/>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双方确认本合同落款通讯地址作为文书送达地址，该通讯地址适用于包括双方合同履行过程中的各类通知、协议等文件以及就合同发生争议进入诉讼、仲裁程序阶段法律文书的送达。通讯地址需要变更时应当提前15个工作日书面通知对方。因提供或者确认的通讯地址不准确、通讯地址变更后未及时依程序告知对方或受送达方拒绝签收等原因，导致文书未能被实际接收的，邮寄送达的，以文书退回之日视为送达之日，电子邮件、传真送达的，一经发送，即视为送达。</w:t>
      </w:r>
    </w:p>
    <w:p w14:paraId="02728B16">
      <w:pPr>
        <w:snapToGrid w:val="0"/>
        <w:spacing w:line="360" w:lineRule="exact"/>
        <w:ind w:firstLine="422" w:firstLineChars="200"/>
        <w:rPr>
          <w:rFonts w:hint="eastAsia" w:ascii="宋体" w:hAnsi="宋体" w:eastAsia="宋体" w:cs="宋体"/>
          <w:color w:val="auto"/>
          <w:kern w:val="1"/>
          <w:szCs w:val="21"/>
          <w:highlight w:val="none"/>
        </w:rPr>
      </w:pPr>
      <w:r>
        <w:rPr>
          <w:rFonts w:hint="eastAsia" w:ascii="宋体" w:hAnsi="宋体" w:eastAsia="宋体" w:cs="宋体"/>
          <w:b/>
          <w:color w:val="auto"/>
          <w:szCs w:val="21"/>
          <w:highlight w:val="none"/>
        </w:rPr>
        <w:t xml:space="preserve">第二十条 </w:t>
      </w:r>
      <w:r>
        <w:rPr>
          <w:rFonts w:hint="eastAsia" w:ascii="宋体" w:hAnsi="宋体" w:eastAsia="宋体" w:cs="宋体"/>
          <w:color w:val="auto"/>
          <w:kern w:val="1"/>
          <w:szCs w:val="21"/>
          <w:highlight w:val="none"/>
        </w:rPr>
        <w:t>本合同一式</w:t>
      </w:r>
      <w:r>
        <w:rPr>
          <w:rFonts w:hint="eastAsia" w:ascii="宋体" w:hAnsi="宋体" w:eastAsia="宋体" w:cs="宋体"/>
          <w:color w:val="auto"/>
          <w:kern w:val="1"/>
          <w:szCs w:val="21"/>
          <w:highlight w:val="none"/>
          <w:lang w:val="en-US" w:eastAsia="zh-CN"/>
        </w:rPr>
        <w:t>四</w:t>
      </w:r>
      <w:r>
        <w:rPr>
          <w:rFonts w:hint="eastAsia" w:ascii="宋体" w:hAnsi="宋体" w:eastAsia="宋体" w:cs="宋体"/>
          <w:color w:val="auto"/>
          <w:kern w:val="1"/>
          <w:szCs w:val="21"/>
          <w:highlight w:val="none"/>
        </w:rPr>
        <w:t>份，具有同等法律效力。甲方二份，乙方</w:t>
      </w:r>
      <w:r>
        <w:rPr>
          <w:rFonts w:hint="eastAsia" w:ascii="宋体" w:hAnsi="宋体" w:eastAsia="宋体" w:cs="宋体"/>
          <w:color w:val="auto"/>
          <w:kern w:val="1"/>
          <w:szCs w:val="21"/>
          <w:highlight w:val="none"/>
          <w:lang w:val="en-US" w:eastAsia="zh-CN"/>
        </w:rPr>
        <w:t>二</w:t>
      </w:r>
      <w:r>
        <w:rPr>
          <w:rFonts w:hint="eastAsia" w:ascii="宋体" w:hAnsi="宋体" w:eastAsia="宋体" w:cs="宋体"/>
          <w:color w:val="auto"/>
          <w:kern w:val="1"/>
          <w:szCs w:val="21"/>
          <w:highlight w:val="none"/>
        </w:rPr>
        <w:t>份。</w:t>
      </w:r>
    </w:p>
    <w:p w14:paraId="3BCDB22D">
      <w:pPr>
        <w:snapToGrid w:val="0"/>
        <w:spacing w:line="36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（以下为签章页，无正文）</w:t>
      </w:r>
    </w:p>
    <w:p w14:paraId="60CFD822">
      <w:pPr>
        <w:snapToGrid w:val="0"/>
        <w:spacing w:line="360" w:lineRule="exact"/>
        <w:ind w:firstLine="420" w:firstLineChars="200"/>
        <w:rPr>
          <w:rFonts w:hint="eastAsia" w:ascii="宋体" w:hAnsi="宋体" w:eastAsia="宋体" w:cs="宋体"/>
          <w:color w:val="auto"/>
          <w:szCs w:val="21"/>
          <w:highlight w:val="none"/>
        </w:rPr>
      </w:pPr>
    </w:p>
    <w:tbl>
      <w:tblPr>
        <w:tblStyle w:val="46"/>
        <w:tblW w:w="51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5"/>
        <w:gridCol w:w="5227"/>
      </w:tblGrid>
      <w:tr w14:paraId="64A04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3" w:hRule="atLeast"/>
        </w:trPr>
        <w:tc>
          <w:tcPr>
            <w:tcW w:w="2425" w:type="pct"/>
            <w:noWrap w:val="0"/>
            <w:vAlign w:val="center"/>
          </w:tcPr>
          <w:p w14:paraId="4D521C6B">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甲方（章）广西壮族自治区人民医院 </w:t>
            </w:r>
          </w:p>
          <w:p w14:paraId="15468191">
            <w:pPr>
              <w:snapToGrid w:val="0"/>
              <w:spacing w:line="360" w:lineRule="exact"/>
              <w:rPr>
                <w:rFonts w:hint="eastAsia" w:ascii="宋体" w:hAnsi="宋体" w:eastAsia="宋体" w:cs="宋体"/>
                <w:color w:val="auto"/>
                <w:szCs w:val="21"/>
                <w:highlight w:val="none"/>
              </w:rPr>
            </w:pPr>
          </w:p>
          <w:p w14:paraId="434A6C32">
            <w:pPr>
              <w:pStyle w:val="20"/>
              <w:rPr>
                <w:rFonts w:hint="eastAsia" w:ascii="宋体" w:hAnsi="宋体" w:eastAsia="宋体" w:cs="宋体"/>
                <w:color w:val="auto"/>
                <w:highlight w:val="none"/>
              </w:rPr>
            </w:pPr>
          </w:p>
          <w:p w14:paraId="47E3BFA5">
            <w:pPr>
              <w:pStyle w:val="20"/>
              <w:rPr>
                <w:rFonts w:hint="eastAsia" w:ascii="宋体" w:hAnsi="宋体" w:eastAsia="宋体" w:cs="宋体"/>
                <w:color w:val="auto"/>
                <w:highlight w:val="none"/>
              </w:rPr>
            </w:pPr>
          </w:p>
          <w:p w14:paraId="3815C236">
            <w:pPr>
              <w:pStyle w:val="20"/>
              <w:rPr>
                <w:rFonts w:hint="eastAsia" w:ascii="宋体" w:hAnsi="宋体" w:eastAsia="宋体" w:cs="宋体"/>
                <w:color w:val="auto"/>
                <w:highlight w:val="none"/>
              </w:rPr>
            </w:pPr>
          </w:p>
          <w:p w14:paraId="124D7FEF">
            <w:pPr>
              <w:snapToGrid w:val="0"/>
              <w:spacing w:line="360" w:lineRule="exact"/>
              <w:ind w:firstLine="945" w:firstLineChars="450"/>
              <w:jc w:val="right"/>
              <w:rPr>
                <w:rFonts w:hint="eastAsia" w:ascii="宋体" w:hAnsi="宋体" w:eastAsia="宋体" w:cs="宋体"/>
                <w:color w:val="auto"/>
                <w:szCs w:val="21"/>
                <w:highlight w:val="none"/>
              </w:rPr>
            </w:pPr>
          </w:p>
        </w:tc>
        <w:tc>
          <w:tcPr>
            <w:tcW w:w="2574" w:type="pct"/>
            <w:noWrap w:val="0"/>
            <w:vAlign w:val="center"/>
          </w:tcPr>
          <w:p w14:paraId="2A815A3C">
            <w:pPr>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乙方（章） </w:t>
            </w:r>
          </w:p>
          <w:p w14:paraId="436AA703">
            <w:pPr>
              <w:spacing w:line="360" w:lineRule="exact"/>
              <w:rPr>
                <w:rFonts w:hint="eastAsia" w:ascii="宋体" w:hAnsi="宋体" w:eastAsia="宋体" w:cs="宋体"/>
                <w:color w:val="auto"/>
                <w:szCs w:val="21"/>
                <w:highlight w:val="none"/>
              </w:rPr>
            </w:pPr>
          </w:p>
          <w:p w14:paraId="28EFFE9E">
            <w:pPr>
              <w:spacing w:line="360" w:lineRule="exact"/>
              <w:rPr>
                <w:rFonts w:hint="eastAsia" w:ascii="宋体" w:hAnsi="宋体" w:eastAsia="宋体" w:cs="宋体"/>
                <w:color w:val="auto"/>
                <w:szCs w:val="21"/>
                <w:highlight w:val="none"/>
              </w:rPr>
            </w:pPr>
          </w:p>
          <w:p w14:paraId="0084934D">
            <w:pPr>
              <w:spacing w:line="360" w:lineRule="exact"/>
              <w:rPr>
                <w:rFonts w:hint="eastAsia" w:ascii="宋体" w:hAnsi="宋体" w:eastAsia="宋体" w:cs="宋体"/>
                <w:color w:val="auto"/>
                <w:szCs w:val="21"/>
                <w:highlight w:val="none"/>
              </w:rPr>
            </w:pPr>
          </w:p>
          <w:p w14:paraId="57A15677">
            <w:pPr>
              <w:spacing w:line="360" w:lineRule="exact"/>
              <w:rPr>
                <w:rFonts w:hint="eastAsia" w:ascii="宋体" w:hAnsi="宋体" w:eastAsia="宋体" w:cs="宋体"/>
                <w:color w:val="auto"/>
                <w:szCs w:val="21"/>
                <w:highlight w:val="none"/>
              </w:rPr>
            </w:pPr>
          </w:p>
          <w:p w14:paraId="04BB08A2">
            <w:pPr>
              <w:spacing w:line="360" w:lineRule="exact"/>
              <w:rPr>
                <w:rFonts w:hint="eastAsia" w:ascii="宋体" w:hAnsi="宋体" w:eastAsia="宋体" w:cs="宋体"/>
                <w:color w:val="auto"/>
                <w:szCs w:val="21"/>
                <w:highlight w:val="none"/>
              </w:rPr>
            </w:pPr>
          </w:p>
        </w:tc>
      </w:tr>
      <w:tr w14:paraId="4C679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3" w:hRule="atLeast"/>
        </w:trPr>
        <w:tc>
          <w:tcPr>
            <w:tcW w:w="2425" w:type="pct"/>
            <w:noWrap w:val="0"/>
            <w:vAlign w:val="top"/>
          </w:tcPr>
          <w:p w14:paraId="60135E83">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单位地址：南宁市青秀区桃源路6号</w:t>
            </w:r>
          </w:p>
        </w:tc>
        <w:tc>
          <w:tcPr>
            <w:tcW w:w="2574" w:type="pct"/>
            <w:noWrap w:val="0"/>
            <w:vAlign w:val="top"/>
          </w:tcPr>
          <w:p w14:paraId="11061F2F">
            <w:pPr>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单位地址： </w:t>
            </w:r>
          </w:p>
        </w:tc>
      </w:tr>
      <w:tr w14:paraId="38A84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3" w:hRule="atLeast"/>
        </w:trPr>
        <w:tc>
          <w:tcPr>
            <w:tcW w:w="2425" w:type="pct"/>
            <w:noWrap w:val="0"/>
            <w:vAlign w:val="top"/>
          </w:tcPr>
          <w:p w14:paraId="114A1E53">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w:t>
            </w:r>
          </w:p>
        </w:tc>
        <w:tc>
          <w:tcPr>
            <w:tcW w:w="2574" w:type="pct"/>
            <w:noWrap w:val="0"/>
            <w:vAlign w:val="top"/>
          </w:tcPr>
          <w:p w14:paraId="15450C5F">
            <w:pPr>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法定代表人（负责人或自然人）：</w:t>
            </w:r>
          </w:p>
        </w:tc>
      </w:tr>
      <w:tr w14:paraId="7ACFC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2425" w:type="pct"/>
            <w:noWrap w:val="0"/>
            <w:vAlign w:val="center"/>
          </w:tcPr>
          <w:p w14:paraId="69FA84B5">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委托代理人：</w:t>
            </w:r>
          </w:p>
        </w:tc>
        <w:tc>
          <w:tcPr>
            <w:tcW w:w="2574" w:type="pct"/>
            <w:noWrap w:val="0"/>
            <w:vAlign w:val="center"/>
          </w:tcPr>
          <w:p w14:paraId="01E49C43">
            <w:pPr>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委托代理人</w:t>
            </w:r>
          </w:p>
        </w:tc>
      </w:tr>
      <w:tr w14:paraId="72F74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trPr>
        <w:tc>
          <w:tcPr>
            <w:tcW w:w="2425" w:type="pct"/>
            <w:noWrap w:val="0"/>
            <w:vAlign w:val="center"/>
          </w:tcPr>
          <w:p w14:paraId="4F8E8960">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电话：0771-5722430</w:t>
            </w:r>
          </w:p>
        </w:tc>
        <w:tc>
          <w:tcPr>
            <w:tcW w:w="2574" w:type="pct"/>
            <w:noWrap w:val="0"/>
            <w:vAlign w:val="center"/>
          </w:tcPr>
          <w:p w14:paraId="73C1660A">
            <w:pPr>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手机</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t>
            </w:r>
          </w:p>
        </w:tc>
      </w:tr>
      <w:tr w14:paraId="253AC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425" w:type="pct"/>
            <w:noWrap w:val="0"/>
            <w:vAlign w:val="center"/>
          </w:tcPr>
          <w:p w14:paraId="7456DF26">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开户银行：中国民生银行股份有限公司南宁金湖支行</w:t>
            </w:r>
          </w:p>
        </w:tc>
        <w:tc>
          <w:tcPr>
            <w:tcW w:w="2574" w:type="pct"/>
            <w:noWrap w:val="0"/>
            <w:vAlign w:val="top"/>
          </w:tcPr>
          <w:p w14:paraId="6393C932">
            <w:pPr>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开户银行： </w:t>
            </w:r>
          </w:p>
        </w:tc>
      </w:tr>
      <w:tr w14:paraId="71FE9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2425" w:type="pct"/>
            <w:noWrap w:val="0"/>
            <w:vAlign w:val="center"/>
          </w:tcPr>
          <w:p w14:paraId="43AA5EA6">
            <w:pPr>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账号： 6313 33260</w:t>
            </w:r>
          </w:p>
        </w:tc>
        <w:tc>
          <w:tcPr>
            <w:tcW w:w="2574" w:type="pct"/>
            <w:noWrap w:val="0"/>
            <w:vAlign w:val="center"/>
          </w:tcPr>
          <w:p w14:paraId="06B20257">
            <w:pPr>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账号：</w:t>
            </w:r>
          </w:p>
        </w:tc>
      </w:tr>
      <w:tr w14:paraId="59A4B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425" w:type="pct"/>
            <w:noWrap w:val="0"/>
            <w:vAlign w:val="center"/>
          </w:tcPr>
          <w:p w14:paraId="31896F80">
            <w:pPr>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统一社会信用代码：12450000498500618J</w:t>
            </w:r>
          </w:p>
        </w:tc>
        <w:tc>
          <w:tcPr>
            <w:tcW w:w="2574" w:type="pct"/>
            <w:noWrap w:val="0"/>
            <w:vAlign w:val="center"/>
          </w:tcPr>
          <w:p w14:paraId="32509FD5">
            <w:pPr>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统一社会信用代码：</w:t>
            </w:r>
          </w:p>
        </w:tc>
      </w:tr>
      <w:tr w14:paraId="48864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425" w:type="pct"/>
            <w:noWrap w:val="0"/>
            <w:vAlign w:val="center"/>
          </w:tcPr>
          <w:p w14:paraId="0E1EC257">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邮政编码：530021</w:t>
            </w:r>
          </w:p>
        </w:tc>
        <w:tc>
          <w:tcPr>
            <w:tcW w:w="2574" w:type="pct"/>
            <w:noWrap w:val="0"/>
            <w:vAlign w:val="center"/>
          </w:tcPr>
          <w:p w14:paraId="7668D497">
            <w:pPr>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邮政编码：</w:t>
            </w:r>
          </w:p>
        </w:tc>
      </w:tr>
    </w:tbl>
    <w:p w14:paraId="0F96182C">
      <w:pPr>
        <w:rPr>
          <w:rFonts w:hint="eastAsia" w:ascii="宋体" w:hAnsi="宋体" w:eastAsia="宋体" w:cs="宋体"/>
          <w:color w:val="auto"/>
          <w:highlight w:val="none"/>
        </w:rPr>
      </w:pPr>
    </w:p>
    <w:p w14:paraId="0CCF6CE2">
      <w:pPr>
        <w:jc w:val="center"/>
        <w:rPr>
          <w:rFonts w:hint="eastAsia" w:ascii="宋体" w:hAnsi="宋体" w:eastAsia="宋体" w:cs="宋体"/>
          <w:b/>
          <w:bCs/>
          <w:color w:val="auto"/>
          <w:kern w:val="0"/>
          <w:sz w:val="28"/>
          <w:szCs w:val="28"/>
          <w:highlight w:val="none"/>
          <w:lang w:val="en-US" w:eastAsia="zh-CN" w:bidi="ar"/>
        </w:rPr>
      </w:pPr>
      <w:r>
        <w:rPr>
          <w:rFonts w:hint="eastAsia" w:ascii="宋体" w:hAnsi="宋体" w:eastAsia="宋体" w:cs="宋体"/>
          <w:b/>
          <w:color w:val="auto"/>
          <w:sz w:val="30"/>
          <w:szCs w:val="30"/>
          <w:highlight w:val="none"/>
        </w:rPr>
        <w:br w:type="page"/>
      </w:r>
      <w:r>
        <w:rPr>
          <w:rFonts w:hint="eastAsia" w:ascii="宋体" w:hAnsi="宋体" w:eastAsia="宋体" w:cs="宋体"/>
          <w:b/>
          <w:bCs/>
          <w:color w:val="auto"/>
          <w:kern w:val="0"/>
          <w:sz w:val="28"/>
          <w:szCs w:val="28"/>
          <w:highlight w:val="none"/>
          <w:lang w:val="en-US" w:eastAsia="zh-CN" w:bidi="ar"/>
        </w:rPr>
        <w:t>产品</w:t>
      </w:r>
      <w:r>
        <w:rPr>
          <w:rFonts w:hint="eastAsia" w:ascii="宋体" w:hAnsi="宋体" w:eastAsia="宋体" w:cs="宋体"/>
          <w:b/>
          <w:bCs/>
          <w:color w:val="auto"/>
          <w:kern w:val="0"/>
          <w:sz w:val="28"/>
          <w:szCs w:val="28"/>
          <w:highlight w:val="none"/>
          <w:lang w:bidi="ar"/>
        </w:rPr>
        <w:t>技术参数</w:t>
      </w:r>
      <w:r>
        <w:rPr>
          <w:rFonts w:hint="eastAsia" w:ascii="宋体" w:hAnsi="宋体" w:eastAsia="宋体" w:cs="宋体"/>
          <w:b/>
          <w:bCs/>
          <w:color w:val="auto"/>
          <w:kern w:val="0"/>
          <w:sz w:val="28"/>
          <w:szCs w:val="28"/>
          <w:highlight w:val="none"/>
          <w:lang w:val="en-US" w:eastAsia="zh-CN" w:bidi="ar"/>
        </w:rPr>
        <w:t>表</w:t>
      </w:r>
    </w:p>
    <w:p w14:paraId="504D78C6">
      <w:pPr>
        <w:spacing w:before="214" w:line="387" w:lineRule="exact"/>
        <w:ind w:left="624" w:hanging="627" w:hangingChars="223"/>
        <w:rPr>
          <w:rFonts w:hint="eastAsia" w:ascii="宋体" w:hAnsi="宋体" w:eastAsia="宋体" w:cs="宋体"/>
          <w:b/>
          <w:bCs/>
          <w:color w:val="auto"/>
          <w:kern w:val="0"/>
          <w:sz w:val="28"/>
          <w:szCs w:val="28"/>
          <w:highlight w:val="none"/>
          <w:lang w:bidi="ar"/>
        </w:rPr>
      </w:pPr>
    </w:p>
    <w:p w14:paraId="5AA682F4">
      <w:pPr>
        <w:pStyle w:val="20"/>
        <w:rPr>
          <w:rFonts w:hint="eastAsia" w:ascii="宋体" w:hAnsi="宋体" w:eastAsia="宋体" w:cs="宋体"/>
          <w:b/>
          <w:bCs/>
          <w:color w:val="auto"/>
          <w:kern w:val="0"/>
          <w:sz w:val="28"/>
          <w:szCs w:val="28"/>
          <w:highlight w:val="none"/>
          <w:lang w:bidi="ar"/>
        </w:rPr>
      </w:pPr>
    </w:p>
    <w:p w14:paraId="15023C2E">
      <w:pPr>
        <w:pStyle w:val="20"/>
        <w:rPr>
          <w:rFonts w:hint="eastAsia" w:ascii="宋体" w:hAnsi="宋体" w:eastAsia="宋体" w:cs="宋体"/>
          <w:b/>
          <w:bCs/>
          <w:color w:val="auto"/>
          <w:kern w:val="0"/>
          <w:sz w:val="28"/>
          <w:szCs w:val="28"/>
          <w:highlight w:val="none"/>
          <w:lang w:bidi="ar"/>
        </w:rPr>
      </w:pPr>
    </w:p>
    <w:p w14:paraId="77344537">
      <w:pPr>
        <w:pStyle w:val="20"/>
        <w:rPr>
          <w:rFonts w:hint="eastAsia" w:ascii="宋体" w:hAnsi="宋体" w:eastAsia="宋体" w:cs="宋体"/>
          <w:b/>
          <w:bCs/>
          <w:color w:val="auto"/>
          <w:kern w:val="0"/>
          <w:sz w:val="28"/>
          <w:szCs w:val="28"/>
          <w:highlight w:val="none"/>
          <w:lang w:bidi="ar"/>
        </w:rPr>
      </w:pPr>
    </w:p>
    <w:p w14:paraId="2ECF633C">
      <w:pPr>
        <w:pStyle w:val="20"/>
        <w:rPr>
          <w:rFonts w:hint="eastAsia" w:ascii="宋体" w:hAnsi="宋体" w:eastAsia="宋体" w:cs="宋体"/>
          <w:b/>
          <w:bCs/>
          <w:color w:val="auto"/>
          <w:kern w:val="0"/>
          <w:sz w:val="28"/>
          <w:szCs w:val="28"/>
          <w:highlight w:val="none"/>
          <w:lang w:bidi="ar"/>
        </w:rPr>
      </w:pPr>
    </w:p>
    <w:p w14:paraId="59768F9B">
      <w:pPr>
        <w:spacing w:before="214" w:line="387" w:lineRule="exact"/>
        <w:ind w:left="3266" w:firstLine="281" w:firstLineChars="100"/>
        <w:jc w:val="left"/>
        <w:rPr>
          <w:rFonts w:hint="eastAsia" w:ascii="宋体" w:hAnsi="宋体" w:eastAsia="宋体" w:cs="宋体"/>
          <w:b/>
          <w:bCs/>
          <w:color w:val="auto"/>
          <w:kern w:val="0"/>
          <w:sz w:val="28"/>
          <w:szCs w:val="28"/>
          <w:highlight w:val="none"/>
          <w:lang w:bidi="ar"/>
        </w:rPr>
      </w:pPr>
    </w:p>
    <w:p w14:paraId="5CBA3A75">
      <w:pPr>
        <w:pStyle w:val="20"/>
        <w:rPr>
          <w:rFonts w:hint="eastAsia" w:ascii="宋体" w:hAnsi="宋体" w:eastAsia="宋体" w:cs="宋体"/>
          <w:b/>
          <w:bCs/>
          <w:color w:val="auto"/>
          <w:kern w:val="0"/>
          <w:sz w:val="28"/>
          <w:szCs w:val="28"/>
          <w:highlight w:val="none"/>
          <w:lang w:bidi="ar"/>
        </w:rPr>
      </w:pPr>
    </w:p>
    <w:p w14:paraId="5822C0F8">
      <w:pPr>
        <w:pStyle w:val="20"/>
        <w:rPr>
          <w:rFonts w:hint="eastAsia" w:ascii="宋体" w:hAnsi="宋体" w:eastAsia="宋体" w:cs="宋体"/>
          <w:b/>
          <w:bCs/>
          <w:color w:val="auto"/>
          <w:kern w:val="0"/>
          <w:sz w:val="28"/>
          <w:szCs w:val="28"/>
          <w:highlight w:val="none"/>
          <w:lang w:bidi="ar"/>
        </w:rPr>
      </w:pPr>
    </w:p>
    <w:p w14:paraId="5C10C85B">
      <w:pPr>
        <w:pStyle w:val="20"/>
        <w:rPr>
          <w:rFonts w:hint="eastAsia" w:ascii="宋体" w:hAnsi="宋体" w:eastAsia="宋体" w:cs="宋体"/>
          <w:b/>
          <w:bCs/>
          <w:color w:val="auto"/>
          <w:kern w:val="0"/>
          <w:sz w:val="28"/>
          <w:szCs w:val="28"/>
          <w:highlight w:val="none"/>
          <w:lang w:bidi="ar"/>
        </w:rPr>
      </w:pPr>
    </w:p>
    <w:p w14:paraId="43A01F88">
      <w:pPr>
        <w:pStyle w:val="20"/>
        <w:rPr>
          <w:rFonts w:hint="eastAsia" w:ascii="宋体" w:hAnsi="宋体" w:eastAsia="宋体" w:cs="宋体"/>
          <w:b/>
          <w:bCs/>
          <w:color w:val="auto"/>
          <w:kern w:val="0"/>
          <w:sz w:val="28"/>
          <w:szCs w:val="28"/>
          <w:highlight w:val="none"/>
          <w:lang w:bidi="ar"/>
        </w:rPr>
      </w:pPr>
    </w:p>
    <w:p w14:paraId="4144A256">
      <w:pPr>
        <w:jc w:val="center"/>
        <w:rPr>
          <w:rFonts w:hint="eastAsia" w:ascii="宋体" w:hAnsi="宋体" w:eastAsia="宋体" w:cs="宋体"/>
          <w:b/>
          <w:bCs/>
          <w:color w:val="auto"/>
          <w:kern w:val="0"/>
          <w:sz w:val="28"/>
          <w:szCs w:val="28"/>
          <w:highlight w:val="none"/>
          <w:lang w:val="en-US" w:eastAsia="zh-CN" w:bidi="ar"/>
        </w:rPr>
      </w:pPr>
      <w:r>
        <w:rPr>
          <w:rFonts w:hint="eastAsia" w:ascii="宋体" w:hAnsi="宋体" w:eastAsia="宋体" w:cs="宋体"/>
          <w:b/>
          <w:bCs/>
          <w:color w:val="auto"/>
          <w:kern w:val="0"/>
          <w:sz w:val="28"/>
          <w:szCs w:val="28"/>
          <w:highlight w:val="none"/>
          <w:lang w:val="en-US" w:eastAsia="zh-CN" w:bidi="ar"/>
        </w:rPr>
        <w:t>设备配置（或装箱）清单</w:t>
      </w:r>
    </w:p>
    <w:p w14:paraId="79085E36">
      <w:pPr>
        <w:pStyle w:val="56"/>
        <w:jc w:val="both"/>
        <w:rPr>
          <w:rFonts w:hint="eastAsia" w:ascii="宋体" w:hAnsi="宋体" w:eastAsia="宋体" w:cs="宋体"/>
          <w:color w:val="auto"/>
          <w:sz w:val="28"/>
          <w:szCs w:val="28"/>
          <w:highlight w:val="none"/>
          <w:lang w:bidi="ar"/>
        </w:rPr>
      </w:pPr>
    </w:p>
    <w:p w14:paraId="50D3E13E">
      <w:pPr>
        <w:pStyle w:val="56"/>
        <w:jc w:val="both"/>
        <w:rPr>
          <w:rFonts w:hint="eastAsia" w:ascii="宋体" w:hAnsi="宋体" w:eastAsia="宋体" w:cs="宋体"/>
          <w:color w:val="auto"/>
          <w:highlight w:val="none"/>
          <w:lang w:bidi="ar"/>
        </w:rPr>
      </w:pPr>
    </w:p>
    <w:p w14:paraId="05CD344D">
      <w:pPr>
        <w:pStyle w:val="56"/>
        <w:jc w:val="both"/>
        <w:rPr>
          <w:rFonts w:hint="eastAsia" w:ascii="宋体" w:hAnsi="宋体" w:eastAsia="宋体" w:cs="宋体"/>
          <w:color w:val="auto"/>
          <w:highlight w:val="none"/>
          <w:lang w:bidi="ar"/>
        </w:rPr>
      </w:pPr>
    </w:p>
    <w:p w14:paraId="4E577128">
      <w:pPr>
        <w:widowControl/>
        <w:textAlignment w:val="center"/>
        <w:rPr>
          <w:rFonts w:hint="eastAsia" w:ascii="宋体" w:hAnsi="宋体" w:eastAsia="宋体" w:cs="宋体"/>
          <w:color w:val="auto"/>
          <w:kern w:val="0"/>
          <w:sz w:val="28"/>
          <w:szCs w:val="28"/>
          <w:highlight w:val="none"/>
        </w:rPr>
      </w:pPr>
    </w:p>
    <w:p w14:paraId="38B418C8">
      <w:pPr>
        <w:pStyle w:val="20"/>
        <w:rPr>
          <w:rFonts w:hint="eastAsia" w:ascii="宋体" w:hAnsi="宋体" w:eastAsia="宋体" w:cs="宋体"/>
          <w:color w:val="auto"/>
          <w:kern w:val="0"/>
          <w:sz w:val="28"/>
          <w:szCs w:val="28"/>
          <w:highlight w:val="none"/>
        </w:rPr>
      </w:pPr>
    </w:p>
    <w:p w14:paraId="1515DD54">
      <w:pPr>
        <w:pStyle w:val="2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br w:type="page"/>
      </w:r>
    </w:p>
    <w:p w14:paraId="0D1B8B55">
      <w:pPr>
        <w:jc w:val="center"/>
        <w:rPr>
          <w:rFonts w:hint="eastAsia" w:ascii="宋体" w:hAnsi="宋体" w:eastAsia="宋体" w:cs="宋体"/>
          <w:b/>
          <w:bCs/>
          <w:color w:val="auto"/>
          <w:kern w:val="0"/>
          <w:sz w:val="28"/>
          <w:szCs w:val="28"/>
          <w:highlight w:val="none"/>
          <w:lang w:val="en-US" w:eastAsia="zh-CN" w:bidi="ar"/>
        </w:rPr>
      </w:pPr>
      <w:r>
        <w:rPr>
          <w:rFonts w:hint="eastAsia" w:ascii="宋体" w:hAnsi="宋体" w:eastAsia="宋体" w:cs="宋体"/>
          <w:b/>
          <w:bCs/>
          <w:color w:val="auto"/>
          <w:kern w:val="0"/>
          <w:sz w:val="28"/>
          <w:szCs w:val="28"/>
          <w:highlight w:val="none"/>
          <w:lang w:val="en-US" w:eastAsia="zh-CN" w:bidi="ar"/>
        </w:rPr>
        <w:t>厂家售后服务承诺</w:t>
      </w:r>
    </w:p>
    <w:p w14:paraId="5596E3AB">
      <w:pPr>
        <w:jc w:val="center"/>
        <w:rPr>
          <w:rFonts w:hint="eastAsia" w:ascii="宋体" w:hAnsi="宋体" w:eastAsia="宋体" w:cs="宋体"/>
          <w:b/>
          <w:bCs/>
          <w:color w:val="auto"/>
          <w:kern w:val="0"/>
          <w:sz w:val="28"/>
          <w:szCs w:val="28"/>
          <w:highlight w:val="none"/>
          <w:lang w:val="en-US" w:eastAsia="zh-CN" w:bidi="ar"/>
        </w:rPr>
      </w:pPr>
    </w:p>
    <w:p w14:paraId="13BAA4F6">
      <w:pPr>
        <w:jc w:val="center"/>
        <w:rPr>
          <w:rFonts w:hint="eastAsia" w:ascii="宋体" w:hAnsi="宋体" w:eastAsia="宋体" w:cs="宋体"/>
          <w:b/>
          <w:bCs/>
          <w:color w:val="auto"/>
          <w:kern w:val="0"/>
          <w:sz w:val="28"/>
          <w:szCs w:val="28"/>
          <w:highlight w:val="none"/>
          <w:lang w:val="en-US" w:eastAsia="zh-CN" w:bidi="ar"/>
        </w:rPr>
      </w:pPr>
    </w:p>
    <w:p w14:paraId="7BC46F72">
      <w:pPr>
        <w:jc w:val="center"/>
        <w:rPr>
          <w:rFonts w:hint="eastAsia" w:ascii="宋体" w:hAnsi="宋体" w:eastAsia="宋体" w:cs="宋体"/>
          <w:b/>
          <w:bCs/>
          <w:color w:val="auto"/>
          <w:kern w:val="0"/>
          <w:sz w:val="28"/>
          <w:szCs w:val="28"/>
          <w:highlight w:val="none"/>
          <w:lang w:val="en-US" w:eastAsia="zh-CN" w:bidi="ar"/>
        </w:rPr>
      </w:pPr>
    </w:p>
    <w:p w14:paraId="511B71C6">
      <w:pPr>
        <w:pStyle w:val="20"/>
        <w:rPr>
          <w:rFonts w:hint="eastAsia" w:ascii="宋体" w:hAnsi="宋体" w:eastAsia="宋体" w:cs="宋体"/>
          <w:b/>
          <w:bCs/>
          <w:color w:val="auto"/>
          <w:kern w:val="0"/>
          <w:sz w:val="28"/>
          <w:szCs w:val="28"/>
          <w:highlight w:val="none"/>
          <w:lang w:val="en-US" w:eastAsia="zh-CN" w:bidi="ar"/>
        </w:rPr>
      </w:pPr>
    </w:p>
    <w:p w14:paraId="4B46A546">
      <w:pPr>
        <w:pStyle w:val="20"/>
        <w:rPr>
          <w:rFonts w:hint="eastAsia" w:ascii="宋体" w:hAnsi="宋体" w:eastAsia="宋体" w:cs="宋体"/>
          <w:b/>
          <w:bCs/>
          <w:color w:val="auto"/>
          <w:kern w:val="0"/>
          <w:sz w:val="28"/>
          <w:szCs w:val="28"/>
          <w:highlight w:val="none"/>
          <w:lang w:val="en-US" w:eastAsia="zh-CN" w:bidi="ar"/>
        </w:rPr>
      </w:pPr>
    </w:p>
    <w:p w14:paraId="1D882EA0">
      <w:pPr>
        <w:pStyle w:val="20"/>
        <w:rPr>
          <w:rFonts w:hint="eastAsia" w:ascii="宋体" w:hAnsi="宋体" w:eastAsia="宋体" w:cs="宋体"/>
          <w:b/>
          <w:bCs/>
          <w:color w:val="auto"/>
          <w:kern w:val="0"/>
          <w:sz w:val="28"/>
          <w:szCs w:val="28"/>
          <w:highlight w:val="none"/>
          <w:lang w:val="en-US" w:eastAsia="zh-CN" w:bidi="ar"/>
        </w:rPr>
      </w:pPr>
    </w:p>
    <w:p w14:paraId="7E73D101">
      <w:pPr>
        <w:pStyle w:val="20"/>
        <w:rPr>
          <w:rFonts w:hint="eastAsia" w:ascii="宋体" w:hAnsi="宋体" w:eastAsia="宋体" w:cs="宋体"/>
          <w:b/>
          <w:bCs/>
          <w:color w:val="auto"/>
          <w:kern w:val="0"/>
          <w:sz w:val="28"/>
          <w:szCs w:val="28"/>
          <w:highlight w:val="none"/>
          <w:lang w:val="en-US" w:eastAsia="zh-CN" w:bidi="ar"/>
        </w:rPr>
      </w:pPr>
    </w:p>
    <w:p w14:paraId="18993D7C">
      <w:pPr>
        <w:pStyle w:val="20"/>
        <w:rPr>
          <w:rFonts w:hint="eastAsia" w:ascii="宋体" w:hAnsi="宋体" w:eastAsia="宋体" w:cs="宋体"/>
          <w:b/>
          <w:bCs/>
          <w:color w:val="auto"/>
          <w:kern w:val="0"/>
          <w:sz w:val="28"/>
          <w:szCs w:val="28"/>
          <w:highlight w:val="none"/>
          <w:lang w:val="en-US" w:eastAsia="zh-CN" w:bidi="ar"/>
        </w:rPr>
      </w:pPr>
    </w:p>
    <w:p w14:paraId="62548287">
      <w:pPr>
        <w:pStyle w:val="20"/>
        <w:rPr>
          <w:rFonts w:hint="eastAsia" w:ascii="宋体" w:hAnsi="宋体" w:eastAsia="宋体" w:cs="宋体"/>
          <w:b/>
          <w:bCs/>
          <w:color w:val="auto"/>
          <w:kern w:val="0"/>
          <w:sz w:val="28"/>
          <w:szCs w:val="28"/>
          <w:highlight w:val="none"/>
          <w:lang w:val="en-US" w:eastAsia="zh-CN" w:bidi="ar"/>
        </w:rPr>
      </w:pPr>
    </w:p>
    <w:p w14:paraId="31A1F578">
      <w:pPr>
        <w:pStyle w:val="20"/>
        <w:rPr>
          <w:rFonts w:hint="eastAsia" w:ascii="宋体" w:hAnsi="宋体" w:eastAsia="宋体" w:cs="宋体"/>
          <w:b/>
          <w:bCs/>
          <w:color w:val="auto"/>
          <w:kern w:val="0"/>
          <w:sz w:val="28"/>
          <w:szCs w:val="28"/>
          <w:highlight w:val="none"/>
          <w:lang w:val="en-US" w:eastAsia="zh-CN" w:bidi="ar"/>
        </w:rPr>
      </w:pPr>
    </w:p>
    <w:p w14:paraId="7127EABD">
      <w:pPr>
        <w:pStyle w:val="20"/>
        <w:rPr>
          <w:rFonts w:hint="eastAsia" w:ascii="宋体" w:hAnsi="宋体" w:eastAsia="宋体" w:cs="宋体"/>
          <w:b/>
          <w:bCs/>
          <w:color w:val="auto"/>
          <w:kern w:val="0"/>
          <w:sz w:val="28"/>
          <w:szCs w:val="28"/>
          <w:highlight w:val="none"/>
          <w:lang w:val="en-US" w:eastAsia="zh-CN" w:bidi="ar"/>
        </w:rPr>
      </w:pPr>
    </w:p>
    <w:p w14:paraId="3E9D79A4">
      <w:pPr>
        <w:jc w:val="center"/>
        <w:rPr>
          <w:rFonts w:hint="eastAsia" w:ascii="宋体" w:hAnsi="宋体" w:eastAsia="宋体" w:cs="宋体"/>
          <w:b/>
          <w:bCs/>
          <w:color w:val="auto"/>
          <w:kern w:val="0"/>
          <w:sz w:val="28"/>
          <w:szCs w:val="28"/>
          <w:highlight w:val="none"/>
          <w:lang w:val="en-US" w:eastAsia="zh-CN" w:bidi="ar"/>
        </w:rPr>
      </w:pPr>
    </w:p>
    <w:p w14:paraId="44DB0FA5">
      <w:pPr>
        <w:jc w:val="center"/>
        <w:rPr>
          <w:rFonts w:hint="eastAsia" w:ascii="宋体" w:hAnsi="宋体" w:eastAsia="宋体" w:cs="宋体"/>
          <w:b/>
          <w:bCs/>
          <w:color w:val="auto"/>
          <w:kern w:val="0"/>
          <w:sz w:val="28"/>
          <w:szCs w:val="28"/>
          <w:highlight w:val="none"/>
          <w:lang w:val="en-US" w:eastAsia="zh-CN" w:bidi="ar"/>
        </w:rPr>
      </w:pPr>
      <w:r>
        <w:rPr>
          <w:rFonts w:hint="eastAsia" w:ascii="宋体" w:hAnsi="宋体" w:eastAsia="宋体" w:cs="宋体"/>
          <w:b/>
          <w:bCs/>
          <w:color w:val="auto"/>
          <w:kern w:val="0"/>
          <w:sz w:val="28"/>
          <w:szCs w:val="28"/>
          <w:highlight w:val="none"/>
          <w:lang w:val="en-US" w:eastAsia="zh-CN" w:bidi="ar"/>
        </w:rPr>
        <w:t>供应商售后服务承诺(必填)</w:t>
      </w:r>
    </w:p>
    <w:p w14:paraId="13ADCCBA">
      <w:pPr>
        <w:jc w:val="center"/>
        <w:rPr>
          <w:rFonts w:hint="eastAsia" w:ascii="宋体" w:hAnsi="宋体" w:eastAsia="宋体" w:cs="宋体"/>
          <w:b/>
          <w:bCs/>
          <w:color w:val="auto"/>
          <w:kern w:val="0"/>
          <w:sz w:val="28"/>
          <w:szCs w:val="28"/>
          <w:highlight w:val="none"/>
          <w:lang w:val="en-US" w:eastAsia="zh-CN" w:bidi="ar"/>
        </w:rPr>
      </w:pPr>
    </w:p>
    <w:p w14:paraId="64F888DF">
      <w:pPr>
        <w:jc w:val="center"/>
        <w:rPr>
          <w:rFonts w:hint="eastAsia" w:ascii="宋体" w:hAnsi="宋体" w:eastAsia="宋体" w:cs="宋体"/>
          <w:b/>
          <w:bCs/>
          <w:color w:val="auto"/>
          <w:kern w:val="0"/>
          <w:sz w:val="28"/>
          <w:szCs w:val="28"/>
          <w:highlight w:val="none"/>
          <w:lang w:val="en-US" w:eastAsia="zh-CN" w:bidi="ar"/>
        </w:rPr>
      </w:pPr>
    </w:p>
    <w:p w14:paraId="5E6CAC03">
      <w:pPr>
        <w:jc w:val="center"/>
        <w:rPr>
          <w:rFonts w:hint="eastAsia" w:ascii="宋体" w:hAnsi="宋体" w:eastAsia="宋体" w:cs="宋体"/>
          <w:b/>
          <w:bCs/>
          <w:color w:val="auto"/>
          <w:kern w:val="0"/>
          <w:sz w:val="28"/>
          <w:szCs w:val="28"/>
          <w:highlight w:val="none"/>
          <w:lang w:val="en-US" w:eastAsia="zh-CN" w:bidi="ar"/>
        </w:rPr>
      </w:pPr>
    </w:p>
    <w:p w14:paraId="7A3D9392">
      <w:pPr>
        <w:jc w:val="center"/>
        <w:rPr>
          <w:rFonts w:hint="eastAsia" w:ascii="宋体" w:hAnsi="宋体" w:eastAsia="宋体" w:cs="宋体"/>
          <w:b/>
          <w:bCs/>
          <w:color w:val="auto"/>
          <w:kern w:val="0"/>
          <w:sz w:val="28"/>
          <w:szCs w:val="28"/>
          <w:highlight w:val="none"/>
          <w:lang w:val="en-US" w:eastAsia="zh-CN" w:bidi="ar"/>
        </w:rPr>
      </w:pPr>
    </w:p>
    <w:p w14:paraId="416150B3">
      <w:pPr>
        <w:spacing w:before="214" w:line="387" w:lineRule="exact"/>
        <w:rPr>
          <w:rFonts w:hint="eastAsia" w:ascii="宋体" w:hAnsi="宋体" w:eastAsia="宋体" w:cs="宋体"/>
          <w:color w:val="auto"/>
          <w:spacing w:val="17"/>
          <w:position w:val="1"/>
          <w:sz w:val="28"/>
          <w:szCs w:val="28"/>
          <w:highlight w:val="none"/>
        </w:rPr>
      </w:pPr>
    </w:p>
    <w:p w14:paraId="658C7D92">
      <w:pPr>
        <w:pStyle w:val="56"/>
        <w:rPr>
          <w:rFonts w:hint="eastAsia" w:ascii="宋体" w:hAnsi="宋体" w:eastAsia="宋体" w:cs="宋体"/>
          <w:b w:val="0"/>
          <w:bCs w:val="0"/>
          <w:color w:val="auto"/>
          <w:kern w:val="0"/>
          <w:sz w:val="28"/>
          <w:szCs w:val="28"/>
          <w:highlight w:val="none"/>
          <w:lang w:bidi="ar"/>
        </w:rPr>
      </w:pPr>
      <w:r>
        <w:rPr>
          <w:rFonts w:hint="eastAsia" w:ascii="宋体" w:hAnsi="宋体" w:eastAsia="宋体" w:cs="宋体"/>
          <w:color w:val="auto"/>
          <w:spacing w:val="17"/>
          <w:position w:val="1"/>
          <w:sz w:val="28"/>
          <w:szCs w:val="28"/>
          <w:highlight w:val="none"/>
        </w:rPr>
        <w:br w:type="page"/>
      </w:r>
      <w:r>
        <w:rPr>
          <w:rFonts w:hint="eastAsia" w:ascii="宋体" w:hAnsi="宋体" w:eastAsia="宋体" w:cs="宋体"/>
          <w:b/>
          <w:bCs/>
          <w:color w:val="auto"/>
          <w:kern w:val="0"/>
          <w:sz w:val="28"/>
          <w:szCs w:val="28"/>
          <w:highlight w:val="none"/>
          <w:lang w:val="en-US" w:eastAsia="zh-CN" w:bidi="ar"/>
        </w:rPr>
        <w:t>产品注册证/备案证/如非医疗产品的标签（需体现厂家，型号等）</w:t>
      </w:r>
    </w:p>
    <w:p w14:paraId="577DA118">
      <w:pPr>
        <w:rPr>
          <w:rFonts w:hint="eastAsia" w:ascii="宋体" w:hAnsi="宋体" w:eastAsia="宋体" w:cs="宋体"/>
          <w:color w:val="auto"/>
          <w:highlight w:val="none"/>
        </w:rPr>
      </w:pPr>
    </w:p>
    <w:p w14:paraId="4EA2DBE6">
      <w:pPr>
        <w:pStyle w:val="56"/>
        <w:rPr>
          <w:rFonts w:hint="eastAsia" w:ascii="宋体" w:hAnsi="宋体" w:eastAsia="宋体" w:cs="宋体"/>
          <w:color w:val="auto"/>
          <w:kern w:val="0"/>
          <w:sz w:val="28"/>
          <w:szCs w:val="28"/>
          <w:highlight w:val="none"/>
          <w:lang w:bidi="ar"/>
        </w:rPr>
      </w:pPr>
    </w:p>
    <w:p w14:paraId="21278027">
      <w:pPr>
        <w:rPr>
          <w:rFonts w:hint="eastAsia" w:ascii="宋体" w:hAnsi="宋体" w:eastAsia="宋体" w:cs="宋体"/>
          <w:b/>
          <w:bCs/>
          <w:color w:val="auto"/>
          <w:szCs w:val="21"/>
          <w:highlight w:val="none"/>
        </w:rPr>
      </w:pPr>
    </w:p>
    <w:p w14:paraId="091EEA4C">
      <w:pPr>
        <w:rPr>
          <w:rFonts w:hint="eastAsia" w:ascii="宋体" w:hAnsi="宋体" w:eastAsia="宋体" w:cs="宋体"/>
          <w:color w:val="auto"/>
          <w:highlight w:val="none"/>
        </w:rPr>
      </w:pPr>
    </w:p>
    <w:p w14:paraId="14940548">
      <w:pPr>
        <w:rPr>
          <w:rFonts w:hint="eastAsia" w:ascii="宋体" w:hAnsi="宋体" w:eastAsia="宋体" w:cs="宋体"/>
          <w:color w:val="auto"/>
          <w:highlight w:val="none"/>
        </w:rPr>
      </w:pPr>
    </w:p>
    <w:p w14:paraId="4ACF89DB">
      <w:pPr>
        <w:rPr>
          <w:rFonts w:hint="eastAsia" w:ascii="宋体" w:hAnsi="宋体" w:eastAsia="宋体" w:cs="宋体"/>
          <w:color w:val="auto"/>
          <w:highlight w:val="none"/>
        </w:rPr>
      </w:pPr>
    </w:p>
    <w:p w14:paraId="2FF56C72">
      <w:pPr>
        <w:rPr>
          <w:rFonts w:hint="eastAsia" w:ascii="宋体" w:hAnsi="宋体" w:eastAsia="宋体" w:cs="宋体"/>
          <w:color w:val="auto"/>
          <w:highlight w:val="none"/>
        </w:rPr>
      </w:pPr>
    </w:p>
    <w:p w14:paraId="30661822">
      <w:pPr>
        <w:rPr>
          <w:rFonts w:hint="eastAsia" w:ascii="宋体" w:hAnsi="宋体" w:eastAsia="宋体" w:cs="宋体"/>
          <w:color w:val="auto"/>
          <w:highlight w:val="none"/>
        </w:rPr>
      </w:pPr>
    </w:p>
    <w:p w14:paraId="00C334D6">
      <w:pPr>
        <w:rPr>
          <w:rFonts w:hint="eastAsia" w:ascii="宋体" w:hAnsi="宋体" w:eastAsia="宋体" w:cs="宋体"/>
          <w:color w:val="auto"/>
          <w:highlight w:val="none"/>
        </w:rPr>
      </w:pPr>
    </w:p>
    <w:p w14:paraId="200F8B17">
      <w:pPr>
        <w:rPr>
          <w:rFonts w:hint="eastAsia" w:ascii="宋体" w:hAnsi="宋体" w:eastAsia="宋体" w:cs="宋体"/>
          <w:color w:val="auto"/>
          <w:highlight w:val="none"/>
        </w:rPr>
      </w:pPr>
    </w:p>
    <w:p w14:paraId="346768AD">
      <w:pPr>
        <w:rPr>
          <w:rFonts w:hint="eastAsia" w:ascii="宋体" w:hAnsi="宋体" w:eastAsia="宋体" w:cs="宋体"/>
          <w:color w:val="auto"/>
          <w:highlight w:val="none"/>
        </w:rPr>
      </w:pPr>
    </w:p>
    <w:p w14:paraId="6AF9B2E7">
      <w:pPr>
        <w:rPr>
          <w:rFonts w:hint="eastAsia" w:ascii="宋体" w:hAnsi="宋体" w:eastAsia="宋体" w:cs="宋体"/>
          <w:color w:val="auto"/>
          <w:highlight w:val="none"/>
        </w:rPr>
      </w:pPr>
    </w:p>
    <w:p w14:paraId="78C41F4C">
      <w:pPr>
        <w:rPr>
          <w:rFonts w:hint="eastAsia" w:ascii="宋体" w:hAnsi="宋体" w:eastAsia="宋体" w:cs="宋体"/>
          <w:color w:val="auto"/>
          <w:highlight w:val="none"/>
        </w:rPr>
      </w:pPr>
    </w:p>
    <w:p w14:paraId="779415CA">
      <w:pPr>
        <w:pStyle w:val="20"/>
        <w:rPr>
          <w:rFonts w:hint="eastAsia" w:ascii="宋体" w:hAnsi="宋体" w:eastAsia="宋体" w:cs="宋体"/>
          <w:color w:val="auto"/>
          <w:highlight w:val="none"/>
        </w:rPr>
      </w:pPr>
    </w:p>
    <w:p w14:paraId="3D080D47">
      <w:pPr>
        <w:pStyle w:val="56"/>
        <w:rPr>
          <w:rFonts w:hint="eastAsia" w:ascii="宋体" w:hAnsi="宋体" w:eastAsia="宋体" w:cs="宋体"/>
          <w:color w:val="auto"/>
          <w:kern w:val="0"/>
          <w:sz w:val="28"/>
          <w:szCs w:val="28"/>
          <w:highlight w:val="none"/>
          <w:lang w:bidi="ar"/>
        </w:rPr>
      </w:pPr>
      <w:r>
        <w:rPr>
          <w:rFonts w:hint="eastAsia" w:ascii="宋体" w:hAnsi="宋体" w:eastAsia="宋体" w:cs="宋体"/>
          <w:color w:val="auto"/>
          <w:highlight w:val="none"/>
        </w:rPr>
        <w:br w:type="page"/>
      </w:r>
      <w:bookmarkStart w:id="149" w:name="_Toc29998"/>
      <w:bookmarkStart w:id="150" w:name="_Toc55223015"/>
      <w:bookmarkStart w:id="151" w:name="_Toc104379508"/>
      <w:bookmarkStart w:id="152" w:name="_Toc10309"/>
      <w:bookmarkStart w:id="153" w:name="_Toc59807980"/>
      <w:bookmarkStart w:id="154" w:name="_Toc67303667"/>
      <w:bookmarkStart w:id="155" w:name="_Toc106369833"/>
      <w:r>
        <w:rPr>
          <w:rFonts w:hint="eastAsia" w:ascii="宋体" w:hAnsi="宋体" w:eastAsia="宋体" w:cs="宋体"/>
          <w:b/>
          <w:bCs/>
          <w:color w:val="auto"/>
          <w:kern w:val="0"/>
          <w:sz w:val="28"/>
          <w:szCs w:val="28"/>
          <w:highlight w:val="none"/>
          <w:lang w:val="en-US" w:eastAsia="zh-CN" w:bidi="ar"/>
        </w:rPr>
        <w:t>附：</w:t>
      </w:r>
      <w:bookmarkEnd w:id="149"/>
      <w:bookmarkEnd w:id="150"/>
      <w:bookmarkEnd w:id="151"/>
      <w:bookmarkEnd w:id="152"/>
      <w:bookmarkEnd w:id="153"/>
      <w:bookmarkEnd w:id="154"/>
      <w:bookmarkEnd w:id="155"/>
      <w:r>
        <w:rPr>
          <w:rFonts w:hint="eastAsia" w:ascii="宋体" w:hAnsi="宋体" w:eastAsia="宋体" w:cs="宋体"/>
          <w:b/>
          <w:bCs/>
          <w:color w:val="auto"/>
          <w:kern w:val="0"/>
          <w:sz w:val="28"/>
          <w:szCs w:val="28"/>
          <w:highlight w:val="none"/>
          <w:lang w:val="en-US" w:eastAsia="zh-CN" w:bidi="ar"/>
        </w:rPr>
        <w:t>全国个体私营经济发展服务网（小微企业名录）网页查询截图</w:t>
      </w:r>
    </w:p>
    <w:p w14:paraId="1C401DEE">
      <w:pPr>
        <w:pStyle w:val="56"/>
        <w:rPr>
          <w:rFonts w:hint="eastAsia" w:ascii="宋体" w:hAnsi="宋体" w:eastAsia="宋体" w:cs="宋体"/>
          <w:color w:val="auto"/>
          <w:kern w:val="0"/>
          <w:sz w:val="28"/>
          <w:szCs w:val="28"/>
          <w:highlight w:val="none"/>
          <w:lang w:eastAsia="zh-CN" w:bidi="ar"/>
        </w:rPr>
      </w:pPr>
      <w:r>
        <w:rPr>
          <w:rFonts w:hint="eastAsia" w:ascii="宋体" w:hAnsi="宋体" w:eastAsia="宋体" w:cs="宋体"/>
          <w:color w:val="auto"/>
          <w:kern w:val="0"/>
          <w:sz w:val="28"/>
          <w:szCs w:val="28"/>
          <w:highlight w:val="none"/>
          <w:lang w:bidi="ar"/>
        </w:rPr>
        <w:t>（</w:t>
      </w:r>
      <w:r>
        <w:rPr>
          <w:rFonts w:hint="eastAsia" w:ascii="宋体" w:hAnsi="宋体" w:eastAsia="宋体" w:cs="宋体"/>
          <w:color w:val="auto"/>
          <w:kern w:val="0"/>
          <w:sz w:val="28"/>
          <w:szCs w:val="28"/>
          <w:highlight w:val="none"/>
          <w:lang w:val="en-US" w:eastAsia="zh-CN" w:bidi="ar"/>
        </w:rPr>
        <w:t>查询</w:t>
      </w:r>
      <w:r>
        <w:rPr>
          <w:rFonts w:hint="eastAsia" w:ascii="宋体" w:hAnsi="宋体" w:eastAsia="宋体" w:cs="宋体"/>
          <w:color w:val="auto"/>
          <w:kern w:val="0"/>
          <w:sz w:val="28"/>
          <w:szCs w:val="28"/>
          <w:highlight w:val="none"/>
          <w:lang w:bidi="ar"/>
        </w:rPr>
        <w:t>网址：</w:t>
      </w:r>
      <w:r>
        <w:rPr>
          <w:rFonts w:hint="eastAsia" w:ascii="宋体" w:hAnsi="宋体" w:eastAsia="宋体" w:cs="宋体"/>
          <w:color w:val="auto"/>
          <w:kern w:val="0"/>
          <w:sz w:val="28"/>
          <w:szCs w:val="28"/>
          <w:highlight w:val="none"/>
          <w:lang w:bidi="ar"/>
        </w:rPr>
        <w:fldChar w:fldCharType="begin"/>
      </w:r>
      <w:r>
        <w:rPr>
          <w:rFonts w:hint="eastAsia" w:ascii="宋体" w:hAnsi="宋体" w:eastAsia="宋体" w:cs="宋体"/>
          <w:color w:val="auto"/>
          <w:highlight w:val="none"/>
        </w:rPr>
        <w:instrText xml:space="preserve"> HYPERLINK "https://xwqy.gsxt.gov.cn/" </w:instrText>
      </w:r>
      <w:r>
        <w:rPr>
          <w:rFonts w:hint="eastAsia" w:ascii="宋体" w:hAnsi="宋体" w:eastAsia="宋体" w:cs="宋体"/>
          <w:color w:val="auto"/>
          <w:kern w:val="0"/>
          <w:sz w:val="28"/>
          <w:szCs w:val="28"/>
          <w:highlight w:val="none"/>
          <w:lang w:bidi="ar"/>
        </w:rPr>
        <w:fldChar w:fldCharType="separate"/>
      </w:r>
      <w:r>
        <w:rPr>
          <w:rStyle w:val="51"/>
          <w:rFonts w:hint="eastAsia" w:ascii="宋体" w:hAnsi="宋体" w:eastAsia="宋体" w:cs="宋体"/>
          <w:color w:val="auto"/>
          <w:kern w:val="0"/>
          <w:sz w:val="28"/>
          <w:szCs w:val="28"/>
          <w:highlight w:val="none"/>
          <w:lang w:bidi="ar"/>
        </w:rPr>
        <w:t>https://xwqy.gsxt.gov.cn/</w:t>
      </w:r>
      <w:r>
        <w:rPr>
          <w:rFonts w:hint="eastAsia" w:ascii="宋体" w:hAnsi="宋体" w:eastAsia="宋体" w:cs="宋体"/>
          <w:color w:val="auto"/>
          <w:kern w:val="0"/>
          <w:sz w:val="28"/>
          <w:szCs w:val="28"/>
          <w:highlight w:val="none"/>
          <w:lang w:bidi="ar"/>
        </w:rPr>
        <w:fldChar w:fldCharType="end"/>
      </w:r>
      <w:r>
        <w:rPr>
          <w:rFonts w:hint="eastAsia" w:ascii="宋体" w:hAnsi="宋体" w:eastAsia="宋体" w:cs="宋体"/>
          <w:color w:val="auto"/>
          <w:kern w:val="0"/>
          <w:sz w:val="28"/>
          <w:szCs w:val="28"/>
          <w:highlight w:val="none"/>
          <w:lang w:val="en-US" w:eastAsia="zh-CN" w:bidi="ar"/>
        </w:rPr>
        <w:t>）</w:t>
      </w:r>
    </w:p>
    <w:p w14:paraId="41710259">
      <w:pPr>
        <w:jc w:val="center"/>
        <w:rPr>
          <w:rFonts w:hint="eastAsia" w:ascii="宋体" w:hAnsi="宋体" w:eastAsia="宋体" w:cs="宋体"/>
          <w:color w:val="auto"/>
          <w:highlight w:val="none"/>
          <w:lang w:val="en-US" w:eastAsia="zh-CN"/>
        </w:rPr>
      </w:pPr>
      <w:r>
        <w:rPr>
          <w:rFonts w:hint="eastAsia" w:ascii="宋体" w:hAnsi="宋体" w:eastAsia="宋体" w:cs="宋体"/>
          <w:b/>
          <w:bCs/>
          <w:color w:val="auto"/>
          <w:kern w:val="0"/>
          <w:sz w:val="26"/>
          <w:szCs w:val="26"/>
          <w:highlight w:val="none"/>
          <w:lang w:val="en-US" w:eastAsia="zh-CN" w:bidi="ar"/>
        </w:rPr>
        <w:t>（能提供证明材料按2%计算履约保证金、不提供按5%计算履约保证金）</w:t>
      </w:r>
    </w:p>
    <w:p w14:paraId="024C7595">
      <w:pPr>
        <w:pStyle w:val="56"/>
        <w:jc w:val="left"/>
        <w:rPr>
          <w:rStyle w:val="53"/>
          <w:rFonts w:hint="eastAsia" w:ascii="宋体" w:hAnsi="宋体" w:eastAsia="宋体" w:cs="宋体"/>
          <w:color w:val="auto"/>
          <w:highlight w:val="none"/>
        </w:rPr>
      </w:pPr>
      <w:r>
        <w:rPr>
          <w:rFonts w:hint="eastAsia" w:ascii="宋体" w:hAnsi="宋体" w:eastAsia="宋体" w:cs="宋体"/>
          <w:color w:val="auto"/>
          <w:highlight w:val="none"/>
        </w:rPr>
        <w:t>粘贴处：</w:t>
      </w:r>
    </w:p>
    <w:p w14:paraId="140DD6A9">
      <w:pPr>
        <w:pStyle w:val="20"/>
        <w:rPr>
          <w:rFonts w:hint="eastAsia" w:ascii="宋体" w:hAnsi="宋体" w:eastAsia="宋体" w:cs="宋体"/>
          <w:color w:val="auto"/>
          <w:highlight w:val="none"/>
        </w:rPr>
      </w:pPr>
    </w:p>
    <w:p w14:paraId="52B09A42">
      <w:pPr>
        <w:pStyle w:val="20"/>
        <w:rPr>
          <w:rFonts w:hint="eastAsia" w:ascii="宋体" w:hAnsi="宋体" w:eastAsia="宋体" w:cs="宋体"/>
          <w:color w:val="auto"/>
          <w:highlight w:val="none"/>
        </w:rPr>
      </w:pPr>
      <w:r>
        <w:rPr>
          <w:rFonts w:hint="eastAsia" w:ascii="宋体" w:hAnsi="宋体" w:eastAsia="宋体" w:cs="宋体"/>
          <w:color w:val="auto"/>
          <w:highlight w:val="none"/>
        </w:rPr>
        <w:br w:type="page"/>
      </w:r>
      <w:r>
        <w:rPr>
          <w:rFonts w:hint="eastAsia" w:ascii="宋体" w:hAnsi="宋体" w:eastAsia="宋体" w:cs="宋体"/>
          <w:b/>
          <w:bCs/>
          <w:color w:val="auto"/>
          <w:highlight w:val="none"/>
        </w:rPr>
        <w:t>样张：</w:t>
      </w:r>
    </w:p>
    <w:p w14:paraId="2E4A701B">
      <w:pPr>
        <w:pStyle w:val="56"/>
        <w:rPr>
          <w:rFonts w:hint="eastAsia" w:ascii="宋体" w:hAnsi="宋体" w:eastAsia="宋体" w:cs="宋体"/>
          <w:color w:val="auto"/>
          <w:highlight w:val="none"/>
          <w:lang w:bidi="ar"/>
        </w:rPr>
      </w:pPr>
      <w:r>
        <w:rPr>
          <w:rFonts w:hint="eastAsia" w:ascii="宋体" w:hAnsi="宋体" w:eastAsia="宋体" w:cs="宋体"/>
          <w:color w:val="auto"/>
          <w:highlight w:val="none"/>
        </w:rPr>
        <w:t>附：《全国个体私营经济发展服务网（小微企业名录）》网页查询截图</w:t>
      </w:r>
    </w:p>
    <w:p w14:paraId="1AF696D9">
      <w:pPr>
        <w:pStyle w:val="56"/>
        <w:rPr>
          <w:rFonts w:hint="eastAsia" w:ascii="宋体" w:hAnsi="宋体" w:eastAsia="宋体" w:cs="宋体"/>
          <w:color w:val="auto"/>
          <w:highlight w:val="none"/>
        </w:rPr>
      </w:pPr>
      <w:r>
        <w:rPr>
          <w:rFonts w:hint="eastAsia" w:ascii="宋体" w:hAnsi="宋体" w:eastAsia="宋体" w:cs="宋体"/>
          <w:color w:val="auto"/>
          <w:highlight w:val="none"/>
        </w:rPr>
        <w:drawing>
          <wp:anchor distT="0" distB="0" distL="114300" distR="114300" simplePos="0" relativeHeight="251660288" behindDoc="1" locked="0" layoutInCell="1" allowOverlap="1">
            <wp:simplePos x="0" y="0"/>
            <wp:positionH relativeFrom="column">
              <wp:posOffset>-120650</wp:posOffset>
            </wp:positionH>
            <wp:positionV relativeFrom="page">
              <wp:posOffset>1583055</wp:posOffset>
            </wp:positionV>
            <wp:extent cx="6155690" cy="3949700"/>
            <wp:effectExtent l="0" t="0" r="16510" b="1270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6155690" cy="3949700"/>
                    </a:xfrm>
                    <a:prstGeom prst="rect">
                      <a:avLst/>
                    </a:prstGeom>
                    <a:noFill/>
                    <a:ln>
                      <a:noFill/>
                    </a:ln>
                  </pic:spPr>
                </pic:pic>
              </a:graphicData>
            </a:graphic>
          </wp:anchor>
        </w:drawing>
      </w:r>
    </w:p>
    <w:p w14:paraId="78860134">
      <w:pPr>
        <w:pStyle w:val="20"/>
        <w:rPr>
          <w:rFonts w:hint="eastAsia" w:ascii="宋体" w:hAnsi="宋体" w:eastAsia="宋体" w:cs="宋体"/>
          <w:color w:val="auto"/>
          <w:highlight w:val="none"/>
        </w:rPr>
      </w:pPr>
    </w:p>
    <w:p w14:paraId="69E9DD52">
      <w:pPr>
        <w:bidi w:val="0"/>
        <w:rPr>
          <w:rFonts w:hint="eastAsia" w:ascii="宋体" w:hAnsi="宋体" w:eastAsia="宋体" w:cs="宋体"/>
          <w:color w:val="auto"/>
          <w:highlight w:val="none"/>
        </w:rPr>
      </w:pPr>
    </w:p>
    <w:p w14:paraId="5096D9D8">
      <w:pPr>
        <w:jc w:val="center"/>
        <w:rPr>
          <w:rFonts w:hint="eastAsia" w:ascii="宋体" w:hAnsi="宋体" w:eastAsia="宋体" w:cs="宋体"/>
          <w:b/>
          <w:bCs/>
          <w:color w:val="auto"/>
          <w:kern w:val="0"/>
          <w:sz w:val="28"/>
          <w:szCs w:val="28"/>
          <w:highlight w:val="none"/>
          <w:lang w:val="en-US" w:eastAsia="zh-CN" w:bidi="ar"/>
        </w:rPr>
      </w:pPr>
    </w:p>
    <w:p w14:paraId="14A174F3">
      <w:pPr>
        <w:rPr>
          <w:rFonts w:hint="eastAsia" w:ascii="宋体" w:hAnsi="宋体" w:eastAsia="宋体" w:cs="宋体"/>
          <w:b/>
          <w:bCs/>
          <w:color w:val="auto"/>
          <w:kern w:val="0"/>
          <w:sz w:val="28"/>
          <w:szCs w:val="28"/>
          <w:highlight w:val="none"/>
          <w:lang w:val="en-US" w:eastAsia="zh-CN" w:bidi="ar"/>
        </w:rPr>
      </w:pPr>
    </w:p>
    <w:p w14:paraId="37E1A727">
      <w:pPr>
        <w:rPr>
          <w:rFonts w:hint="eastAsia" w:ascii="宋体" w:hAnsi="宋体" w:eastAsia="宋体" w:cs="宋体"/>
          <w:b/>
          <w:bCs/>
          <w:color w:val="auto"/>
          <w:kern w:val="0"/>
          <w:sz w:val="28"/>
          <w:szCs w:val="28"/>
          <w:highlight w:val="none"/>
          <w:lang w:val="en-US" w:eastAsia="zh-CN" w:bidi="ar"/>
        </w:rPr>
      </w:pPr>
    </w:p>
    <w:p w14:paraId="327067C8">
      <w:pPr>
        <w:rPr>
          <w:rFonts w:hint="eastAsia" w:ascii="宋体" w:hAnsi="宋体" w:eastAsia="宋体" w:cs="宋体"/>
          <w:b/>
          <w:bCs/>
          <w:color w:val="auto"/>
          <w:kern w:val="0"/>
          <w:sz w:val="28"/>
          <w:szCs w:val="28"/>
          <w:highlight w:val="none"/>
          <w:lang w:val="en-US" w:eastAsia="zh-CN" w:bidi="ar"/>
        </w:rPr>
      </w:pPr>
    </w:p>
    <w:p w14:paraId="67499F48">
      <w:pPr>
        <w:rPr>
          <w:rFonts w:hint="eastAsia" w:ascii="宋体" w:hAnsi="宋体" w:eastAsia="宋体" w:cs="宋体"/>
          <w:b/>
          <w:bCs/>
          <w:color w:val="auto"/>
          <w:kern w:val="0"/>
          <w:sz w:val="28"/>
          <w:szCs w:val="28"/>
          <w:highlight w:val="none"/>
          <w:lang w:val="en-US" w:eastAsia="zh-CN" w:bidi="ar"/>
        </w:rPr>
      </w:pPr>
    </w:p>
    <w:p w14:paraId="56600B70">
      <w:pPr>
        <w:rPr>
          <w:rFonts w:hint="eastAsia" w:ascii="宋体" w:hAnsi="宋体" w:eastAsia="宋体" w:cs="宋体"/>
          <w:b/>
          <w:bCs/>
          <w:color w:val="auto"/>
          <w:kern w:val="0"/>
          <w:sz w:val="28"/>
          <w:szCs w:val="28"/>
          <w:highlight w:val="none"/>
          <w:lang w:val="en-US" w:eastAsia="zh-CN" w:bidi="ar"/>
        </w:rPr>
      </w:pPr>
    </w:p>
    <w:p w14:paraId="4BA98170">
      <w:pPr>
        <w:rPr>
          <w:rFonts w:hint="eastAsia" w:ascii="宋体" w:hAnsi="宋体" w:eastAsia="宋体" w:cs="宋体"/>
          <w:b/>
          <w:bCs/>
          <w:color w:val="auto"/>
          <w:kern w:val="0"/>
          <w:sz w:val="28"/>
          <w:szCs w:val="28"/>
          <w:highlight w:val="none"/>
          <w:lang w:val="en-US" w:eastAsia="zh-CN" w:bidi="ar"/>
        </w:rPr>
      </w:pPr>
    </w:p>
    <w:p w14:paraId="43695133">
      <w:pPr>
        <w:rPr>
          <w:rFonts w:hint="eastAsia" w:ascii="宋体" w:hAnsi="宋体" w:eastAsia="宋体" w:cs="宋体"/>
          <w:b/>
          <w:bCs/>
          <w:color w:val="auto"/>
          <w:kern w:val="0"/>
          <w:sz w:val="28"/>
          <w:szCs w:val="28"/>
          <w:highlight w:val="none"/>
          <w:lang w:val="en-US" w:eastAsia="zh-CN" w:bidi="ar"/>
        </w:rPr>
      </w:pPr>
    </w:p>
    <w:p w14:paraId="44C6C18E">
      <w:pPr>
        <w:rPr>
          <w:rFonts w:hint="eastAsia" w:ascii="宋体" w:hAnsi="宋体" w:eastAsia="宋体" w:cs="宋体"/>
          <w:b/>
          <w:bCs/>
          <w:color w:val="auto"/>
          <w:kern w:val="0"/>
          <w:sz w:val="28"/>
          <w:szCs w:val="28"/>
          <w:highlight w:val="none"/>
          <w:lang w:val="en-US" w:eastAsia="zh-CN" w:bidi="ar"/>
        </w:rPr>
      </w:pPr>
    </w:p>
    <w:p w14:paraId="382C57F5">
      <w:pPr>
        <w:rPr>
          <w:rFonts w:hint="eastAsia" w:ascii="宋体" w:hAnsi="宋体" w:eastAsia="宋体" w:cs="宋体"/>
          <w:b/>
          <w:bCs/>
          <w:color w:val="auto"/>
          <w:kern w:val="0"/>
          <w:sz w:val="28"/>
          <w:szCs w:val="28"/>
          <w:highlight w:val="none"/>
          <w:lang w:val="en-US" w:eastAsia="zh-CN" w:bidi="ar"/>
        </w:rPr>
      </w:pPr>
    </w:p>
    <w:p w14:paraId="661FB5F5">
      <w:pPr>
        <w:rPr>
          <w:rFonts w:hint="eastAsia" w:ascii="宋体" w:hAnsi="宋体" w:eastAsia="宋体" w:cs="宋体"/>
          <w:b/>
          <w:bCs/>
          <w:color w:val="auto"/>
          <w:kern w:val="0"/>
          <w:sz w:val="28"/>
          <w:szCs w:val="28"/>
          <w:highlight w:val="none"/>
          <w:lang w:val="en-US" w:eastAsia="zh-CN" w:bidi="ar"/>
        </w:rPr>
      </w:pPr>
    </w:p>
    <w:p w14:paraId="5DF23A35">
      <w:pPr>
        <w:rPr>
          <w:rFonts w:hint="eastAsia" w:ascii="宋体" w:hAnsi="宋体" w:eastAsia="宋体" w:cs="宋体"/>
          <w:b/>
          <w:bCs/>
          <w:color w:val="auto"/>
          <w:kern w:val="0"/>
          <w:sz w:val="28"/>
          <w:szCs w:val="28"/>
          <w:highlight w:val="none"/>
          <w:lang w:val="en-US" w:eastAsia="zh-CN" w:bidi="ar"/>
        </w:rPr>
      </w:pPr>
    </w:p>
    <w:p w14:paraId="02EBBC7C">
      <w:pPr>
        <w:rPr>
          <w:rFonts w:hint="eastAsia" w:ascii="宋体" w:hAnsi="宋体" w:eastAsia="宋体" w:cs="宋体"/>
          <w:b/>
          <w:bCs/>
          <w:color w:val="auto"/>
          <w:kern w:val="0"/>
          <w:sz w:val="28"/>
          <w:szCs w:val="28"/>
          <w:highlight w:val="none"/>
          <w:lang w:val="en-US" w:eastAsia="zh-CN" w:bidi="ar"/>
        </w:rPr>
      </w:pPr>
    </w:p>
    <w:p w14:paraId="7DFDCD08">
      <w:pPr>
        <w:rPr>
          <w:rFonts w:hint="eastAsia" w:ascii="宋体" w:hAnsi="宋体" w:eastAsia="宋体" w:cs="宋体"/>
          <w:b/>
          <w:bCs/>
          <w:color w:val="auto"/>
          <w:kern w:val="0"/>
          <w:sz w:val="28"/>
          <w:szCs w:val="28"/>
          <w:highlight w:val="none"/>
          <w:lang w:val="en-US" w:eastAsia="zh-CN" w:bidi="ar"/>
        </w:rPr>
      </w:pPr>
    </w:p>
    <w:p w14:paraId="23F7C911">
      <w:pPr>
        <w:rPr>
          <w:rFonts w:hint="eastAsia" w:ascii="宋体" w:hAnsi="宋体" w:eastAsia="宋体" w:cs="宋体"/>
          <w:b/>
          <w:bCs/>
          <w:color w:val="auto"/>
          <w:kern w:val="0"/>
          <w:sz w:val="28"/>
          <w:szCs w:val="28"/>
          <w:highlight w:val="none"/>
          <w:lang w:val="en-US" w:eastAsia="zh-CN" w:bidi="ar"/>
        </w:rPr>
      </w:pPr>
    </w:p>
    <w:p w14:paraId="11127B7A">
      <w:pPr>
        <w:rPr>
          <w:rFonts w:hint="eastAsia" w:ascii="宋体" w:hAnsi="宋体" w:eastAsia="宋体" w:cs="宋体"/>
          <w:b/>
          <w:bCs/>
          <w:color w:val="auto"/>
          <w:kern w:val="0"/>
          <w:sz w:val="28"/>
          <w:szCs w:val="28"/>
          <w:highlight w:val="none"/>
          <w:lang w:val="en-US" w:eastAsia="zh-CN" w:bidi="ar"/>
        </w:rPr>
      </w:pPr>
    </w:p>
    <w:p w14:paraId="60C6E3D4">
      <w:pPr>
        <w:rPr>
          <w:rFonts w:hint="eastAsia" w:ascii="宋体" w:hAnsi="宋体" w:eastAsia="宋体" w:cs="宋体"/>
          <w:b/>
          <w:bCs/>
          <w:color w:val="auto"/>
          <w:kern w:val="0"/>
          <w:sz w:val="28"/>
          <w:szCs w:val="28"/>
          <w:highlight w:val="none"/>
          <w:lang w:val="en-US" w:eastAsia="zh-CN" w:bidi="ar"/>
        </w:rPr>
      </w:pPr>
      <w:r>
        <w:rPr>
          <w:rFonts w:hint="eastAsia" w:ascii="宋体" w:hAnsi="宋体" w:eastAsia="宋体" w:cs="宋体"/>
          <w:color w:val="auto"/>
          <w:highlight w:val="none"/>
        </w:rPr>
        <w:drawing>
          <wp:inline distT="0" distB="0" distL="114300" distR="114300">
            <wp:extent cx="6163310" cy="3679190"/>
            <wp:effectExtent l="0" t="0" r="8890"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rcRect t="10944"/>
                    <a:stretch>
                      <a:fillRect/>
                    </a:stretch>
                  </pic:blipFill>
                  <pic:spPr>
                    <a:xfrm>
                      <a:off x="0" y="0"/>
                      <a:ext cx="6163310" cy="3679190"/>
                    </a:xfrm>
                    <a:prstGeom prst="rect">
                      <a:avLst/>
                    </a:prstGeom>
                    <a:noFill/>
                    <a:ln>
                      <a:noFill/>
                    </a:ln>
                  </pic:spPr>
                </pic:pic>
              </a:graphicData>
            </a:graphic>
          </wp:inline>
        </w:drawing>
      </w:r>
      <w:r>
        <w:rPr>
          <w:rFonts w:hint="eastAsia" w:ascii="宋体" w:hAnsi="宋体" w:eastAsia="宋体" w:cs="宋体"/>
          <w:b/>
          <w:bCs/>
          <w:color w:val="auto"/>
          <w:kern w:val="0"/>
          <w:sz w:val="28"/>
          <w:szCs w:val="28"/>
          <w:highlight w:val="none"/>
          <w:lang w:val="en-US" w:eastAsia="zh-CN" w:bidi="ar"/>
        </w:rPr>
        <w:br w:type="page"/>
      </w:r>
    </w:p>
    <w:p w14:paraId="65FB895A">
      <w:pPr>
        <w:jc w:val="center"/>
        <w:rPr>
          <w:rFonts w:hint="eastAsia" w:ascii="宋体" w:hAnsi="宋体" w:eastAsia="宋体" w:cs="宋体"/>
          <w:b/>
          <w:bCs/>
          <w:color w:val="auto"/>
          <w:kern w:val="0"/>
          <w:sz w:val="28"/>
          <w:szCs w:val="28"/>
          <w:highlight w:val="none"/>
          <w:lang w:val="en-US" w:eastAsia="zh-CN" w:bidi="ar"/>
        </w:rPr>
      </w:pPr>
      <w:r>
        <w:rPr>
          <w:rFonts w:hint="eastAsia" w:ascii="宋体" w:hAnsi="宋体" w:eastAsia="宋体" w:cs="宋体"/>
          <w:b/>
          <w:bCs/>
          <w:color w:val="auto"/>
          <w:kern w:val="0"/>
          <w:sz w:val="28"/>
          <w:szCs w:val="28"/>
          <w:highlight w:val="none"/>
          <w:lang w:val="en-US" w:eastAsia="zh-CN" w:bidi="ar"/>
        </w:rPr>
        <w:t>履约保证金银行转账或电汇回单</w:t>
      </w:r>
    </w:p>
    <w:p w14:paraId="3582A967">
      <w:pPr>
        <w:rPr>
          <w:rFonts w:hint="eastAsia" w:ascii="宋体" w:hAnsi="宋体" w:eastAsia="宋体" w:cs="宋体"/>
          <w:color w:val="auto"/>
          <w:highlight w:val="none"/>
        </w:rPr>
      </w:pPr>
    </w:p>
    <w:p w14:paraId="004B4F10">
      <w:pPr>
        <w:rPr>
          <w:rFonts w:hint="eastAsia" w:ascii="宋体" w:hAnsi="宋体" w:eastAsia="宋体" w:cs="宋体"/>
          <w:color w:val="auto"/>
          <w:highlight w:val="none"/>
        </w:rPr>
      </w:pPr>
    </w:p>
    <w:p w14:paraId="4C00D72A">
      <w:pPr>
        <w:rPr>
          <w:rFonts w:hint="eastAsia" w:ascii="宋体" w:hAnsi="宋体" w:eastAsia="宋体" w:cs="宋体"/>
          <w:color w:val="auto"/>
          <w:highlight w:val="none"/>
        </w:rPr>
      </w:pPr>
    </w:p>
    <w:p w14:paraId="7151694C">
      <w:pPr>
        <w:jc w:val="center"/>
        <w:rPr>
          <w:rFonts w:hint="eastAsia" w:ascii="宋体" w:hAnsi="宋体" w:eastAsia="宋体" w:cs="宋体"/>
          <w:color w:val="auto"/>
          <w:highlight w:val="none"/>
        </w:rPr>
      </w:pPr>
    </w:p>
    <w:p w14:paraId="4431E072">
      <w:pPr>
        <w:rPr>
          <w:rFonts w:hint="eastAsia" w:ascii="宋体" w:hAnsi="宋体" w:eastAsia="宋体" w:cs="宋体"/>
          <w:color w:val="auto"/>
          <w:highlight w:val="none"/>
        </w:rPr>
      </w:pPr>
    </w:p>
    <w:p w14:paraId="05299487">
      <w:pPr>
        <w:rPr>
          <w:rFonts w:hint="eastAsia" w:ascii="宋体" w:hAnsi="宋体" w:eastAsia="宋体" w:cs="宋体"/>
          <w:color w:val="auto"/>
          <w:highlight w:val="none"/>
        </w:rPr>
      </w:pPr>
    </w:p>
    <w:p w14:paraId="04B52CC3">
      <w:pPr>
        <w:rPr>
          <w:rFonts w:hint="eastAsia" w:ascii="宋体" w:hAnsi="宋体" w:eastAsia="宋体" w:cs="宋体"/>
          <w:color w:val="auto"/>
          <w:highlight w:val="none"/>
        </w:rPr>
      </w:pPr>
    </w:p>
    <w:p w14:paraId="31E999E1">
      <w:pPr>
        <w:rPr>
          <w:rFonts w:hint="eastAsia" w:ascii="宋体" w:hAnsi="宋体" w:eastAsia="宋体" w:cs="宋体"/>
          <w:color w:val="auto"/>
          <w:highlight w:val="none"/>
        </w:rPr>
      </w:pPr>
    </w:p>
    <w:p w14:paraId="2689B15D">
      <w:pPr>
        <w:rPr>
          <w:rFonts w:hint="eastAsia" w:ascii="宋体" w:hAnsi="宋体" w:eastAsia="宋体" w:cs="宋体"/>
          <w:color w:val="auto"/>
          <w:highlight w:val="none"/>
        </w:rPr>
      </w:pPr>
    </w:p>
    <w:p w14:paraId="27F09E47">
      <w:pPr>
        <w:rPr>
          <w:rFonts w:hint="eastAsia" w:ascii="宋体" w:hAnsi="宋体" w:eastAsia="宋体" w:cs="宋体"/>
          <w:color w:val="auto"/>
          <w:highlight w:val="none"/>
        </w:rPr>
      </w:pPr>
    </w:p>
    <w:p w14:paraId="6D0E2237">
      <w:pPr>
        <w:rPr>
          <w:rFonts w:hint="eastAsia" w:ascii="宋体" w:hAnsi="宋体" w:eastAsia="宋体" w:cs="宋体"/>
          <w:color w:val="auto"/>
          <w:highlight w:val="none"/>
        </w:rPr>
      </w:pPr>
    </w:p>
    <w:p w14:paraId="5291DE9C">
      <w:pPr>
        <w:rPr>
          <w:rFonts w:hint="eastAsia" w:ascii="宋体" w:hAnsi="宋体" w:eastAsia="宋体" w:cs="宋体"/>
          <w:color w:val="auto"/>
          <w:highlight w:val="none"/>
        </w:rPr>
      </w:pPr>
    </w:p>
    <w:p w14:paraId="52B6C85C">
      <w:pPr>
        <w:rPr>
          <w:rFonts w:hint="eastAsia" w:ascii="宋体" w:hAnsi="宋体" w:eastAsia="宋体" w:cs="宋体"/>
          <w:color w:val="auto"/>
          <w:highlight w:val="none"/>
        </w:rPr>
      </w:pPr>
    </w:p>
    <w:p w14:paraId="5AB4237D">
      <w:pPr>
        <w:rPr>
          <w:rFonts w:hint="eastAsia" w:ascii="宋体" w:hAnsi="宋体" w:eastAsia="宋体" w:cs="宋体"/>
          <w:color w:val="auto"/>
          <w:highlight w:val="none"/>
        </w:rPr>
      </w:pPr>
    </w:p>
    <w:p w14:paraId="5CCCAAC8">
      <w:pPr>
        <w:rPr>
          <w:rFonts w:hint="eastAsia" w:ascii="宋体" w:hAnsi="宋体" w:eastAsia="宋体" w:cs="宋体"/>
          <w:color w:val="auto"/>
          <w:highlight w:val="none"/>
        </w:rPr>
      </w:pPr>
    </w:p>
    <w:p w14:paraId="6615CA30">
      <w:pPr>
        <w:rPr>
          <w:rFonts w:hint="eastAsia" w:ascii="宋体" w:hAnsi="宋体" w:eastAsia="宋体" w:cs="宋体"/>
          <w:color w:val="auto"/>
          <w:highlight w:val="none"/>
        </w:rPr>
      </w:pPr>
    </w:p>
    <w:p w14:paraId="56F7CA34">
      <w:pPr>
        <w:rPr>
          <w:rFonts w:hint="eastAsia" w:ascii="宋体" w:hAnsi="宋体" w:eastAsia="宋体" w:cs="宋体"/>
          <w:color w:val="auto"/>
          <w:highlight w:val="none"/>
        </w:rPr>
      </w:pPr>
    </w:p>
    <w:p w14:paraId="1DB8CEC2">
      <w:pPr>
        <w:pStyle w:val="42"/>
        <w:shd w:val="clear" w:color="auto" w:fill="FFFFFF"/>
        <w:spacing w:before="0" w:beforeAutospacing="0" w:after="0" w:afterAutospacing="0" w:line="560" w:lineRule="exact"/>
        <w:jc w:val="both"/>
        <w:rPr>
          <w:rFonts w:hint="eastAsia" w:ascii="宋体" w:hAnsi="宋体" w:eastAsia="宋体" w:cs="宋体"/>
          <w:color w:val="auto"/>
          <w:sz w:val="28"/>
          <w:szCs w:val="28"/>
          <w:highlight w:val="none"/>
          <w:lang w:bidi="ar"/>
        </w:rPr>
      </w:pPr>
    </w:p>
    <w:p w14:paraId="52FA2483">
      <w:pPr>
        <w:jc w:val="left"/>
        <w:rPr>
          <w:rFonts w:hint="eastAsia"/>
          <w:color w:val="auto"/>
          <w:highlight w:val="none"/>
        </w:rPr>
      </w:pPr>
    </w:p>
    <w:p w14:paraId="2A45D496">
      <w:pPr>
        <w:snapToGrid w:val="0"/>
        <w:spacing w:line="360" w:lineRule="exact"/>
        <w:ind w:firstLine="420" w:firstLineChars="200"/>
        <w:rPr>
          <w:rFonts w:hint="eastAsia" w:ascii="宋体" w:hAnsi="宋体" w:cs="宋体"/>
          <w:color w:val="auto"/>
          <w:szCs w:val="21"/>
          <w:highlight w:val="none"/>
        </w:rPr>
      </w:pPr>
    </w:p>
    <w:p w14:paraId="3639FE80">
      <w:pPr>
        <w:snapToGrid w:val="0"/>
        <w:jc w:val="center"/>
        <w:rPr>
          <w:rFonts w:ascii="宋体" w:hAnsi="宋体"/>
          <w:bCs/>
          <w:color w:val="auto"/>
          <w:sz w:val="32"/>
          <w:szCs w:val="32"/>
          <w:highlight w:val="none"/>
        </w:rPr>
      </w:pPr>
      <w:r>
        <w:rPr>
          <w:rFonts w:ascii="宋体" w:hAnsi="宋体"/>
          <w:b/>
          <w:color w:val="auto"/>
          <w:sz w:val="32"/>
          <w:szCs w:val="32"/>
          <w:highlight w:val="none"/>
        </w:rPr>
        <w:br w:type="page"/>
      </w:r>
    </w:p>
    <w:bookmarkEnd w:id="146"/>
    <w:p w14:paraId="2A4DD012">
      <w:pPr>
        <w:snapToGrid w:val="0"/>
        <w:spacing w:line="480" w:lineRule="auto"/>
        <w:rPr>
          <w:rFonts w:ascii="宋体" w:hAnsi="宋体"/>
          <w:bCs/>
          <w:color w:val="auto"/>
          <w:sz w:val="32"/>
          <w:szCs w:val="32"/>
          <w:highlight w:val="none"/>
        </w:rPr>
      </w:pPr>
    </w:p>
    <w:p w14:paraId="46A10732">
      <w:pPr>
        <w:snapToGrid w:val="0"/>
        <w:jc w:val="center"/>
        <w:rPr>
          <w:rFonts w:ascii="宋体" w:hAnsi="宋体"/>
          <w:bCs/>
          <w:color w:val="auto"/>
          <w:sz w:val="32"/>
          <w:szCs w:val="32"/>
          <w:highlight w:val="none"/>
        </w:rPr>
      </w:pPr>
    </w:p>
    <w:p w14:paraId="7F3108C2">
      <w:pPr>
        <w:snapToGrid w:val="0"/>
        <w:jc w:val="center"/>
        <w:rPr>
          <w:rFonts w:ascii="宋体" w:hAnsi="宋体"/>
          <w:bCs/>
          <w:color w:val="auto"/>
          <w:sz w:val="32"/>
          <w:szCs w:val="32"/>
          <w:highlight w:val="none"/>
        </w:rPr>
      </w:pPr>
    </w:p>
    <w:p w14:paraId="6CD15193">
      <w:pPr>
        <w:snapToGrid w:val="0"/>
        <w:jc w:val="center"/>
        <w:rPr>
          <w:rFonts w:ascii="宋体" w:hAnsi="宋体"/>
          <w:bCs/>
          <w:color w:val="auto"/>
          <w:sz w:val="32"/>
          <w:szCs w:val="32"/>
          <w:highlight w:val="none"/>
        </w:rPr>
      </w:pPr>
    </w:p>
    <w:p w14:paraId="3978C2F6">
      <w:pPr>
        <w:snapToGrid w:val="0"/>
        <w:jc w:val="center"/>
        <w:rPr>
          <w:rFonts w:ascii="宋体" w:hAnsi="宋体"/>
          <w:bCs/>
          <w:color w:val="auto"/>
          <w:sz w:val="32"/>
          <w:szCs w:val="32"/>
          <w:highlight w:val="none"/>
        </w:rPr>
      </w:pPr>
    </w:p>
    <w:p w14:paraId="75512344">
      <w:pPr>
        <w:snapToGrid w:val="0"/>
        <w:jc w:val="center"/>
        <w:rPr>
          <w:rFonts w:ascii="宋体" w:hAnsi="宋体"/>
          <w:bCs/>
          <w:color w:val="auto"/>
          <w:sz w:val="32"/>
          <w:szCs w:val="32"/>
          <w:highlight w:val="none"/>
        </w:rPr>
      </w:pPr>
    </w:p>
    <w:p w14:paraId="4F5F6F3B">
      <w:pPr>
        <w:snapToGrid w:val="0"/>
        <w:jc w:val="center"/>
        <w:rPr>
          <w:rFonts w:ascii="宋体" w:hAnsi="宋体"/>
          <w:bCs/>
          <w:color w:val="auto"/>
          <w:sz w:val="32"/>
          <w:szCs w:val="32"/>
          <w:highlight w:val="none"/>
        </w:rPr>
      </w:pPr>
    </w:p>
    <w:p w14:paraId="129D0FBB">
      <w:pPr>
        <w:snapToGrid w:val="0"/>
        <w:jc w:val="center"/>
        <w:rPr>
          <w:rFonts w:ascii="宋体" w:hAnsi="宋体"/>
          <w:bCs/>
          <w:color w:val="auto"/>
          <w:sz w:val="32"/>
          <w:szCs w:val="32"/>
          <w:highlight w:val="none"/>
        </w:rPr>
      </w:pPr>
    </w:p>
    <w:p w14:paraId="2A64555B">
      <w:pPr>
        <w:snapToGrid w:val="0"/>
        <w:jc w:val="center"/>
        <w:rPr>
          <w:rFonts w:ascii="宋体" w:hAnsi="宋体"/>
          <w:bCs/>
          <w:color w:val="auto"/>
          <w:sz w:val="32"/>
          <w:szCs w:val="32"/>
          <w:highlight w:val="none"/>
        </w:rPr>
      </w:pPr>
    </w:p>
    <w:p w14:paraId="72AB8AAF">
      <w:pPr>
        <w:snapToGrid w:val="0"/>
        <w:jc w:val="center"/>
        <w:rPr>
          <w:rFonts w:ascii="宋体" w:hAnsi="宋体"/>
          <w:bCs/>
          <w:color w:val="auto"/>
          <w:sz w:val="32"/>
          <w:szCs w:val="32"/>
          <w:highlight w:val="none"/>
        </w:rPr>
      </w:pPr>
    </w:p>
    <w:p w14:paraId="762D54D5">
      <w:pPr>
        <w:snapToGrid w:val="0"/>
        <w:jc w:val="center"/>
        <w:rPr>
          <w:rFonts w:ascii="宋体" w:hAnsi="宋体"/>
          <w:bCs/>
          <w:color w:val="auto"/>
          <w:sz w:val="32"/>
          <w:szCs w:val="32"/>
          <w:highlight w:val="none"/>
        </w:rPr>
      </w:pPr>
    </w:p>
    <w:p w14:paraId="18AC4CF0">
      <w:pPr>
        <w:snapToGrid w:val="0"/>
        <w:jc w:val="center"/>
        <w:rPr>
          <w:rFonts w:ascii="宋体" w:hAnsi="宋体"/>
          <w:bCs/>
          <w:color w:val="auto"/>
          <w:sz w:val="32"/>
          <w:szCs w:val="32"/>
          <w:highlight w:val="none"/>
        </w:rPr>
      </w:pPr>
    </w:p>
    <w:p w14:paraId="0C94BB98">
      <w:pPr>
        <w:pStyle w:val="5"/>
        <w:jc w:val="center"/>
        <w:rPr>
          <w:rFonts w:ascii="宋体" w:hAnsi="宋体"/>
          <w:color w:val="auto"/>
          <w:highlight w:val="none"/>
        </w:rPr>
      </w:pPr>
      <w:bookmarkStart w:id="156" w:name="_Toc74320805"/>
      <w:r>
        <w:rPr>
          <w:rFonts w:hint="eastAsia" w:ascii="宋体" w:hAnsi="宋体"/>
          <w:color w:val="auto"/>
          <w:highlight w:val="none"/>
        </w:rPr>
        <w:t>第六章　投标文件格式</w:t>
      </w:r>
      <w:bookmarkEnd w:id="156"/>
    </w:p>
    <w:p w14:paraId="48C71237">
      <w:pPr>
        <w:snapToGrid w:val="0"/>
        <w:spacing w:before="50" w:after="50"/>
        <w:outlineLvl w:val="1"/>
        <w:rPr>
          <w:rFonts w:ascii="宋体" w:hAnsi="宋体"/>
          <w:color w:val="auto"/>
          <w:sz w:val="32"/>
          <w:szCs w:val="20"/>
          <w:highlight w:val="none"/>
        </w:rPr>
      </w:pPr>
    </w:p>
    <w:p w14:paraId="12AACF6F">
      <w:pPr>
        <w:snapToGrid w:val="0"/>
        <w:spacing w:before="50" w:after="50"/>
        <w:outlineLvl w:val="1"/>
        <w:rPr>
          <w:rFonts w:ascii="宋体" w:hAnsi="宋体"/>
          <w:color w:val="auto"/>
          <w:sz w:val="32"/>
          <w:szCs w:val="20"/>
          <w:highlight w:val="none"/>
        </w:rPr>
      </w:pPr>
    </w:p>
    <w:p w14:paraId="1CC72F46">
      <w:pPr>
        <w:snapToGrid w:val="0"/>
        <w:spacing w:before="50" w:after="50"/>
        <w:outlineLvl w:val="1"/>
        <w:rPr>
          <w:rFonts w:ascii="宋体" w:hAnsi="宋体"/>
          <w:color w:val="auto"/>
          <w:sz w:val="32"/>
          <w:szCs w:val="20"/>
          <w:highlight w:val="none"/>
        </w:rPr>
      </w:pPr>
    </w:p>
    <w:p w14:paraId="674B3B9A">
      <w:pPr>
        <w:snapToGrid w:val="0"/>
        <w:spacing w:before="50" w:after="50"/>
        <w:outlineLvl w:val="1"/>
        <w:rPr>
          <w:rFonts w:ascii="宋体" w:hAnsi="宋体"/>
          <w:color w:val="auto"/>
          <w:sz w:val="32"/>
          <w:szCs w:val="20"/>
          <w:highlight w:val="none"/>
        </w:rPr>
      </w:pPr>
    </w:p>
    <w:p w14:paraId="04DBAFEF">
      <w:pPr>
        <w:snapToGrid w:val="0"/>
        <w:spacing w:before="50" w:after="50"/>
        <w:outlineLvl w:val="1"/>
        <w:rPr>
          <w:rFonts w:ascii="宋体" w:hAnsi="宋体"/>
          <w:color w:val="auto"/>
          <w:sz w:val="32"/>
          <w:szCs w:val="20"/>
          <w:highlight w:val="none"/>
        </w:rPr>
      </w:pPr>
    </w:p>
    <w:p w14:paraId="23D90498">
      <w:pPr>
        <w:snapToGrid w:val="0"/>
        <w:spacing w:before="50" w:after="50"/>
        <w:outlineLvl w:val="1"/>
        <w:rPr>
          <w:rFonts w:ascii="宋体" w:hAnsi="宋体"/>
          <w:color w:val="auto"/>
          <w:sz w:val="32"/>
          <w:szCs w:val="20"/>
          <w:highlight w:val="none"/>
        </w:rPr>
      </w:pPr>
    </w:p>
    <w:p w14:paraId="24BD6217">
      <w:pPr>
        <w:snapToGrid w:val="0"/>
        <w:spacing w:before="50" w:after="50"/>
        <w:outlineLvl w:val="1"/>
        <w:rPr>
          <w:rFonts w:ascii="宋体" w:hAnsi="宋体"/>
          <w:color w:val="auto"/>
          <w:sz w:val="32"/>
          <w:szCs w:val="20"/>
          <w:highlight w:val="none"/>
        </w:rPr>
      </w:pPr>
    </w:p>
    <w:p w14:paraId="38B94B3A">
      <w:pPr>
        <w:snapToGrid w:val="0"/>
        <w:spacing w:before="50" w:after="50"/>
        <w:outlineLvl w:val="1"/>
        <w:rPr>
          <w:rFonts w:ascii="宋体" w:hAnsi="宋体"/>
          <w:color w:val="auto"/>
          <w:sz w:val="32"/>
          <w:szCs w:val="20"/>
          <w:highlight w:val="none"/>
        </w:rPr>
      </w:pPr>
    </w:p>
    <w:p w14:paraId="614FC743">
      <w:pPr>
        <w:snapToGrid w:val="0"/>
        <w:spacing w:before="50" w:after="50"/>
        <w:outlineLvl w:val="1"/>
        <w:rPr>
          <w:rFonts w:ascii="宋体" w:hAnsi="宋体"/>
          <w:color w:val="auto"/>
          <w:sz w:val="32"/>
          <w:szCs w:val="20"/>
          <w:highlight w:val="none"/>
        </w:rPr>
      </w:pPr>
    </w:p>
    <w:p w14:paraId="2CC0A1E7">
      <w:pPr>
        <w:snapToGrid w:val="0"/>
        <w:spacing w:before="50" w:after="50"/>
        <w:outlineLvl w:val="1"/>
        <w:rPr>
          <w:rFonts w:ascii="宋体" w:hAnsi="宋体"/>
          <w:color w:val="auto"/>
          <w:sz w:val="32"/>
          <w:szCs w:val="20"/>
          <w:highlight w:val="none"/>
        </w:rPr>
      </w:pPr>
    </w:p>
    <w:p w14:paraId="0E15BEED">
      <w:pPr>
        <w:snapToGrid w:val="0"/>
        <w:spacing w:before="50" w:after="50"/>
        <w:outlineLvl w:val="1"/>
        <w:rPr>
          <w:rFonts w:ascii="宋体" w:hAnsi="宋体"/>
          <w:color w:val="auto"/>
          <w:sz w:val="32"/>
          <w:szCs w:val="20"/>
          <w:highlight w:val="none"/>
        </w:rPr>
      </w:pPr>
    </w:p>
    <w:p w14:paraId="0A1188E2">
      <w:pPr>
        <w:snapToGrid w:val="0"/>
        <w:spacing w:before="120" w:beforeLines="50" w:after="50"/>
        <w:jc w:val="center"/>
        <w:outlineLvl w:val="1"/>
        <w:rPr>
          <w:rFonts w:ascii="宋体" w:hAnsi="宋体"/>
          <w:color w:val="auto"/>
          <w:highlight w:val="none"/>
        </w:rPr>
      </w:pPr>
    </w:p>
    <w:p w14:paraId="70D9276A">
      <w:pPr>
        <w:rPr>
          <w:rFonts w:ascii="宋体" w:hAnsi="宋体"/>
          <w:b/>
          <w:color w:val="auto"/>
          <w:sz w:val="28"/>
          <w:szCs w:val="28"/>
          <w:highlight w:val="none"/>
        </w:rPr>
      </w:pPr>
      <w:bookmarkStart w:id="157" w:name="_Toc19686836"/>
      <w:bookmarkStart w:id="158" w:name="_Toc254970698"/>
      <w:bookmarkStart w:id="159" w:name="_Toc254970557"/>
      <w:r>
        <w:rPr>
          <w:rFonts w:ascii="宋体" w:hAnsi="宋体"/>
          <w:b/>
          <w:color w:val="auto"/>
          <w:sz w:val="28"/>
          <w:szCs w:val="28"/>
          <w:highlight w:val="none"/>
        </w:rPr>
        <w:br w:type="page"/>
      </w:r>
      <w:r>
        <w:rPr>
          <w:rFonts w:hint="eastAsia" w:ascii="宋体" w:hAnsi="宋体"/>
          <w:b/>
          <w:color w:val="auto"/>
          <w:sz w:val="28"/>
          <w:szCs w:val="28"/>
          <w:highlight w:val="none"/>
        </w:rPr>
        <w:t>一、报价文件格式</w:t>
      </w:r>
      <w:bookmarkEnd w:id="157"/>
    </w:p>
    <w:p w14:paraId="3FBB4B7C">
      <w:pPr>
        <w:snapToGrid w:val="0"/>
        <w:spacing w:before="120" w:beforeLines="50" w:after="50" w:line="360" w:lineRule="auto"/>
        <w:ind w:left="142"/>
        <w:jc w:val="left"/>
        <w:rPr>
          <w:rFonts w:ascii="宋体" w:hAnsi="宋体"/>
          <w:color w:val="auto"/>
          <w:sz w:val="24"/>
          <w:szCs w:val="20"/>
          <w:highlight w:val="none"/>
        </w:rPr>
      </w:pPr>
      <w:r>
        <w:rPr>
          <w:rFonts w:hint="eastAsia" w:ascii="宋体" w:hAnsi="宋体"/>
          <w:b/>
          <w:color w:val="auto"/>
          <w:sz w:val="24"/>
          <w:highlight w:val="none"/>
        </w:rPr>
        <w:t xml:space="preserve">1. 报价文件封面格式： </w:t>
      </w:r>
    </w:p>
    <w:p w14:paraId="65955AF1">
      <w:pPr>
        <w:snapToGrid w:val="0"/>
        <w:spacing w:before="120" w:beforeLines="50" w:after="50" w:line="400" w:lineRule="exact"/>
        <w:rPr>
          <w:rFonts w:ascii="宋体" w:hAnsi="宋体"/>
          <w:bCs/>
          <w:color w:val="auto"/>
          <w:sz w:val="32"/>
          <w:szCs w:val="20"/>
          <w:highlight w:val="none"/>
        </w:rPr>
      </w:pPr>
      <w:r>
        <w:rPr>
          <w:rFonts w:hint="eastAsia" w:ascii="宋体" w:hAnsi="宋体"/>
          <w:color w:val="auto"/>
          <w:sz w:val="24"/>
          <w:highlight w:val="none"/>
        </w:rPr>
        <w:t xml:space="preserve">                                                   </w:t>
      </w:r>
    </w:p>
    <w:p w14:paraId="4E56310F">
      <w:pPr>
        <w:snapToGrid w:val="0"/>
        <w:spacing w:before="120" w:beforeLines="50" w:after="50" w:line="400" w:lineRule="exact"/>
        <w:jc w:val="center"/>
        <w:rPr>
          <w:rFonts w:ascii="宋体" w:hAnsi="宋体"/>
          <w:bCs/>
          <w:color w:val="auto"/>
          <w:sz w:val="24"/>
          <w:szCs w:val="20"/>
          <w:highlight w:val="none"/>
        </w:rPr>
      </w:pPr>
    </w:p>
    <w:p w14:paraId="264061BC">
      <w:pPr>
        <w:snapToGrid w:val="0"/>
        <w:spacing w:before="120" w:beforeLines="50" w:after="50"/>
        <w:jc w:val="center"/>
        <w:rPr>
          <w:rFonts w:ascii="宋体" w:hAnsi="宋体" w:cs="方正小标宋简体"/>
          <w:color w:val="auto"/>
          <w:sz w:val="84"/>
          <w:szCs w:val="84"/>
          <w:highlight w:val="none"/>
        </w:rPr>
      </w:pPr>
      <w:r>
        <w:rPr>
          <w:rFonts w:hint="eastAsia" w:ascii="宋体" w:hAnsi="宋体" w:cs="方正小标宋简体"/>
          <w:color w:val="auto"/>
          <w:sz w:val="84"/>
          <w:szCs w:val="84"/>
          <w:highlight w:val="none"/>
        </w:rPr>
        <w:t>投  标  文  件</w:t>
      </w:r>
    </w:p>
    <w:p w14:paraId="46E19C75">
      <w:pPr>
        <w:snapToGrid w:val="0"/>
        <w:spacing w:before="120" w:beforeLines="50" w:after="50" w:line="400" w:lineRule="exact"/>
        <w:jc w:val="center"/>
        <w:rPr>
          <w:rFonts w:ascii="宋体" w:hAnsi="宋体"/>
          <w:bCs/>
          <w:color w:val="auto"/>
          <w:sz w:val="32"/>
          <w:szCs w:val="32"/>
          <w:highlight w:val="none"/>
        </w:rPr>
      </w:pPr>
    </w:p>
    <w:p w14:paraId="0DFF377F">
      <w:pPr>
        <w:snapToGrid w:val="0"/>
        <w:spacing w:before="120" w:beforeLines="50" w:after="50" w:line="400" w:lineRule="exact"/>
        <w:jc w:val="center"/>
        <w:rPr>
          <w:rFonts w:ascii="宋体" w:hAnsi="宋体" w:cs="方正小标宋简体"/>
          <w:color w:val="auto"/>
          <w:sz w:val="32"/>
          <w:szCs w:val="32"/>
          <w:highlight w:val="none"/>
        </w:rPr>
      </w:pPr>
      <w:r>
        <w:rPr>
          <w:rFonts w:hint="eastAsia" w:ascii="宋体" w:hAnsi="宋体" w:cs="方正小标宋简体"/>
          <w:color w:val="auto"/>
          <w:sz w:val="32"/>
          <w:szCs w:val="32"/>
          <w:highlight w:val="none"/>
        </w:rPr>
        <w:t>报  价  文  件</w:t>
      </w:r>
    </w:p>
    <w:p w14:paraId="222DABB6">
      <w:pPr>
        <w:snapToGrid w:val="0"/>
        <w:spacing w:before="120" w:beforeLines="50" w:after="50" w:line="400" w:lineRule="exact"/>
        <w:rPr>
          <w:rFonts w:ascii="宋体" w:hAnsi="宋体"/>
          <w:bCs/>
          <w:color w:val="auto"/>
          <w:sz w:val="24"/>
          <w:szCs w:val="20"/>
          <w:highlight w:val="none"/>
        </w:rPr>
      </w:pPr>
    </w:p>
    <w:p w14:paraId="3860A7D9">
      <w:pPr>
        <w:snapToGrid w:val="0"/>
        <w:spacing w:before="120" w:beforeLines="50" w:after="50" w:line="400" w:lineRule="exact"/>
        <w:rPr>
          <w:rFonts w:ascii="宋体" w:hAnsi="宋体"/>
          <w:bCs/>
          <w:color w:val="auto"/>
          <w:sz w:val="24"/>
          <w:szCs w:val="20"/>
          <w:highlight w:val="none"/>
        </w:rPr>
      </w:pPr>
    </w:p>
    <w:p w14:paraId="1C0678DD">
      <w:pPr>
        <w:snapToGrid w:val="0"/>
        <w:spacing w:before="120" w:beforeLines="50" w:after="50" w:line="400" w:lineRule="exact"/>
        <w:rPr>
          <w:rFonts w:ascii="宋体" w:hAnsi="宋体"/>
          <w:bCs/>
          <w:color w:val="auto"/>
          <w:sz w:val="24"/>
          <w:szCs w:val="20"/>
          <w:highlight w:val="none"/>
        </w:rPr>
      </w:pPr>
    </w:p>
    <w:p w14:paraId="1B0B5C55">
      <w:pPr>
        <w:snapToGrid w:val="0"/>
        <w:spacing w:before="120" w:beforeLines="50" w:after="50" w:line="400" w:lineRule="exact"/>
        <w:rPr>
          <w:rFonts w:ascii="宋体" w:hAnsi="宋体"/>
          <w:bCs/>
          <w:color w:val="auto"/>
          <w:sz w:val="24"/>
          <w:szCs w:val="20"/>
          <w:highlight w:val="none"/>
        </w:rPr>
      </w:pPr>
    </w:p>
    <w:p w14:paraId="69D387F1">
      <w:pPr>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项目名称： </w:t>
      </w:r>
    </w:p>
    <w:p w14:paraId="5EC48C11">
      <w:pPr>
        <w:snapToGrid w:val="0"/>
        <w:spacing w:before="120" w:beforeLines="50" w:after="50" w:line="400" w:lineRule="exact"/>
        <w:ind w:firstLine="360" w:firstLineChars="150"/>
        <w:rPr>
          <w:rFonts w:ascii="宋体" w:hAnsi="宋体"/>
          <w:bCs/>
          <w:color w:val="auto"/>
          <w:sz w:val="24"/>
          <w:highlight w:val="none"/>
        </w:rPr>
      </w:pPr>
    </w:p>
    <w:p w14:paraId="33106B84">
      <w:pPr>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项目编号： </w:t>
      </w:r>
    </w:p>
    <w:p w14:paraId="1798EB5E">
      <w:pPr>
        <w:snapToGrid w:val="0"/>
        <w:spacing w:before="120" w:beforeLines="50" w:after="50" w:line="400" w:lineRule="exact"/>
        <w:ind w:firstLine="360" w:firstLineChars="150"/>
        <w:rPr>
          <w:rFonts w:ascii="宋体" w:hAnsi="宋体"/>
          <w:bCs/>
          <w:color w:val="auto"/>
          <w:sz w:val="24"/>
          <w:highlight w:val="none"/>
        </w:rPr>
      </w:pPr>
    </w:p>
    <w:p w14:paraId="469E3146">
      <w:pPr>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所投分标：</w:t>
      </w:r>
    </w:p>
    <w:p w14:paraId="6CB90EDB">
      <w:pPr>
        <w:snapToGrid w:val="0"/>
        <w:spacing w:before="120" w:beforeLines="50" w:after="50" w:line="400" w:lineRule="exact"/>
        <w:ind w:firstLine="360" w:firstLineChars="150"/>
        <w:rPr>
          <w:rFonts w:ascii="宋体" w:hAnsi="宋体"/>
          <w:bCs/>
          <w:color w:val="auto"/>
          <w:sz w:val="24"/>
          <w:highlight w:val="none"/>
        </w:rPr>
      </w:pPr>
    </w:p>
    <w:p w14:paraId="2F30CFF8">
      <w:pPr>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投标人名称：</w:t>
      </w:r>
    </w:p>
    <w:p w14:paraId="54F1B96D">
      <w:pPr>
        <w:snapToGrid w:val="0"/>
        <w:spacing w:before="120" w:beforeLines="50" w:after="50" w:line="400" w:lineRule="exact"/>
        <w:ind w:firstLine="360" w:firstLineChars="150"/>
        <w:rPr>
          <w:rFonts w:ascii="宋体" w:hAnsi="宋体"/>
          <w:bCs/>
          <w:color w:val="auto"/>
          <w:sz w:val="24"/>
          <w:highlight w:val="none"/>
        </w:rPr>
      </w:pPr>
    </w:p>
    <w:p w14:paraId="7912180C">
      <w:pPr>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投标人地址：</w:t>
      </w:r>
    </w:p>
    <w:p w14:paraId="31B3BEA4">
      <w:pPr>
        <w:pStyle w:val="9"/>
        <w:snapToGrid w:val="0"/>
        <w:spacing w:before="50" w:after="50" w:line="400" w:lineRule="exact"/>
        <w:ind w:firstLine="960" w:firstLineChars="400"/>
        <w:rPr>
          <w:rFonts w:ascii="宋体" w:hAnsi="宋体"/>
          <w:bCs/>
          <w:color w:val="auto"/>
          <w:sz w:val="24"/>
          <w:szCs w:val="24"/>
          <w:highlight w:val="none"/>
        </w:rPr>
      </w:pPr>
    </w:p>
    <w:p w14:paraId="573644DD">
      <w:pPr>
        <w:snapToGrid w:val="0"/>
        <w:spacing w:before="120" w:beforeLines="50" w:after="50" w:line="400" w:lineRule="exact"/>
        <w:rPr>
          <w:rFonts w:ascii="宋体" w:hAnsi="宋体"/>
          <w:color w:val="auto"/>
          <w:sz w:val="30"/>
          <w:szCs w:val="20"/>
          <w:highlight w:val="none"/>
        </w:rPr>
      </w:pPr>
      <w:r>
        <w:rPr>
          <w:rFonts w:hint="eastAsia" w:ascii="宋体" w:hAnsi="宋体"/>
          <w:color w:val="auto"/>
          <w:sz w:val="24"/>
          <w:highlight w:val="none"/>
        </w:rPr>
        <w:t xml:space="preserve">                                   年  月  日</w:t>
      </w:r>
    </w:p>
    <w:p w14:paraId="21D0D24B">
      <w:pPr>
        <w:snapToGrid w:val="0"/>
        <w:spacing w:before="120" w:beforeLines="50" w:after="50" w:line="360" w:lineRule="auto"/>
        <w:jc w:val="left"/>
        <w:rPr>
          <w:rFonts w:ascii="宋体" w:hAnsi="宋体"/>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rPr>
        <w:t>2.</w:t>
      </w:r>
      <w:r>
        <w:rPr>
          <w:rFonts w:hint="eastAsia" w:ascii="宋体" w:hAnsi="宋体"/>
          <w:b/>
          <w:bCs/>
          <w:color w:val="auto"/>
          <w:sz w:val="24"/>
          <w:highlight w:val="none"/>
        </w:rPr>
        <w:t>报价文件目录</w:t>
      </w:r>
    </w:p>
    <w:p w14:paraId="4DF03513">
      <w:pPr>
        <w:snapToGrid w:val="0"/>
        <w:spacing w:before="50" w:after="120" w:afterLines="50" w:line="360" w:lineRule="auto"/>
        <w:jc w:val="left"/>
        <w:rPr>
          <w:rFonts w:ascii="宋体" w:hAnsi="宋体"/>
          <w:b/>
          <w:color w:val="auto"/>
          <w:sz w:val="24"/>
          <w:highlight w:val="none"/>
        </w:rPr>
      </w:pPr>
      <w:r>
        <w:rPr>
          <w:rFonts w:hint="eastAsia" w:ascii="宋体" w:hAnsi="宋体"/>
          <w:color w:val="auto"/>
          <w:szCs w:val="21"/>
          <w:highlight w:val="none"/>
        </w:rPr>
        <w:t>根据招标文件规定及投标人提供的材料自行编写目录。</w:t>
      </w:r>
    </w:p>
    <w:p w14:paraId="42C46ED3">
      <w:pPr>
        <w:snapToGrid w:val="0"/>
        <w:spacing w:before="120" w:beforeLines="50" w:after="50"/>
        <w:rPr>
          <w:rFonts w:ascii="宋体" w:hAnsi="宋体"/>
          <w:b/>
          <w:color w:val="auto"/>
          <w:sz w:val="24"/>
          <w:highlight w:val="none"/>
        </w:rPr>
      </w:pPr>
    </w:p>
    <w:p w14:paraId="4EF4FA50">
      <w:pPr>
        <w:snapToGrid w:val="0"/>
        <w:spacing w:before="120" w:beforeLines="50" w:after="50"/>
        <w:rPr>
          <w:rFonts w:ascii="宋体" w:hAnsi="宋体"/>
          <w:b/>
          <w:color w:val="auto"/>
          <w:sz w:val="24"/>
          <w:highlight w:val="none"/>
        </w:rPr>
      </w:pPr>
    </w:p>
    <w:p w14:paraId="2919FCED">
      <w:pPr>
        <w:snapToGrid w:val="0"/>
        <w:spacing w:before="120" w:beforeLines="50" w:after="50"/>
        <w:rPr>
          <w:rFonts w:ascii="宋体" w:hAnsi="宋体"/>
          <w:b/>
          <w:color w:val="auto"/>
          <w:sz w:val="24"/>
          <w:highlight w:val="none"/>
        </w:rPr>
      </w:pPr>
    </w:p>
    <w:p w14:paraId="24DCB128">
      <w:pPr>
        <w:snapToGrid w:val="0"/>
        <w:spacing w:before="120" w:beforeLines="50" w:after="50"/>
        <w:ind w:left="142"/>
        <w:jc w:val="left"/>
        <w:rPr>
          <w:rFonts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3. 投标函格式：</w:t>
      </w:r>
    </w:p>
    <w:p w14:paraId="6C16C8BA">
      <w:pPr>
        <w:snapToGrid w:val="0"/>
        <w:spacing w:before="120" w:beforeLines="50" w:after="50" w:line="360" w:lineRule="auto"/>
        <w:jc w:val="center"/>
        <w:rPr>
          <w:rFonts w:ascii="宋体" w:hAnsi="宋体" w:cs="方正小标宋简体"/>
          <w:bCs/>
          <w:color w:val="auto"/>
          <w:sz w:val="44"/>
          <w:szCs w:val="44"/>
          <w:highlight w:val="none"/>
        </w:rPr>
      </w:pPr>
      <w:r>
        <w:rPr>
          <w:rFonts w:hint="eastAsia" w:ascii="宋体" w:hAnsi="宋体" w:cs="方正小标宋简体"/>
          <w:bCs/>
          <w:color w:val="auto"/>
          <w:sz w:val="44"/>
          <w:szCs w:val="44"/>
          <w:highlight w:val="none"/>
        </w:rPr>
        <w:t>投 标 函</w:t>
      </w:r>
    </w:p>
    <w:p w14:paraId="6C707596">
      <w:pPr>
        <w:spacing w:line="440" w:lineRule="exact"/>
        <w:contextualSpacing/>
        <w:rPr>
          <w:rFonts w:ascii="宋体" w:hAnsi="宋体"/>
          <w:color w:val="auto"/>
          <w:sz w:val="24"/>
          <w:highlight w:val="none"/>
        </w:rPr>
      </w:pPr>
      <w:r>
        <w:rPr>
          <w:rFonts w:hint="eastAsia" w:ascii="宋体" w:hAnsi="宋体"/>
          <w:color w:val="auto"/>
          <w:sz w:val="24"/>
          <w:highlight w:val="none"/>
        </w:rPr>
        <w:t>致：</w:t>
      </w:r>
      <w:r>
        <w:rPr>
          <w:rFonts w:hint="eastAsia" w:ascii="宋体" w:hAnsi="宋体"/>
          <w:color w:val="auto"/>
          <w:sz w:val="24"/>
          <w:highlight w:val="none"/>
          <w:u w:val="single"/>
        </w:rPr>
        <w:t>采购人名称</w:t>
      </w:r>
    </w:p>
    <w:p w14:paraId="27B6FB70">
      <w:pPr>
        <w:spacing w:line="440" w:lineRule="exact"/>
        <w:ind w:firstLine="480"/>
        <w:contextualSpacing/>
        <w:rPr>
          <w:rFonts w:ascii="宋体" w:hAnsi="宋体"/>
          <w:color w:val="auto"/>
          <w:sz w:val="24"/>
          <w:highlight w:val="none"/>
        </w:rPr>
      </w:pPr>
      <w:r>
        <w:rPr>
          <w:rFonts w:hint="eastAsia" w:ascii="宋体" w:hAnsi="宋体"/>
          <w:color w:val="auto"/>
          <w:sz w:val="24"/>
          <w:highlight w:val="none"/>
        </w:rPr>
        <w:t>根据贵方</w:t>
      </w:r>
      <w:r>
        <w:rPr>
          <w:rFonts w:hint="eastAsia" w:ascii="宋体" w:hAnsi="宋体"/>
          <w:color w:val="auto"/>
          <w:sz w:val="24"/>
          <w:highlight w:val="none"/>
          <w:u w:val="single"/>
        </w:rPr>
        <w:t xml:space="preserve"> 项目名称</w:t>
      </w:r>
      <w:r>
        <w:rPr>
          <w:rFonts w:hint="eastAsia" w:ascii="宋体" w:hAnsi="宋体"/>
          <w:color w:val="auto"/>
          <w:sz w:val="24"/>
          <w:highlight w:val="none"/>
        </w:rPr>
        <w:t>（项目编号：</w:t>
      </w:r>
      <w:r>
        <w:rPr>
          <w:rFonts w:hint="eastAsia" w:ascii="宋体" w:hAnsi="宋体"/>
          <w:color w:val="auto"/>
          <w:sz w:val="24"/>
          <w:highlight w:val="none"/>
          <w:u w:val="single"/>
        </w:rPr>
        <w:t xml:space="preserve">        </w:t>
      </w:r>
      <w:r>
        <w:rPr>
          <w:rFonts w:hint="eastAsia" w:ascii="宋体" w:hAnsi="宋体"/>
          <w:color w:val="auto"/>
          <w:sz w:val="24"/>
          <w:highlight w:val="none"/>
        </w:rPr>
        <w:t>）的招标公告，签字代表______</w:t>
      </w:r>
      <w:r>
        <w:rPr>
          <w:rFonts w:hint="eastAsia" w:ascii="宋体" w:hAnsi="宋体"/>
          <w:color w:val="auto"/>
          <w:sz w:val="24"/>
          <w:highlight w:val="none"/>
          <w:u w:val="single"/>
        </w:rPr>
        <w:t xml:space="preserve">     </w:t>
      </w:r>
      <w:r>
        <w:rPr>
          <w:rFonts w:hint="eastAsia" w:ascii="宋体" w:hAnsi="宋体"/>
          <w:color w:val="auto"/>
          <w:sz w:val="24"/>
          <w:highlight w:val="none"/>
        </w:rPr>
        <w:t>（姓名）经正式授权并代表投标人</w:t>
      </w:r>
      <w:r>
        <w:rPr>
          <w:rFonts w:hint="eastAsia" w:ascii="宋体" w:hAnsi="宋体"/>
          <w:color w:val="auto"/>
          <w:sz w:val="24"/>
          <w:highlight w:val="none"/>
          <w:u w:val="single"/>
        </w:rPr>
        <w:t xml:space="preserve">                 </w:t>
      </w:r>
      <w:r>
        <w:rPr>
          <w:rFonts w:hint="eastAsia" w:ascii="宋体" w:hAnsi="宋体"/>
          <w:color w:val="auto"/>
          <w:sz w:val="24"/>
          <w:highlight w:val="none"/>
        </w:rPr>
        <w:t>（投标人名称）提交投标文件。</w:t>
      </w:r>
    </w:p>
    <w:p w14:paraId="087864AA">
      <w:pPr>
        <w:spacing w:line="440" w:lineRule="exact"/>
        <w:ind w:firstLine="480" w:firstLineChars="200"/>
        <w:contextualSpacing/>
        <w:rPr>
          <w:rFonts w:ascii="宋体" w:hAnsi="宋体"/>
          <w:color w:val="auto"/>
          <w:sz w:val="24"/>
          <w:highlight w:val="none"/>
        </w:rPr>
      </w:pPr>
      <w:r>
        <w:rPr>
          <w:rFonts w:hint="eastAsia" w:ascii="宋体" w:hAnsi="宋体"/>
          <w:color w:val="auto"/>
          <w:sz w:val="24"/>
          <w:highlight w:val="none"/>
        </w:rPr>
        <w:t>据此函，我方宣布同意如下：</w:t>
      </w:r>
    </w:p>
    <w:p w14:paraId="57114F03">
      <w:pPr>
        <w:spacing w:line="440" w:lineRule="exact"/>
        <w:ind w:firstLine="480" w:firstLineChars="200"/>
        <w:contextualSpacing/>
        <w:rPr>
          <w:rFonts w:ascii="宋体" w:hAnsi="宋体"/>
          <w:color w:val="auto"/>
          <w:sz w:val="24"/>
          <w:highlight w:val="none"/>
        </w:rPr>
      </w:pPr>
      <w:r>
        <w:rPr>
          <w:rFonts w:hint="eastAsia" w:ascii="宋体" w:hAnsi="宋体"/>
          <w:color w:val="auto"/>
          <w:sz w:val="24"/>
          <w:highlight w:val="none"/>
        </w:rPr>
        <w:t>1.我方已详细审查全部“招标文件”，包括修改文件（如有的话）以及全部参考资料和有关附件，已经了解我方对于招标文件、采购过程、采购结果有依法进行询问、质疑、投诉的权利及相关渠道和要求。</w:t>
      </w:r>
    </w:p>
    <w:p w14:paraId="4864C4D9">
      <w:pPr>
        <w:spacing w:line="440" w:lineRule="exact"/>
        <w:ind w:firstLine="480" w:firstLineChars="200"/>
        <w:contextualSpacing/>
        <w:rPr>
          <w:rFonts w:ascii="宋体" w:hAnsi="宋体"/>
          <w:color w:val="auto"/>
          <w:sz w:val="24"/>
          <w:highlight w:val="none"/>
        </w:rPr>
      </w:pPr>
      <w:r>
        <w:rPr>
          <w:rFonts w:hint="eastAsia" w:ascii="宋体" w:hAnsi="宋体"/>
          <w:color w:val="auto"/>
          <w:sz w:val="24"/>
          <w:highlight w:val="none"/>
        </w:rPr>
        <w:t>2.我方在投标之前已经完全理解并接受招标文件的各项规定和要求，对招标文件的合理性、合法性不再有异议。</w:t>
      </w:r>
    </w:p>
    <w:p w14:paraId="01302497">
      <w:pPr>
        <w:spacing w:line="440" w:lineRule="exact"/>
        <w:ind w:firstLine="480" w:firstLineChars="200"/>
        <w:contextualSpacing/>
        <w:rPr>
          <w:rFonts w:ascii="宋体" w:hAnsi="宋体"/>
          <w:color w:val="auto"/>
          <w:sz w:val="24"/>
          <w:highlight w:val="none"/>
        </w:rPr>
      </w:pPr>
      <w:r>
        <w:rPr>
          <w:rFonts w:hint="eastAsia" w:ascii="宋体" w:hAnsi="宋体"/>
          <w:color w:val="auto"/>
          <w:sz w:val="24"/>
          <w:highlight w:val="none"/>
        </w:rPr>
        <w:t>3.本投标有效期自投标截止之日起</w:t>
      </w:r>
      <w:r>
        <w:rPr>
          <w:rFonts w:ascii="宋体" w:hAnsi="宋体"/>
          <w:color w:val="auto"/>
          <w:sz w:val="24"/>
          <w:highlight w:val="none"/>
          <w:u w:val="single"/>
        </w:rPr>
        <w:t xml:space="preserve">    </w:t>
      </w:r>
      <w:r>
        <w:rPr>
          <w:rFonts w:hint="eastAsia" w:ascii="宋体" w:hAnsi="宋体"/>
          <w:color w:val="auto"/>
          <w:sz w:val="24"/>
          <w:highlight w:val="none"/>
        </w:rPr>
        <w:t>日。</w:t>
      </w:r>
    </w:p>
    <w:p w14:paraId="4F1826CF">
      <w:pPr>
        <w:spacing w:line="440" w:lineRule="exact"/>
        <w:ind w:firstLine="480" w:firstLineChars="200"/>
        <w:contextualSpacing/>
        <w:rPr>
          <w:rFonts w:ascii="宋体" w:hAnsi="宋体"/>
          <w:color w:val="auto"/>
          <w:sz w:val="24"/>
          <w:highlight w:val="none"/>
        </w:rPr>
      </w:pPr>
      <w:r>
        <w:rPr>
          <w:rFonts w:hint="eastAsia" w:ascii="宋体" w:hAnsi="宋体"/>
          <w:color w:val="auto"/>
          <w:sz w:val="24"/>
          <w:highlight w:val="none"/>
        </w:rPr>
        <w:t>4.如中标，本投标文件至本项目合同履行完毕止均保持有效，我方将按“招标文件”及政府采购法律、法规的规定履行合同责任和义务。</w:t>
      </w:r>
    </w:p>
    <w:p w14:paraId="1DBD9800">
      <w:pPr>
        <w:spacing w:line="440" w:lineRule="exact"/>
        <w:ind w:firstLine="480" w:firstLineChars="200"/>
        <w:contextualSpacing/>
        <w:rPr>
          <w:rFonts w:ascii="宋体" w:hAnsi="宋体"/>
          <w:color w:val="auto"/>
          <w:sz w:val="24"/>
          <w:highlight w:val="none"/>
        </w:rPr>
      </w:pPr>
      <w:r>
        <w:rPr>
          <w:rFonts w:hint="eastAsia" w:ascii="宋体" w:hAnsi="宋体"/>
          <w:color w:val="auto"/>
          <w:sz w:val="24"/>
          <w:highlight w:val="none"/>
        </w:rPr>
        <w:t>5.我方同意按照贵方要求提供与投标有关的一切数据或者资料。</w:t>
      </w:r>
    </w:p>
    <w:p w14:paraId="064E2DD8">
      <w:pPr>
        <w:spacing w:line="440" w:lineRule="exact"/>
        <w:ind w:firstLine="480" w:firstLineChars="200"/>
        <w:contextualSpacing/>
        <w:rPr>
          <w:rFonts w:ascii="宋体" w:hAnsi="宋体"/>
          <w:color w:val="auto"/>
          <w:sz w:val="24"/>
          <w:highlight w:val="none"/>
        </w:rPr>
      </w:pPr>
      <w:r>
        <w:rPr>
          <w:rFonts w:hint="eastAsia" w:ascii="宋体" w:hAnsi="宋体"/>
          <w:color w:val="auto"/>
          <w:sz w:val="24"/>
          <w:highlight w:val="none"/>
        </w:rPr>
        <w:t>6.我方向贵方提交的所有投标文件、资料都是准确的和真实的。</w:t>
      </w:r>
    </w:p>
    <w:p w14:paraId="2D128CDE">
      <w:pPr>
        <w:spacing w:line="440" w:lineRule="exact"/>
        <w:ind w:firstLine="480" w:firstLineChars="200"/>
        <w:contextualSpacing/>
        <w:rPr>
          <w:rFonts w:ascii="宋体" w:hAnsi="宋体"/>
          <w:color w:val="auto"/>
          <w:sz w:val="24"/>
          <w:highlight w:val="none"/>
        </w:rPr>
      </w:pPr>
      <w:r>
        <w:rPr>
          <w:rFonts w:hint="eastAsia" w:ascii="宋体" w:hAnsi="宋体"/>
          <w:color w:val="auto"/>
          <w:sz w:val="24"/>
          <w:highlight w:val="none"/>
        </w:rPr>
        <w:t>7.以上事项如有虚假或者隐瞒，我方愿意承担一切后果，并不再寻求任何旨在减轻或者免除法律责任的辩解。</w:t>
      </w:r>
    </w:p>
    <w:p w14:paraId="3F247B34">
      <w:pPr>
        <w:spacing w:line="440" w:lineRule="exact"/>
        <w:ind w:firstLine="480" w:firstLineChars="200"/>
        <w:contextualSpacing/>
        <w:rPr>
          <w:rFonts w:ascii="宋体" w:hAnsi="宋体"/>
          <w:color w:val="auto"/>
          <w:sz w:val="24"/>
          <w:highlight w:val="none"/>
        </w:rPr>
      </w:pPr>
      <w:r>
        <w:rPr>
          <w:rFonts w:hint="eastAsia" w:ascii="宋体" w:hAnsi="宋体"/>
          <w:color w:val="auto"/>
          <w:sz w:val="24"/>
          <w:highlight w:val="none"/>
        </w:rPr>
        <w:t>8.根据</w:t>
      </w:r>
      <w:r>
        <w:rPr>
          <w:rFonts w:ascii="宋体" w:hAnsi="宋体"/>
          <w:color w:val="auto"/>
          <w:sz w:val="24"/>
          <w:highlight w:val="none"/>
        </w:rPr>
        <w:t>《中华人民共和国政府采购法实施条例》第五十条要求对政府采购合同进行公告</w:t>
      </w:r>
      <w:r>
        <w:rPr>
          <w:rFonts w:hint="eastAsia" w:ascii="宋体" w:hAnsi="宋体"/>
          <w:color w:val="auto"/>
          <w:sz w:val="24"/>
          <w:highlight w:val="none"/>
        </w:rPr>
        <w:t>，</w:t>
      </w:r>
      <w:r>
        <w:rPr>
          <w:rFonts w:ascii="宋体" w:hAnsi="宋体"/>
          <w:color w:val="auto"/>
          <w:sz w:val="24"/>
          <w:highlight w:val="none"/>
        </w:rPr>
        <w:t>但政府采购合同中涉及国家秘密、商业秘密的内容除外。</w:t>
      </w:r>
      <w:r>
        <w:rPr>
          <w:rFonts w:hint="eastAsia" w:ascii="宋体" w:hAnsi="宋体"/>
          <w:color w:val="auto"/>
          <w:sz w:val="24"/>
          <w:highlight w:val="none"/>
        </w:rPr>
        <w:t>我方就对本次投标文件进行注明如下：（两项内容中必须选择一项）</w:t>
      </w:r>
    </w:p>
    <w:p w14:paraId="7754DC6B">
      <w:pPr>
        <w:spacing w:line="440" w:lineRule="exact"/>
        <w:ind w:firstLine="480" w:firstLineChars="200"/>
        <w:contextualSpacing/>
        <w:rPr>
          <w:rFonts w:ascii="宋体" w:hAnsi="宋体"/>
          <w:color w:val="auto"/>
          <w:sz w:val="24"/>
          <w:highlight w:val="none"/>
        </w:rPr>
      </w:pPr>
      <w:r>
        <w:rPr>
          <w:rFonts w:hint="eastAsia" w:ascii="宋体" w:hAnsi="宋体"/>
          <w:color w:val="auto"/>
          <w:sz w:val="24"/>
          <w:highlight w:val="none"/>
        </w:rPr>
        <w:t>□我方本次投标文件</w:t>
      </w:r>
      <w:r>
        <w:rPr>
          <w:rFonts w:ascii="宋体" w:hAnsi="宋体" w:cs="宋体"/>
          <w:color w:val="auto"/>
          <w:kern w:val="0"/>
          <w:sz w:val="24"/>
          <w:highlight w:val="none"/>
        </w:rPr>
        <w:t>内容中</w:t>
      </w:r>
      <w:r>
        <w:rPr>
          <w:rFonts w:hint="eastAsia" w:ascii="宋体" w:hAnsi="宋体"/>
          <w:color w:val="auto"/>
          <w:sz w:val="24"/>
          <w:highlight w:val="none"/>
        </w:rPr>
        <w:t>未</w:t>
      </w:r>
      <w:r>
        <w:rPr>
          <w:rFonts w:ascii="宋体" w:hAnsi="宋体" w:cs="宋体"/>
          <w:color w:val="auto"/>
          <w:kern w:val="0"/>
          <w:sz w:val="24"/>
          <w:highlight w:val="none"/>
        </w:rPr>
        <w:t>涉及商业秘密</w:t>
      </w:r>
      <w:r>
        <w:rPr>
          <w:rFonts w:hint="eastAsia" w:ascii="宋体" w:hAnsi="宋体" w:cs="宋体"/>
          <w:color w:val="auto"/>
          <w:kern w:val="0"/>
          <w:sz w:val="24"/>
          <w:highlight w:val="none"/>
        </w:rPr>
        <w:t>；</w:t>
      </w:r>
    </w:p>
    <w:p w14:paraId="29615125">
      <w:pPr>
        <w:spacing w:line="440" w:lineRule="exact"/>
        <w:ind w:firstLine="480" w:firstLineChars="200"/>
        <w:contextualSpacing/>
        <w:rPr>
          <w:rFonts w:ascii="宋体" w:hAnsi="宋体"/>
          <w:color w:val="auto"/>
          <w:sz w:val="24"/>
          <w:highlight w:val="none"/>
        </w:rPr>
      </w:pPr>
      <w:r>
        <w:rPr>
          <w:rFonts w:hint="eastAsia" w:ascii="宋体" w:hAnsi="宋体"/>
          <w:color w:val="auto"/>
          <w:sz w:val="24"/>
          <w:highlight w:val="none"/>
        </w:rPr>
        <w:t>□我方本次投标文件</w:t>
      </w:r>
      <w:r>
        <w:rPr>
          <w:rFonts w:ascii="宋体" w:hAnsi="宋体" w:cs="宋体"/>
          <w:color w:val="auto"/>
          <w:kern w:val="0"/>
          <w:sz w:val="24"/>
          <w:highlight w:val="none"/>
        </w:rPr>
        <w:t>涉及商业秘密</w:t>
      </w:r>
      <w:r>
        <w:rPr>
          <w:rFonts w:hint="eastAsia" w:ascii="宋体" w:hAnsi="宋体" w:cs="宋体"/>
          <w:color w:val="auto"/>
          <w:kern w:val="0"/>
          <w:sz w:val="24"/>
          <w:highlight w:val="none"/>
        </w:rPr>
        <w:t>的</w:t>
      </w:r>
      <w:r>
        <w:rPr>
          <w:rFonts w:ascii="宋体" w:hAnsi="宋体" w:cs="宋体"/>
          <w:color w:val="auto"/>
          <w:kern w:val="0"/>
          <w:sz w:val="24"/>
          <w:highlight w:val="none"/>
        </w:rPr>
        <w:t>内容</w:t>
      </w:r>
      <w:r>
        <w:rPr>
          <w:rFonts w:hint="eastAsia" w:ascii="宋体" w:hAnsi="宋体" w:cs="宋体"/>
          <w:color w:val="auto"/>
          <w:kern w:val="0"/>
          <w:sz w:val="24"/>
          <w:highlight w:val="none"/>
        </w:rPr>
        <w:t>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47976EB2">
      <w:pPr>
        <w:spacing w:line="440" w:lineRule="exact"/>
        <w:ind w:firstLine="480" w:firstLineChars="200"/>
        <w:contextualSpacing/>
        <w:rPr>
          <w:rFonts w:ascii="宋体" w:hAnsi="宋体"/>
          <w:color w:val="auto"/>
          <w:sz w:val="24"/>
          <w:highlight w:val="none"/>
        </w:rPr>
      </w:pPr>
      <w:r>
        <w:rPr>
          <w:rFonts w:hint="eastAsia" w:ascii="宋体" w:hAnsi="宋体"/>
          <w:color w:val="auto"/>
          <w:sz w:val="24"/>
          <w:highlight w:val="none"/>
        </w:rPr>
        <w:t>9.与本投标有关的一切正式往来信函请寄：</w:t>
      </w:r>
    </w:p>
    <w:p w14:paraId="5E6EA98E">
      <w:pPr>
        <w:spacing w:line="440" w:lineRule="exact"/>
        <w:ind w:firstLine="480" w:firstLineChars="200"/>
        <w:contextualSpacing/>
        <w:rPr>
          <w:rFonts w:ascii="宋体" w:hAnsi="宋体"/>
          <w:color w:val="auto"/>
          <w:sz w:val="24"/>
          <w:highlight w:val="none"/>
          <w:u w:val="single"/>
        </w:rPr>
      </w:pPr>
      <w:r>
        <w:rPr>
          <w:rFonts w:hint="eastAsia" w:ascii="宋体" w:hAnsi="宋体"/>
          <w:color w:val="auto"/>
          <w:sz w:val="24"/>
          <w:highlight w:val="none"/>
        </w:rPr>
        <w:t>地址：</w:t>
      </w:r>
      <w:r>
        <w:rPr>
          <w:rFonts w:hint="eastAsia" w:ascii="宋体" w:hAnsi="宋体"/>
          <w:color w:val="auto"/>
          <w:sz w:val="24"/>
          <w:highlight w:val="none"/>
          <w:u w:val="single"/>
        </w:rPr>
        <w:t xml:space="preserve">          </w:t>
      </w:r>
      <w:r>
        <w:rPr>
          <w:rFonts w:hint="eastAsia" w:ascii="宋体" w:hAnsi="宋体"/>
          <w:color w:val="auto"/>
          <w:sz w:val="24"/>
          <w:highlight w:val="none"/>
        </w:rPr>
        <w:t>邮编：</w:t>
      </w:r>
      <w:r>
        <w:rPr>
          <w:rFonts w:hint="eastAsia" w:ascii="宋体" w:hAnsi="宋体"/>
          <w:color w:val="auto"/>
          <w:sz w:val="24"/>
          <w:highlight w:val="none"/>
          <w:u w:val="single"/>
        </w:rPr>
        <w:t xml:space="preserve">            </w:t>
      </w:r>
    </w:p>
    <w:p w14:paraId="2E955DC8">
      <w:pPr>
        <w:spacing w:line="440" w:lineRule="exact"/>
        <w:ind w:firstLine="480" w:firstLineChars="200"/>
        <w:contextualSpacing/>
        <w:rPr>
          <w:rFonts w:ascii="宋体" w:hAnsi="宋体"/>
          <w:color w:val="auto"/>
          <w:sz w:val="24"/>
          <w:highlight w:val="none"/>
        </w:rPr>
      </w:pPr>
      <w:r>
        <w:rPr>
          <w:rFonts w:hint="eastAsia" w:ascii="宋体" w:hAnsi="宋体"/>
          <w:color w:val="auto"/>
          <w:sz w:val="24"/>
          <w:highlight w:val="none"/>
        </w:rPr>
        <w:t>电话：</w:t>
      </w:r>
      <w:r>
        <w:rPr>
          <w:rFonts w:hint="eastAsia" w:ascii="宋体" w:hAnsi="宋体"/>
          <w:color w:val="auto"/>
          <w:sz w:val="24"/>
          <w:highlight w:val="none"/>
          <w:u w:val="single"/>
        </w:rPr>
        <w:t xml:space="preserve">        </w:t>
      </w:r>
      <w:r>
        <w:rPr>
          <w:rFonts w:hint="eastAsia" w:ascii="宋体" w:hAnsi="宋体"/>
          <w:color w:val="auto"/>
          <w:sz w:val="24"/>
          <w:highlight w:val="none"/>
        </w:rPr>
        <w:t>传真：</w:t>
      </w:r>
      <w:r>
        <w:rPr>
          <w:rFonts w:hint="eastAsia" w:ascii="宋体" w:hAnsi="宋体"/>
          <w:color w:val="auto"/>
          <w:sz w:val="24"/>
          <w:highlight w:val="none"/>
          <w:u w:val="single"/>
        </w:rPr>
        <w:t xml:space="preserve">          </w:t>
      </w:r>
    </w:p>
    <w:p w14:paraId="36764339">
      <w:pPr>
        <w:spacing w:line="440" w:lineRule="exact"/>
        <w:ind w:firstLine="480" w:firstLineChars="200"/>
        <w:contextualSpacing/>
        <w:rPr>
          <w:rFonts w:ascii="宋体" w:hAnsi="宋体"/>
          <w:color w:val="auto"/>
          <w:sz w:val="24"/>
          <w:highlight w:val="none"/>
        </w:rPr>
      </w:pPr>
      <w:r>
        <w:rPr>
          <w:rFonts w:hint="eastAsia" w:ascii="宋体" w:hAnsi="宋体"/>
          <w:color w:val="auto"/>
          <w:sz w:val="24"/>
          <w:highlight w:val="none"/>
        </w:rPr>
        <w:t>投标人名称:</w:t>
      </w:r>
      <w:r>
        <w:rPr>
          <w:rFonts w:hint="eastAsia" w:ascii="宋体" w:hAnsi="宋体"/>
          <w:color w:val="auto"/>
          <w:sz w:val="24"/>
          <w:highlight w:val="none"/>
          <w:u w:val="single"/>
        </w:rPr>
        <w:t xml:space="preserve">                </w:t>
      </w:r>
    </w:p>
    <w:p w14:paraId="6F689CA6">
      <w:pPr>
        <w:spacing w:line="44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开户银行：</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银行帐号：</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6E258202">
      <w:pPr>
        <w:spacing w:line="44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 xml:space="preserve">法定代表人或者委托代理人签字:___________ </w:t>
      </w:r>
    </w:p>
    <w:p w14:paraId="1E2AC6D7">
      <w:pPr>
        <w:pStyle w:val="25"/>
        <w:spacing w:line="440" w:lineRule="exact"/>
        <w:contextualSpacing/>
        <w:jc w:val="center"/>
        <w:rPr>
          <w:rFonts w:hAnsi="宋体"/>
          <w:color w:val="auto"/>
          <w:sz w:val="24"/>
          <w:szCs w:val="24"/>
          <w:highlight w:val="none"/>
          <w:u w:val="single"/>
        </w:rPr>
      </w:pPr>
      <w:r>
        <w:rPr>
          <w:rFonts w:hint="eastAsia" w:hAnsi="宋体"/>
          <w:color w:val="auto"/>
          <w:sz w:val="24"/>
          <w:highlight w:val="none"/>
        </w:rPr>
        <w:t xml:space="preserve"> </w:t>
      </w:r>
      <w:r>
        <w:rPr>
          <w:rFonts w:hAnsi="宋体"/>
          <w:color w:val="auto"/>
          <w:sz w:val="24"/>
          <w:highlight w:val="none"/>
        </w:rPr>
        <w:t xml:space="preserve">                                   </w:t>
      </w:r>
      <w:r>
        <w:rPr>
          <w:rFonts w:hint="eastAsia" w:hAnsi="宋体"/>
          <w:color w:val="auto"/>
          <w:sz w:val="24"/>
          <w:highlight w:val="none"/>
        </w:rPr>
        <w:t>投标人（盖公章）：</w:t>
      </w:r>
    </w:p>
    <w:p w14:paraId="1AD373CA">
      <w:pPr>
        <w:pStyle w:val="25"/>
        <w:spacing w:line="440" w:lineRule="exact"/>
        <w:contextualSpacing/>
        <w:rPr>
          <w:rFonts w:hAnsi="宋体"/>
          <w:color w:val="auto"/>
          <w:sz w:val="24"/>
          <w:highlight w:val="none"/>
        </w:rPr>
      </w:pPr>
      <w:r>
        <w:rPr>
          <w:rFonts w:hint="eastAsia" w:hAnsi="宋体"/>
          <w:color w:val="auto"/>
          <w:sz w:val="24"/>
          <w:szCs w:val="24"/>
          <w:highlight w:val="none"/>
        </w:rPr>
        <w:t xml:space="preserve">                                                </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p>
    <w:p w14:paraId="0B923F01">
      <w:pPr>
        <w:snapToGrid w:val="0"/>
        <w:spacing w:before="120" w:beforeLines="50" w:after="50" w:line="440" w:lineRule="exact"/>
        <w:jc w:val="left"/>
        <w:rPr>
          <w:rFonts w:ascii="宋体" w:hAnsi="宋体"/>
          <w:b/>
          <w:color w:val="auto"/>
          <w:sz w:val="24"/>
          <w:szCs w:val="20"/>
          <w:highlight w:val="none"/>
        </w:rPr>
      </w:pPr>
      <w:r>
        <w:rPr>
          <w:rFonts w:ascii="宋体" w:hAnsi="宋体"/>
          <w:color w:val="auto"/>
          <w:highlight w:val="none"/>
          <w:u w:val="single"/>
        </w:rPr>
        <w:br w:type="page"/>
      </w:r>
      <w:r>
        <w:rPr>
          <w:rFonts w:hint="eastAsia" w:ascii="宋体" w:hAnsi="宋体"/>
          <w:b/>
          <w:color w:val="auto"/>
          <w:sz w:val="24"/>
          <w:highlight w:val="none"/>
        </w:rPr>
        <w:t>4. 开标一览表（货物类格式）</w:t>
      </w:r>
    </w:p>
    <w:p w14:paraId="74852FBC">
      <w:pPr>
        <w:snapToGrid w:val="0"/>
        <w:spacing w:before="50" w:after="50"/>
        <w:jc w:val="center"/>
        <w:rPr>
          <w:rFonts w:ascii="宋体" w:hAnsi="宋体"/>
          <w:b/>
          <w:color w:val="auto"/>
          <w:sz w:val="30"/>
          <w:highlight w:val="none"/>
        </w:rPr>
      </w:pPr>
      <w:r>
        <w:rPr>
          <w:rFonts w:hint="eastAsia" w:ascii="宋体" w:hAnsi="宋体"/>
          <w:b/>
          <w:color w:val="auto"/>
          <w:sz w:val="30"/>
          <w:highlight w:val="none"/>
        </w:rPr>
        <w:t>开标一览表</w:t>
      </w:r>
    </w:p>
    <w:p w14:paraId="35565A8D">
      <w:pPr>
        <w:snapToGrid w:val="0"/>
        <w:spacing w:before="50" w:after="50"/>
        <w:jc w:val="center"/>
        <w:rPr>
          <w:rFonts w:ascii="宋体" w:hAnsi="宋体"/>
          <w:b/>
          <w:color w:val="auto"/>
          <w:sz w:val="30"/>
          <w:szCs w:val="20"/>
          <w:highlight w:val="none"/>
        </w:rPr>
      </w:pPr>
    </w:p>
    <w:p w14:paraId="54CF81CF">
      <w:pPr>
        <w:snapToGrid w:val="0"/>
        <w:spacing w:before="50" w:after="50" w:line="360" w:lineRule="auto"/>
        <w:rPr>
          <w:rFonts w:ascii="宋体" w:hAnsi="宋体"/>
          <w:color w:val="auto"/>
          <w:sz w:val="24"/>
          <w:highlight w:val="none"/>
          <w:u w:val="single"/>
        </w:rPr>
      </w:pPr>
      <w:r>
        <w:rPr>
          <w:rFonts w:hint="eastAsia" w:ascii="宋体" w:hAnsi="宋体"/>
          <w:color w:val="auto"/>
          <w:sz w:val="24"/>
          <w:highlight w:val="none"/>
        </w:rPr>
        <w:t>项目名称：</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hAnsi="宋体"/>
          <w:color w:val="auto"/>
          <w:sz w:val="24"/>
          <w:highlight w:val="none"/>
        </w:rPr>
        <w:t>项目编号：</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分标：</w:t>
      </w:r>
      <w:r>
        <w:rPr>
          <w:rFonts w:hint="eastAsia" w:ascii="宋体" w:hAnsi="宋体"/>
          <w:color w:val="auto"/>
          <w:sz w:val="24"/>
          <w:highlight w:val="none"/>
          <w:u w:val="single"/>
        </w:rPr>
        <w:t xml:space="preserve">           </w:t>
      </w:r>
    </w:p>
    <w:p w14:paraId="35976124">
      <w:pPr>
        <w:snapToGrid w:val="0"/>
        <w:spacing w:before="50" w:after="50" w:line="360" w:lineRule="auto"/>
        <w:rPr>
          <w:rFonts w:ascii="宋体" w:hAnsi="宋体"/>
          <w:color w:val="auto"/>
          <w:sz w:val="24"/>
          <w:highlight w:val="none"/>
        </w:rPr>
      </w:pPr>
      <w:r>
        <w:rPr>
          <w:rFonts w:hint="eastAsia" w:ascii="宋体" w:hAnsi="宋体"/>
          <w:color w:val="auto"/>
          <w:sz w:val="24"/>
          <w:highlight w:val="none"/>
        </w:rPr>
        <w:t>投标人名称：</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单位：元</w:t>
      </w:r>
    </w:p>
    <w:tbl>
      <w:tblPr>
        <w:tblStyle w:val="46"/>
        <w:tblW w:w="4996"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98"/>
        <w:gridCol w:w="2372"/>
        <w:gridCol w:w="754"/>
        <w:gridCol w:w="1213"/>
        <w:gridCol w:w="975"/>
        <w:gridCol w:w="975"/>
        <w:gridCol w:w="1000"/>
        <w:gridCol w:w="1859"/>
      </w:tblGrid>
      <w:tr w14:paraId="20F141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354" w:type="pct"/>
            <w:tcBorders>
              <w:top w:val="single" w:color="auto" w:sz="4" w:space="0"/>
              <w:left w:val="single" w:color="auto" w:sz="4" w:space="0"/>
              <w:bottom w:val="single" w:color="auto" w:sz="4" w:space="0"/>
              <w:right w:val="single" w:color="auto" w:sz="4" w:space="0"/>
            </w:tcBorders>
            <w:vAlign w:val="center"/>
          </w:tcPr>
          <w:p w14:paraId="1936A066">
            <w:pPr>
              <w:snapToGrid w:val="0"/>
              <w:spacing w:before="50" w:after="50" w:line="360" w:lineRule="auto"/>
              <w:jc w:val="center"/>
              <w:rPr>
                <w:rFonts w:ascii="宋体" w:hAnsi="宋体"/>
                <w:b/>
                <w:color w:val="auto"/>
                <w:sz w:val="24"/>
                <w:highlight w:val="none"/>
              </w:rPr>
            </w:pPr>
            <w:r>
              <w:rPr>
                <w:rFonts w:hint="eastAsia" w:ascii="宋体" w:hAnsi="宋体"/>
                <w:b/>
                <w:color w:val="auto"/>
                <w:sz w:val="24"/>
                <w:highlight w:val="none"/>
              </w:rPr>
              <w:t>序号</w:t>
            </w:r>
          </w:p>
        </w:tc>
        <w:tc>
          <w:tcPr>
            <w:tcW w:w="1205" w:type="pct"/>
            <w:tcBorders>
              <w:top w:val="single" w:color="auto" w:sz="4" w:space="0"/>
              <w:left w:val="single" w:color="auto" w:sz="4" w:space="0"/>
              <w:bottom w:val="single" w:color="auto" w:sz="4" w:space="0"/>
              <w:right w:val="single" w:color="auto" w:sz="4" w:space="0"/>
            </w:tcBorders>
            <w:vAlign w:val="center"/>
          </w:tcPr>
          <w:p w14:paraId="7277345E">
            <w:pPr>
              <w:snapToGrid w:val="0"/>
              <w:spacing w:before="50" w:after="50" w:line="360" w:lineRule="auto"/>
              <w:jc w:val="center"/>
              <w:rPr>
                <w:rFonts w:ascii="宋体" w:hAnsi="宋体"/>
                <w:b/>
                <w:color w:val="auto"/>
                <w:sz w:val="24"/>
                <w:highlight w:val="none"/>
              </w:rPr>
            </w:pPr>
            <w:r>
              <w:rPr>
                <w:rFonts w:hint="eastAsia" w:ascii="宋体" w:hAnsi="宋体"/>
                <w:b/>
                <w:color w:val="auto"/>
                <w:sz w:val="24"/>
                <w:highlight w:val="none"/>
              </w:rPr>
              <w:t>标的的名称</w:t>
            </w:r>
          </w:p>
        </w:tc>
        <w:tc>
          <w:tcPr>
            <w:tcW w:w="383" w:type="pct"/>
            <w:tcBorders>
              <w:top w:val="single" w:color="auto" w:sz="4" w:space="0"/>
              <w:left w:val="single" w:color="auto" w:sz="4" w:space="0"/>
              <w:bottom w:val="single" w:color="auto" w:sz="4" w:space="0"/>
              <w:right w:val="single" w:color="auto" w:sz="4" w:space="0"/>
            </w:tcBorders>
            <w:vAlign w:val="center"/>
          </w:tcPr>
          <w:p w14:paraId="27C23765">
            <w:pPr>
              <w:snapToGrid w:val="0"/>
              <w:spacing w:before="50" w:after="50" w:line="360" w:lineRule="auto"/>
              <w:jc w:val="center"/>
              <w:rPr>
                <w:rFonts w:ascii="宋体" w:hAnsi="宋体"/>
                <w:b/>
                <w:color w:val="auto"/>
                <w:sz w:val="24"/>
                <w:highlight w:val="none"/>
              </w:rPr>
            </w:pPr>
            <w:r>
              <w:rPr>
                <w:rFonts w:hint="eastAsia" w:ascii="宋体" w:hAnsi="宋体"/>
                <w:b/>
                <w:color w:val="auto"/>
                <w:sz w:val="24"/>
                <w:highlight w:val="none"/>
              </w:rPr>
              <w:t>品牌</w:t>
            </w:r>
          </w:p>
        </w:tc>
        <w:tc>
          <w:tcPr>
            <w:tcW w:w="616" w:type="pct"/>
            <w:tcBorders>
              <w:top w:val="single" w:color="auto" w:sz="4" w:space="0"/>
              <w:left w:val="single" w:color="auto" w:sz="4" w:space="0"/>
              <w:bottom w:val="single" w:color="auto" w:sz="4" w:space="0"/>
              <w:right w:val="single" w:color="auto" w:sz="4" w:space="0"/>
            </w:tcBorders>
            <w:vAlign w:val="center"/>
          </w:tcPr>
          <w:p w14:paraId="3D546393">
            <w:pPr>
              <w:snapToGrid w:val="0"/>
              <w:spacing w:before="50" w:after="50" w:line="360" w:lineRule="auto"/>
              <w:jc w:val="center"/>
              <w:rPr>
                <w:rFonts w:ascii="宋体" w:hAnsi="宋体"/>
                <w:b/>
                <w:color w:val="auto"/>
                <w:sz w:val="24"/>
                <w:highlight w:val="none"/>
              </w:rPr>
            </w:pPr>
            <w:r>
              <w:rPr>
                <w:rFonts w:hint="eastAsia" w:ascii="宋体" w:hAnsi="宋体"/>
                <w:b/>
                <w:color w:val="auto"/>
                <w:sz w:val="24"/>
                <w:highlight w:val="none"/>
              </w:rPr>
              <w:t>规格型号</w:t>
            </w:r>
          </w:p>
        </w:tc>
        <w:tc>
          <w:tcPr>
            <w:tcW w:w="495" w:type="pct"/>
            <w:tcBorders>
              <w:top w:val="single" w:color="auto" w:sz="4" w:space="0"/>
              <w:left w:val="single" w:color="auto" w:sz="4" w:space="0"/>
              <w:bottom w:val="single" w:color="auto" w:sz="4" w:space="0"/>
              <w:right w:val="single" w:color="auto" w:sz="4" w:space="0"/>
            </w:tcBorders>
            <w:vAlign w:val="center"/>
          </w:tcPr>
          <w:p w14:paraId="0E2598C1">
            <w:pPr>
              <w:snapToGrid w:val="0"/>
              <w:spacing w:before="50" w:after="50" w:line="360" w:lineRule="auto"/>
              <w:jc w:val="center"/>
              <w:rPr>
                <w:rFonts w:hint="eastAsia" w:ascii="宋体" w:hAnsi="宋体"/>
                <w:b/>
                <w:color w:val="auto"/>
                <w:sz w:val="24"/>
                <w:highlight w:val="none"/>
              </w:rPr>
            </w:pPr>
            <w:r>
              <w:rPr>
                <w:rFonts w:hint="eastAsia" w:ascii="宋体" w:hAnsi="宋体" w:eastAsia="宋体" w:cs="宋体"/>
                <w:b/>
                <w:bCs/>
                <w:color w:val="auto"/>
                <w:kern w:val="0"/>
                <w:sz w:val="21"/>
                <w:szCs w:val="21"/>
                <w:highlight w:val="none"/>
                <w:lang w:bidi="ar"/>
              </w:rPr>
              <w:t>分项最高限价（元）</w:t>
            </w:r>
          </w:p>
        </w:tc>
        <w:tc>
          <w:tcPr>
            <w:tcW w:w="495" w:type="pct"/>
            <w:tcBorders>
              <w:top w:val="single" w:color="auto" w:sz="4" w:space="0"/>
              <w:left w:val="single" w:color="auto" w:sz="4" w:space="0"/>
              <w:bottom w:val="single" w:color="auto" w:sz="4" w:space="0"/>
              <w:right w:val="single" w:color="auto" w:sz="4" w:space="0"/>
            </w:tcBorders>
            <w:vAlign w:val="center"/>
          </w:tcPr>
          <w:p w14:paraId="3F835E3A">
            <w:pPr>
              <w:snapToGrid w:val="0"/>
              <w:spacing w:before="50" w:after="50" w:line="360" w:lineRule="auto"/>
              <w:jc w:val="center"/>
              <w:rPr>
                <w:rFonts w:ascii="宋体" w:hAnsi="宋体"/>
                <w:b/>
                <w:color w:val="auto"/>
                <w:sz w:val="24"/>
                <w:highlight w:val="none"/>
              </w:rPr>
            </w:pPr>
            <w:r>
              <w:rPr>
                <w:rFonts w:hint="eastAsia" w:ascii="宋体" w:hAnsi="宋体"/>
                <w:b/>
                <w:color w:val="auto"/>
                <w:sz w:val="24"/>
                <w:highlight w:val="none"/>
              </w:rPr>
              <w:t>数量及单位①</w:t>
            </w:r>
          </w:p>
        </w:tc>
        <w:tc>
          <w:tcPr>
            <w:tcW w:w="508" w:type="pct"/>
            <w:tcBorders>
              <w:top w:val="single" w:color="auto" w:sz="4" w:space="0"/>
              <w:left w:val="single" w:color="auto" w:sz="4" w:space="0"/>
              <w:bottom w:val="single" w:color="auto" w:sz="4" w:space="0"/>
              <w:right w:val="single" w:color="auto" w:sz="4" w:space="0"/>
            </w:tcBorders>
            <w:vAlign w:val="center"/>
          </w:tcPr>
          <w:p w14:paraId="64B95168">
            <w:pPr>
              <w:snapToGrid w:val="0"/>
              <w:spacing w:before="50" w:after="50" w:line="360" w:lineRule="auto"/>
              <w:jc w:val="center"/>
              <w:rPr>
                <w:rFonts w:ascii="宋体" w:hAnsi="宋体"/>
                <w:b/>
                <w:color w:val="auto"/>
                <w:sz w:val="24"/>
                <w:highlight w:val="none"/>
              </w:rPr>
            </w:pPr>
            <w:r>
              <w:rPr>
                <w:rFonts w:hint="eastAsia" w:ascii="宋体" w:hAnsi="宋体"/>
                <w:b/>
                <w:color w:val="auto"/>
                <w:sz w:val="24"/>
                <w:highlight w:val="none"/>
              </w:rPr>
              <w:t>单价</w:t>
            </w:r>
          </w:p>
          <w:p w14:paraId="46E6721A">
            <w:pPr>
              <w:snapToGrid w:val="0"/>
              <w:spacing w:before="50" w:after="50" w:line="360" w:lineRule="auto"/>
              <w:jc w:val="center"/>
              <w:rPr>
                <w:rFonts w:ascii="宋体" w:hAnsi="宋体"/>
                <w:b/>
                <w:color w:val="auto"/>
                <w:sz w:val="24"/>
                <w:highlight w:val="none"/>
              </w:rPr>
            </w:pPr>
            <w:r>
              <w:rPr>
                <w:rFonts w:hint="eastAsia" w:ascii="宋体" w:hAnsi="宋体"/>
                <w:b/>
                <w:color w:val="auto"/>
                <w:sz w:val="24"/>
                <w:highlight w:val="none"/>
              </w:rPr>
              <w:t>②</w:t>
            </w:r>
          </w:p>
        </w:tc>
        <w:tc>
          <w:tcPr>
            <w:tcW w:w="940" w:type="pct"/>
            <w:tcBorders>
              <w:top w:val="single" w:color="auto" w:sz="4" w:space="0"/>
              <w:left w:val="single" w:color="auto" w:sz="4" w:space="0"/>
              <w:bottom w:val="single" w:color="auto" w:sz="4" w:space="0"/>
              <w:right w:val="single" w:color="auto" w:sz="4" w:space="0"/>
            </w:tcBorders>
            <w:vAlign w:val="center"/>
          </w:tcPr>
          <w:p w14:paraId="2606EC52">
            <w:pPr>
              <w:snapToGrid w:val="0"/>
              <w:spacing w:before="50" w:after="50" w:line="360" w:lineRule="auto"/>
              <w:jc w:val="center"/>
              <w:rPr>
                <w:rFonts w:ascii="宋体" w:hAnsi="宋体"/>
                <w:b/>
                <w:color w:val="auto"/>
                <w:sz w:val="24"/>
                <w:highlight w:val="none"/>
              </w:rPr>
            </w:pPr>
            <w:r>
              <w:rPr>
                <w:rFonts w:hint="eastAsia" w:ascii="宋体" w:hAnsi="宋体"/>
                <w:b/>
                <w:color w:val="auto"/>
                <w:sz w:val="24"/>
                <w:highlight w:val="none"/>
              </w:rPr>
              <w:t>投标报价</w:t>
            </w:r>
          </w:p>
          <w:p w14:paraId="7F3AB6D2">
            <w:pPr>
              <w:snapToGrid w:val="0"/>
              <w:spacing w:before="50" w:after="50" w:line="360" w:lineRule="auto"/>
              <w:jc w:val="center"/>
              <w:rPr>
                <w:rFonts w:ascii="宋体" w:hAnsi="宋体"/>
                <w:b/>
                <w:color w:val="auto"/>
                <w:sz w:val="24"/>
                <w:highlight w:val="none"/>
              </w:rPr>
            </w:pPr>
            <w:r>
              <w:rPr>
                <w:rFonts w:ascii="宋体" w:hAnsi="宋体"/>
                <w:b/>
                <w:color w:val="auto"/>
                <w:sz w:val="24"/>
                <w:highlight w:val="none"/>
              </w:rPr>
              <w:t>③</w:t>
            </w:r>
            <w:r>
              <w:rPr>
                <w:rFonts w:hint="eastAsia" w:ascii="宋体" w:hAnsi="宋体"/>
                <w:b/>
                <w:color w:val="auto"/>
                <w:sz w:val="24"/>
                <w:highlight w:val="none"/>
              </w:rPr>
              <w:t>=①×②</w:t>
            </w:r>
          </w:p>
        </w:tc>
      </w:tr>
      <w:tr w14:paraId="0C070F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354" w:type="pct"/>
            <w:tcBorders>
              <w:top w:val="single" w:color="auto" w:sz="4" w:space="0"/>
              <w:left w:val="single" w:color="auto" w:sz="4" w:space="0"/>
              <w:bottom w:val="single" w:color="auto" w:sz="4" w:space="0"/>
              <w:right w:val="single" w:color="auto" w:sz="4" w:space="0"/>
            </w:tcBorders>
            <w:vAlign w:val="center"/>
          </w:tcPr>
          <w:p w14:paraId="4E340061">
            <w:pPr>
              <w:snapToGrid w:val="0"/>
              <w:spacing w:before="50" w:after="50" w:line="360" w:lineRule="auto"/>
              <w:jc w:val="center"/>
              <w:rPr>
                <w:rFonts w:ascii="宋体" w:hAnsi="宋体"/>
                <w:b/>
                <w:color w:val="auto"/>
                <w:sz w:val="24"/>
                <w:highlight w:val="none"/>
              </w:rPr>
            </w:pPr>
            <w:r>
              <w:rPr>
                <w:rFonts w:hint="eastAsia" w:ascii="宋体" w:hAnsi="宋体"/>
                <w:b/>
                <w:color w:val="auto"/>
                <w:sz w:val="24"/>
                <w:highlight w:val="none"/>
              </w:rPr>
              <w:t>1</w:t>
            </w:r>
          </w:p>
        </w:tc>
        <w:tc>
          <w:tcPr>
            <w:tcW w:w="1205" w:type="pct"/>
            <w:tcBorders>
              <w:top w:val="single" w:color="auto" w:sz="4" w:space="0"/>
              <w:left w:val="single" w:color="auto" w:sz="4" w:space="0"/>
              <w:bottom w:val="single" w:color="auto" w:sz="4" w:space="0"/>
              <w:right w:val="single" w:color="auto" w:sz="4" w:space="0"/>
            </w:tcBorders>
            <w:vAlign w:val="center"/>
          </w:tcPr>
          <w:p w14:paraId="43673A73">
            <w:pPr>
              <w:snapToGrid w:val="0"/>
              <w:spacing w:before="50" w:after="50" w:line="360" w:lineRule="auto"/>
              <w:jc w:val="center"/>
              <w:rPr>
                <w:rFonts w:ascii="宋体" w:hAnsi="宋体"/>
                <w:b/>
                <w:color w:val="auto"/>
                <w:sz w:val="24"/>
                <w:highlight w:val="none"/>
              </w:rPr>
            </w:pPr>
          </w:p>
        </w:tc>
        <w:tc>
          <w:tcPr>
            <w:tcW w:w="383" w:type="pct"/>
            <w:tcBorders>
              <w:top w:val="single" w:color="auto" w:sz="4" w:space="0"/>
              <w:left w:val="single" w:color="auto" w:sz="4" w:space="0"/>
              <w:bottom w:val="single" w:color="auto" w:sz="4" w:space="0"/>
              <w:right w:val="single" w:color="auto" w:sz="4" w:space="0"/>
            </w:tcBorders>
            <w:vAlign w:val="center"/>
          </w:tcPr>
          <w:p w14:paraId="6738F320">
            <w:pPr>
              <w:snapToGrid w:val="0"/>
              <w:spacing w:before="50" w:after="50" w:line="360" w:lineRule="auto"/>
              <w:rPr>
                <w:rFonts w:ascii="宋体" w:hAnsi="宋体"/>
                <w:color w:val="auto"/>
                <w:sz w:val="24"/>
                <w:highlight w:val="none"/>
              </w:rPr>
            </w:pPr>
          </w:p>
        </w:tc>
        <w:tc>
          <w:tcPr>
            <w:tcW w:w="616" w:type="pct"/>
            <w:tcBorders>
              <w:top w:val="single" w:color="auto" w:sz="4" w:space="0"/>
              <w:left w:val="single" w:color="auto" w:sz="4" w:space="0"/>
              <w:bottom w:val="single" w:color="auto" w:sz="4" w:space="0"/>
              <w:right w:val="single" w:color="auto" w:sz="4" w:space="0"/>
            </w:tcBorders>
            <w:vAlign w:val="center"/>
          </w:tcPr>
          <w:p w14:paraId="691D4698">
            <w:pPr>
              <w:snapToGrid w:val="0"/>
              <w:spacing w:before="50" w:after="50" w:line="360" w:lineRule="auto"/>
              <w:rPr>
                <w:rFonts w:ascii="宋体" w:hAnsi="宋体"/>
                <w:color w:val="auto"/>
                <w:sz w:val="24"/>
                <w:highlight w:val="none"/>
              </w:rPr>
            </w:pPr>
          </w:p>
        </w:tc>
        <w:tc>
          <w:tcPr>
            <w:tcW w:w="495" w:type="pct"/>
            <w:tcBorders>
              <w:top w:val="single" w:color="auto" w:sz="4" w:space="0"/>
              <w:left w:val="single" w:color="auto" w:sz="4" w:space="0"/>
              <w:bottom w:val="single" w:color="auto" w:sz="4" w:space="0"/>
              <w:right w:val="single" w:color="auto" w:sz="4" w:space="0"/>
            </w:tcBorders>
            <w:vAlign w:val="center"/>
          </w:tcPr>
          <w:p w14:paraId="02FAE29E">
            <w:pPr>
              <w:snapToGrid w:val="0"/>
              <w:spacing w:before="50" w:after="50" w:line="360" w:lineRule="auto"/>
              <w:rPr>
                <w:rFonts w:ascii="宋体" w:hAnsi="宋体"/>
                <w:color w:val="auto"/>
                <w:sz w:val="24"/>
                <w:highlight w:val="none"/>
              </w:rPr>
            </w:pPr>
          </w:p>
        </w:tc>
        <w:tc>
          <w:tcPr>
            <w:tcW w:w="495" w:type="pct"/>
            <w:tcBorders>
              <w:top w:val="single" w:color="auto" w:sz="4" w:space="0"/>
              <w:left w:val="single" w:color="auto" w:sz="4" w:space="0"/>
              <w:bottom w:val="single" w:color="auto" w:sz="4" w:space="0"/>
              <w:right w:val="single" w:color="auto" w:sz="4" w:space="0"/>
            </w:tcBorders>
            <w:vAlign w:val="center"/>
          </w:tcPr>
          <w:p w14:paraId="020ADE36">
            <w:pPr>
              <w:snapToGrid w:val="0"/>
              <w:spacing w:before="50" w:after="50" w:line="360" w:lineRule="auto"/>
              <w:rPr>
                <w:rFonts w:ascii="宋体" w:hAnsi="宋体"/>
                <w:color w:val="auto"/>
                <w:sz w:val="24"/>
                <w:highlight w:val="none"/>
              </w:rPr>
            </w:pPr>
          </w:p>
        </w:tc>
        <w:tc>
          <w:tcPr>
            <w:tcW w:w="508" w:type="pct"/>
            <w:tcBorders>
              <w:top w:val="single" w:color="auto" w:sz="4" w:space="0"/>
              <w:left w:val="single" w:color="auto" w:sz="4" w:space="0"/>
              <w:bottom w:val="single" w:color="auto" w:sz="4" w:space="0"/>
              <w:right w:val="single" w:color="auto" w:sz="4" w:space="0"/>
            </w:tcBorders>
            <w:vAlign w:val="center"/>
          </w:tcPr>
          <w:p w14:paraId="31E1A4D6">
            <w:pPr>
              <w:snapToGrid w:val="0"/>
              <w:spacing w:before="50" w:after="50" w:line="360" w:lineRule="auto"/>
              <w:rPr>
                <w:rFonts w:ascii="宋体" w:hAnsi="宋体"/>
                <w:color w:val="auto"/>
                <w:sz w:val="24"/>
                <w:highlight w:val="none"/>
              </w:rPr>
            </w:pPr>
          </w:p>
        </w:tc>
        <w:tc>
          <w:tcPr>
            <w:tcW w:w="940" w:type="pct"/>
            <w:tcBorders>
              <w:top w:val="single" w:color="auto" w:sz="4" w:space="0"/>
              <w:left w:val="single" w:color="auto" w:sz="4" w:space="0"/>
              <w:bottom w:val="single" w:color="auto" w:sz="4" w:space="0"/>
              <w:right w:val="single" w:color="auto" w:sz="4" w:space="0"/>
            </w:tcBorders>
            <w:vAlign w:val="center"/>
          </w:tcPr>
          <w:p w14:paraId="7FEF2498">
            <w:pPr>
              <w:snapToGrid w:val="0"/>
              <w:spacing w:before="50" w:after="50" w:line="360" w:lineRule="auto"/>
              <w:rPr>
                <w:rFonts w:ascii="宋体" w:hAnsi="宋体"/>
                <w:color w:val="auto"/>
                <w:sz w:val="24"/>
                <w:highlight w:val="none"/>
              </w:rPr>
            </w:pPr>
          </w:p>
        </w:tc>
      </w:tr>
      <w:tr w14:paraId="15E9A6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354" w:type="pct"/>
            <w:tcBorders>
              <w:top w:val="single" w:color="auto" w:sz="4" w:space="0"/>
              <w:left w:val="single" w:color="auto" w:sz="4" w:space="0"/>
              <w:bottom w:val="single" w:color="auto" w:sz="4" w:space="0"/>
              <w:right w:val="single" w:color="auto" w:sz="4" w:space="0"/>
            </w:tcBorders>
            <w:vAlign w:val="center"/>
          </w:tcPr>
          <w:p w14:paraId="4255403C">
            <w:pPr>
              <w:snapToGrid w:val="0"/>
              <w:spacing w:before="50" w:after="50" w:line="360" w:lineRule="auto"/>
              <w:jc w:val="center"/>
              <w:rPr>
                <w:rFonts w:ascii="宋体" w:hAnsi="宋体"/>
                <w:b/>
                <w:color w:val="auto"/>
                <w:sz w:val="24"/>
                <w:highlight w:val="none"/>
              </w:rPr>
            </w:pPr>
            <w:r>
              <w:rPr>
                <w:rFonts w:hint="eastAsia" w:ascii="宋体" w:hAnsi="宋体"/>
                <w:b/>
                <w:color w:val="auto"/>
                <w:sz w:val="24"/>
                <w:highlight w:val="none"/>
              </w:rPr>
              <w:t>2</w:t>
            </w:r>
          </w:p>
        </w:tc>
        <w:tc>
          <w:tcPr>
            <w:tcW w:w="1205" w:type="pct"/>
            <w:tcBorders>
              <w:top w:val="single" w:color="auto" w:sz="4" w:space="0"/>
              <w:left w:val="single" w:color="auto" w:sz="4" w:space="0"/>
              <w:bottom w:val="single" w:color="auto" w:sz="4" w:space="0"/>
              <w:right w:val="single" w:color="auto" w:sz="4" w:space="0"/>
            </w:tcBorders>
            <w:vAlign w:val="center"/>
          </w:tcPr>
          <w:p w14:paraId="65885B85">
            <w:pPr>
              <w:snapToGrid w:val="0"/>
              <w:spacing w:before="50" w:after="50" w:line="360" w:lineRule="auto"/>
              <w:jc w:val="center"/>
              <w:rPr>
                <w:rFonts w:ascii="宋体" w:hAnsi="宋体"/>
                <w:b/>
                <w:color w:val="auto"/>
                <w:sz w:val="24"/>
                <w:highlight w:val="none"/>
              </w:rPr>
            </w:pPr>
          </w:p>
        </w:tc>
        <w:tc>
          <w:tcPr>
            <w:tcW w:w="383" w:type="pct"/>
            <w:tcBorders>
              <w:top w:val="single" w:color="auto" w:sz="4" w:space="0"/>
              <w:left w:val="single" w:color="auto" w:sz="4" w:space="0"/>
              <w:bottom w:val="single" w:color="auto" w:sz="4" w:space="0"/>
              <w:right w:val="single" w:color="auto" w:sz="4" w:space="0"/>
            </w:tcBorders>
            <w:vAlign w:val="center"/>
          </w:tcPr>
          <w:p w14:paraId="4ED5EC5F">
            <w:pPr>
              <w:snapToGrid w:val="0"/>
              <w:spacing w:before="50" w:after="50" w:line="360" w:lineRule="auto"/>
              <w:rPr>
                <w:rFonts w:ascii="宋体" w:hAnsi="宋体"/>
                <w:color w:val="auto"/>
                <w:sz w:val="24"/>
                <w:highlight w:val="none"/>
              </w:rPr>
            </w:pPr>
          </w:p>
        </w:tc>
        <w:tc>
          <w:tcPr>
            <w:tcW w:w="616" w:type="pct"/>
            <w:tcBorders>
              <w:top w:val="single" w:color="auto" w:sz="4" w:space="0"/>
              <w:left w:val="single" w:color="auto" w:sz="4" w:space="0"/>
              <w:bottom w:val="single" w:color="auto" w:sz="4" w:space="0"/>
              <w:right w:val="single" w:color="auto" w:sz="4" w:space="0"/>
            </w:tcBorders>
            <w:vAlign w:val="center"/>
          </w:tcPr>
          <w:p w14:paraId="4E4D1398">
            <w:pPr>
              <w:snapToGrid w:val="0"/>
              <w:spacing w:before="50" w:after="50" w:line="360" w:lineRule="auto"/>
              <w:rPr>
                <w:rFonts w:ascii="宋体" w:hAnsi="宋体"/>
                <w:color w:val="auto"/>
                <w:sz w:val="24"/>
                <w:highlight w:val="none"/>
              </w:rPr>
            </w:pPr>
          </w:p>
        </w:tc>
        <w:tc>
          <w:tcPr>
            <w:tcW w:w="495" w:type="pct"/>
            <w:tcBorders>
              <w:top w:val="single" w:color="auto" w:sz="4" w:space="0"/>
              <w:left w:val="single" w:color="auto" w:sz="4" w:space="0"/>
              <w:bottom w:val="single" w:color="auto" w:sz="4" w:space="0"/>
              <w:right w:val="single" w:color="auto" w:sz="4" w:space="0"/>
            </w:tcBorders>
            <w:vAlign w:val="center"/>
          </w:tcPr>
          <w:p w14:paraId="3E5A74A2">
            <w:pPr>
              <w:snapToGrid w:val="0"/>
              <w:spacing w:before="50" w:after="50" w:line="360" w:lineRule="auto"/>
              <w:rPr>
                <w:rFonts w:ascii="宋体" w:hAnsi="宋体"/>
                <w:color w:val="auto"/>
                <w:sz w:val="24"/>
                <w:highlight w:val="none"/>
              </w:rPr>
            </w:pPr>
          </w:p>
        </w:tc>
        <w:tc>
          <w:tcPr>
            <w:tcW w:w="495" w:type="pct"/>
            <w:tcBorders>
              <w:top w:val="single" w:color="auto" w:sz="4" w:space="0"/>
              <w:left w:val="single" w:color="auto" w:sz="4" w:space="0"/>
              <w:bottom w:val="single" w:color="auto" w:sz="4" w:space="0"/>
              <w:right w:val="single" w:color="auto" w:sz="4" w:space="0"/>
            </w:tcBorders>
            <w:vAlign w:val="center"/>
          </w:tcPr>
          <w:p w14:paraId="34C63D23">
            <w:pPr>
              <w:snapToGrid w:val="0"/>
              <w:spacing w:before="50" w:after="50" w:line="360" w:lineRule="auto"/>
              <w:rPr>
                <w:rFonts w:ascii="宋体" w:hAnsi="宋体"/>
                <w:color w:val="auto"/>
                <w:sz w:val="24"/>
                <w:highlight w:val="none"/>
              </w:rPr>
            </w:pPr>
          </w:p>
        </w:tc>
        <w:tc>
          <w:tcPr>
            <w:tcW w:w="508" w:type="pct"/>
            <w:tcBorders>
              <w:top w:val="single" w:color="auto" w:sz="4" w:space="0"/>
              <w:left w:val="single" w:color="auto" w:sz="4" w:space="0"/>
              <w:bottom w:val="single" w:color="auto" w:sz="4" w:space="0"/>
              <w:right w:val="single" w:color="auto" w:sz="4" w:space="0"/>
            </w:tcBorders>
            <w:vAlign w:val="center"/>
          </w:tcPr>
          <w:p w14:paraId="4FFA367C">
            <w:pPr>
              <w:snapToGrid w:val="0"/>
              <w:spacing w:before="50" w:after="50" w:line="360" w:lineRule="auto"/>
              <w:rPr>
                <w:rFonts w:ascii="宋体" w:hAnsi="宋体"/>
                <w:color w:val="auto"/>
                <w:sz w:val="24"/>
                <w:highlight w:val="none"/>
              </w:rPr>
            </w:pPr>
          </w:p>
        </w:tc>
        <w:tc>
          <w:tcPr>
            <w:tcW w:w="940" w:type="pct"/>
            <w:tcBorders>
              <w:top w:val="single" w:color="auto" w:sz="4" w:space="0"/>
              <w:left w:val="single" w:color="auto" w:sz="4" w:space="0"/>
              <w:bottom w:val="single" w:color="auto" w:sz="4" w:space="0"/>
              <w:right w:val="single" w:color="auto" w:sz="4" w:space="0"/>
            </w:tcBorders>
            <w:vAlign w:val="center"/>
          </w:tcPr>
          <w:p w14:paraId="5C08664F">
            <w:pPr>
              <w:snapToGrid w:val="0"/>
              <w:spacing w:before="50" w:after="50" w:line="360" w:lineRule="auto"/>
              <w:rPr>
                <w:rFonts w:ascii="宋体" w:hAnsi="宋体"/>
                <w:color w:val="auto"/>
                <w:sz w:val="24"/>
                <w:highlight w:val="none"/>
              </w:rPr>
            </w:pPr>
          </w:p>
        </w:tc>
      </w:tr>
      <w:tr w14:paraId="66A9F1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354" w:type="pct"/>
            <w:tcBorders>
              <w:top w:val="single" w:color="auto" w:sz="4" w:space="0"/>
              <w:left w:val="single" w:color="auto" w:sz="4" w:space="0"/>
              <w:bottom w:val="single" w:color="auto" w:sz="4" w:space="0"/>
              <w:right w:val="single" w:color="auto" w:sz="4" w:space="0"/>
            </w:tcBorders>
            <w:vAlign w:val="center"/>
          </w:tcPr>
          <w:p w14:paraId="02F2097E">
            <w:pPr>
              <w:snapToGrid w:val="0"/>
              <w:spacing w:before="50" w:after="50" w:line="360" w:lineRule="auto"/>
              <w:jc w:val="center"/>
              <w:rPr>
                <w:rFonts w:ascii="宋体" w:hAnsi="宋体"/>
                <w:b/>
                <w:color w:val="auto"/>
                <w:sz w:val="24"/>
                <w:highlight w:val="none"/>
              </w:rPr>
            </w:pPr>
            <w:r>
              <w:rPr>
                <w:rFonts w:hint="eastAsia" w:ascii="宋体" w:hAnsi="宋体"/>
                <w:b/>
                <w:color w:val="auto"/>
                <w:sz w:val="24"/>
                <w:highlight w:val="none"/>
              </w:rPr>
              <w:t>……</w:t>
            </w:r>
          </w:p>
        </w:tc>
        <w:tc>
          <w:tcPr>
            <w:tcW w:w="1205" w:type="pct"/>
            <w:tcBorders>
              <w:top w:val="single" w:color="auto" w:sz="4" w:space="0"/>
              <w:left w:val="single" w:color="auto" w:sz="4" w:space="0"/>
              <w:bottom w:val="single" w:color="auto" w:sz="4" w:space="0"/>
              <w:right w:val="single" w:color="auto" w:sz="4" w:space="0"/>
            </w:tcBorders>
            <w:vAlign w:val="center"/>
          </w:tcPr>
          <w:p w14:paraId="2B3019D0">
            <w:pPr>
              <w:snapToGrid w:val="0"/>
              <w:spacing w:before="50" w:after="50" w:line="360" w:lineRule="auto"/>
              <w:jc w:val="center"/>
              <w:rPr>
                <w:rFonts w:ascii="宋体" w:hAnsi="宋体"/>
                <w:b/>
                <w:color w:val="auto"/>
                <w:sz w:val="24"/>
                <w:highlight w:val="none"/>
              </w:rPr>
            </w:pPr>
            <w:r>
              <w:rPr>
                <w:rFonts w:hint="eastAsia" w:ascii="宋体" w:hAnsi="宋体"/>
                <w:b/>
                <w:color w:val="auto"/>
                <w:sz w:val="24"/>
                <w:highlight w:val="none"/>
              </w:rPr>
              <w:t>……</w:t>
            </w:r>
          </w:p>
        </w:tc>
        <w:tc>
          <w:tcPr>
            <w:tcW w:w="383" w:type="pct"/>
            <w:tcBorders>
              <w:top w:val="single" w:color="auto" w:sz="4" w:space="0"/>
              <w:left w:val="single" w:color="auto" w:sz="4" w:space="0"/>
              <w:bottom w:val="single" w:color="auto" w:sz="4" w:space="0"/>
              <w:right w:val="single" w:color="auto" w:sz="4" w:space="0"/>
            </w:tcBorders>
            <w:vAlign w:val="center"/>
          </w:tcPr>
          <w:p w14:paraId="5542E102">
            <w:pPr>
              <w:snapToGrid w:val="0"/>
              <w:spacing w:before="50" w:after="50" w:line="360" w:lineRule="auto"/>
              <w:rPr>
                <w:rFonts w:ascii="宋体" w:hAnsi="宋体"/>
                <w:color w:val="auto"/>
                <w:sz w:val="24"/>
                <w:highlight w:val="none"/>
              </w:rPr>
            </w:pPr>
          </w:p>
        </w:tc>
        <w:tc>
          <w:tcPr>
            <w:tcW w:w="616" w:type="pct"/>
            <w:tcBorders>
              <w:top w:val="single" w:color="auto" w:sz="4" w:space="0"/>
              <w:left w:val="single" w:color="auto" w:sz="4" w:space="0"/>
              <w:bottom w:val="single" w:color="auto" w:sz="4" w:space="0"/>
              <w:right w:val="single" w:color="auto" w:sz="4" w:space="0"/>
            </w:tcBorders>
            <w:vAlign w:val="center"/>
          </w:tcPr>
          <w:p w14:paraId="4A6B991B">
            <w:pPr>
              <w:snapToGrid w:val="0"/>
              <w:spacing w:before="50" w:after="50" w:line="360" w:lineRule="auto"/>
              <w:rPr>
                <w:rFonts w:ascii="宋体" w:hAnsi="宋体"/>
                <w:color w:val="auto"/>
                <w:sz w:val="24"/>
                <w:highlight w:val="none"/>
              </w:rPr>
            </w:pPr>
          </w:p>
        </w:tc>
        <w:tc>
          <w:tcPr>
            <w:tcW w:w="495" w:type="pct"/>
            <w:tcBorders>
              <w:top w:val="single" w:color="auto" w:sz="4" w:space="0"/>
              <w:left w:val="single" w:color="auto" w:sz="4" w:space="0"/>
              <w:bottom w:val="single" w:color="auto" w:sz="4" w:space="0"/>
              <w:right w:val="single" w:color="auto" w:sz="4" w:space="0"/>
            </w:tcBorders>
            <w:vAlign w:val="center"/>
          </w:tcPr>
          <w:p w14:paraId="0623EE53">
            <w:pPr>
              <w:snapToGrid w:val="0"/>
              <w:spacing w:before="50" w:after="50" w:line="360" w:lineRule="auto"/>
              <w:rPr>
                <w:rFonts w:ascii="宋体" w:hAnsi="宋体"/>
                <w:color w:val="auto"/>
                <w:sz w:val="24"/>
                <w:highlight w:val="none"/>
              </w:rPr>
            </w:pPr>
          </w:p>
        </w:tc>
        <w:tc>
          <w:tcPr>
            <w:tcW w:w="495" w:type="pct"/>
            <w:tcBorders>
              <w:top w:val="single" w:color="auto" w:sz="4" w:space="0"/>
              <w:left w:val="single" w:color="auto" w:sz="4" w:space="0"/>
              <w:bottom w:val="single" w:color="auto" w:sz="4" w:space="0"/>
              <w:right w:val="single" w:color="auto" w:sz="4" w:space="0"/>
            </w:tcBorders>
            <w:vAlign w:val="center"/>
          </w:tcPr>
          <w:p w14:paraId="31FE5A6F">
            <w:pPr>
              <w:snapToGrid w:val="0"/>
              <w:spacing w:before="50" w:after="50" w:line="360" w:lineRule="auto"/>
              <w:rPr>
                <w:rFonts w:ascii="宋体" w:hAnsi="宋体"/>
                <w:color w:val="auto"/>
                <w:sz w:val="24"/>
                <w:highlight w:val="none"/>
              </w:rPr>
            </w:pPr>
          </w:p>
        </w:tc>
        <w:tc>
          <w:tcPr>
            <w:tcW w:w="508" w:type="pct"/>
            <w:tcBorders>
              <w:top w:val="single" w:color="auto" w:sz="4" w:space="0"/>
              <w:left w:val="single" w:color="auto" w:sz="4" w:space="0"/>
              <w:bottom w:val="single" w:color="auto" w:sz="4" w:space="0"/>
              <w:right w:val="single" w:color="auto" w:sz="4" w:space="0"/>
            </w:tcBorders>
            <w:vAlign w:val="center"/>
          </w:tcPr>
          <w:p w14:paraId="45F10285">
            <w:pPr>
              <w:snapToGrid w:val="0"/>
              <w:spacing w:before="50" w:after="50" w:line="360" w:lineRule="auto"/>
              <w:rPr>
                <w:rFonts w:ascii="宋体" w:hAnsi="宋体"/>
                <w:color w:val="auto"/>
                <w:sz w:val="24"/>
                <w:highlight w:val="none"/>
              </w:rPr>
            </w:pPr>
          </w:p>
        </w:tc>
        <w:tc>
          <w:tcPr>
            <w:tcW w:w="940" w:type="pct"/>
            <w:tcBorders>
              <w:top w:val="single" w:color="auto" w:sz="4" w:space="0"/>
              <w:left w:val="single" w:color="auto" w:sz="4" w:space="0"/>
              <w:bottom w:val="single" w:color="auto" w:sz="4" w:space="0"/>
              <w:right w:val="single" w:color="auto" w:sz="4" w:space="0"/>
            </w:tcBorders>
            <w:vAlign w:val="center"/>
          </w:tcPr>
          <w:p w14:paraId="58046C8F">
            <w:pPr>
              <w:snapToGrid w:val="0"/>
              <w:spacing w:before="50" w:after="50" w:line="360" w:lineRule="auto"/>
              <w:rPr>
                <w:rFonts w:ascii="宋体" w:hAnsi="宋体"/>
                <w:color w:val="auto"/>
                <w:sz w:val="24"/>
                <w:highlight w:val="none"/>
              </w:rPr>
            </w:pPr>
          </w:p>
        </w:tc>
      </w:tr>
      <w:tr w14:paraId="7AC92F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5000" w:type="pct"/>
            <w:gridSpan w:val="8"/>
            <w:tcBorders>
              <w:top w:val="single" w:color="auto" w:sz="4" w:space="0"/>
              <w:left w:val="single" w:color="auto" w:sz="4" w:space="0"/>
              <w:bottom w:val="single" w:color="auto" w:sz="4" w:space="0"/>
              <w:right w:val="single" w:color="auto" w:sz="4" w:space="0"/>
            </w:tcBorders>
            <w:vAlign w:val="center"/>
          </w:tcPr>
          <w:p w14:paraId="2600E524">
            <w:pPr>
              <w:snapToGrid w:val="0"/>
              <w:spacing w:before="50" w:after="50" w:line="360" w:lineRule="auto"/>
              <w:rPr>
                <w:rFonts w:ascii="宋体" w:hAnsi="宋体"/>
                <w:color w:val="auto"/>
                <w:sz w:val="24"/>
                <w:highlight w:val="none"/>
              </w:rPr>
            </w:pPr>
            <w:r>
              <w:rPr>
                <w:rFonts w:hint="eastAsia" w:ascii="宋体" w:hAnsi="宋体" w:cs="仿宋_GB2312"/>
                <w:color w:val="auto"/>
                <w:sz w:val="24"/>
                <w:highlight w:val="none"/>
              </w:rPr>
              <w:t>合计金额大写：人民币</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w:t>
            </w:r>
          </w:p>
        </w:tc>
      </w:tr>
    </w:tbl>
    <w:p w14:paraId="442244BB">
      <w:pPr>
        <w:snapToGrid w:val="0"/>
        <w:spacing w:before="50" w:after="50" w:line="360" w:lineRule="auto"/>
        <w:jc w:val="left"/>
        <w:rPr>
          <w:rFonts w:ascii="宋体" w:hAnsi="宋体"/>
          <w:color w:val="auto"/>
          <w:sz w:val="24"/>
          <w:highlight w:val="none"/>
        </w:rPr>
      </w:pPr>
      <w:r>
        <w:rPr>
          <w:rFonts w:hint="eastAsia" w:ascii="宋体" w:hAnsi="宋体"/>
          <w:color w:val="auto"/>
          <w:sz w:val="24"/>
          <w:highlight w:val="none"/>
        </w:rPr>
        <w:t xml:space="preserve">注: </w:t>
      </w:r>
    </w:p>
    <w:p w14:paraId="231BF5A8">
      <w:pPr>
        <w:snapToGrid w:val="0"/>
        <w:spacing w:before="50" w:after="50"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1.投标人的开标一览表必须加盖投标人公章并由</w:t>
      </w:r>
      <w:r>
        <w:rPr>
          <w:rFonts w:ascii="宋体" w:hAnsi="宋体"/>
          <w:color w:val="auto"/>
          <w:sz w:val="24"/>
          <w:highlight w:val="none"/>
        </w:rPr>
        <w:t>法定代表人或者委托代理人</w:t>
      </w:r>
      <w:r>
        <w:rPr>
          <w:rFonts w:hint="eastAsia" w:ascii="宋体" w:hAnsi="宋体"/>
          <w:color w:val="auto"/>
          <w:sz w:val="24"/>
          <w:highlight w:val="none"/>
        </w:rPr>
        <w:t>签字，</w:t>
      </w:r>
      <w:r>
        <w:rPr>
          <w:rFonts w:hint="eastAsia" w:ascii="宋体" w:hAnsi="宋体"/>
          <w:b/>
          <w:color w:val="auto"/>
          <w:sz w:val="24"/>
          <w:highlight w:val="none"/>
        </w:rPr>
        <w:t>否则其投标作无效标处理</w:t>
      </w:r>
      <w:r>
        <w:rPr>
          <w:rFonts w:hint="eastAsia" w:ascii="宋体" w:hAnsi="宋体"/>
          <w:color w:val="auto"/>
          <w:sz w:val="24"/>
          <w:highlight w:val="none"/>
        </w:rPr>
        <w:t>。</w:t>
      </w:r>
    </w:p>
    <w:p w14:paraId="30FF6961">
      <w:pPr>
        <w:snapToGrid w:val="0"/>
        <w:spacing w:before="50" w:after="50" w:line="360" w:lineRule="auto"/>
        <w:ind w:firstLine="480" w:firstLineChars="200"/>
        <w:jc w:val="left"/>
        <w:rPr>
          <w:rFonts w:ascii="宋体" w:hAnsi="宋体"/>
          <w:b/>
          <w:color w:val="auto"/>
          <w:sz w:val="24"/>
          <w:highlight w:val="none"/>
        </w:rPr>
      </w:pPr>
      <w:r>
        <w:rPr>
          <w:rFonts w:hint="eastAsia" w:ascii="宋体" w:hAnsi="宋体"/>
          <w:bCs/>
          <w:color w:val="auto"/>
          <w:sz w:val="24"/>
          <w:highlight w:val="none"/>
        </w:rPr>
        <w:t>2.</w:t>
      </w:r>
      <w:r>
        <w:rPr>
          <w:rFonts w:hint="eastAsia" w:ascii="宋体" w:hAnsi="宋体"/>
          <w:color w:val="auto"/>
          <w:sz w:val="24"/>
          <w:highlight w:val="none"/>
        </w:rPr>
        <w:t>报价一经涂改，应在涂改处加盖投标人公章或者由法定代表人或者委托代理人签字或者盖章</w:t>
      </w:r>
      <w:r>
        <w:rPr>
          <w:rFonts w:hint="eastAsia" w:ascii="宋体" w:hAnsi="宋体"/>
          <w:b/>
          <w:color w:val="auto"/>
          <w:sz w:val="24"/>
          <w:highlight w:val="none"/>
        </w:rPr>
        <w:t>，否则其投标作无效标处理。</w:t>
      </w:r>
    </w:p>
    <w:p w14:paraId="0B2E01A2">
      <w:pPr>
        <w:snapToGrid w:val="0"/>
        <w:spacing w:before="50" w:after="50"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3.招标文件中列明采购专用耗材的，应按招标文件规定的耗材量或者按耗材的常规试用量提供报价。</w:t>
      </w:r>
    </w:p>
    <w:p w14:paraId="43899B3A">
      <w:pPr>
        <w:snapToGrid w:val="0"/>
        <w:spacing w:before="50" w:after="50"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4.如为联合体投标，“投标人名称”处必须列明联合体各方名称，并标注联合体牵头人名称，</w:t>
      </w:r>
      <w:r>
        <w:rPr>
          <w:rFonts w:hint="eastAsia" w:ascii="宋体" w:hAnsi="宋体"/>
          <w:b/>
          <w:color w:val="auto"/>
          <w:sz w:val="24"/>
          <w:highlight w:val="none"/>
        </w:rPr>
        <w:t>否则其投标作无效标处理。</w:t>
      </w:r>
    </w:p>
    <w:p w14:paraId="109546BB">
      <w:pPr>
        <w:snapToGrid w:val="0"/>
        <w:spacing w:before="50" w:after="50" w:line="360" w:lineRule="auto"/>
        <w:ind w:firstLine="456" w:firstLineChars="200"/>
        <w:jc w:val="left"/>
        <w:rPr>
          <w:rFonts w:ascii="宋体" w:hAnsi="宋体"/>
          <w:color w:val="auto"/>
          <w:spacing w:val="-6"/>
          <w:sz w:val="24"/>
          <w:highlight w:val="none"/>
        </w:rPr>
      </w:pPr>
      <w:r>
        <w:rPr>
          <w:rFonts w:hint="eastAsia" w:ascii="宋体" w:hAnsi="宋体"/>
          <w:color w:val="auto"/>
          <w:spacing w:val="-6"/>
          <w:sz w:val="24"/>
          <w:highlight w:val="none"/>
        </w:rPr>
        <w:t>5.如为联合体投标，盖章处须加盖联合体各方公章，</w:t>
      </w:r>
      <w:r>
        <w:rPr>
          <w:rFonts w:hint="eastAsia" w:ascii="宋体" w:hAnsi="宋体"/>
          <w:b/>
          <w:color w:val="auto"/>
          <w:spacing w:val="-6"/>
          <w:sz w:val="24"/>
          <w:highlight w:val="none"/>
        </w:rPr>
        <w:t>否则其投标作无效标处理。</w:t>
      </w:r>
    </w:p>
    <w:p w14:paraId="2349AF8C">
      <w:pPr>
        <w:snapToGrid w:val="0"/>
        <w:spacing w:before="50" w:after="50" w:line="360" w:lineRule="auto"/>
        <w:ind w:firstLine="480" w:firstLineChars="200"/>
        <w:rPr>
          <w:rFonts w:ascii="宋体" w:hAnsi="宋体"/>
          <w:b/>
          <w:color w:val="auto"/>
          <w:sz w:val="24"/>
          <w:highlight w:val="none"/>
        </w:rPr>
      </w:pPr>
      <w:r>
        <w:rPr>
          <w:rFonts w:hint="eastAsia" w:ascii="宋体" w:hAnsi="宋体"/>
          <w:color w:val="auto"/>
          <w:sz w:val="24"/>
          <w:highlight w:val="none"/>
        </w:rPr>
        <w:t>6.如有多分标，按分标分别提供开标一览表，</w:t>
      </w:r>
      <w:r>
        <w:rPr>
          <w:rFonts w:hint="eastAsia" w:ascii="宋体" w:hAnsi="宋体"/>
          <w:b/>
          <w:color w:val="auto"/>
          <w:sz w:val="24"/>
          <w:highlight w:val="none"/>
        </w:rPr>
        <w:t>否则投标无效。</w:t>
      </w:r>
    </w:p>
    <w:p w14:paraId="4208C33F">
      <w:pPr>
        <w:snapToGrid w:val="0"/>
        <w:spacing w:before="50" w:after="50" w:line="360" w:lineRule="auto"/>
        <w:ind w:firstLine="482" w:firstLineChars="200"/>
        <w:rPr>
          <w:rFonts w:ascii="宋体" w:hAnsi="宋体"/>
          <w:b/>
          <w:color w:val="auto"/>
          <w:sz w:val="24"/>
          <w:highlight w:val="none"/>
        </w:rPr>
      </w:pPr>
    </w:p>
    <w:p w14:paraId="5659D1A0">
      <w:pPr>
        <w:snapToGrid w:val="0"/>
        <w:spacing w:before="50" w:after="50" w:line="360" w:lineRule="auto"/>
        <w:ind w:left="-2" w:leftChars="-1" w:right="-817" w:rightChars="-389"/>
        <w:rPr>
          <w:rFonts w:ascii="宋体" w:hAnsi="宋体"/>
          <w:color w:val="auto"/>
          <w:sz w:val="24"/>
          <w:highlight w:val="none"/>
        </w:rPr>
      </w:pPr>
      <w:r>
        <w:rPr>
          <w:rFonts w:hint="eastAsia" w:ascii="宋体" w:hAnsi="宋体"/>
          <w:color w:val="auto"/>
          <w:sz w:val="24"/>
          <w:highlight w:val="none"/>
        </w:rPr>
        <w:t xml:space="preserve">法定代表人或者委托代理人（签字）：                    </w:t>
      </w:r>
    </w:p>
    <w:p w14:paraId="1A453598">
      <w:pPr>
        <w:snapToGrid w:val="0"/>
        <w:spacing w:before="50" w:after="50" w:line="360" w:lineRule="auto"/>
        <w:ind w:left="-3" w:leftChars="-15" w:right="-817" w:rightChars="-389" w:hanging="28" w:hangingChars="12"/>
        <w:rPr>
          <w:rFonts w:ascii="宋体" w:hAnsi="宋体"/>
          <w:color w:val="auto"/>
          <w:szCs w:val="21"/>
          <w:highlight w:val="none"/>
        </w:rPr>
      </w:pPr>
      <w:r>
        <w:rPr>
          <w:rFonts w:hint="eastAsia" w:ascii="宋体" w:hAnsi="宋体"/>
          <w:color w:val="auto"/>
          <w:sz w:val="24"/>
          <w:highlight w:val="none"/>
        </w:rPr>
        <w:t>投标人（盖公章）：                                 日期：    年   月   日</w:t>
      </w:r>
    </w:p>
    <w:p w14:paraId="616DF9C9">
      <w:pPr>
        <w:rPr>
          <w:rFonts w:ascii="宋体" w:hAnsi="宋体"/>
          <w:b/>
          <w:color w:val="auto"/>
          <w:sz w:val="28"/>
          <w:szCs w:val="28"/>
          <w:highlight w:val="none"/>
        </w:rPr>
      </w:pPr>
      <w:r>
        <w:rPr>
          <w:rFonts w:ascii="宋体" w:hAnsi="宋体"/>
          <w:b/>
          <w:bCs/>
          <w:color w:val="auto"/>
          <w:sz w:val="24"/>
          <w:highlight w:val="none"/>
        </w:rPr>
        <w:br w:type="page"/>
      </w:r>
      <w:bookmarkStart w:id="160" w:name="_Toc19686837"/>
      <w:r>
        <w:rPr>
          <w:rFonts w:hint="eastAsia" w:ascii="宋体" w:hAnsi="宋体"/>
          <w:b/>
          <w:color w:val="auto"/>
          <w:sz w:val="28"/>
          <w:szCs w:val="28"/>
          <w:highlight w:val="none"/>
        </w:rPr>
        <w:t>二、资格证明文件格式</w:t>
      </w:r>
      <w:bookmarkEnd w:id="158"/>
      <w:bookmarkEnd w:id="159"/>
      <w:bookmarkEnd w:id="160"/>
    </w:p>
    <w:p w14:paraId="6EEF6C49">
      <w:pPr>
        <w:numPr>
          <w:ilvl w:val="2"/>
          <w:numId w:val="8"/>
        </w:numPr>
        <w:snapToGrid w:val="0"/>
        <w:spacing w:before="120" w:beforeLines="50" w:after="50" w:line="360" w:lineRule="auto"/>
        <w:ind w:left="0" w:firstLine="0"/>
        <w:jc w:val="left"/>
        <w:rPr>
          <w:rFonts w:ascii="宋体" w:hAnsi="宋体"/>
          <w:b/>
          <w:color w:val="auto"/>
          <w:sz w:val="24"/>
          <w:highlight w:val="none"/>
        </w:rPr>
      </w:pPr>
      <w:r>
        <w:rPr>
          <w:rFonts w:hint="eastAsia" w:ascii="宋体" w:hAnsi="宋体"/>
          <w:b/>
          <w:color w:val="auto"/>
          <w:sz w:val="24"/>
          <w:highlight w:val="none"/>
        </w:rPr>
        <w:t xml:space="preserve">资格证明文件封面格式： </w:t>
      </w:r>
    </w:p>
    <w:p w14:paraId="31C9B917">
      <w:pPr>
        <w:snapToGrid w:val="0"/>
        <w:spacing w:before="120" w:beforeLines="50" w:after="50"/>
        <w:rPr>
          <w:rFonts w:ascii="宋体" w:hAnsi="宋体"/>
          <w:bCs/>
          <w:color w:val="auto"/>
          <w:sz w:val="32"/>
          <w:szCs w:val="20"/>
          <w:highlight w:val="none"/>
        </w:rPr>
      </w:pPr>
      <w:r>
        <w:rPr>
          <w:rFonts w:hint="eastAsia" w:ascii="宋体" w:hAnsi="宋体"/>
          <w:color w:val="auto"/>
          <w:sz w:val="24"/>
          <w:highlight w:val="none"/>
        </w:rPr>
        <w:t xml:space="preserve">                                                   </w:t>
      </w:r>
    </w:p>
    <w:p w14:paraId="3D1ED097">
      <w:pPr>
        <w:snapToGrid w:val="0"/>
        <w:spacing w:before="120" w:beforeLines="50" w:after="50"/>
        <w:rPr>
          <w:rFonts w:ascii="宋体" w:hAnsi="宋体"/>
          <w:color w:val="auto"/>
          <w:sz w:val="24"/>
          <w:szCs w:val="20"/>
          <w:highlight w:val="none"/>
        </w:rPr>
      </w:pPr>
    </w:p>
    <w:p w14:paraId="3480DF28">
      <w:pPr>
        <w:snapToGrid w:val="0"/>
        <w:spacing w:before="120" w:beforeLines="50" w:after="50"/>
        <w:rPr>
          <w:rFonts w:ascii="宋体" w:hAnsi="宋体"/>
          <w:color w:val="auto"/>
          <w:sz w:val="24"/>
          <w:szCs w:val="20"/>
          <w:highlight w:val="none"/>
        </w:rPr>
      </w:pPr>
    </w:p>
    <w:p w14:paraId="107D02D8">
      <w:pPr>
        <w:snapToGrid w:val="0"/>
        <w:spacing w:before="120" w:beforeLines="50" w:after="50"/>
        <w:jc w:val="center"/>
        <w:rPr>
          <w:rFonts w:ascii="宋体" w:hAnsi="宋体" w:cs="方正小标宋简体"/>
          <w:color w:val="auto"/>
          <w:sz w:val="84"/>
          <w:szCs w:val="84"/>
          <w:highlight w:val="none"/>
        </w:rPr>
      </w:pPr>
      <w:r>
        <w:rPr>
          <w:rFonts w:hint="eastAsia" w:ascii="宋体" w:hAnsi="宋体" w:cs="方正小标宋简体"/>
          <w:color w:val="auto"/>
          <w:sz w:val="84"/>
          <w:szCs w:val="84"/>
          <w:highlight w:val="none"/>
        </w:rPr>
        <w:t>投  标  文  件</w:t>
      </w:r>
    </w:p>
    <w:p w14:paraId="439EADCD">
      <w:pPr>
        <w:snapToGrid w:val="0"/>
        <w:spacing w:before="120" w:beforeLines="50" w:after="50"/>
        <w:rPr>
          <w:rFonts w:ascii="宋体" w:hAnsi="宋体"/>
          <w:color w:val="auto"/>
          <w:sz w:val="24"/>
          <w:szCs w:val="20"/>
          <w:highlight w:val="none"/>
        </w:rPr>
      </w:pPr>
    </w:p>
    <w:p w14:paraId="1FBC38FC">
      <w:pPr>
        <w:snapToGrid w:val="0"/>
        <w:spacing w:before="120" w:beforeLines="50" w:after="50"/>
        <w:rPr>
          <w:rFonts w:ascii="宋体" w:hAnsi="宋体"/>
          <w:color w:val="auto"/>
          <w:sz w:val="24"/>
          <w:szCs w:val="20"/>
          <w:highlight w:val="none"/>
        </w:rPr>
      </w:pPr>
    </w:p>
    <w:p w14:paraId="6CBA2CA4">
      <w:pPr>
        <w:snapToGrid w:val="0"/>
        <w:spacing w:before="120" w:beforeLines="50" w:after="50"/>
        <w:jc w:val="center"/>
        <w:rPr>
          <w:rFonts w:ascii="宋体" w:hAnsi="宋体"/>
          <w:b/>
          <w:color w:val="auto"/>
          <w:sz w:val="24"/>
          <w:szCs w:val="20"/>
          <w:highlight w:val="none"/>
        </w:rPr>
      </w:pPr>
      <w:r>
        <w:rPr>
          <w:rFonts w:hint="eastAsia" w:ascii="宋体" w:hAnsi="宋体"/>
          <w:b/>
          <w:color w:val="auto"/>
          <w:sz w:val="32"/>
          <w:szCs w:val="32"/>
          <w:highlight w:val="none"/>
        </w:rPr>
        <w:t>资 格 证 明 文 件</w:t>
      </w:r>
    </w:p>
    <w:p w14:paraId="36C488F9">
      <w:pPr>
        <w:snapToGrid w:val="0"/>
        <w:spacing w:before="120" w:beforeLines="50" w:after="50"/>
        <w:rPr>
          <w:rFonts w:ascii="宋体" w:hAnsi="宋体"/>
          <w:bCs/>
          <w:color w:val="auto"/>
          <w:sz w:val="24"/>
          <w:szCs w:val="20"/>
          <w:highlight w:val="none"/>
        </w:rPr>
      </w:pPr>
    </w:p>
    <w:p w14:paraId="3BDDB959">
      <w:pPr>
        <w:snapToGrid w:val="0"/>
        <w:spacing w:before="120" w:beforeLines="50" w:after="50"/>
        <w:rPr>
          <w:rFonts w:ascii="宋体" w:hAnsi="宋体"/>
          <w:bCs/>
          <w:color w:val="auto"/>
          <w:sz w:val="24"/>
          <w:szCs w:val="20"/>
          <w:highlight w:val="none"/>
        </w:rPr>
      </w:pPr>
    </w:p>
    <w:p w14:paraId="57B6496A">
      <w:pPr>
        <w:snapToGrid w:val="0"/>
        <w:spacing w:before="120" w:beforeLines="50" w:after="50"/>
        <w:rPr>
          <w:rFonts w:ascii="宋体" w:hAnsi="宋体"/>
          <w:bCs/>
          <w:color w:val="auto"/>
          <w:sz w:val="24"/>
          <w:szCs w:val="20"/>
          <w:highlight w:val="none"/>
        </w:rPr>
      </w:pPr>
    </w:p>
    <w:p w14:paraId="1B183A8A">
      <w:pPr>
        <w:snapToGrid w:val="0"/>
        <w:spacing w:before="120" w:beforeLines="50" w:after="50"/>
        <w:rPr>
          <w:rFonts w:ascii="宋体" w:hAnsi="宋体"/>
          <w:bCs/>
          <w:color w:val="auto"/>
          <w:sz w:val="24"/>
          <w:szCs w:val="20"/>
          <w:highlight w:val="none"/>
        </w:rPr>
      </w:pPr>
    </w:p>
    <w:p w14:paraId="58955A97">
      <w:pPr>
        <w:snapToGrid w:val="0"/>
        <w:spacing w:before="120" w:beforeLines="50" w:after="50"/>
        <w:rPr>
          <w:rFonts w:ascii="宋体" w:hAnsi="宋体"/>
          <w:bCs/>
          <w:color w:val="auto"/>
          <w:sz w:val="24"/>
          <w:szCs w:val="20"/>
          <w:highlight w:val="none"/>
        </w:rPr>
      </w:pPr>
    </w:p>
    <w:p w14:paraId="3869304D">
      <w:pPr>
        <w:snapToGrid w:val="0"/>
        <w:spacing w:before="120"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项目名称：</w:t>
      </w:r>
    </w:p>
    <w:p w14:paraId="56CF174E">
      <w:pPr>
        <w:snapToGrid w:val="0"/>
        <w:spacing w:before="120" w:beforeLines="50" w:after="50"/>
        <w:ind w:firstLine="540" w:firstLineChars="225"/>
        <w:rPr>
          <w:rFonts w:ascii="宋体" w:hAnsi="宋体"/>
          <w:bCs/>
          <w:color w:val="auto"/>
          <w:sz w:val="24"/>
          <w:szCs w:val="20"/>
          <w:highlight w:val="none"/>
        </w:rPr>
      </w:pPr>
    </w:p>
    <w:p w14:paraId="56684B9E">
      <w:pPr>
        <w:snapToGrid w:val="0"/>
        <w:spacing w:before="120"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项目编号：</w:t>
      </w:r>
    </w:p>
    <w:p w14:paraId="20B2D94B">
      <w:pPr>
        <w:snapToGrid w:val="0"/>
        <w:spacing w:before="120" w:beforeLines="50" w:after="50"/>
        <w:ind w:firstLine="540" w:firstLineChars="225"/>
        <w:rPr>
          <w:rFonts w:ascii="宋体" w:hAnsi="宋体"/>
          <w:bCs/>
          <w:color w:val="auto"/>
          <w:sz w:val="24"/>
          <w:szCs w:val="20"/>
          <w:highlight w:val="none"/>
        </w:rPr>
      </w:pPr>
      <w:r>
        <w:rPr>
          <w:rFonts w:hint="eastAsia" w:ascii="宋体" w:hAnsi="宋体"/>
          <w:bCs/>
          <w:color w:val="auto"/>
          <w:sz w:val="24"/>
          <w:highlight w:val="none"/>
        </w:rPr>
        <w:t xml:space="preserve"> </w:t>
      </w:r>
    </w:p>
    <w:p w14:paraId="60461D8A">
      <w:pPr>
        <w:snapToGrid w:val="0"/>
        <w:spacing w:before="120" w:beforeLines="50" w:after="50"/>
        <w:ind w:firstLine="540" w:firstLineChars="225"/>
        <w:rPr>
          <w:rFonts w:ascii="宋体" w:hAnsi="宋体"/>
          <w:bCs/>
          <w:color w:val="auto"/>
          <w:sz w:val="24"/>
          <w:highlight w:val="none"/>
        </w:rPr>
      </w:pPr>
      <w:r>
        <w:rPr>
          <w:rFonts w:hint="eastAsia" w:ascii="宋体" w:hAnsi="宋体"/>
          <w:bCs/>
          <w:color w:val="auto"/>
          <w:sz w:val="24"/>
          <w:highlight w:val="none"/>
        </w:rPr>
        <w:t>所投分标：</w:t>
      </w:r>
    </w:p>
    <w:p w14:paraId="684EDB83">
      <w:pPr>
        <w:pStyle w:val="9"/>
        <w:snapToGrid w:val="0"/>
        <w:spacing w:before="50" w:after="50"/>
        <w:ind w:firstLine="540" w:firstLineChars="225"/>
        <w:rPr>
          <w:rFonts w:ascii="宋体" w:hAnsi="宋体"/>
          <w:bCs/>
          <w:color w:val="auto"/>
          <w:sz w:val="24"/>
          <w:szCs w:val="24"/>
          <w:highlight w:val="none"/>
        </w:rPr>
      </w:pPr>
    </w:p>
    <w:p w14:paraId="425624A0">
      <w:pPr>
        <w:pStyle w:val="9"/>
        <w:snapToGrid w:val="0"/>
        <w:spacing w:before="50" w:after="50"/>
        <w:ind w:firstLine="540" w:firstLineChars="225"/>
        <w:rPr>
          <w:rFonts w:ascii="宋体" w:hAnsi="宋体"/>
          <w:bCs/>
          <w:color w:val="auto"/>
          <w:sz w:val="24"/>
          <w:szCs w:val="24"/>
          <w:highlight w:val="none"/>
        </w:rPr>
      </w:pPr>
      <w:r>
        <w:rPr>
          <w:rFonts w:hint="eastAsia" w:ascii="宋体" w:hAnsi="宋体"/>
          <w:bCs/>
          <w:color w:val="auto"/>
          <w:sz w:val="24"/>
          <w:szCs w:val="24"/>
          <w:highlight w:val="none"/>
        </w:rPr>
        <w:t>投标人名称：</w:t>
      </w:r>
    </w:p>
    <w:p w14:paraId="792C2749">
      <w:pPr>
        <w:pStyle w:val="9"/>
        <w:snapToGrid w:val="0"/>
        <w:spacing w:before="50" w:after="50"/>
        <w:ind w:firstLine="540" w:firstLineChars="225"/>
        <w:rPr>
          <w:rFonts w:ascii="宋体" w:hAnsi="宋体"/>
          <w:bCs/>
          <w:color w:val="auto"/>
          <w:sz w:val="24"/>
          <w:szCs w:val="24"/>
          <w:highlight w:val="none"/>
        </w:rPr>
      </w:pPr>
    </w:p>
    <w:p w14:paraId="20C57647">
      <w:pPr>
        <w:pStyle w:val="9"/>
        <w:snapToGrid w:val="0"/>
        <w:spacing w:before="50" w:after="50"/>
        <w:ind w:firstLine="960" w:firstLineChars="400"/>
        <w:rPr>
          <w:rFonts w:ascii="宋体" w:hAnsi="宋体"/>
          <w:bCs/>
          <w:color w:val="auto"/>
          <w:sz w:val="24"/>
          <w:szCs w:val="24"/>
          <w:highlight w:val="none"/>
        </w:rPr>
      </w:pPr>
    </w:p>
    <w:p w14:paraId="3CCB56BA">
      <w:pPr>
        <w:snapToGrid w:val="0"/>
        <w:spacing w:before="120" w:beforeLines="50" w:after="50"/>
        <w:ind w:firstLine="645"/>
        <w:jc w:val="center"/>
        <w:rPr>
          <w:rFonts w:ascii="宋体" w:hAnsi="宋体"/>
          <w:color w:val="auto"/>
          <w:sz w:val="24"/>
          <w:highlight w:val="none"/>
        </w:rPr>
      </w:pPr>
      <w:r>
        <w:rPr>
          <w:rFonts w:hint="eastAsia" w:ascii="宋体" w:hAnsi="宋体"/>
          <w:color w:val="auto"/>
          <w:sz w:val="24"/>
          <w:highlight w:val="none"/>
        </w:rPr>
        <w:t>年  月  日</w:t>
      </w:r>
    </w:p>
    <w:p w14:paraId="2259ED33">
      <w:pPr>
        <w:snapToGrid w:val="0"/>
        <w:spacing w:before="120" w:beforeLines="50" w:after="50"/>
        <w:rPr>
          <w:rFonts w:ascii="宋体" w:hAnsi="宋体"/>
          <w:color w:val="auto"/>
          <w:sz w:val="24"/>
          <w:szCs w:val="20"/>
          <w:highlight w:val="none"/>
        </w:rPr>
      </w:pPr>
      <w:r>
        <w:rPr>
          <w:rFonts w:ascii="宋体" w:hAnsi="宋体"/>
          <w:color w:val="auto"/>
          <w:sz w:val="24"/>
          <w:szCs w:val="20"/>
          <w:highlight w:val="none"/>
        </w:rPr>
        <w:t xml:space="preserve"> </w:t>
      </w:r>
    </w:p>
    <w:p w14:paraId="58D68634">
      <w:pPr>
        <w:snapToGrid w:val="0"/>
        <w:spacing w:before="120" w:beforeLines="50" w:after="50"/>
        <w:rPr>
          <w:rFonts w:ascii="宋体" w:hAnsi="宋体"/>
          <w:color w:val="auto"/>
          <w:sz w:val="24"/>
          <w:szCs w:val="20"/>
          <w:highlight w:val="none"/>
        </w:rPr>
      </w:pPr>
    </w:p>
    <w:p w14:paraId="300655A3">
      <w:pPr>
        <w:numPr>
          <w:ilvl w:val="2"/>
          <w:numId w:val="8"/>
        </w:numPr>
        <w:snapToGrid w:val="0"/>
        <w:spacing w:before="120" w:beforeLines="50" w:after="50" w:line="360" w:lineRule="auto"/>
        <w:ind w:left="0" w:firstLine="0"/>
        <w:jc w:val="left"/>
        <w:rPr>
          <w:rFonts w:ascii="宋体" w:hAnsi="宋体"/>
          <w:color w:val="auto"/>
          <w:sz w:val="24"/>
          <w:szCs w:val="20"/>
          <w:highlight w:val="none"/>
        </w:rPr>
      </w:pPr>
      <w:r>
        <w:rPr>
          <w:rFonts w:ascii="宋体" w:hAnsi="宋体"/>
          <w:b/>
          <w:bCs/>
          <w:color w:val="auto"/>
          <w:sz w:val="24"/>
          <w:highlight w:val="none"/>
        </w:rPr>
        <w:br w:type="page"/>
      </w:r>
      <w:r>
        <w:rPr>
          <w:rFonts w:hint="eastAsia" w:ascii="宋体" w:hAnsi="宋体"/>
          <w:b/>
          <w:bCs/>
          <w:color w:val="auto"/>
          <w:sz w:val="24"/>
          <w:highlight w:val="none"/>
        </w:rPr>
        <w:t>资格证明文件目录</w:t>
      </w:r>
    </w:p>
    <w:p w14:paraId="0C38CBE9">
      <w:pPr>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根据招标文件规定及投标人提供的材料自行编写目录。</w:t>
      </w:r>
    </w:p>
    <w:p w14:paraId="34650FE5">
      <w:pPr>
        <w:snapToGrid w:val="0"/>
        <w:spacing w:before="50" w:after="120" w:afterLines="50"/>
        <w:jc w:val="left"/>
        <w:rPr>
          <w:rFonts w:ascii="宋体" w:hAnsi="宋体"/>
          <w:color w:val="auto"/>
          <w:sz w:val="24"/>
          <w:highlight w:val="none"/>
        </w:rPr>
      </w:pPr>
    </w:p>
    <w:p w14:paraId="46E9163C">
      <w:pPr>
        <w:snapToGrid w:val="0"/>
        <w:spacing w:before="50" w:after="120" w:afterLines="50"/>
        <w:jc w:val="left"/>
        <w:rPr>
          <w:rFonts w:ascii="宋体" w:hAnsi="宋体"/>
          <w:color w:val="auto"/>
          <w:sz w:val="24"/>
          <w:highlight w:val="none"/>
        </w:rPr>
      </w:pPr>
    </w:p>
    <w:p w14:paraId="116E7B5B">
      <w:pPr>
        <w:numPr>
          <w:ilvl w:val="2"/>
          <w:numId w:val="8"/>
        </w:numPr>
        <w:snapToGrid w:val="0"/>
        <w:spacing w:before="120" w:beforeLines="50" w:after="50"/>
        <w:ind w:left="0" w:firstLine="0"/>
        <w:jc w:val="left"/>
        <w:rPr>
          <w:rFonts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8"/>
          <w:szCs w:val="28"/>
          <w:highlight w:val="none"/>
        </w:rPr>
        <w:t>投标人直接控股、管理关系信息表</w:t>
      </w:r>
    </w:p>
    <w:p w14:paraId="4FF65ED1">
      <w:pPr>
        <w:snapToGrid w:val="0"/>
        <w:spacing w:before="50" w:after="120" w:afterLines="50"/>
        <w:jc w:val="center"/>
        <w:rPr>
          <w:rFonts w:ascii="宋体" w:hAnsi="宋体"/>
          <w:b/>
          <w:color w:val="auto"/>
          <w:sz w:val="28"/>
          <w:szCs w:val="28"/>
          <w:highlight w:val="none"/>
        </w:rPr>
      </w:pPr>
    </w:p>
    <w:p w14:paraId="60A64F8B">
      <w:pPr>
        <w:snapToGrid w:val="0"/>
        <w:spacing w:before="50" w:after="120" w:afterLines="50" w:line="360" w:lineRule="auto"/>
        <w:jc w:val="center"/>
        <w:rPr>
          <w:rFonts w:ascii="宋体" w:hAnsi="宋体"/>
          <w:b/>
          <w:color w:val="auto"/>
          <w:sz w:val="32"/>
          <w:szCs w:val="32"/>
          <w:highlight w:val="none"/>
        </w:rPr>
      </w:pPr>
      <w:r>
        <w:rPr>
          <w:rFonts w:hint="eastAsia" w:ascii="宋体" w:hAnsi="宋体"/>
          <w:b/>
          <w:color w:val="auto"/>
          <w:sz w:val="32"/>
          <w:szCs w:val="32"/>
          <w:highlight w:val="none"/>
        </w:rPr>
        <w:t>投标人直接控股股东信息表</w:t>
      </w:r>
    </w:p>
    <w:tbl>
      <w:tblPr>
        <w:tblStyle w:val="46"/>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4D0A43D2">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731D9B3">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826DF07">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C3BDE11">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07669EC">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A773C4A">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06DF7AA3">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73FD3CD">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347F057">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924561C">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D766316">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39369FB">
            <w:pPr>
              <w:spacing w:line="360" w:lineRule="auto"/>
              <w:jc w:val="center"/>
              <w:rPr>
                <w:rFonts w:ascii="宋体" w:hAnsi="宋体" w:cs="宋体"/>
                <w:color w:val="auto"/>
                <w:kern w:val="0"/>
                <w:sz w:val="24"/>
                <w:highlight w:val="none"/>
              </w:rPr>
            </w:pPr>
          </w:p>
        </w:tc>
      </w:tr>
      <w:tr w14:paraId="4538A5A7">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2A6747C">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D2286AE">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BB7864F">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6D5BF6B">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048BE33">
            <w:pPr>
              <w:spacing w:line="360" w:lineRule="auto"/>
              <w:jc w:val="center"/>
              <w:rPr>
                <w:rFonts w:ascii="宋体" w:hAnsi="宋体" w:cs="宋体"/>
                <w:color w:val="auto"/>
                <w:kern w:val="0"/>
                <w:sz w:val="24"/>
                <w:highlight w:val="none"/>
              </w:rPr>
            </w:pPr>
          </w:p>
        </w:tc>
      </w:tr>
      <w:tr w14:paraId="44DFB3D7">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E7A2D13">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0CDE021">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41FDE0F">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A3F4733">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AF81EDD">
            <w:pPr>
              <w:spacing w:line="360" w:lineRule="auto"/>
              <w:jc w:val="center"/>
              <w:rPr>
                <w:rFonts w:ascii="宋体" w:hAnsi="宋体" w:cs="宋体"/>
                <w:color w:val="auto"/>
                <w:kern w:val="0"/>
                <w:sz w:val="24"/>
                <w:highlight w:val="none"/>
              </w:rPr>
            </w:pPr>
          </w:p>
        </w:tc>
      </w:tr>
      <w:tr w14:paraId="1933E4EB">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56BF359">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C329301">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59E2897">
            <w:pPr>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D298EC5">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65BAD44">
            <w:pPr>
              <w:spacing w:line="360" w:lineRule="auto"/>
              <w:jc w:val="center"/>
              <w:rPr>
                <w:rFonts w:ascii="宋体" w:hAnsi="宋体" w:cs="宋体"/>
                <w:color w:val="auto"/>
                <w:kern w:val="0"/>
                <w:sz w:val="24"/>
                <w:highlight w:val="none"/>
              </w:rPr>
            </w:pPr>
          </w:p>
        </w:tc>
      </w:tr>
    </w:tbl>
    <w:p w14:paraId="139DB6A5">
      <w:pPr>
        <w:snapToGrid w:val="0"/>
        <w:spacing w:line="360" w:lineRule="auto"/>
        <w:jc w:val="left"/>
        <w:rPr>
          <w:rFonts w:ascii="宋体" w:hAnsi="宋体"/>
          <w:color w:val="auto"/>
          <w:sz w:val="24"/>
          <w:highlight w:val="none"/>
        </w:rPr>
      </w:pPr>
      <w:r>
        <w:rPr>
          <w:rFonts w:hint="eastAsia" w:ascii="宋体" w:hAnsi="宋体"/>
          <w:color w:val="auto"/>
          <w:sz w:val="24"/>
          <w:highlight w:val="none"/>
        </w:rPr>
        <w:t>注：</w:t>
      </w:r>
    </w:p>
    <w:p w14:paraId="6D86BBD4">
      <w:pPr>
        <w:snapToGrid w:val="0"/>
        <w:spacing w:line="360" w:lineRule="auto"/>
        <w:jc w:val="left"/>
        <w:rPr>
          <w:rFonts w:ascii="宋体" w:hAnsi="宋体"/>
          <w:color w:val="auto"/>
          <w:sz w:val="24"/>
          <w:highlight w:val="none"/>
        </w:rPr>
      </w:pPr>
      <w:r>
        <w:rPr>
          <w:rFonts w:hint="eastAsia" w:ascii="宋体" w:hAnsi="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6231B69">
      <w:pPr>
        <w:snapToGrid w:val="0"/>
        <w:spacing w:line="360" w:lineRule="auto"/>
        <w:jc w:val="left"/>
        <w:rPr>
          <w:rFonts w:ascii="宋体" w:hAnsi="宋体"/>
          <w:color w:val="auto"/>
          <w:sz w:val="24"/>
          <w:highlight w:val="none"/>
        </w:rPr>
      </w:pPr>
      <w:r>
        <w:rPr>
          <w:rFonts w:hint="eastAsia" w:ascii="宋体" w:hAnsi="宋体"/>
          <w:color w:val="auto"/>
          <w:sz w:val="24"/>
          <w:highlight w:val="none"/>
        </w:rPr>
        <w:t>2.本表所指的控股关系仅限于直接控股关系，不包括间接的控股关系。公司实际控制人与公司之间的关系不属于本表所指的直接控股关系。</w:t>
      </w:r>
    </w:p>
    <w:p w14:paraId="33F656CF">
      <w:pPr>
        <w:snapToGrid w:val="0"/>
        <w:spacing w:line="360" w:lineRule="auto"/>
        <w:jc w:val="left"/>
        <w:rPr>
          <w:rFonts w:ascii="宋体" w:hAnsi="宋体"/>
          <w:color w:val="auto"/>
          <w:sz w:val="24"/>
          <w:highlight w:val="none"/>
        </w:rPr>
      </w:pPr>
      <w:r>
        <w:rPr>
          <w:rFonts w:hint="eastAsia" w:ascii="宋体" w:hAnsi="宋体"/>
          <w:color w:val="auto"/>
          <w:sz w:val="24"/>
          <w:highlight w:val="none"/>
        </w:rPr>
        <w:t>3.供应商不存在直接控股股东的，则填“无”。</w:t>
      </w:r>
    </w:p>
    <w:p w14:paraId="6D11853D">
      <w:pPr>
        <w:snapToGrid w:val="0"/>
        <w:spacing w:line="360" w:lineRule="auto"/>
        <w:jc w:val="left"/>
        <w:rPr>
          <w:rFonts w:ascii="宋体" w:hAnsi="宋体"/>
          <w:color w:val="auto"/>
          <w:sz w:val="24"/>
          <w:highlight w:val="none"/>
        </w:rPr>
      </w:pPr>
    </w:p>
    <w:p w14:paraId="54DC5C84">
      <w:pPr>
        <w:snapToGrid w:val="0"/>
        <w:spacing w:line="360" w:lineRule="auto"/>
        <w:jc w:val="left"/>
        <w:rPr>
          <w:rFonts w:ascii="宋体" w:hAnsi="宋体"/>
          <w:color w:val="auto"/>
          <w:sz w:val="24"/>
          <w:highlight w:val="none"/>
        </w:rPr>
      </w:pPr>
    </w:p>
    <w:p w14:paraId="668EDD18">
      <w:pPr>
        <w:snapToGrid w:val="0"/>
        <w:spacing w:line="360" w:lineRule="auto"/>
        <w:jc w:val="left"/>
        <w:rPr>
          <w:rFonts w:ascii="宋体" w:hAnsi="宋体"/>
          <w:color w:val="auto"/>
          <w:sz w:val="24"/>
          <w:highlight w:val="none"/>
        </w:rPr>
      </w:pPr>
    </w:p>
    <w:p w14:paraId="41B7EBDA">
      <w:pPr>
        <w:snapToGrid w:val="0"/>
        <w:spacing w:line="360" w:lineRule="auto"/>
        <w:jc w:val="left"/>
        <w:rPr>
          <w:rFonts w:ascii="宋体" w:hAnsi="宋体"/>
          <w:color w:val="auto"/>
          <w:sz w:val="24"/>
          <w:highlight w:val="none"/>
        </w:rPr>
      </w:pPr>
    </w:p>
    <w:p w14:paraId="27160F16">
      <w:pPr>
        <w:snapToGrid w:val="0"/>
        <w:spacing w:before="120" w:beforeLines="50" w:line="360" w:lineRule="auto"/>
        <w:ind w:right="480" w:firstLine="3967" w:firstLineChars="1653"/>
        <w:rPr>
          <w:rFonts w:ascii="宋体" w:hAnsi="宋体"/>
          <w:color w:val="auto"/>
          <w:sz w:val="24"/>
          <w:highlight w:val="none"/>
          <w:u w:val="single"/>
        </w:rPr>
      </w:pPr>
      <w:r>
        <w:rPr>
          <w:rFonts w:hint="eastAsia" w:ascii="宋体" w:hAnsi="宋体"/>
          <w:color w:val="auto"/>
          <w:sz w:val="24"/>
          <w:highlight w:val="none"/>
        </w:rPr>
        <w:t>法定代表人或者委托代理人（签字）：</w:t>
      </w:r>
      <w:r>
        <w:rPr>
          <w:rFonts w:hint="eastAsia" w:ascii="宋体" w:hAnsi="宋体"/>
          <w:color w:val="auto"/>
          <w:sz w:val="24"/>
          <w:highlight w:val="none"/>
          <w:u w:val="single"/>
        </w:rPr>
        <w:t xml:space="preserve">             </w:t>
      </w:r>
    </w:p>
    <w:p w14:paraId="1742E886">
      <w:pPr>
        <w:snapToGrid w:val="0"/>
        <w:spacing w:before="120" w:beforeLines="50" w:after="50" w:line="360" w:lineRule="auto"/>
        <w:ind w:right="480" w:firstLine="5520" w:firstLineChars="2300"/>
        <w:rPr>
          <w:rFonts w:ascii="宋体" w:hAnsi="宋体"/>
          <w:color w:val="auto"/>
          <w:sz w:val="24"/>
          <w:highlight w:val="none"/>
          <w:u w:val="single"/>
        </w:rPr>
      </w:pPr>
      <w:r>
        <w:rPr>
          <w:rFonts w:hint="eastAsia" w:ascii="宋体" w:hAnsi="宋体"/>
          <w:color w:val="auto"/>
          <w:sz w:val="24"/>
          <w:highlight w:val="none"/>
        </w:rPr>
        <w:t>投标人（盖公章）：</w:t>
      </w:r>
      <w:r>
        <w:rPr>
          <w:rFonts w:hint="eastAsia" w:ascii="宋体" w:hAnsi="宋体"/>
          <w:color w:val="auto"/>
          <w:sz w:val="24"/>
          <w:highlight w:val="none"/>
          <w:u w:val="single"/>
        </w:rPr>
        <w:t xml:space="preserve">                 </w:t>
      </w:r>
    </w:p>
    <w:p w14:paraId="159390A7">
      <w:pPr>
        <w:snapToGrid w:val="0"/>
        <w:spacing w:before="120" w:beforeLines="50" w:after="50" w:line="360" w:lineRule="auto"/>
        <w:ind w:right="480" w:firstLine="5520" w:firstLineChars="2300"/>
        <w:rPr>
          <w:rFonts w:ascii="宋体" w:hAnsi="宋体"/>
          <w:color w:val="auto"/>
          <w:szCs w:val="21"/>
          <w:highlight w:val="none"/>
        </w:rPr>
      </w:pPr>
      <w:r>
        <w:rPr>
          <w:rFonts w:hint="eastAsia" w:ascii="宋体" w:hAnsi="宋体"/>
          <w:color w:val="auto"/>
          <w:sz w:val="24"/>
          <w:highlight w:val="none"/>
        </w:rPr>
        <w:t>年    月    日</w:t>
      </w:r>
    </w:p>
    <w:p w14:paraId="6BB746EB">
      <w:pPr>
        <w:snapToGrid w:val="0"/>
        <w:jc w:val="center"/>
        <w:rPr>
          <w:rFonts w:ascii="宋体" w:hAnsi="宋体"/>
          <w:b/>
          <w:color w:val="auto"/>
          <w:sz w:val="28"/>
          <w:szCs w:val="28"/>
          <w:highlight w:val="none"/>
        </w:rPr>
      </w:pPr>
    </w:p>
    <w:p w14:paraId="0E27EF11">
      <w:pPr>
        <w:snapToGrid w:val="0"/>
        <w:spacing w:line="360" w:lineRule="auto"/>
        <w:jc w:val="center"/>
        <w:rPr>
          <w:rFonts w:ascii="宋体" w:hAnsi="宋体"/>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投标人直接管理关系信息表</w:t>
      </w:r>
    </w:p>
    <w:tbl>
      <w:tblPr>
        <w:tblStyle w:val="46"/>
        <w:tblW w:w="0" w:type="auto"/>
        <w:tblInd w:w="0" w:type="dxa"/>
        <w:tblLayout w:type="fixed"/>
        <w:tblCellMar>
          <w:top w:w="0" w:type="dxa"/>
          <w:left w:w="0" w:type="dxa"/>
          <w:bottom w:w="0" w:type="dxa"/>
          <w:right w:w="0" w:type="dxa"/>
        </w:tblCellMar>
      </w:tblPr>
      <w:tblGrid>
        <w:gridCol w:w="1005"/>
        <w:gridCol w:w="2659"/>
        <w:gridCol w:w="3924"/>
        <w:gridCol w:w="2064"/>
      </w:tblGrid>
      <w:tr w14:paraId="2E48CF9C">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2D1431D">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925AA02">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6B6D946">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33EBDDF">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34071305">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8FD0A0C">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E62D2D6">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596DDF0">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323D7595">
            <w:pPr>
              <w:spacing w:line="360" w:lineRule="auto"/>
              <w:jc w:val="center"/>
              <w:rPr>
                <w:rFonts w:ascii="宋体" w:hAnsi="宋体" w:cs="宋体"/>
                <w:color w:val="auto"/>
                <w:kern w:val="0"/>
                <w:sz w:val="24"/>
                <w:highlight w:val="none"/>
              </w:rPr>
            </w:pPr>
          </w:p>
        </w:tc>
      </w:tr>
      <w:tr w14:paraId="2EAFCAF4">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28BAF7F">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126F995">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2C0A764">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DF6741C">
            <w:pPr>
              <w:spacing w:line="360" w:lineRule="auto"/>
              <w:jc w:val="center"/>
              <w:rPr>
                <w:rFonts w:ascii="宋体" w:hAnsi="宋体" w:cs="宋体"/>
                <w:color w:val="auto"/>
                <w:kern w:val="0"/>
                <w:sz w:val="24"/>
                <w:highlight w:val="none"/>
              </w:rPr>
            </w:pPr>
          </w:p>
        </w:tc>
      </w:tr>
      <w:tr w14:paraId="01243193">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5B2DA791">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78F10594">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15E165F9">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FE73134">
            <w:pPr>
              <w:spacing w:line="360" w:lineRule="auto"/>
              <w:jc w:val="center"/>
              <w:rPr>
                <w:rFonts w:ascii="宋体" w:hAnsi="宋体" w:cs="宋体"/>
                <w:color w:val="auto"/>
                <w:kern w:val="0"/>
                <w:sz w:val="24"/>
                <w:highlight w:val="none"/>
              </w:rPr>
            </w:pPr>
          </w:p>
        </w:tc>
      </w:tr>
      <w:tr w14:paraId="0FAFD004">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0A823C32">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A41DB47">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44F0719D">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14:paraId="69A3F9C0">
            <w:pPr>
              <w:spacing w:line="360" w:lineRule="auto"/>
              <w:jc w:val="center"/>
              <w:rPr>
                <w:rFonts w:ascii="宋体" w:hAnsi="宋体" w:cs="宋体"/>
                <w:color w:val="auto"/>
                <w:kern w:val="0"/>
                <w:sz w:val="24"/>
                <w:highlight w:val="none"/>
              </w:rPr>
            </w:pPr>
          </w:p>
        </w:tc>
      </w:tr>
    </w:tbl>
    <w:p w14:paraId="7226DB36">
      <w:pPr>
        <w:snapToGrid w:val="0"/>
        <w:spacing w:line="360" w:lineRule="auto"/>
        <w:jc w:val="left"/>
        <w:rPr>
          <w:rFonts w:ascii="宋体" w:hAnsi="宋体"/>
          <w:color w:val="auto"/>
          <w:sz w:val="24"/>
          <w:highlight w:val="none"/>
        </w:rPr>
      </w:pPr>
      <w:r>
        <w:rPr>
          <w:rFonts w:hint="eastAsia" w:ascii="宋体" w:hAnsi="宋体"/>
          <w:color w:val="auto"/>
          <w:sz w:val="24"/>
          <w:highlight w:val="none"/>
        </w:rPr>
        <w:t>注：</w:t>
      </w:r>
    </w:p>
    <w:p w14:paraId="46D59120">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1A80163A">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2505ADDA">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3.供应商不存在直接管理关系的，则填“无”。</w:t>
      </w:r>
    </w:p>
    <w:p w14:paraId="7D67BE28">
      <w:pPr>
        <w:snapToGrid w:val="0"/>
        <w:spacing w:line="360" w:lineRule="auto"/>
        <w:jc w:val="left"/>
        <w:rPr>
          <w:rFonts w:ascii="宋体" w:hAnsi="宋体"/>
          <w:color w:val="auto"/>
          <w:sz w:val="24"/>
          <w:highlight w:val="none"/>
        </w:rPr>
      </w:pPr>
    </w:p>
    <w:p w14:paraId="2440C9F1">
      <w:pPr>
        <w:snapToGrid w:val="0"/>
        <w:spacing w:line="360" w:lineRule="auto"/>
        <w:jc w:val="left"/>
        <w:rPr>
          <w:rFonts w:ascii="宋体" w:hAnsi="宋体"/>
          <w:color w:val="auto"/>
          <w:sz w:val="24"/>
          <w:highlight w:val="none"/>
        </w:rPr>
      </w:pPr>
    </w:p>
    <w:p w14:paraId="7F834BD2">
      <w:pPr>
        <w:snapToGrid w:val="0"/>
        <w:spacing w:line="360" w:lineRule="auto"/>
        <w:jc w:val="left"/>
        <w:rPr>
          <w:rFonts w:ascii="宋体" w:hAnsi="宋体"/>
          <w:color w:val="auto"/>
          <w:sz w:val="24"/>
          <w:highlight w:val="none"/>
        </w:rPr>
      </w:pPr>
    </w:p>
    <w:p w14:paraId="2A97BC48">
      <w:pPr>
        <w:snapToGrid w:val="0"/>
        <w:spacing w:line="360" w:lineRule="auto"/>
        <w:jc w:val="left"/>
        <w:rPr>
          <w:rFonts w:ascii="宋体" w:hAnsi="宋体"/>
          <w:color w:val="auto"/>
          <w:sz w:val="24"/>
          <w:highlight w:val="none"/>
        </w:rPr>
      </w:pPr>
    </w:p>
    <w:p w14:paraId="1F759872">
      <w:pPr>
        <w:snapToGrid w:val="0"/>
        <w:spacing w:line="360" w:lineRule="auto"/>
        <w:jc w:val="left"/>
        <w:rPr>
          <w:rFonts w:ascii="宋体" w:hAnsi="宋体"/>
          <w:color w:val="auto"/>
          <w:sz w:val="24"/>
          <w:highlight w:val="none"/>
        </w:rPr>
      </w:pPr>
    </w:p>
    <w:p w14:paraId="1001171C">
      <w:pPr>
        <w:snapToGrid w:val="0"/>
        <w:spacing w:line="360" w:lineRule="auto"/>
        <w:jc w:val="left"/>
        <w:rPr>
          <w:rFonts w:ascii="宋体" w:hAnsi="宋体"/>
          <w:color w:val="auto"/>
          <w:sz w:val="24"/>
          <w:highlight w:val="none"/>
        </w:rPr>
      </w:pPr>
    </w:p>
    <w:p w14:paraId="22D40584">
      <w:pPr>
        <w:snapToGrid w:val="0"/>
        <w:spacing w:line="360" w:lineRule="auto"/>
        <w:jc w:val="left"/>
        <w:rPr>
          <w:rFonts w:ascii="宋体" w:hAnsi="宋体"/>
          <w:color w:val="auto"/>
          <w:sz w:val="24"/>
          <w:highlight w:val="none"/>
        </w:rPr>
      </w:pPr>
    </w:p>
    <w:p w14:paraId="095C8C3E">
      <w:pPr>
        <w:snapToGrid w:val="0"/>
        <w:spacing w:before="120" w:beforeLines="50" w:line="360" w:lineRule="auto"/>
        <w:ind w:right="480" w:firstLine="3967" w:firstLineChars="1653"/>
        <w:rPr>
          <w:rFonts w:ascii="宋体" w:hAnsi="宋体"/>
          <w:color w:val="auto"/>
          <w:sz w:val="24"/>
          <w:highlight w:val="none"/>
          <w:u w:val="single"/>
        </w:rPr>
      </w:pPr>
      <w:r>
        <w:rPr>
          <w:rFonts w:hint="eastAsia" w:ascii="宋体" w:hAnsi="宋体"/>
          <w:color w:val="auto"/>
          <w:sz w:val="24"/>
          <w:highlight w:val="none"/>
        </w:rPr>
        <w:t>法定代表人或者委托代理人（签字）：</w:t>
      </w:r>
      <w:r>
        <w:rPr>
          <w:rFonts w:hint="eastAsia" w:ascii="宋体" w:hAnsi="宋体"/>
          <w:color w:val="auto"/>
          <w:sz w:val="24"/>
          <w:highlight w:val="none"/>
          <w:u w:val="single"/>
        </w:rPr>
        <w:t xml:space="preserve">             </w:t>
      </w:r>
    </w:p>
    <w:p w14:paraId="6F2FB13A">
      <w:pPr>
        <w:snapToGrid w:val="0"/>
        <w:spacing w:before="120" w:beforeLines="50" w:after="50" w:line="360" w:lineRule="auto"/>
        <w:ind w:right="480" w:firstLine="5520" w:firstLineChars="2300"/>
        <w:rPr>
          <w:rFonts w:ascii="宋体" w:hAnsi="宋体"/>
          <w:color w:val="auto"/>
          <w:sz w:val="24"/>
          <w:highlight w:val="none"/>
        </w:rPr>
      </w:pPr>
      <w:r>
        <w:rPr>
          <w:rFonts w:hint="eastAsia" w:ascii="宋体" w:hAnsi="宋体"/>
          <w:color w:val="auto"/>
          <w:sz w:val="24"/>
          <w:highlight w:val="none"/>
        </w:rPr>
        <w:t>投标人（盖公章）：</w:t>
      </w:r>
      <w:r>
        <w:rPr>
          <w:rFonts w:hint="eastAsia" w:ascii="宋体" w:hAnsi="宋体"/>
          <w:color w:val="auto"/>
          <w:sz w:val="24"/>
          <w:highlight w:val="none"/>
          <w:u w:val="single"/>
        </w:rPr>
        <w:t xml:space="preserve">                 </w:t>
      </w:r>
    </w:p>
    <w:p w14:paraId="64413CE7">
      <w:pPr>
        <w:snapToGrid w:val="0"/>
        <w:spacing w:before="120" w:beforeLines="50" w:after="50" w:line="360" w:lineRule="auto"/>
        <w:ind w:right="480" w:firstLine="240" w:firstLineChars="100"/>
        <w:jc w:val="right"/>
        <w:rPr>
          <w:rFonts w:ascii="宋体" w:hAnsi="宋体"/>
          <w:color w:val="auto"/>
          <w:sz w:val="24"/>
          <w:highlight w:val="none"/>
        </w:rPr>
      </w:pPr>
      <w:r>
        <w:rPr>
          <w:rFonts w:hint="eastAsia" w:ascii="宋体" w:hAnsi="宋体"/>
          <w:color w:val="auto"/>
          <w:sz w:val="24"/>
          <w:highlight w:val="none"/>
        </w:rPr>
        <w:t xml:space="preserve"> 年    月    日</w:t>
      </w:r>
    </w:p>
    <w:p w14:paraId="4B34D432">
      <w:pPr>
        <w:snapToGrid w:val="0"/>
        <w:spacing w:before="50" w:after="120" w:afterLines="50"/>
        <w:jc w:val="left"/>
        <w:rPr>
          <w:rFonts w:ascii="宋体" w:hAnsi="宋体"/>
          <w:color w:val="auto"/>
          <w:szCs w:val="21"/>
          <w:highlight w:val="none"/>
        </w:rPr>
      </w:pPr>
    </w:p>
    <w:p w14:paraId="5FF92058">
      <w:pPr>
        <w:snapToGrid w:val="0"/>
        <w:spacing w:before="120" w:beforeLines="50" w:after="50"/>
        <w:jc w:val="left"/>
        <w:rPr>
          <w:rFonts w:ascii="宋体" w:hAnsi="宋体"/>
          <w:b/>
          <w:color w:val="auto"/>
          <w:sz w:val="24"/>
          <w:szCs w:val="20"/>
          <w:highlight w:val="none"/>
        </w:rPr>
      </w:pPr>
    </w:p>
    <w:p w14:paraId="18362395">
      <w:pPr>
        <w:numPr>
          <w:ilvl w:val="2"/>
          <w:numId w:val="8"/>
        </w:numPr>
        <w:snapToGrid w:val="0"/>
        <w:spacing w:before="120" w:beforeLines="50" w:after="50"/>
        <w:ind w:left="0" w:firstLine="0"/>
        <w:jc w:val="left"/>
        <w:rPr>
          <w:rFonts w:ascii="宋体" w:hAnsi="宋体"/>
          <w:b/>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rPr>
        <w:t>投标声明格式</w:t>
      </w:r>
    </w:p>
    <w:p w14:paraId="02DF1EDC">
      <w:pPr>
        <w:snapToGrid w:val="0"/>
        <w:spacing w:before="50" w:after="120" w:afterLines="50"/>
        <w:jc w:val="left"/>
        <w:rPr>
          <w:rFonts w:ascii="宋体" w:hAnsi="宋体"/>
          <w:color w:val="auto"/>
          <w:highlight w:val="none"/>
        </w:rPr>
      </w:pPr>
    </w:p>
    <w:p w14:paraId="57972D5A">
      <w:pPr>
        <w:snapToGrid w:val="0"/>
        <w:spacing w:before="50" w:after="120" w:afterLines="50"/>
        <w:jc w:val="center"/>
        <w:rPr>
          <w:rFonts w:ascii="宋体" w:hAnsi="宋体" w:cs="方正小标宋简体"/>
          <w:bCs/>
          <w:color w:val="auto"/>
          <w:sz w:val="44"/>
          <w:szCs w:val="44"/>
          <w:highlight w:val="none"/>
        </w:rPr>
      </w:pPr>
      <w:r>
        <w:rPr>
          <w:rFonts w:hint="eastAsia" w:ascii="宋体" w:hAnsi="宋体" w:cs="方正小标宋简体"/>
          <w:bCs/>
          <w:color w:val="auto"/>
          <w:sz w:val="44"/>
          <w:szCs w:val="44"/>
          <w:highlight w:val="none"/>
        </w:rPr>
        <w:t>投标声明</w:t>
      </w:r>
    </w:p>
    <w:p w14:paraId="4F9889A7">
      <w:pPr>
        <w:snapToGrid w:val="0"/>
        <w:spacing w:before="50" w:after="120" w:afterLines="50"/>
        <w:jc w:val="center"/>
        <w:rPr>
          <w:rFonts w:ascii="宋体" w:hAnsi="宋体" w:cs="方正小标宋简体"/>
          <w:bCs/>
          <w:color w:val="auto"/>
          <w:sz w:val="44"/>
          <w:szCs w:val="44"/>
          <w:highlight w:val="none"/>
        </w:rPr>
      </w:pPr>
    </w:p>
    <w:p w14:paraId="41D0D835">
      <w:pPr>
        <w:spacing w:line="400" w:lineRule="exact"/>
        <w:contextualSpacing/>
        <w:jc w:val="left"/>
        <w:rPr>
          <w:rFonts w:ascii="宋体" w:hAnsi="宋体"/>
          <w:color w:val="auto"/>
          <w:sz w:val="24"/>
          <w:highlight w:val="none"/>
        </w:rPr>
      </w:pPr>
      <w:r>
        <w:rPr>
          <w:rFonts w:hint="eastAsia" w:ascii="宋体" w:hAnsi="宋体"/>
          <w:color w:val="auto"/>
          <w:sz w:val="24"/>
          <w:highlight w:val="none"/>
        </w:rPr>
        <w:t>（采购人名称）：</w:t>
      </w:r>
    </w:p>
    <w:p w14:paraId="24A192AF">
      <w:pPr>
        <w:spacing w:line="400" w:lineRule="exact"/>
        <w:ind w:firstLine="523" w:firstLineChars="218"/>
        <w:contextualSpacing/>
        <w:jc w:val="left"/>
        <w:rPr>
          <w:rFonts w:ascii="宋体" w:hAnsi="宋体"/>
          <w:color w:val="auto"/>
          <w:sz w:val="24"/>
          <w:highlight w:val="none"/>
        </w:rPr>
      </w:pPr>
      <w:r>
        <w:rPr>
          <w:rFonts w:hint="eastAsia" w:ascii="宋体" w:hAnsi="宋体"/>
          <w:color w:val="auto"/>
          <w:sz w:val="24"/>
          <w:highlight w:val="none"/>
        </w:rPr>
        <w:t>我方参加贵单位组织</w:t>
      </w:r>
      <w:r>
        <w:rPr>
          <w:rFonts w:hint="eastAsia" w:ascii="宋体" w:hAnsi="宋体"/>
          <w:color w:val="auto"/>
          <w:sz w:val="24"/>
          <w:highlight w:val="none"/>
          <w:u w:val="single"/>
        </w:rPr>
        <w:t xml:space="preserve">             </w:t>
      </w:r>
      <w:r>
        <w:rPr>
          <w:rFonts w:hint="eastAsia" w:ascii="宋体" w:hAnsi="宋体"/>
          <w:color w:val="auto"/>
          <w:sz w:val="24"/>
          <w:highlight w:val="none"/>
        </w:rPr>
        <w:t>项目（项目编号：</w:t>
      </w:r>
      <w:r>
        <w:rPr>
          <w:rFonts w:hint="eastAsia" w:ascii="宋体" w:hAnsi="宋体"/>
          <w:color w:val="auto"/>
          <w:sz w:val="24"/>
          <w:highlight w:val="none"/>
          <w:u w:val="single"/>
        </w:rPr>
        <w:t xml:space="preserve">       </w:t>
      </w:r>
      <w:r>
        <w:rPr>
          <w:rFonts w:hint="eastAsia" w:ascii="宋体" w:hAnsi="宋体"/>
          <w:color w:val="auto"/>
          <w:sz w:val="24"/>
          <w:highlight w:val="none"/>
        </w:rPr>
        <w:t>）的政府采购活动。我方在此郑重声明：</w:t>
      </w:r>
    </w:p>
    <w:p w14:paraId="037C8C65">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2D71CCA8">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2.我方不是为本次采购项目提供整体设计、规范编制或者项目管理、监理、检测等服务的供应商。</w:t>
      </w:r>
    </w:p>
    <w:p w14:paraId="4662D432">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3. 我方承诺符合《中华人民共和国政府采购法》第二十二条规定：</w:t>
      </w:r>
    </w:p>
    <w:p w14:paraId="3C84A33A">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（一）具有独立承担民事责任的能力；</w:t>
      </w:r>
    </w:p>
    <w:p w14:paraId="0CD31890">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（二）具有良好的商业信誉和健全的财务会计制度；</w:t>
      </w:r>
    </w:p>
    <w:p w14:paraId="61153D32">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（三）具有履行合同所必需的设备和专业技术能力；</w:t>
      </w:r>
    </w:p>
    <w:p w14:paraId="240C0A0D">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（四）有依法缴纳税收和社会保障资金的良好记录；</w:t>
      </w:r>
    </w:p>
    <w:p w14:paraId="1CF31D73">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（五）参加政府采购活动前三年内，在经营活动中没有重大违法记录；</w:t>
      </w:r>
    </w:p>
    <w:p w14:paraId="1E8BC8A4">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（六）法律、行政法规规定的其他条件。</w:t>
      </w:r>
    </w:p>
    <w:p w14:paraId="503BF6B0">
      <w:pPr>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4.以上事项如有虚假或者隐瞒，我方愿意承担一切后果，并不再寻求任何旨在减轻或者免除法律责任的辩解。</w:t>
      </w:r>
    </w:p>
    <w:p w14:paraId="6EAE8CA5">
      <w:pPr>
        <w:spacing w:line="400" w:lineRule="exact"/>
        <w:contextualSpacing/>
        <w:jc w:val="left"/>
        <w:rPr>
          <w:rFonts w:ascii="宋体" w:hAnsi="宋体"/>
          <w:color w:val="auto"/>
          <w:sz w:val="24"/>
          <w:highlight w:val="none"/>
        </w:rPr>
      </w:pPr>
      <w:r>
        <w:rPr>
          <w:rFonts w:hint="eastAsia" w:ascii="宋体" w:hAnsi="宋体"/>
          <w:color w:val="auto"/>
          <w:sz w:val="24"/>
          <w:highlight w:val="none"/>
        </w:rPr>
        <w:t xml:space="preserve">    特此承诺。</w:t>
      </w:r>
    </w:p>
    <w:p w14:paraId="1273009A">
      <w:pPr>
        <w:spacing w:line="400" w:lineRule="exact"/>
        <w:contextualSpacing/>
        <w:jc w:val="left"/>
        <w:rPr>
          <w:rFonts w:ascii="宋体" w:hAnsi="宋体"/>
          <w:b/>
          <w:color w:val="auto"/>
          <w:sz w:val="24"/>
          <w:highlight w:val="none"/>
        </w:rPr>
      </w:pPr>
      <w:r>
        <w:rPr>
          <w:rFonts w:hint="eastAsia" w:ascii="宋体" w:hAnsi="宋体"/>
          <w:b/>
          <w:color w:val="auto"/>
          <w:sz w:val="24"/>
          <w:highlight w:val="none"/>
        </w:rPr>
        <w:t xml:space="preserve">    注：如为联合体投标，盖章处须加盖联合体各方公章并由联合体各方法定代表人分别签字，否则投标无效。</w:t>
      </w:r>
    </w:p>
    <w:p w14:paraId="12E2ACD5">
      <w:pPr>
        <w:spacing w:line="400" w:lineRule="exact"/>
        <w:contextualSpacing/>
        <w:jc w:val="left"/>
        <w:rPr>
          <w:rFonts w:ascii="宋体" w:hAnsi="宋体"/>
          <w:color w:val="auto"/>
          <w:sz w:val="24"/>
          <w:highlight w:val="none"/>
        </w:rPr>
      </w:pPr>
      <w:r>
        <w:rPr>
          <w:rFonts w:hint="eastAsia" w:ascii="宋体" w:hAnsi="宋体"/>
          <w:color w:val="auto"/>
          <w:sz w:val="24"/>
          <w:highlight w:val="none"/>
        </w:rPr>
        <w:t xml:space="preserve">                                          法定代表人（签字或者盖章）：</w:t>
      </w:r>
      <w:r>
        <w:rPr>
          <w:rFonts w:hint="eastAsia" w:ascii="宋体" w:hAnsi="宋体"/>
          <w:color w:val="auto"/>
          <w:sz w:val="24"/>
          <w:highlight w:val="none"/>
          <w:u w:val="single"/>
        </w:rPr>
        <w:t xml:space="preserve">             </w:t>
      </w:r>
    </w:p>
    <w:p w14:paraId="04B41E23">
      <w:pPr>
        <w:spacing w:line="400" w:lineRule="exact"/>
        <w:contextualSpacing/>
        <w:jc w:val="left"/>
        <w:rPr>
          <w:rFonts w:ascii="宋体" w:hAnsi="宋体"/>
          <w:color w:val="auto"/>
          <w:sz w:val="24"/>
          <w:highlight w:val="none"/>
        </w:rPr>
      </w:pPr>
      <w:r>
        <w:rPr>
          <w:rFonts w:hint="eastAsia" w:ascii="宋体" w:hAnsi="宋体"/>
          <w:color w:val="auto"/>
          <w:sz w:val="24"/>
          <w:highlight w:val="none"/>
        </w:rPr>
        <w:t xml:space="preserve">                                          投标人（盖公章）：</w:t>
      </w:r>
      <w:r>
        <w:rPr>
          <w:rFonts w:hint="eastAsia" w:ascii="宋体" w:hAnsi="宋体"/>
          <w:color w:val="auto"/>
          <w:sz w:val="24"/>
          <w:highlight w:val="none"/>
          <w:u w:val="single"/>
        </w:rPr>
        <w:t xml:space="preserve">                 </w:t>
      </w:r>
    </w:p>
    <w:p w14:paraId="4A62542F">
      <w:pPr>
        <w:spacing w:line="400" w:lineRule="exact"/>
        <w:contextualSpacing/>
        <w:jc w:val="left"/>
        <w:rPr>
          <w:rFonts w:ascii="宋体" w:hAnsi="宋体"/>
          <w:color w:val="auto"/>
          <w:highlight w:val="none"/>
        </w:rPr>
      </w:pPr>
      <w:r>
        <w:rPr>
          <w:rFonts w:hint="eastAsia" w:ascii="宋体" w:hAnsi="宋体"/>
          <w:color w:val="auto"/>
          <w:sz w:val="24"/>
          <w:highlight w:val="none"/>
        </w:rPr>
        <w:t xml:space="preserve">                                                  年    月    日</w:t>
      </w:r>
    </w:p>
    <w:p w14:paraId="2BC82C1F">
      <w:pPr>
        <w:rPr>
          <w:rFonts w:ascii="宋体" w:hAnsi="宋体"/>
          <w:b/>
          <w:color w:val="auto"/>
          <w:sz w:val="28"/>
          <w:szCs w:val="28"/>
          <w:highlight w:val="none"/>
        </w:rPr>
      </w:pPr>
      <w:bookmarkStart w:id="161" w:name="_Toc19686838"/>
      <w:r>
        <w:rPr>
          <w:rFonts w:ascii="宋体" w:hAnsi="宋体"/>
          <w:b/>
          <w:color w:val="auto"/>
          <w:sz w:val="28"/>
          <w:szCs w:val="28"/>
          <w:highlight w:val="none"/>
        </w:rPr>
        <w:br w:type="page"/>
      </w:r>
      <w:r>
        <w:rPr>
          <w:rFonts w:hint="eastAsia" w:ascii="宋体" w:hAnsi="宋体"/>
          <w:b/>
          <w:color w:val="auto"/>
          <w:sz w:val="28"/>
          <w:szCs w:val="28"/>
          <w:highlight w:val="none"/>
        </w:rPr>
        <w:t>三、商务文件格式</w:t>
      </w:r>
      <w:bookmarkEnd w:id="161"/>
    </w:p>
    <w:p w14:paraId="71DDBD6A">
      <w:pPr>
        <w:snapToGrid w:val="0"/>
        <w:spacing w:before="120" w:beforeLines="50" w:after="50" w:line="360" w:lineRule="auto"/>
        <w:jc w:val="left"/>
        <w:rPr>
          <w:rFonts w:ascii="宋体" w:hAnsi="宋体"/>
          <w:b/>
          <w:color w:val="auto"/>
          <w:sz w:val="24"/>
          <w:highlight w:val="none"/>
        </w:rPr>
      </w:pPr>
      <w:r>
        <w:rPr>
          <w:rFonts w:hint="eastAsia" w:ascii="宋体" w:hAnsi="宋体"/>
          <w:b/>
          <w:color w:val="auto"/>
          <w:sz w:val="24"/>
          <w:highlight w:val="none"/>
        </w:rPr>
        <w:t xml:space="preserve">1.商务文件封面格式： </w:t>
      </w:r>
    </w:p>
    <w:p w14:paraId="5DC9C925">
      <w:pPr>
        <w:snapToGrid w:val="0"/>
        <w:spacing w:before="120" w:beforeLines="50" w:after="50"/>
        <w:rPr>
          <w:rFonts w:ascii="宋体" w:hAnsi="宋体"/>
          <w:bCs/>
          <w:color w:val="auto"/>
          <w:sz w:val="32"/>
          <w:szCs w:val="20"/>
          <w:highlight w:val="none"/>
        </w:rPr>
      </w:pPr>
      <w:r>
        <w:rPr>
          <w:rFonts w:hint="eastAsia" w:ascii="宋体" w:hAnsi="宋体"/>
          <w:color w:val="auto"/>
          <w:sz w:val="24"/>
          <w:highlight w:val="none"/>
        </w:rPr>
        <w:t xml:space="preserve">                                                 </w:t>
      </w:r>
    </w:p>
    <w:p w14:paraId="022447E7">
      <w:pPr>
        <w:snapToGrid w:val="0"/>
        <w:spacing w:before="120" w:beforeLines="50" w:after="50"/>
        <w:rPr>
          <w:rFonts w:ascii="宋体" w:hAnsi="宋体"/>
          <w:color w:val="auto"/>
          <w:sz w:val="24"/>
          <w:szCs w:val="20"/>
          <w:highlight w:val="none"/>
        </w:rPr>
      </w:pPr>
    </w:p>
    <w:p w14:paraId="6350862D">
      <w:pPr>
        <w:snapToGrid w:val="0"/>
        <w:spacing w:before="120" w:beforeLines="50" w:after="50"/>
        <w:rPr>
          <w:rFonts w:ascii="宋体" w:hAnsi="宋体"/>
          <w:color w:val="auto"/>
          <w:sz w:val="24"/>
          <w:szCs w:val="20"/>
          <w:highlight w:val="none"/>
        </w:rPr>
      </w:pPr>
    </w:p>
    <w:p w14:paraId="7351F058">
      <w:pPr>
        <w:snapToGrid w:val="0"/>
        <w:spacing w:before="120" w:beforeLines="50" w:after="50"/>
        <w:rPr>
          <w:rFonts w:ascii="宋体" w:hAnsi="宋体"/>
          <w:color w:val="auto"/>
          <w:sz w:val="24"/>
          <w:szCs w:val="20"/>
          <w:highlight w:val="none"/>
        </w:rPr>
      </w:pPr>
    </w:p>
    <w:p w14:paraId="644294D8">
      <w:pPr>
        <w:snapToGrid w:val="0"/>
        <w:spacing w:before="120" w:beforeLines="50" w:after="50"/>
        <w:jc w:val="center"/>
        <w:rPr>
          <w:rFonts w:ascii="宋体" w:hAnsi="宋体" w:cs="方正小标宋简体"/>
          <w:color w:val="auto"/>
          <w:sz w:val="84"/>
          <w:szCs w:val="84"/>
          <w:highlight w:val="none"/>
        </w:rPr>
      </w:pPr>
      <w:r>
        <w:rPr>
          <w:rFonts w:hint="eastAsia" w:ascii="宋体" w:hAnsi="宋体" w:cs="方正小标宋简体"/>
          <w:color w:val="auto"/>
          <w:sz w:val="84"/>
          <w:szCs w:val="84"/>
          <w:highlight w:val="none"/>
        </w:rPr>
        <w:t>投  标  文  件</w:t>
      </w:r>
    </w:p>
    <w:p w14:paraId="361A0116">
      <w:pPr>
        <w:snapToGrid w:val="0"/>
        <w:spacing w:before="120" w:beforeLines="50" w:after="50"/>
        <w:rPr>
          <w:rFonts w:ascii="宋体" w:hAnsi="宋体"/>
          <w:color w:val="auto"/>
          <w:sz w:val="24"/>
          <w:szCs w:val="20"/>
          <w:highlight w:val="none"/>
        </w:rPr>
      </w:pPr>
    </w:p>
    <w:p w14:paraId="5E42A0C0">
      <w:pPr>
        <w:snapToGrid w:val="0"/>
        <w:spacing w:before="120" w:beforeLines="50" w:after="50"/>
        <w:rPr>
          <w:rFonts w:ascii="宋体" w:hAnsi="宋体"/>
          <w:color w:val="auto"/>
          <w:sz w:val="24"/>
          <w:szCs w:val="20"/>
          <w:highlight w:val="none"/>
        </w:rPr>
      </w:pPr>
    </w:p>
    <w:p w14:paraId="08AB6BBA">
      <w:pPr>
        <w:snapToGrid w:val="0"/>
        <w:spacing w:before="120" w:beforeLines="50" w:after="50"/>
        <w:jc w:val="center"/>
        <w:rPr>
          <w:rFonts w:ascii="宋体" w:hAnsi="宋体" w:cs="方正小标宋简体"/>
          <w:bCs/>
          <w:color w:val="auto"/>
          <w:sz w:val="32"/>
          <w:szCs w:val="32"/>
          <w:highlight w:val="none"/>
        </w:rPr>
      </w:pPr>
      <w:r>
        <w:rPr>
          <w:rFonts w:hint="eastAsia" w:ascii="宋体" w:hAnsi="宋体" w:cs="方正小标宋简体"/>
          <w:bCs/>
          <w:color w:val="auto"/>
          <w:sz w:val="32"/>
          <w:szCs w:val="32"/>
          <w:highlight w:val="none"/>
        </w:rPr>
        <w:t>商  务  文  件</w:t>
      </w:r>
    </w:p>
    <w:p w14:paraId="659A33A9">
      <w:pPr>
        <w:snapToGrid w:val="0"/>
        <w:spacing w:before="120" w:beforeLines="50" w:after="50"/>
        <w:rPr>
          <w:rFonts w:ascii="宋体" w:hAnsi="宋体"/>
          <w:bCs/>
          <w:color w:val="auto"/>
          <w:sz w:val="24"/>
          <w:szCs w:val="20"/>
          <w:highlight w:val="none"/>
        </w:rPr>
      </w:pPr>
    </w:p>
    <w:p w14:paraId="2328C487">
      <w:pPr>
        <w:snapToGrid w:val="0"/>
        <w:spacing w:before="120" w:beforeLines="50" w:after="50"/>
        <w:ind w:firstLine="540" w:firstLineChars="225"/>
        <w:rPr>
          <w:rFonts w:ascii="宋体" w:hAnsi="宋体"/>
          <w:bCs/>
          <w:color w:val="auto"/>
          <w:sz w:val="24"/>
          <w:highlight w:val="none"/>
        </w:rPr>
      </w:pPr>
    </w:p>
    <w:p w14:paraId="22913ED5">
      <w:pPr>
        <w:snapToGrid w:val="0"/>
        <w:spacing w:before="120" w:beforeLines="50" w:after="50"/>
        <w:ind w:firstLine="540" w:firstLineChars="225"/>
        <w:rPr>
          <w:rFonts w:ascii="宋体" w:hAnsi="宋体"/>
          <w:bCs/>
          <w:color w:val="auto"/>
          <w:sz w:val="24"/>
          <w:highlight w:val="none"/>
        </w:rPr>
      </w:pPr>
    </w:p>
    <w:p w14:paraId="4D1AC926">
      <w:pPr>
        <w:snapToGrid w:val="0"/>
        <w:spacing w:before="120" w:beforeLines="50" w:after="50"/>
        <w:ind w:firstLine="540" w:firstLineChars="225"/>
        <w:rPr>
          <w:rFonts w:ascii="宋体" w:hAnsi="宋体"/>
          <w:bCs/>
          <w:color w:val="auto"/>
          <w:sz w:val="24"/>
          <w:highlight w:val="none"/>
        </w:rPr>
      </w:pPr>
    </w:p>
    <w:p w14:paraId="25886E8C">
      <w:pPr>
        <w:snapToGrid w:val="0"/>
        <w:spacing w:before="120"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项目名称：</w:t>
      </w:r>
    </w:p>
    <w:p w14:paraId="34A9870B">
      <w:pPr>
        <w:snapToGrid w:val="0"/>
        <w:spacing w:before="120" w:beforeLines="50" w:after="50"/>
        <w:ind w:firstLine="540" w:firstLineChars="225"/>
        <w:rPr>
          <w:rFonts w:ascii="宋体" w:hAnsi="宋体"/>
          <w:bCs/>
          <w:color w:val="auto"/>
          <w:sz w:val="24"/>
          <w:szCs w:val="20"/>
          <w:highlight w:val="none"/>
        </w:rPr>
      </w:pPr>
    </w:p>
    <w:p w14:paraId="22A78C29">
      <w:pPr>
        <w:snapToGrid w:val="0"/>
        <w:spacing w:before="120" w:beforeLines="50" w:after="50"/>
        <w:ind w:firstLine="540" w:firstLineChars="225"/>
        <w:rPr>
          <w:rFonts w:ascii="宋体" w:hAnsi="宋体"/>
          <w:bCs/>
          <w:color w:val="auto"/>
          <w:sz w:val="24"/>
          <w:highlight w:val="none"/>
        </w:rPr>
      </w:pPr>
      <w:r>
        <w:rPr>
          <w:rFonts w:hint="eastAsia" w:ascii="宋体" w:hAnsi="宋体"/>
          <w:bCs/>
          <w:color w:val="auto"/>
          <w:sz w:val="24"/>
          <w:highlight w:val="none"/>
        </w:rPr>
        <w:t>项目编号：</w:t>
      </w:r>
    </w:p>
    <w:p w14:paraId="63C25F66">
      <w:pPr>
        <w:snapToGrid w:val="0"/>
        <w:spacing w:before="120" w:beforeLines="50" w:after="50"/>
        <w:ind w:firstLine="540" w:firstLineChars="225"/>
        <w:rPr>
          <w:rFonts w:ascii="宋体" w:hAnsi="宋体"/>
          <w:bCs/>
          <w:color w:val="auto"/>
          <w:sz w:val="24"/>
          <w:szCs w:val="20"/>
          <w:highlight w:val="none"/>
        </w:rPr>
      </w:pPr>
      <w:r>
        <w:rPr>
          <w:rFonts w:hint="eastAsia" w:ascii="宋体" w:hAnsi="宋体"/>
          <w:bCs/>
          <w:color w:val="auto"/>
          <w:sz w:val="24"/>
          <w:highlight w:val="none"/>
        </w:rPr>
        <w:t xml:space="preserve"> </w:t>
      </w:r>
    </w:p>
    <w:p w14:paraId="787C79E2">
      <w:pPr>
        <w:snapToGrid w:val="0"/>
        <w:spacing w:before="120" w:beforeLines="50" w:after="50"/>
        <w:ind w:firstLine="540" w:firstLineChars="225"/>
        <w:rPr>
          <w:rFonts w:ascii="宋体" w:hAnsi="宋体"/>
          <w:bCs/>
          <w:color w:val="auto"/>
          <w:sz w:val="24"/>
          <w:highlight w:val="none"/>
        </w:rPr>
      </w:pPr>
      <w:r>
        <w:rPr>
          <w:rFonts w:hint="eastAsia" w:ascii="宋体" w:hAnsi="宋体"/>
          <w:bCs/>
          <w:color w:val="auto"/>
          <w:sz w:val="24"/>
          <w:highlight w:val="none"/>
        </w:rPr>
        <w:t>所投分标：</w:t>
      </w:r>
    </w:p>
    <w:p w14:paraId="01054BE4">
      <w:pPr>
        <w:snapToGrid w:val="0"/>
        <w:spacing w:before="120" w:beforeLines="50" w:after="50"/>
        <w:ind w:firstLine="540" w:firstLineChars="225"/>
        <w:rPr>
          <w:rFonts w:ascii="宋体" w:hAnsi="宋体"/>
          <w:bCs/>
          <w:color w:val="auto"/>
          <w:sz w:val="24"/>
          <w:szCs w:val="20"/>
          <w:highlight w:val="none"/>
        </w:rPr>
      </w:pPr>
    </w:p>
    <w:p w14:paraId="0E5DD4E2">
      <w:pPr>
        <w:pStyle w:val="9"/>
        <w:snapToGrid w:val="0"/>
        <w:spacing w:before="50" w:after="50"/>
        <w:ind w:firstLine="540" w:firstLineChars="225"/>
        <w:rPr>
          <w:rFonts w:ascii="宋体" w:hAnsi="宋体"/>
          <w:bCs/>
          <w:color w:val="auto"/>
          <w:sz w:val="24"/>
          <w:szCs w:val="24"/>
          <w:highlight w:val="none"/>
        </w:rPr>
      </w:pPr>
      <w:r>
        <w:rPr>
          <w:rFonts w:hint="eastAsia" w:ascii="宋体" w:hAnsi="宋体"/>
          <w:bCs/>
          <w:color w:val="auto"/>
          <w:sz w:val="24"/>
          <w:szCs w:val="24"/>
          <w:highlight w:val="none"/>
        </w:rPr>
        <w:t>投标人名称：</w:t>
      </w:r>
    </w:p>
    <w:p w14:paraId="0911FC15">
      <w:pPr>
        <w:pStyle w:val="9"/>
        <w:snapToGrid w:val="0"/>
        <w:spacing w:before="50" w:after="50"/>
        <w:ind w:firstLine="540" w:firstLineChars="225"/>
        <w:rPr>
          <w:rFonts w:ascii="宋体" w:hAnsi="宋体"/>
          <w:bCs/>
          <w:color w:val="auto"/>
          <w:sz w:val="24"/>
          <w:szCs w:val="24"/>
          <w:highlight w:val="none"/>
        </w:rPr>
      </w:pPr>
    </w:p>
    <w:p w14:paraId="700CC0CC">
      <w:pPr>
        <w:pStyle w:val="9"/>
        <w:snapToGrid w:val="0"/>
        <w:spacing w:before="50" w:after="50"/>
        <w:ind w:firstLine="540" w:firstLineChars="225"/>
        <w:rPr>
          <w:rFonts w:ascii="宋体" w:hAnsi="宋体"/>
          <w:bCs/>
          <w:color w:val="auto"/>
          <w:sz w:val="24"/>
          <w:szCs w:val="24"/>
          <w:highlight w:val="none"/>
        </w:rPr>
      </w:pPr>
      <w:r>
        <w:rPr>
          <w:rFonts w:hint="eastAsia" w:ascii="宋体" w:hAnsi="宋体"/>
          <w:bCs/>
          <w:color w:val="auto"/>
          <w:sz w:val="24"/>
          <w:szCs w:val="24"/>
          <w:highlight w:val="none"/>
        </w:rPr>
        <w:t>投标人地址：</w:t>
      </w:r>
    </w:p>
    <w:p w14:paraId="5753CFB6">
      <w:pPr>
        <w:pStyle w:val="9"/>
        <w:snapToGrid w:val="0"/>
        <w:spacing w:before="50" w:after="50"/>
        <w:ind w:firstLine="960" w:firstLineChars="400"/>
        <w:rPr>
          <w:rFonts w:ascii="宋体" w:hAnsi="宋体"/>
          <w:bCs/>
          <w:color w:val="auto"/>
          <w:sz w:val="24"/>
          <w:szCs w:val="24"/>
          <w:highlight w:val="none"/>
        </w:rPr>
      </w:pPr>
    </w:p>
    <w:p w14:paraId="419B544E">
      <w:pPr>
        <w:snapToGrid w:val="0"/>
        <w:spacing w:before="120" w:beforeLines="50" w:after="50"/>
        <w:ind w:firstLine="645"/>
        <w:rPr>
          <w:rFonts w:ascii="宋体" w:hAnsi="宋体"/>
          <w:color w:val="auto"/>
          <w:sz w:val="24"/>
          <w:highlight w:val="none"/>
        </w:rPr>
      </w:pPr>
      <w:r>
        <w:rPr>
          <w:rFonts w:hint="eastAsia" w:ascii="宋体" w:hAnsi="宋体"/>
          <w:color w:val="auto"/>
          <w:sz w:val="24"/>
          <w:highlight w:val="none"/>
        </w:rPr>
        <w:t xml:space="preserve">                        年  月  日</w:t>
      </w:r>
    </w:p>
    <w:p w14:paraId="551122C1">
      <w:pPr>
        <w:snapToGrid w:val="0"/>
        <w:spacing w:before="120" w:beforeLines="50" w:after="50"/>
        <w:rPr>
          <w:rFonts w:ascii="宋体" w:hAnsi="宋体"/>
          <w:color w:val="auto"/>
          <w:sz w:val="24"/>
          <w:szCs w:val="20"/>
          <w:highlight w:val="none"/>
        </w:rPr>
      </w:pPr>
      <w:r>
        <w:rPr>
          <w:rFonts w:ascii="宋体" w:hAnsi="宋体"/>
          <w:color w:val="auto"/>
          <w:sz w:val="24"/>
          <w:szCs w:val="20"/>
          <w:highlight w:val="none"/>
        </w:rPr>
        <w:t xml:space="preserve"> </w:t>
      </w:r>
    </w:p>
    <w:p w14:paraId="2C04D463">
      <w:pPr>
        <w:snapToGrid w:val="0"/>
        <w:spacing w:line="360" w:lineRule="auto"/>
        <w:jc w:val="left"/>
        <w:rPr>
          <w:rFonts w:ascii="宋体" w:hAnsi="宋体"/>
          <w:b/>
          <w:bCs/>
          <w:color w:val="auto"/>
          <w:sz w:val="28"/>
          <w:szCs w:val="28"/>
          <w:highlight w:val="none"/>
        </w:rPr>
      </w:pPr>
      <w:r>
        <w:rPr>
          <w:rFonts w:ascii="宋体" w:hAnsi="宋体"/>
          <w:color w:val="auto"/>
          <w:sz w:val="24"/>
          <w:szCs w:val="20"/>
          <w:highlight w:val="none"/>
        </w:rPr>
        <w:br w:type="page"/>
      </w:r>
      <w:r>
        <w:rPr>
          <w:rFonts w:hint="eastAsia" w:ascii="宋体" w:hAnsi="宋体"/>
          <w:b/>
          <w:bCs/>
          <w:color w:val="auto"/>
          <w:sz w:val="24"/>
          <w:highlight w:val="none"/>
        </w:rPr>
        <w:t>2.商务文件目录</w:t>
      </w:r>
    </w:p>
    <w:p w14:paraId="231DE9C4">
      <w:pPr>
        <w:snapToGrid w:val="0"/>
        <w:spacing w:before="50" w:after="120" w:afterLines="50" w:line="360" w:lineRule="auto"/>
        <w:ind w:firstLine="480" w:firstLineChars="200"/>
        <w:jc w:val="left"/>
        <w:rPr>
          <w:rFonts w:ascii="宋体" w:hAnsi="宋体"/>
          <w:b/>
          <w:bCs/>
          <w:color w:val="auto"/>
          <w:sz w:val="32"/>
          <w:szCs w:val="32"/>
          <w:highlight w:val="none"/>
        </w:rPr>
      </w:pPr>
      <w:r>
        <w:rPr>
          <w:rFonts w:hint="eastAsia" w:ascii="宋体" w:hAnsi="宋体"/>
          <w:color w:val="auto"/>
          <w:sz w:val="24"/>
          <w:highlight w:val="none"/>
        </w:rPr>
        <w:t>根据招标文件规定及投标人提供的材料自行编写目录。</w:t>
      </w:r>
    </w:p>
    <w:p w14:paraId="56590536">
      <w:pPr>
        <w:snapToGrid w:val="0"/>
        <w:spacing w:before="50" w:after="120" w:afterLines="50"/>
        <w:jc w:val="left"/>
        <w:rPr>
          <w:rFonts w:ascii="宋体" w:hAnsi="宋体"/>
          <w:color w:val="auto"/>
          <w:highlight w:val="none"/>
        </w:rPr>
      </w:pPr>
    </w:p>
    <w:p w14:paraId="42E757AF">
      <w:pPr>
        <w:snapToGrid w:val="0"/>
        <w:spacing w:before="120" w:beforeLines="50" w:after="50"/>
        <w:jc w:val="left"/>
        <w:rPr>
          <w:rFonts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3.投标人参加本项目无围标串标行为的承诺</w:t>
      </w:r>
    </w:p>
    <w:p w14:paraId="48D1ED12">
      <w:pPr>
        <w:snapToGrid w:val="0"/>
        <w:spacing w:before="120" w:beforeLines="50" w:after="50"/>
        <w:jc w:val="left"/>
        <w:rPr>
          <w:rFonts w:ascii="宋体" w:hAnsi="宋体"/>
          <w:b/>
          <w:color w:val="auto"/>
          <w:sz w:val="24"/>
          <w:highlight w:val="none"/>
        </w:rPr>
      </w:pPr>
    </w:p>
    <w:p w14:paraId="14B0F7AD">
      <w:pPr>
        <w:spacing w:line="360" w:lineRule="auto"/>
        <w:ind w:left="420"/>
        <w:contextualSpacing/>
        <w:jc w:val="center"/>
        <w:rPr>
          <w:rFonts w:ascii="宋体" w:hAnsi="宋体"/>
          <w:b/>
          <w:color w:val="auto"/>
          <w:sz w:val="24"/>
          <w:highlight w:val="none"/>
        </w:rPr>
      </w:pPr>
      <w:r>
        <w:rPr>
          <w:rFonts w:hint="eastAsia" w:ascii="宋体" w:hAnsi="宋体" w:cs="方正小标宋简体"/>
          <w:bCs/>
          <w:color w:val="auto"/>
          <w:spacing w:val="-11"/>
          <w:sz w:val="44"/>
          <w:szCs w:val="44"/>
          <w:highlight w:val="none"/>
        </w:rPr>
        <w:t>投标人参加本项目无围标串标行为的承诺函</w:t>
      </w:r>
    </w:p>
    <w:p w14:paraId="6BD31179">
      <w:pPr>
        <w:spacing w:line="440" w:lineRule="exact"/>
        <w:contextualSpacing/>
        <w:jc w:val="left"/>
        <w:rPr>
          <w:rFonts w:ascii="宋体" w:hAnsi="宋体"/>
          <w:b/>
          <w:color w:val="auto"/>
          <w:sz w:val="24"/>
          <w:highlight w:val="none"/>
        </w:rPr>
      </w:pPr>
      <w:r>
        <w:rPr>
          <w:rFonts w:hint="eastAsia" w:ascii="宋体" w:hAnsi="宋体"/>
          <w:b/>
          <w:color w:val="auto"/>
          <w:sz w:val="24"/>
          <w:highlight w:val="none"/>
        </w:rPr>
        <w:t>一、我方承诺无下列相互串通投标的情形：</w:t>
      </w:r>
    </w:p>
    <w:p w14:paraId="40A5FDD0">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1.不同投标人的投标文件由同一单位或者个人编制；</w:t>
      </w:r>
    </w:p>
    <w:p w14:paraId="47933EF2">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2.不同投标人委托同一单位或者个人办理投标事宜；</w:t>
      </w:r>
    </w:p>
    <w:p w14:paraId="59DC26DB">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3.不同的投标人的投标文件载明的项目管理员为同一个人；</w:t>
      </w:r>
    </w:p>
    <w:p w14:paraId="31D3BFAA">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4.不同投标人的投标文件异常一致或者投标报价呈规律性差异；</w:t>
      </w:r>
    </w:p>
    <w:p w14:paraId="4D2BE738">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5.不同投标人的投标文件相互混装；</w:t>
      </w:r>
    </w:p>
    <w:p w14:paraId="3111B11A">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6.不同投标人的投标保证金从同一单位或者个人账户转出。</w:t>
      </w:r>
    </w:p>
    <w:p w14:paraId="451519E1">
      <w:pPr>
        <w:spacing w:line="440" w:lineRule="exact"/>
        <w:contextualSpacing/>
        <w:jc w:val="left"/>
        <w:rPr>
          <w:rFonts w:ascii="宋体" w:hAnsi="宋体"/>
          <w:color w:val="auto"/>
          <w:sz w:val="24"/>
          <w:highlight w:val="none"/>
        </w:rPr>
      </w:pPr>
      <w:r>
        <w:rPr>
          <w:rFonts w:hint="eastAsia" w:ascii="宋体" w:hAnsi="宋体"/>
          <w:b/>
          <w:color w:val="auto"/>
          <w:sz w:val="24"/>
          <w:highlight w:val="none"/>
        </w:rPr>
        <w:t>二、我方承诺无下列恶意串通的情形：</w:t>
      </w:r>
    </w:p>
    <w:p w14:paraId="6A7DD842">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1.投标人直接或者间接从采购人或者采购代理机构处获得其他投标人的相关信息并修改其投标文件或者响应文件；</w:t>
      </w:r>
    </w:p>
    <w:p w14:paraId="30E1F7DA">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2.投标人按照采购人或者采购代理机构的授意撤换、修改投标文件或者响应文件；</w:t>
      </w:r>
    </w:p>
    <w:p w14:paraId="26043417">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3.投标人之间协商报价、技术方案等投标文件或者响应文件的实质性内容；</w:t>
      </w:r>
    </w:p>
    <w:p w14:paraId="4C512D89">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4.属于同一集团、协会、商会等组织成员的投标人按照该组织要求协同参加政府采购活动；</w:t>
      </w:r>
    </w:p>
    <w:p w14:paraId="16DFEF10">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5.投标人之间事先约定一致抬高或者压低投标报价，或者在招标项目中事先约定轮流以高价位或者低价位中标，或者事先约定由某一特定投标人中标，然后再参加投标；</w:t>
      </w:r>
    </w:p>
    <w:p w14:paraId="57DBD6E8">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6.投标人之间商定部分投标人放弃参加政府采购活动或者放弃中标；</w:t>
      </w:r>
    </w:p>
    <w:p w14:paraId="6B0CF32A">
      <w:pPr>
        <w:spacing w:line="440" w:lineRule="exact"/>
        <w:ind w:firstLine="470" w:firstLineChars="196"/>
        <w:contextualSpacing/>
        <w:jc w:val="left"/>
        <w:rPr>
          <w:rFonts w:ascii="宋体" w:hAnsi="宋体"/>
          <w:color w:val="auto"/>
          <w:sz w:val="24"/>
          <w:highlight w:val="none"/>
        </w:rPr>
      </w:pPr>
      <w:r>
        <w:rPr>
          <w:rFonts w:hint="eastAsia" w:ascii="宋体" w:hAnsi="宋体"/>
          <w:color w:val="auto"/>
          <w:sz w:val="24"/>
          <w:highlight w:val="none"/>
        </w:rPr>
        <w:t>7.投标人与采购人或者采购代理机构之间、投标人相互之间，为谋求特定投标人中标或者排斥其他投标人的其他串通行为。</w:t>
      </w:r>
    </w:p>
    <w:p w14:paraId="58326776">
      <w:pPr>
        <w:spacing w:line="440" w:lineRule="exact"/>
        <w:ind w:firstLine="472" w:firstLineChars="196"/>
        <w:contextualSpacing/>
        <w:jc w:val="left"/>
        <w:rPr>
          <w:rFonts w:ascii="宋体" w:hAnsi="宋体"/>
          <w:b/>
          <w:color w:val="auto"/>
          <w:sz w:val="24"/>
          <w:highlight w:val="none"/>
        </w:rPr>
      </w:pPr>
      <w:r>
        <w:rPr>
          <w:rFonts w:hint="eastAsia" w:ascii="宋体" w:hAnsi="宋体"/>
          <w:b/>
          <w:color w:val="auto"/>
          <w:sz w:val="24"/>
          <w:highlight w:val="none"/>
        </w:rPr>
        <w:t>以上情形一经核查属实，我方愿意承担一切后果，并不再寻求任何旨在减轻或者免除法律责任的辩解。</w:t>
      </w:r>
    </w:p>
    <w:p w14:paraId="7D7C62E5">
      <w:pPr>
        <w:pStyle w:val="25"/>
        <w:spacing w:line="440" w:lineRule="exact"/>
        <w:ind w:firstLine="6840" w:firstLineChars="2850"/>
        <w:contextualSpacing/>
        <w:rPr>
          <w:rFonts w:hAnsi="宋体"/>
          <w:color w:val="auto"/>
          <w:sz w:val="24"/>
          <w:szCs w:val="24"/>
          <w:highlight w:val="none"/>
        </w:rPr>
      </w:pPr>
    </w:p>
    <w:p w14:paraId="7C46DD41">
      <w:pPr>
        <w:pStyle w:val="25"/>
        <w:spacing w:line="440" w:lineRule="exact"/>
        <w:contextualSpacing/>
        <w:jc w:val="center"/>
        <w:rPr>
          <w:rFonts w:hAnsi="宋体"/>
          <w:color w:val="auto"/>
          <w:sz w:val="24"/>
          <w:szCs w:val="24"/>
          <w:highlight w:val="none"/>
        </w:rPr>
      </w:pPr>
      <w:r>
        <w:rPr>
          <w:rFonts w:hint="eastAsia" w:hAnsi="宋体"/>
          <w:color w:val="auto"/>
          <w:sz w:val="24"/>
          <w:szCs w:val="24"/>
          <w:highlight w:val="none"/>
        </w:rPr>
        <w:t xml:space="preserve"> </w:t>
      </w:r>
      <w:r>
        <w:rPr>
          <w:rFonts w:hAnsi="宋体"/>
          <w:color w:val="auto"/>
          <w:sz w:val="24"/>
          <w:szCs w:val="24"/>
          <w:highlight w:val="none"/>
        </w:rPr>
        <w:t xml:space="preserve">                                   </w:t>
      </w:r>
      <w:r>
        <w:rPr>
          <w:rFonts w:hint="eastAsia" w:hAnsi="宋体"/>
          <w:color w:val="auto"/>
          <w:sz w:val="24"/>
          <w:szCs w:val="24"/>
          <w:highlight w:val="none"/>
        </w:rPr>
        <w:t>投标人名称（公章）</w:t>
      </w:r>
    </w:p>
    <w:p w14:paraId="52AC937F">
      <w:pPr>
        <w:pStyle w:val="25"/>
        <w:spacing w:line="440" w:lineRule="exact"/>
        <w:contextualSpacing/>
        <w:rPr>
          <w:rFonts w:hAnsi="宋体"/>
          <w:color w:val="auto"/>
          <w:sz w:val="24"/>
          <w:highlight w:val="none"/>
        </w:rPr>
      </w:pPr>
      <w:r>
        <w:rPr>
          <w:rFonts w:hint="eastAsia" w:hAnsi="宋体"/>
          <w:color w:val="auto"/>
          <w:sz w:val="24"/>
          <w:highlight w:val="none"/>
        </w:rPr>
        <w:t xml:space="preserve">                                                </w:t>
      </w:r>
      <w:r>
        <w:rPr>
          <w:rFonts w:hint="eastAsia" w:hAnsi="宋体"/>
          <w:color w:val="auto"/>
          <w:sz w:val="24"/>
          <w:highlight w:val="none"/>
          <w:u w:val="single"/>
        </w:rPr>
        <w:t xml:space="preserve">      </w:t>
      </w:r>
      <w:r>
        <w:rPr>
          <w:rFonts w:hint="eastAsia" w:hAnsi="宋体"/>
          <w:color w:val="auto"/>
          <w:sz w:val="24"/>
          <w:highlight w:val="none"/>
        </w:rPr>
        <w:t>年</w:t>
      </w:r>
      <w:r>
        <w:rPr>
          <w:rFonts w:hint="eastAsia" w:hAnsi="宋体"/>
          <w:color w:val="auto"/>
          <w:sz w:val="24"/>
          <w:highlight w:val="none"/>
          <w:u w:val="single"/>
        </w:rPr>
        <w:t xml:space="preserve">    </w:t>
      </w:r>
      <w:r>
        <w:rPr>
          <w:rFonts w:hint="eastAsia" w:hAnsi="宋体"/>
          <w:color w:val="auto"/>
          <w:sz w:val="24"/>
          <w:highlight w:val="none"/>
        </w:rPr>
        <w:t>月</w:t>
      </w:r>
      <w:r>
        <w:rPr>
          <w:rFonts w:hint="eastAsia" w:hAnsi="宋体"/>
          <w:color w:val="auto"/>
          <w:sz w:val="24"/>
          <w:highlight w:val="none"/>
          <w:u w:val="single"/>
        </w:rPr>
        <w:t xml:space="preserve">     </w:t>
      </w:r>
      <w:r>
        <w:rPr>
          <w:rFonts w:hint="eastAsia" w:hAnsi="宋体"/>
          <w:color w:val="auto"/>
          <w:sz w:val="24"/>
          <w:highlight w:val="none"/>
        </w:rPr>
        <w:t>日</w:t>
      </w:r>
    </w:p>
    <w:p w14:paraId="27EA4CD3">
      <w:pPr>
        <w:snapToGrid w:val="0"/>
        <w:spacing w:before="120" w:beforeLines="50" w:after="50"/>
        <w:jc w:val="left"/>
        <w:rPr>
          <w:rFonts w:ascii="宋体" w:hAnsi="宋体"/>
          <w:b/>
          <w:color w:val="auto"/>
          <w:sz w:val="24"/>
          <w:szCs w:val="20"/>
          <w:highlight w:val="none"/>
        </w:rPr>
      </w:pPr>
      <w:r>
        <w:rPr>
          <w:rFonts w:hint="eastAsia" w:ascii="宋体" w:hAnsi="宋体"/>
          <w:b/>
          <w:color w:val="auto"/>
          <w:sz w:val="24"/>
          <w:highlight w:val="none"/>
        </w:rPr>
        <w:br w:type="page"/>
      </w:r>
      <w:r>
        <w:rPr>
          <w:rFonts w:hint="eastAsia" w:ascii="宋体" w:hAnsi="宋体"/>
          <w:b/>
          <w:color w:val="auto"/>
          <w:sz w:val="24"/>
          <w:highlight w:val="none"/>
        </w:rPr>
        <w:t>4.法定代表人身份证明</w:t>
      </w:r>
    </w:p>
    <w:p w14:paraId="61007D76">
      <w:pPr>
        <w:spacing w:before="240" w:beforeLines="100" w:after="120" w:afterLines="50"/>
        <w:ind w:left="540"/>
        <w:jc w:val="center"/>
        <w:rPr>
          <w:rFonts w:ascii="宋体" w:hAnsi="宋体" w:cs="方正小标宋简体"/>
          <w:bCs/>
          <w:color w:val="auto"/>
          <w:sz w:val="44"/>
          <w:szCs w:val="44"/>
          <w:highlight w:val="none"/>
        </w:rPr>
      </w:pPr>
      <w:r>
        <w:rPr>
          <w:rFonts w:hint="eastAsia" w:ascii="宋体" w:hAnsi="宋体" w:cs="方正小标宋简体"/>
          <w:bCs/>
          <w:color w:val="auto"/>
          <w:sz w:val="44"/>
          <w:szCs w:val="44"/>
          <w:highlight w:val="none"/>
        </w:rPr>
        <w:t>法定代表人身份证明</w:t>
      </w:r>
    </w:p>
    <w:p w14:paraId="2B5BF397">
      <w:pPr>
        <w:spacing w:line="500" w:lineRule="exact"/>
        <w:ind w:left="540"/>
        <w:rPr>
          <w:rFonts w:ascii="宋体" w:hAnsi="宋体"/>
          <w:color w:val="auto"/>
          <w:sz w:val="24"/>
          <w:highlight w:val="none"/>
        </w:rPr>
      </w:pPr>
      <w:r>
        <w:rPr>
          <w:rFonts w:hint="eastAsia" w:ascii="宋体" w:hAnsi="宋体"/>
          <w:color w:val="auto"/>
          <w:sz w:val="24"/>
          <w:highlight w:val="none"/>
        </w:rPr>
        <w:t>投 标 人：</w:t>
      </w:r>
      <w:r>
        <w:rPr>
          <w:rFonts w:hint="eastAsia" w:ascii="宋体" w:hAnsi="宋体"/>
          <w:color w:val="auto"/>
          <w:sz w:val="24"/>
          <w:highlight w:val="none"/>
          <w:u w:val="single"/>
        </w:rPr>
        <w:t xml:space="preserve">                                                        </w:t>
      </w:r>
    </w:p>
    <w:p w14:paraId="06AFE31F">
      <w:pPr>
        <w:spacing w:line="500" w:lineRule="exact"/>
        <w:ind w:left="540"/>
        <w:rPr>
          <w:rFonts w:ascii="宋体" w:hAnsi="宋体"/>
          <w:color w:val="auto"/>
          <w:sz w:val="24"/>
          <w:highlight w:val="none"/>
        </w:rPr>
      </w:pPr>
      <w:r>
        <w:rPr>
          <w:rFonts w:hint="eastAsia" w:ascii="宋体" w:hAnsi="宋体"/>
          <w:color w:val="auto"/>
          <w:sz w:val="24"/>
          <w:highlight w:val="none"/>
        </w:rPr>
        <w:t>地    址：</w:t>
      </w:r>
      <w:r>
        <w:rPr>
          <w:rFonts w:hint="eastAsia" w:ascii="宋体" w:hAnsi="宋体"/>
          <w:color w:val="auto"/>
          <w:sz w:val="24"/>
          <w:highlight w:val="none"/>
          <w:u w:val="single"/>
        </w:rPr>
        <w:t xml:space="preserve">                                                        </w:t>
      </w:r>
    </w:p>
    <w:p w14:paraId="3719770A">
      <w:pPr>
        <w:spacing w:line="500" w:lineRule="exact"/>
        <w:ind w:left="540"/>
        <w:rPr>
          <w:rFonts w:ascii="宋体" w:hAnsi="宋体"/>
          <w:color w:val="auto"/>
          <w:sz w:val="24"/>
          <w:highlight w:val="none"/>
        </w:rPr>
      </w:pPr>
      <w:r>
        <w:rPr>
          <w:rFonts w:hint="eastAsia" w:ascii="宋体" w:hAnsi="宋体"/>
          <w:color w:val="auto"/>
          <w:sz w:val="24"/>
          <w:highlight w:val="none"/>
        </w:rPr>
        <w:t>姓    名：</w:t>
      </w:r>
      <w:r>
        <w:rPr>
          <w:rFonts w:hint="eastAsia" w:ascii="宋体" w:hAnsi="宋体"/>
          <w:color w:val="auto"/>
          <w:sz w:val="24"/>
          <w:highlight w:val="none"/>
          <w:u w:val="single"/>
        </w:rPr>
        <w:t xml:space="preserve">                          </w:t>
      </w:r>
      <w:r>
        <w:rPr>
          <w:rFonts w:hint="eastAsia" w:ascii="宋体" w:hAnsi="宋体"/>
          <w:color w:val="auto"/>
          <w:sz w:val="24"/>
          <w:highlight w:val="none"/>
        </w:rPr>
        <w:t>性      别：</w:t>
      </w:r>
      <w:r>
        <w:rPr>
          <w:rFonts w:hint="eastAsia" w:ascii="宋体" w:hAnsi="宋体"/>
          <w:color w:val="auto"/>
          <w:sz w:val="24"/>
          <w:highlight w:val="none"/>
          <w:u w:val="single"/>
        </w:rPr>
        <w:t xml:space="preserve">                </w:t>
      </w:r>
    </w:p>
    <w:p w14:paraId="612BB8D1">
      <w:pPr>
        <w:spacing w:line="500" w:lineRule="exact"/>
        <w:ind w:left="540"/>
        <w:rPr>
          <w:rFonts w:ascii="宋体" w:hAnsi="宋体"/>
          <w:color w:val="auto"/>
          <w:sz w:val="24"/>
          <w:highlight w:val="none"/>
          <w:u w:val="single"/>
        </w:rPr>
      </w:pPr>
      <w:r>
        <w:rPr>
          <w:rFonts w:hint="eastAsia" w:ascii="宋体" w:hAnsi="宋体"/>
          <w:color w:val="auto"/>
          <w:sz w:val="24"/>
          <w:highlight w:val="none"/>
        </w:rPr>
        <w:t>年    龄：</w:t>
      </w:r>
      <w:r>
        <w:rPr>
          <w:rFonts w:hint="eastAsia" w:ascii="宋体" w:hAnsi="宋体"/>
          <w:color w:val="auto"/>
          <w:sz w:val="24"/>
          <w:highlight w:val="none"/>
          <w:u w:val="single"/>
        </w:rPr>
        <w:t xml:space="preserve">                          </w:t>
      </w:r>
      <w:r>
        <w:rPr>
          <w:rFonts w:hint="eastAsia" w:ascii="宋体" w:hAnsi="宋体"/>
          <w:color w:val="auto"/>
          <w:sz w:val="24"/>
          <w:highlight w:val="none"/>
        </w:rPr>
        <w:t>职      务：</w:t>
      </w:r>
      <w:r>
        <w:rPr>
          <w:rFonts w:hint="eastAsia" w:ascii="宋体" w:hAnsi="宋体"/>
          <w:color w:val="auto"/>
          <w:sz w:val="24"/>
          <w:highlight w:val="none"/>
          <w:u w:val="single"/>
        </w:rPr>
        <w:t xml:space="preserve">                </w:t>
      </w:r>
    </w:p>
    <w:p w14:paraId="5362CD1C">
      <w:pPr>
        <w:spacing w:line="500" w:lineRule="exact"/>
        <w:ind w:left="540"/>
        <w:rPr>
          <w:rFonts w:ascii="宋体" w:hAnsi="宋体"/>
          <w:color w:val="auto"/>
          <w:sz w:val="24"/>
          <w:highlight w:val="none"/>
        </w:rPr>
      </w:pPr>
      <w:r>
        <w:rPr>
          <w:rFonts w:hint="eastAsia" w:ascii="宋体" w:hAnsi="宋体"/>
          <w:color w:val="auto"/>
          <w:sz w:val="24"/>
          <w:highlight w:val="none"/>
        </w:rPr>
        <w:t>身份证号码：</w:t>
      </w:r>
      <w:r>
        <w:rPr>
          <w:rFonts w:hint="eastAsia" w:ascii="宋体" w:hAnsi="宋体"/>
          <w:color w:val="auto"/>
          <w:sz w:val="24"/>
          <w:highlight w:val="none"/>
          <w:u w:val="single"/>
        </w:rPr>
        <w:t xml:space="preserve">                                 </w:t>
      </w:r>
    </w:p>
    <w:p w14:paraId="0EF7FE88">
      <w:pPr>
        <w:spacing w:line="500" w:lineRule="exact"/>
        <w:ind w:left="540"/>
        <w:rPr>
          <w:rFonts w:ascii="宋体" w:hAnsi="宋体"/>
          <w:color w:val="auto"/>
          <w:sz w:val="24"/>
          <w:highlight w:val="none"/>
        </w:rPr>
      </w:pPr>
      <w:r>
        <w:rPr>
          <w:rFonts w:hint="eastAsia" w:ascii="宋体" w:hAnsi="宋体"/>
          <w:color w:val="auto"/>
          <w:sz w:val="24"/>
          <w:highlight w:val="none"/>
        </w:rPr>
        <w:t>系</w:t>
      </w:r>
      <w:r>
        <w:rPr>
          <w:rFonts w:hint="eastAsia" w:ascii="宋体" w:hAnsi="宋体"/>
          <w:color w:val="auto"/>
          <w:sz w:val="24"/>
          <w:highlight w:val="none"/>
          <w:u w:val="single"/>
        </w:rPr>
        <w:t xml:space="preserve">            （投标人名称）              </w:t>
      </w:r>
      <w:r>
        <w:rPr>
          <w:rFonts w:hint="eastAsia" w:ascii="宋体" w:hAnsi="宋体"/>
          <w:color w:val="auto"/>
          <w:sz w:val="24"/>
          <w:highlight w:val="none"/>
        </w:rPr>
        <w:t>的法定代表人。</w:t>
      </w:r>
    </w:p>
    <w:p w14:paraId="636BBB71">
      <w:pPr>
        <w:spacing w:line="500" w:lineRule="exact"/>
        <w:ind w:left="540"/>
        <w:rPr>
          <w:rFonts w:ascii="宋体" w:hAnsi="宋体"/>
          <w:color w:val="auto"/>
          <w:sz w:val="24"/>
          <w:highlight w:val="none"/>
        </w:rPr>
      </w:pPr>
      <w:r>
        <w:rPr>
          <w:rFonts w:hint="eastAsia" w:ascii="宋体" w:hAnsi="宋体"/>
          <w:color w:val="auto"/>
          <w:sz w:val="24"/>
          <w:highlight w:val="none"/>
        </w:rPr>
        <w:t>特此证明。</w:t>
      </w:r>
    </w:p>
    <w:p w14:paraId="20DD3CC3">
      <w:pPr>
        <w:spacing w:line="500" w:lineRule="exact"/>
        <w:ind w:left="540"/>
        <w:rPr>
          <w:rFonts w:ascii="宋体" w:hAnsi="宋体"/>
          <w:color w:val="auto"/>
          <w:sz w:val="24"/>
          <w:highlight w:val="none"/>
        </w:rPr>
      </w:pPr>
    </w:p>
    <w:p w14:paraId="131A3B80">
      <w:pPr>
        <w:spacing w:line="500" w:lineRule="exact"/>
        <w:ind w:left="540"/>
        <w:rPr>
          <w:rFonts w:ascii="宋体" w:hAnsi="宋体"/>
          <w:color w:val="auto"/>
          <w:sz w:val="24"/>
          <w:highlight w:val="none"/>
        </w:rPr>
      </w:pPr>
    </w:p>
    <w:p w14:paraId="5064FB90">
      <w:pPr>
        <w:spacing w:line="500" w:lineRule="exact"/>
        <w:ind w:left="540"/>
        <w:rPr>
          <w:rFonts w:ascii="宋体" w:hAnsi="宋体"/>
          <w:color w:val="auto"/>
          <w:sz w:val="24"/>
          <w:highlight w:val="none"/>
        </w:rPr>
      </w:pPr>
      <w:r>
        <w:rPr>
          <w:rFonts w:hint="eastAsia" w:ascii="宋体" w:hAnsi="宋体"/>
          <w:color w:val="auto"/>
          <w:sz w:val="24"/>
          <w:highlight w:val="none"/>
        </w:rPr>
        <w:t>附件：法定代表人有效身份证正反面复印件</w:t>
      </w:r>
    </w:p>
    <w:p w14:paraId="0A72D0DA">
      <w:pPr>
        <w:spacing w:line="500" w:lineRule="exact"/>
        <w:ind w:left="540"/>
        <w:rPr>
          <w:rFonts w:ascii="宋体" w:hAnsi="宋体"/>
          <w:color w:val="auto"/>
          <w:sz w:val="24"/>
          <w:highlight w:val="none"/>
        </w:rPr>
      </w:pPr>
    </w:p>
    <w:p w14:paraId="2FA2EEB5">
      <w:pPr>
        <w:spacing w:line="500" w:lineRule="exact"/>
        <w:ind w:left="540"/>
        <w:jc w:val="right"/>
        <w:rPr>
          <w:rFonts w:ascii="宋体" w:hAnsi="宋体"/>
          <w:color w:val="auto"/>
          <w:sz w:val="24"/>
          <w:highlight w:val="none"/>
        </w:rPr>
      </w:pPr>
      <w:r>
        <w:rPr>
          <w:rFonts w:hint="eastAsia" w:ascii="宋体" w:hAnsi="宋体"/>
          <w:color w:val="auto"/>
          <w:sz w:val="24"/>
          <w:highlight w:val="none"/>
        </w:rPr>
        <w:t>投标人名称（公章）</w:t>
      </w:r>
    </w:p>
    <w:p w14:paraId="5C53FB58">
      <w:pPr>
        <w:spacing w:line="500" w:lineRule="exact"/>
        <w:ind w:left="540"/>
        <w:jc w:val="right"/>
        <w:rPr>
          <w:rFonts w:ascii="宋体" w:hAnsi="宋体"/>
          <w:color w:val="auto"/>
          <w:sz w:val="24"/>
          <w:highlight w:val="none"/>
        </w:rPr>
      </w:pPr>
    </w:p>
    <w:p w14:paraId="3BB7EDFC">
      <w:pPr>
        <w:snapToGrid w:val="0"/>
        <w:spacing w:before="120" w:beforeLines="50" w:after="50"/>
        <w:ind w:left="540"/>
        <w:jc w:val="right"/>
        <w:rPr>
          <w:rFonts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14:paraId="16ED3421">
      <w:pPr>
        <w:snapToGrid w:val="0"/>
        <w:spacing w:before="120" w:beforeLines="50" w:after="50"/>
        <w:jc w:val="center"/>
        <w:rPr>
          <w:rFonts w:ascii="宋体" w:hAnsi="宋体"/>
          <w:b/>
          <w:color w:val="auto"/>
          <w:sz w:val="24"/>
          <w:highlight w:val="none"/>
        </w:rPr>
      </w:pPr>
    </w:p>
    <w:p w14:paraId="09E1F171">
      <w:pPr>
        <w:snapToGrid w:val="0"/>
        <w:spacing w:before="120" w:beforeLines="50" w:after="50"/>
        <w:jc w:val="left"/>
        <w:rPr>
          <w:rFonts w:ascii="宋体" w:hAnsi="宋体"/>
          <w:b/>
          <w:color w:val="auto"/>
          <w:sz w:val="24"/>
          <w:szCs w:val="20"/>
          <w:highlight w:val="none"/>
        </w:rPr>
      </w:pPr>
      <w:r>
        <w:rPr>
          <w:rFonts w:hint="eastAsia" w:ascii="宋体" w:hAnsi="宋体"/>
          <w:color w:val="auto"/>
          <w:sz w:val="24"/>
          <w:highlight w:val="none"/>
        </w:rPr>
        <w:t>注：自然人投标的无需提供</w:t>
      </w:r>
    </w:p>
    <w:p w14:paraId="68D959D3">
      <w:pPr>
        <w:snapToGrid w:val="0"/>
        <w:spacing w:before="120" w:beforeLines="50" w:after="50"/>
        <w:jc w:val="left"/>
        <w:rPr>
          <w:rFonts w:ascii="宋体" w:hAnsi="宋体"/>
          <w:b/>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rPr>
        <w:t>5.授权委托书格式</w:t>
      </w:r>
    </w:p>
    <w:p w14:paraId="3D8CC9BF">
      <w:pPr>
        <w:snapToGrid w:val="0"/>
        <w:spacing w:before="120" w:beforeLines="50" w:after="50"/>
        <w:jc w:val="center"/>
        <w:rPr>
          <w:rFonts w:ascii="宋体" w:hAnsi="宋体"/>
          <w:b/>
          <w:color w:val="auto"/>
          <w:sz w:val="44"/>
          <w:szCs w:val="44"/>
          <w:highlight w:val="none"/>
        </w:rPr>
      </w:pPr>
    </w:p>
    <w:p w14:paraId="097E3E89">
      <w:pPr>
        <w:spacing w:line="360" w:lineRule="auto"/>
        <w:contextualSpacing/>
        <w:jc w:val="center"/>
        <w:rPr>
          <w:rFonts w:ascii="宋体" w:hAnsi="宋体" w:cs="方正小标宋简体"/>
          <w:bCs/>
          <w:color w:val="auto"/>
          <w:sz w:val="44"/>
          <w:szCs w:val="44"/>
          <w:highlight w:val="none"/>
        </w:rPr>
      </w:pPr>
      <w:r>
        <w:rPr>
          <w:rFonts w:hint="eastAsia" w:ascii="宋体" w:hAnsi="宋体" w:cs="方正小标宋简体"/>
          <w:bCs/>
          <w:color w:val="auto"/>
          <w:sz w:val="44"/>
          <w:szCs w:val="44"/>
          <w:highlight w:val="none"/>
        </w:rPr>
        <w:t>授权委托书</w:t>
      </w:r>
    </w:p>
    <w:p w14:paraId="717ED7B6">
      <w:pPr>
        <w:spacing w:line="360" w:lineRule="auto"/>
        <w:contextualSpacing/>
        <w:jc w:val="center"/>
        <w:rPr>
          <w:rFonts w:ascii="宋体" w:hAnsi="宋体" w:cs="方正小标宋简体"/>
          <w:bCs/>
          <w:color w:val="auto"/>
          <w:sz w:val="32"/>
          <w:szCs w:val="32"/>
          <w:highlight w:val="none"/>
        </w:rPr>
      </w:pPr>
      <w:r>
        <w:rPr>
          <w:rFonts w:hint="eastAsia" w:ascii="宋体" w:hAnsi="宋体" w:cs="方正小标宋简体"/>
          <w:bCs/>
          <w:color w:val="auto"/>
          <w:sz w:val="32"/>
          <w:szCs w:val="32"/>
          <w:highlight w:val="none"/>
        </w:rPr>
        <w:t>（非联合体投标格式）</w:t>
      </w:r>
    </w:p>
    <w:p w14:paraId="5DAA6DD2">
      <w:pPr>
        <w:spacing w:line="360" w:lineRule="auto"/>
        <w:contextualSpacing/>
        <w:jc w:val="center"/>
        <w:rPr>
          <w:rFonts w:ascii="宋体" w:hAnsi="宋体" w:cs="方正小标宋简体"/>
          <w:bCs/>
          <w:color w:val="auto"/>
          <w:sz w:val="24"/>
          <w:highlight w:val="none"/>
        </w:rPr>
      </w:pPr>
      <w:r>
        <w:rPr>
          <w:rFonts w:hint="eastAsia" w:ascii="宋体" w:hAnsi="宋体" w:cs="方正小标宋简体"/>
          <w:bCs/>
          <w:color w:val="auto"/>
          <w:sz w:val="32"/>
          <w:szCs w:val="32"/>
          <w:highlight w:val="none"/>
        </w:rPr>
        <w:t>（如有委托时）</w:t>
      </w:r>
    </w:p>
    <w:p w14:paraId="3F59FCA0">
      <w:pPr>
        <w:spacing w:line="440" w:lineRule="exact"/>
        <w:contextualSpacing/>
        <w:jc w:val="center"/>
        <w:rPr>
          <w:rFonts w:ascii="宋体" w:hAnsi="宋体"/>
          <w:b/>
          <w:color w:val="auto"/>
          <w:sz w:val="24"/>
          <w:highlight w:val="none"/>
        </w:rPr>
      </w:pPr>
    </w:p>
    <w:p w14:paraId="063FA595">
      <w:pPr>
        <w:spacing w:line="440" w:lineRule="exact"/>
        <w:contextualSpacing/>
        <w:rPr>
          <w:rFonts w:ascii="宋体" w:hAnsi="宋体"/>
          <w:b/>
          <w:bCs/>
          <w:color w:val="auto"/>
          <w:sz w:val="24"/>
          <w:highlight w:val="none"/>
        </w:rPr>
      </w:pPr>
      <w:r>
        <w:rPr>
          <w:rFonts w:hint="eastAsia" w:ascii="宋体" w:hAnsi="宋体"/>
          <w:bCs/>
          <w:color w:val="auto"/>
          <w:sz w:val="24"/>
          <w:highlight w:val="none"/>
        </w:rPr>
        <w:t>致：</w:t>
      </w:r>
      <w:r>
        <w:rPr>
          <w:rFonts w:hint="eastAsia" w:ascii="宋体" w:hAnsi="宋体"/>
          <w:color w:val="auto"/>
          <w:sz w:val="24"/>
          <w:highlight w:val="none"/>
          <w:u w:val="single"/>
        </w:rPr>
        <w:t>采购人名称</w:t>
      </w:r>
      <w:r>
        <w:rPr>
          <w:rFonts w:hint="eastAsia" w:ascii="宋体" w:hAnsi="宋体"/>
          <w:color w:val="auto"/>
          <w:sz w:val="24"/>
          <w:highlight w:val="none"/>
        </w:rPr>
        <w:t>：</w:t>
      </w:r>
    </w:p>
    <w:p w14:paraId="3C0B6826">
      <w:pPr>
        <w:spacing w:line="440" w:lineRule="exact"/>
        <w:ind w:firstLine="566" w:firstLineChars="236"/>
        <w:contextualSpacing/>
        <w:rPr>
          <w:rFonts w:ascii="宋体" w:hAnsi="宋体"/>
          <w:color w:val="auto"/>
          <w:sz w:val="24"/>
          <w:highlight w:val="none"/>
        </w:rPr>
      </w:pPr>
      <w:r>
        <w:rPr>
          <w:rFonts w:hint="eastAsia" w:ascii="宋体" w:hAnsi="宋体"/>
          <w:color w:val="auto"/>
          <w:sz w:val="24"/>
          <w:highlight w:val="none"/>
        </w:rPr>
        <w:t>我</w:t>
      </w:r>
      <w:r>
        <w:rPr>
          <w:rFonts w:hint="eastAsia" w:ascii="宋体" w:hAnsi="宋体"/>
          <w:color w:val="auto"/>
          <w:sz w:val="24"/>
          <w:highlight w:val="none"/>
          <w:u w:val="single"/>
        </w:rPr>
        <w:t xml:space="preserve">       </w:t>
      </w:r>
      <w:r>
        <w:rPr>
          <w:rFonts w:hint="eastAsia" w:ascii="宋体" w:hAnsi="宋体"/>
          <w:color w:val="auto"/>
          <w:sz w:val="24"/>
          <w:highlight w:val="none"/>
        </w:rPr>
        <w:t>（姓名）系</w:t>
      </w:r>
      <w:r>
        <w:rPr>
          <w:rFonts w:hint="eastAsia" w:ascii="宋体" w:hAnsi="宋体"/>
          <w:color w:val="auto"/>
          <w:sz w:val="24"/>
          <w:highlight w:val="none"/>
          <w:u w:val="single"/>
        </w:rPr>
        <w:t xml:space="preserve">      </w:t>
      </w:r>
      <w:r>
        <w:rPr>
          <w:rFonts w:hint="eastAsia" w:ascii="宋体" w:hAnsi="宋体"/>
          <w:color w:val="auto"/>
          <w:sz w:val="24"/>
          <w:highlight w:val="none"/>
        </w:rPr>
        <w:t>（投标人名称）的法定代表人，现授权委托</w:t>
      </w:r>
      <w:r>
        <w:rPr>
          <w:rFonts w:hint="eastAsia" w:ascii="宋体" w:hAnsi="宋体"/>
          <w:color w:val="auto"/>
          <w:sz w:val="24"/>
          <w:highlight w:val="none"/>
          <w:u w:val="single"/>
        </w:rPr>
        <w:t xml:space="preserve">              （姓名）</w:t>
      </w:r>
      <w:r>
        <w:rPr>
          <w:rFonts w:hint="eastAsia" w:ascii="宋体" w:hAnsi="宋体"/>
          <w:color w:val="auto"/>
          <w:sz w:val="24"/>
          <w:highlight w:val="none"/>
        </w:rPr>
        <w:t>以我方的名义参加</w:t>
      </w:r>
      <w:r>
        <w:rPr>
          <w:rFonts w:hint="eastAsia" w:ascii="宋体" w:hAnsi="宋体"/>
          <w:color w:val="auto"/>
          <w:sz w:val="24"/>
          <w:highlight w:val="none"/>
          <w:u w:val="single"/>
        </w:rPr>
        <w:t xml:space="preserve">              </w:t>
      </w:r>
      <w:r>
        <w:rPr>
          <w:rFonts w:hint="eastAsia" w:ascii="宋体" w:hAnsi="宋体"/>
          <w:color w:val="auto"/>
          <w:sz w:val="24"/>
          <w:highlight w:val="none"/>
        </w:rPr>
        <w:t>项目的投标活动，并代表我方全权办理针对上述项目的所有采购程序和环节的具体事务和签署相关文件。</w:t>
      </w:r>
    </w:p>
    <w:p w14:paraId="6146C81E">
      <w:pPr>
        <w:spacing w:line="440" w:lineRule="exact"/>
        <w:contextualSpacing/>
        <w:rPr>
          <w:rFonts w:ascii="宋体" w:hAnsi="宋体"/>
          <w:color w:val="auto"/>
          <w:sz w:val="24"/>
          <w:highlight w:val="none"/>
        </w:rPr>
      </w:pPr>
      <w:r>
        <w:rPr>
          <w:rFonts w:hint="eastAsia" w:ascii="宋体" w:hAnsi="宋体"/>
          <w:color w:val="auto"/>
          <w:sz w:val="24"/>
          <w:highlight w:val="none"/>
        </w:rPr>
        <w:t xml:space="preserve">    我方对委托代理人的签字事项负全部责任。</w:t>
      </w:r>
    </w:p>
    <w:p w14:paraId="3AB43E5B">
      <w:pPr>
        <w:spacing w:line="440" w:lineRule="exact"/>
        <w:ind w:firstLine="480"/>
        <w:contextualSpacing/>
        <w:rPr>
          <w:rFonts w:ascii="宋体" w:hAnsi="宋体"/>
          <w:color w:val="auto"/>
          <w:sz w:val="24"/>
          <w:highlight w:val="none"/>
        </w:rPr>
      </w:pPr>
      <w:r>
        <w:rPr>
          <w:rFonts w:hint="eastAsia" w:ascii="宋体" w:hAnsi="宋体"/>
          <w:color w:val="auto"/>
          <w:sz w:val="24"/>
          <w:highlight w:val="none"/>
          <w:u w:val="single"/>
        </w:rPr>
        <w:t>本授权书自签署之日起生效，在撤销授权的书面通知以前，本授权书一直有效。委托代理人在授权书有效期内签署的所有文件不因授权的撤销而失效。</w:t>
      </w:r>
    </w:p>
    <w:p w14:paraId="6FBF148E">
      <w:pPr>
        <w:spacing w:line="440" w:lineRule="exact"/>
        <w:ind w:firstLine="480"/>
        <w:contextualSpacing/>
        <w:rPr>
          <w:rFonts w:ascii="宋体" w:hAnsi="宋体"/>
          <w:color w:val="auto"/>
          <w:sz w:val="24"/>
          <w:highlight w:val="none"/>
        </w:rPr>
      </w:pPr>
      <w:r>
        <w:rPr>
          <w:rFonts w:hint="eastAsia" w:ascii="宋体" w:hAnsi="宋体"/>
          <w:color w:val="auto"/>
          <w:sz w:val="24"/>
          <w:highlight w:val="none"/>
        </w:rPr>
        <w:t>委托代理人无转委托权，特此委托。</w:t>
      </w:r>
    </w:p>
    <w:p w14:paraId="72703878">
      <w:pPr>
        <w:spacing w:line="440" w:lineRule="exact"/>
        <w:ind w:firstLine="480"/>
        <w:contextualSpacing/>
        <w:rPr>
          <w:rFonts w:ascii="宋体" w:hAnsi="宋体"/>
          <w:color w:val="auto"/>
          <w:sz w:val="24"/>
          <w:highlight w:val="none"/>
        </w:rPr>
      </w:pPr>
      <w:r>
        <w:rPr>
          <w:rFonts w:hint="eastAsia" w:ascii="宋体" w:hAnsi="宋体"/>
          <w:color w:val="auto"/>
          <w:sz w:val="24"/>
          <w:highlight w:val="none"/>
        </w:rPr>
        <w:t>附：法定代表人身份证明及委托代理人有效身份证正反面复印件</w:t>
      </w:r>
    </w:p>
    <w:p w14:paraId="4E83DE1A">
      <w:pPr>
        <w:spacing w:line="440" w:lineRule="exact"/>
        <w:contextualSpacing/>
        <w:rPr>
          <w:rFonts w:ascii="宋体" w:hAnsi="宋体"/>
          <w:color w:val="auto"/>
          <w:sz w:val="24"/>
          <w:highlight w:val="none"/>
        </w:rPr>
      </w:pPr>
    </w:p>
    <w:p w14:paraId="59A7A1D2">
      <w:pPr>
        <w:spacing w:line="440" w:lineRule="exact"/>
        <w:contextualSpacing/>
        <w:rPr>
          <w:rFonts w:ascii="宋体" w:hAnsi="宋体"/>
          <w:color w:val="auto"/>
          <w:sz w:val="24"/>
          <w:highlight w:val="none"/>
          <w:u w:val="single"/>
        </w:rPr>
      </w:pPr>
      <w:r>
        <w:rPr>
          <w:rFonts w:hint="eastAsia" w:ascii="宋体" w:hAnsi="宋体"/>
          <w:color w:val="auto"/>
          <w:sz w:val="24"/>
          <w:highlight w:val="none"/>
        </w:rPr>
        <w:t>委托代理人（签字）：</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法定代表人（签字或者盖章）：</w:t>
      </w:r>
      <w:r>
        <w:rPr>
          <w:rFonts w:hint="eastAsia" w:ascii="宋体" w:hAnsi="宋体"/>
          <w:color w:val="auto"/>
          <w:sz w:val="24"/>
          <w:highlight w:val="none"/>
          <w:u w:val="single"/>
        </w:rPr>
        <w:t xml:space="preserve">              </w:t>
      </w:r>
    </w:p>
    <w:p w14:paraId="20377570">
      <w:pPr>
        <w:spacing w:line="440" w:lineRule="exact"/>
        <w:contextualSpacing/>
        <w:rPr>
          <w:rFonts w:ascii="宋体" w:hAnsi="宋体"/>
          <w:color w:val="auto"/>
          <w:sz w:val="24"/>
          <w:highlight w:val="none"/>
        </w:rPr>
      </w:pPr>
      <w:r>
        <w:rPr>
          <w:rFonts w:hint="eastAsia" w:ascii="宋体" w:hAnsi="宋体"/>
          <w:color w:val="auto"/>
          <w:sz w:val="24"/>
          <w:highlight w:val="none"/>
        </w:rPr>
        <w:t>委托代理人身份证号码：</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13EC0C09">
      <w:pPr>
        <w:spacing w:line="440" w:lineRule="exact"/>
        <w:contextualSpacing/>
        <w:jc w:val="center"/>
        <w:rPr>
          <w:rFonts w:ascii="宋体" w:hAnsi="宋体"/>
          <w:color w:val="auto"/>
          <w:sz w:val="24"/>
          <w:highlight w:val="none"/>
        </w:rPr>
      </w:pPr>
      <w:r>
        <w:rPr>
          <w:rFonts w:hint="eastAsia" w:ascii="宋体" w:hAnsi="宋体"/>
          <w:color w:val="auto"/>
          <w:sz w:val="24"/>
          <w:highlight w:val="none"/>
        </w:rPr>
        <w:t xml:space="preserve">                                                投标人（盖公章）：</w:t>
      </w:r>
    </w:p>
    <w:p w14:paraId="0A68A546">
      <w:pPr>
        <w:spacing w:line="440" w:lineRule="exact"/>
        <w:contextualSpacing/>
        <w:jc w:val="center"/>
        <w:rPr>
          <w:rFonts w:ascii="宋体" w:hAnsi="宋体"/>
          <w:color w:val="auto"/>
          <w:sz w:val="24"/>
          <w:highlight w:val="none"/>
        </w:rPr>
      </w:pPr>
      <w:r>
        <w:rPr>
          <w:rFonts w:hint="eastAsia" w:ascii="宋体" w:hAnsi="宋体"/>
          <w:color w:val="auto"/>
          <w:sz w:val="24"/>
          <w:highlight w:val="none"/>
        </w:rPr>
        <w:t xml:space="preserve">                                              年    月    日</w:t>
      </w:r>
    </w:p>
    <w:p w14:paraId="2104122D">
      <w:pPr>
        <w:spacing w:line="440" w:lineRule="exact"/>
        <w:contextualSpacing/>
        <w:rPr>
          <w:rFonts w:ascii="宋体" w:hAnsi="宋体" w:cs="仿宋_GB2312"/>
          <w:color w:val="auto"/>
          <w:sz w:val="24"/>
          <w:highlight w:val="none"/>
        </w:rPr>
      </w:pPr>
      <w:r>
        <w:rPr>
          <w:rFonts w:hint="eastAsia" w:ascii="宋体" w:hAnsi="宋体" w:cs="仿宋_GB2312"/>
          <w:color w:val="auto"/>
          <w:sz w:val="24"/>
          <w:highlight w:val="none"/>
        </w:rPr>
        <w:t>注：1.</w:t>
      </w:r>
      <w:bookmarkStart w:id="162" w:name="_Hlk65851555"/>
      <w:bookmarkStart w:id="163" w:name="_Hlk65851620"/>
      <w:r>
        <w:rPr>
          <w:rFonts w:hint="eastAsia" w:ascii="宋体" w:hAnsi="宋体" w:cs="仿宋_GB2312"/>
          <w:color w:val="auto"/>
          <w:sz w:val="24"/>
          <w:highlight w:val="none"/>
        </w:rPr>
        <w:t>法定代表人必须在授权委托书上亲笔签字或者盖章，</w:t>
      </w:r>
      <w:bookmarkEnd w:id="162"/>
      <w:r>
        <w:rPr>
          <w:rFonts w:hint="eastAsia" w:ascii="宋体" w:hAnsi="宋体" w:cs="仿宋_GB2312"/>
          <w:color w:val="auto"/>
          <w:sz w:val="24"/>
          <w:highlight w:val="none"/>
        </w:rPr>
        <w:t>委托代理人必须在授权委托书上亲笔签字，</w:t>
      </w:r>
      <w:r>
        <w:rPr>
          <w:rFonts w:hint="eastAsia" w:ascii="宋体" w:hAnsi="宋体" w:cs="仿宋_GB2312"/>
          <w:b/>
          <w:bCs/>
          <w:color w:val="auto"/>
          <w:sz w:val="24"/>
          <w:highlight w:val="none"/>
        </w:rPr>
        <w:t>否则按无效投标处理</w:t>
      </w:r>
      <w:r>
        <w:rPr>
          <w:rFonts w:hint="eastAsia" w:ascii="宋体" w:hAnsi="宋体" w:cs="仿宋_GB2312"/>
          <w:color w:val="auto"/>
          <w:sz w:val="24"/>
          <w:highlight w:val="none"/>
        </w:rPr>
        <w:t>；</w:t>
      </w:r>
      <w:bookmarkEnd w:id="163"/>
    </w:p>
    <w:p w14:paraId="0442953B">
      <w:pPr>
        <w:spacing w:line="440" w:lineRule="exact"/>
        <w:ind w:firstLine="480" w:firstLineChars="200"/>
        <w:contextualSpacing/>
        <w:jc w:val="left"/>
        <w:rPr>
          <w:rFonts w:ascii="宋体" w:hAnsi="宋体"/>
          <w:color w:val="auto"/>
          <w:sz w:val="24"/>
          <w:highlight w:val="none"/>
        </w:rPr>
      </w:pPr>
      <w:r>
        <w:rPr>
          <w:rFonts w:hint="eastAsia" w:ascii="宋体" w:hAnsi="宋体" w:cs="仿宋_GB2312"/>
          <w:color w:val="auto"/>
          <w:sz w:val="24"/>
          <w:highlight w:val="none"/>
        </w:rPr>
        <w:t>2.法人、其他组织投标时“我方”是指“我单位”，自然人投标时“我方”是指“本人”。</w:t>
      </w:r>
    </w:p>
    <w:p w14:paraId="385850D1">
      <w:pPr>
        <w:snapToGrid w:val="0"/>
        <w:spacing w:before="120" w:beforeLines="50" w:after="50"/>
        <w:ind w:firstLine="566" w:firstLineChars="236"/>
        <w:jc w:val="center"/>
        <w:rPr>
          <w:rFonts w:ascii="宋体" w:hAnsi="宋体" w:cs="方正小标宋简体"/>
          <w:color w:val="auto"/>
          <w:sz w:val="44"/>
          <w:szCs w:val="44"/>
          <w:highlight w:val="none"/>
        </w:rPr>
      </w:pPr>
      <w:r>
        <w:rPr>
          <w:rFonts w:ascii="宋体" w:hAnsi="宋体"/>
          <w:color w:val="auto"/>
          <w:sz w:val="24"/>
          <w:highlight w:val="none"/>
        </w:rPr>
        <w:br w:type="page"/>
      </w:r>
      <w:r>
        <w:rPr>
          <w:rFonts w:hint="eastAsia" w:ascii="宋体" w:hAnsi="宋体" w:cs="方正小标宋简体"/>
          <w:color w:val="auto"/>
          <w:sz w:val="44"/>
          <w:szCs w:val="44"/>
          <w:highlight w:val="none"/>
        </w:rPr>
        <w:t>授权委托书</w:t>
      </w:r>
    </w:p>
    <w:p w14:paraId="639ABF6D">
      <w:pPr>
        <w:snapToGrid w:val="0"/>
        <w:spacing w:before="120" w:beforeLines="50" w:after="50"/>
        <w:ind w:firstLine="755" w:firstLineChars="236"/>
        <w:jc w:val="center"/>
        <w:rPr>
          <w:rFonts w:ascii="宋体" w:hAnsi="宋体" w:cs="方正小标宋简体"/>
          <w:color w:val="auto"/>
          <w:sz w:val="32"/>
          <w:szCs w:val="32"/>
          <w:highlight w:val="none"/>
        </w:rPr>
      </w:pPr>
      <w:r>
        <w:rPr>
          <w:rFonts w:hint="eastAsia" w:ascii="宋体" w:hAnsi="宋体" w:cs="方正小标宋简体"/>
          <w:color w:val="auto"/>
          <w:sz w:val="32"/>
          <w:szCs w:val="32"/>
          <w:highlight w:val="none"/>
        </w:rPr>
        <w:t>（联合体投标格式）</w:t>
      </w:r>
    </w:p>
    <w:p w14:paraId="2A18E91B">
      <w:pPr>
        <w:snapToGrid w:val="0"/>
        <w:spacing w:before="120" w:beforeLines="50" w:after="50"/>
        <w:ind w:firstLine="755" w:firstLineChars="236"/>
        <w:jc w:val="center"/>
        <w:rPr>
          <w:rFonts w:ascii="宋体" w:hAnsi="宋体" w:cs="方正小标宋简体"/>
          <w:color w:val="auto"/>
          <w:sz w:val="24"/>
          <w:highlight w:val="none"/>
        </w:rPr>
      </w:pPr>
      <w:r>
        <w:rPr>
          <w:rFonts w:hint="eastAsia" w:ascii="宋体" w:hAnsi="宋体" w:cs="方正小标宋简体"/>
          <w:color w:val="auto"/>
          <w:sz w:val="32"/>
          <w:szCs w:val="32"/>
          <w:highlight w:val="none"/>
        </w:rPr>
        <w:t>（如有委托时）</w:t>
      </w:r>
    </w:p>
    <w:p w14:paraId="536CB70B">
      <w:pPr>
        <w:spacing w:line="440" w:lineRule="exact"/>
        <w:contextualSpacing/>
        <w:jc w:val="left"/>
        <w:rPr>
          <w:rFonts w:ascii="宋体" w:hAnsi="宋体"/>
          <w:color w:val="auto"/>
          <w:sz w:val="24"/>
          <w:highlight w:val="none"/>
        </w:rPr>
      </w:pPr>
      <w:r>
        <w:rPr>
          <w:rFonts w:hint="eastAsia" w:ascii="宋体" w:hAnsi="宋体"/>
          <w:bCs/>
          <w:color w:val="auto"/>
          <w:sz w:val="24"/>
          <w:highlight w:val="none"/>
        </w:rPr>
        <w:t>致：</w:t>
      </w:r>
      <w:r>
        <w:rPr>
          <w:rFonts w:hint="eastAsia" w:ascii="宋体" w:hAnsi="宋体"/>
          <w:color w:val="auto"/>
          <w:sz w:val="24"/>
          <w:highlight w:val="none"/>
          <w:u w:val="single"/>
        </w:rPr>
        <w:t>采购人名称</w:t>
      </w:r>
      <w:r>
        <w:rPr>
          <w:rFonts w:hint="eastAsia" w:ascii="宋体" w:hAnsi="宋体"/>
          <w:color w:val="auto"/>
          <w:sz w:val="24"/>
          <w:highlight w:val="none"/>
        </w:rPr>
        <w:t>：</w:t>
      </w:r>
    </w:p>
    <w:p w14:paraId="734F5787">
      <w:pPr>
        <w:spacing w:line="440" w:lineRule="exact"/>
        <w:ind w:firstLine="566" w:firstLineChars="236"/>
        <w:contextualSpacing/>
        <w:rPr>
          <w:rFonts w:ascii="宋体" w:hAnsi="宋体"/>
          <w:color w:val="auto"/>
          <w:sz w:val="24"/>
          <w:highlight w:val="none"/>
        </w:rPr>
      </w:pPr>
      <w:r>
        <w:rPr>
          <w:rFonts w:hint="eastAsia" w:ascii="宋体" w:hAnsi="宋体"/>
          <w:color w:val="auto"/>
          <w:sz w:val="24"/>
          <w:highlight w:val="none"/>
        </w:rPr>
        <w:t xml:space="preserve">根据 </w:t>
      </w:r>
      <w:r>
        <w:rPr>
          <w:rFonts w:hint="eastAsia" w:ascii="宋体" w:hAnsi="宋体"/>
          <w:color w:val="auto"/>
          <w:sz w:val="24"/>
          <w:highlight w:val="none"/>
          <w:u w:val="single"/>
        </w:rPr>
        <w:t xml:space="preserve"> （牵头人名称）</w:t>
      </w:r>
      <w:r>
        <w:rPr>
          <w:rFonts w:hint="eastAsia" w:ascii="宋体" w:hAnsi="宋体"/>
          <w:color w:val="auto"/>
          <w:sz w:val="24"/>
          <w:highlight w:val="none"/>
        </w:rPr>
        <w:t>与</w:t>
      </w:r>
      <w:r>
        <w:rPr>
          <w:rFonts w:hint="eastAsia" w:ascii="宋体" w:hAnsi="宋体"/>
          <w:color w:val="auto"/>
          <w:sz w:val="24"/>
          <w:highlight w:val="none"/>
          <w:u w:val="single"/>
        </w:rPr>
        <w:t>（联合体其他成员名称）</w:t>
      </w:r>
      <w:r>
        <w:rPr>
          <w:rFonts w:hint="eastAsia" w:ascii="宋体" w:hAnsi="宋体"/>
          <w:color w:val="auto"/>
          <w:sz w:val="24"/>
          <w:highlight w:val="none"/>
        </w:rPr>
        <w:t>签订的《联合体投标协议书》的内容，</w:t>
      </w:r>
      <w:r>
        <w:rPr>
          <w:rFonts w:hint="eastAsia" w:ascii="宋体" w:hAnsi="宋体"/>
          <w:color w:val="auto"/>
          <w:sz w:val="24"/>
          <w:highlight w:val="none"/>
          <w:u w:val="single"/>
        </w:rPr>
        <w:t>（牵头人名称）</w:t>
      </w:r>
      <w:r>
        <w:rPr>
          <w:rFonts w:hint="eastAsia" w:ascii="宋体" w:hAnsi="宋体"/>
          <w:color w:val="auto"/>
          <w:sz w:val="24"/>
          <w:highlight w:val="none"/>
        </w:rPr>
        <w:t>的法定代表人</w:t>
      </w:r>
      <w:r>
        <w:rPr>
          <w:rFonts w:hint="eastAsia" w:ascii="宋体" w:hAnsi="宋体"/>
          <w:color w:val="auto"/>
          <w:sz w:val="24"/>
          <w:highlight w:val="none"/>
          <w:u w:val="single"/>
        </w:rPr>
        <w:t>（姓名）</w:t>
      </w:r>
      <w:r>
        <w:rPr>
          <w:rFonts w:hint="eastAsia" w:ascii="宋体" w:hAnsi="宋体"/>
          <w:color w:val="auto"/>
          <w:sz w:val="24"/>
          <w:highlight w:val="none"/>
        </w:rPr>
        <w:t>现授权委托</w:t>
      </w:r>
      <w:r>
        <w:rPr>
          <w:rFonts w:hint="eastAsia" w:ascii="宋体" w:hAnsi="宋体"/>
          <w:color w:val="auto"/>
          <w:sz w:val="24"/>
          <w:highlight w:val="none"/>
          <w:u w:val="single"/>
        </w:rPr>
        <w:t xml:space="preserve">              （姓名）</w:t>
      </w:r>
      <w:r>
        <w:rPr>
          <w:rFonts w:hint="eastAsia" w:ascii="宋体" w:hAnsi="宋体"/>
          <w:color w:val="auto"/>
          <w:sz w:val="24"/>
          <w:highlight w:val="none"/>
        </w:rPr>
        <w:t>以我方的名义参加</w:t>
      </w:r>
      <w:r>
        <w:rPr>
          <w:rFonts w:hint="eastAsia" w:ascii="宋体" w:hAnsi="宋体"/>
          <w:color w:val="auto"/>
          <w:sz w:val="24"/>
          <w:highlight w:val="none"/>
          <w:u w:val="single"/>
        </w:rPr>
        <w:t xml:space="preserve">              </w:t>
      </w:r>
      <w:r>
        <w:rPr>
          <w:rFonts w:hint="eastAsia" w:ascii="宋体" w:hAnsi="宋体"/>
          <w:color w:val="auto"/>
          <w:sz w:val="24"/>
          <w:highlight w:val="none"/>
        </w:rPr>
        <w:t>项目的投标活动，并代表我方全权办理针对上述项目的所有采购程序和环节的具体事务和签署相关文件。</w:t>
      </w:r>
    </w:p>
    <w:p w14:paraId="029A6F94">
      <w:pPr>
        <w:spacing w:line="440" w:lineRule="exact"/>
        <w:ind w:firstLine="566" w:firstLineChars="236"/>
        <w:contextualSpacing/>
        <w:rPr>
          <w:rFonts w:ascii="宋体" w:hAnsi="宋体"/>
          <w:color w:val="auto"/>
          <w:sz w:val="24"/>
          <w:highlight w:val="none"/>
        </w:rPr>
      </w:pPr>
      <w:r>
        <w:rPr>
          <w:rFonts w:hint="eastAsia" w:ascii="宋体" w:hAnsi="宋体"/>
          <w:color w:val="auto"/>
          <w:sz w:val="24"/>
          <w:highlight w:val="none"/>
        </w:rPr>
        <w:t>我方对委托代理人的签字事项负全部责任。</w:t>
      </w:r>
    </w:p>
    <w:p w14:paraId="23A8C9B4">
      <w:pPr>
        <w:spacing w:line="440" w:lineRule="exact"/>
        <w:ind w:firstLine="566" w:firstLineChars="236"/>
        <w:contextualSpacing/>
        <w:rPr>
          <w:rFonts w:ascii="宋体" w:hAnsi="宋体"/>
          <w:color w:val="auto"/>
          <w:sz w:val="24"/>
          <w:highlight w:val="none"/>
        </w:rPr>
      </w:pPr>
      <w:r>
        <w:rPr>
          <w:rFonts w:hint="eastAsia" w:ascii="宋体" w:hAnsi="宋体"/>
          <w:color w:val="auto"/>
          <w:sz w:val="24"/>
          <w:highlight w:val="none"/>
        </w:rPr>
        <w:t>本授权书自签署之日起生效，在撤销授权的书面通知以前，本授权书一直有效。委托代理人在授权书有效期内签署的所有文件不因授权的撤销而失效。</w:t>
      </w:r>
    </w:p>
    <w:p w14:paraId="46CDDF17">
      <w:pPr>
        <w:spacing w:line="440" w:lineRule="exact"/>
        <w:ind w:firstLine="566" w:firstLineChars="236"/>
        <w:contextualSpacing/>
        <w:rPr>
          <w:rFonts w:ascii="宋体" w:hAnsi="宋体"/>
          <w:color w:val="auto"/>
          <w:sz w:val="24"/>
          <w:highlight w:val="none"/>
        </w:rPr>
      </w:pPr>
      <w:r>
        <w:rPr>
          <w:rFonts w:hint="eastAsia" w:ascii="宋体" w:hAnsi="宋体"/>
          <w:color w:val="auto"/>
          <w:sz w:val="24"/>
          <w:highlight w:val="none"/>
        </w:rPr>
        <w:t>委托代理人无转委托权，特此委托。</w:t>
      </w:r>
    </w:p>
    <w:p w14:paraId="00C151D5">
      <w:pPr>
        <w:spacing w:line="440" w:lineRule="exact"/>
        <w:ind w:firstLine="566" w:firstLineChars="236"/>
        <w:contextualSpacing/>
        <w:rPr>
          <w:rFonts w:ascii="宋体" w:hAnsi="宋体"/>
          <w:color w:val="auto"/>
          <w:sz w:val="24"/>
          <w:highlight w:val="none"/>
        </w:rPr>
      </w:pPr>
      <w:r>
        <w:rPr>
          <w:rFonts w:hint="eastAsia" w:ascii="宋体" w:hAnsi="宋体"/>
          <w:color w:val="auto"/>
          <w:sz w:val="24"/>
          <w:highlight w:val="none"/>
        </w:rPr>
        <w:t>附：牵头人法定代表人身份证明及委托代理人有效身份证正反面复印件</w:t>
      </w:r>
    </w:p>
    <w:p w14:paraId="691447AA">
      <w:pPr>
        <w:spacing w:line="440" w:lineRule="exact"/>
        <w:ind w:firstLine="566" w:firstLineChars="236"/>
        <w:contextualSpacing/>
        <w:rPr>
          <w:rFonts w:ascii="宋体" w:hAnsi="宋体"/>
          <w:color w:val="auto"/>
          <w:sz w:val="24"/>
          <w:highlight w:val="none"/>
        </w:rPr>
      </w:pPr>
    </w:p>
    <w:p w14:paraId="586D71F8">
      <w:pPr>
        <w:spacing w:line="440" w:lineRule="exact"/>
        <w:ind w:firstLine="566" w:firstLineChars="236"/>
        <w:contextualSpacing/>
        <w:rPr>
          <w:rFonts w:ascii="宋体" w:hAnsi="宋体"/>
          <w:color w:val="auto"/>
          <w:sz w:val="24"/>
          <w:highlight w:val="none"/>
        </w:rPr>
      </w:pPr>
      <w:r>
        <w:rPr>
          <w:rFonts w:hint="eastAsia" w:ascii="宋体" w:hAnsi="宋体"/>
          <w:color w:val="auto"/>
          <w:sz w:val="24"/>
          <w:highlight w:val="none"/>
        </w:rPr>
        <w:t>牵头人法定代表人（签字或者盖章）：</w:t>
      </w:r>
    </w:p>
    <w:p w14:paraId="7A4CC3D8">
      <w:pPr>
        <w:spacing w:line="440" w:lineRule="exact"/>
        <w:ind w:firstLine="566" w:firstLineChars="236"/>
        <w:contextualSpacing/>
        <w:rPr>
          <w:rFonts w:ascii="宋体" w:hAnsi="宋体"/>
          <w:color w:val="auto"/>
          <w:sz w:val="24"/>
          <w:highlight w:val="none"/>
        </w:rPr>
      </w:pPr>
      <w:r>
        <w:rPr>
          <w:rFonts w:hint="eastAsia" w:ascii="宋体" w:hAnsi="宋体"/>
          <w:color w:val="auto"/>
          <w:sz w:val="24"/>
          <w:highlight w:val="none"/>
        </w:rPr>
        <w:t>牵头人（盖公章）：</w:t>
      </w:r>
    </w:p>
    <w:p w14:paraId="7DB1D4D5">
      <w:pPr>
        <w:spacing w:line="440" w:lineRule="exact"/>
        <w:ind w:firstLine="566" w:firstLineChars="236"/>
        <w:contextualSpacing/>
        <w:rPr>
          <w:rFonts w:ascii="宋体" w:hAnsi="宋体"/>
          <w:color w:val="auto"/>
          <w:sz w:val="24"/>
          <w:highlight w:val="none"/>
        </w:rPr>
      </w:pPr>
      <w:r>
        <w:rPr>
          <w:rFonts w:hint="eastAsia" w:ascii="宋体" w:hAnsi="宋体"/>
          <w:color w:val="auto"/>
          <w:sz w:val="24"/>
          <w:highlight w:val="none"/>
        </w:rPr>
        <w:t>日期：    年   月   日</w:t>
      </w:r>
    </w:p>
    <w:p w14:paraId="3773D00E">
      <w:pPr>
        <w:spacing w:line="440" w:lineRule="exact"/>
        <w:ind w:firstLine="566" w:firstLineChars="236"/>
        <w:contextualSpacing/>
        <w:rPr>
          <w:rFonts w:ascii="宋体" w:hAnsi="宋体"/>
          <w:color w:val="auto"/>
          <w:sz w:val="24"/>
          <w:highlight w:val="none"/>
        </w:rPr>
      </w:pPr>
    </w:p>
    <w:p w14:paraId="48298086">
      <w:pPr>
        <w:spacing w:line="440" w:lineRule="exact"/>
        <w:ind w:firstLine="566" w:firstLineChars="236"/>
        <w:contextualSpacing/>
        <w:rPr>
          <w:rFonts w:ascii="宋体" w:hAnsi="宋体"/>
          <w:color w:val="auto"/>
          <w:sz w:val="24"/>
          <w:highlight w:val="none"/>
        </w:rPr>
      </w:pPr>
      <w:r>
        <w:rPr>
          <w:rFonts w:hint="eastAsia" w:ascii="宋体" w:hAnsi="宋体"/>
          <w:color w:val="auto"/>
          <w:sz w:val="24"/>
          <w:highlight w:val="none"/>
        </w:rPr>
        <w:t>被授权人（签字）：</w:t>
      </w:r>
    </w:p>
    <w:p w14:paraId="7336661A">
      <w:pPr>
        <w:spacing w:line="440" w:lineRule="exact"/>
        <w:ind w:firstLine="566" w:firstLineChars="236"/>
        <w:contextualSpacing/>
        <w:rPr>
          <w:rFonts w:ascii="宋体" w:hAnsi="宋体" w:cs="仿宋_GB2312"/>
          <w:color w:val="auto"/>
          <w:sz w:val="32"/>
          <w:szCs w:val="32"/>
          <w:highlight w:val="none"/>
        </w:rPr>
      </w:pPr>
      <w:r>
        <w:rPr>
          <w:rFonts w:hint="eastAsia" w:ascii="宋体" w:hAnsi="宋体"/>
          <w:color w:val="auto"/>
          <w:sz w:val="24"/>
          <w:highlight w:val="none"/>
        </w:rPr>
        <w:t>日期：    年   月   日</w:t>
      </w:r>
    </w:p>
    <w:p w14:paraId="4189BF11">
      <w:pPr>
        <w:spacing w:line="440" w:lineRule="exact"/>
        <w:contextualSpacing/>
        <w:rPr>
          <w:rFonts w:ascii="宋体" w:hAnsi="宋体" w:cs="仿宋_GB2312"/>
          <w:color w:val="auto"/>
          <w:sz w:val="24"/>
          <w:highlight w:val="none"/>
        </w:rPr>
      </w:pPr>
      <w:r>
        <w:rPr>
          <w:rFonts w:hint="eastAsia" w:ascii="宋体" w:hAnsi="宋体" w:cs="仿宋_GB2312"/>
          <w:color w:val="auto"/>
          <w:sz w:val="24"/>
          <w:highlight w:val="none"/>
        </w:rPr>
        <w:t>注：1. 法定代表人必须在授权委托书上亲笔签字或者盖章，委托代理人必须在授权委托书上亲笔签字，</w:t>
      </w:r>
      <w:r>
        <w:rPr>
          <w:rFonts w:hint="eastAsia" w:ascii="宋体" w:hAnsi="宋体" w:cs="仿宋_GB2312"/>
          <w:b/>
          <w:bCs/>
          <w:color w:val="auto"/>
          <w:sz w:val="24"/>
          <w:highlight w:val="none"/>
        </w:rPr>
        <w:t>否则按无效投标处理</w:t>
      </w:r>
      <w:r>
        <w:rPr>
          <w:rFonts w:hint="eastAsia" w:ascii="宋体" w:hAnsi="宋体" w:cs="仿宋_GB2312"/>
          <w:color w:val="auto"/>
          <w:sz w:val="24"/>
          <w:highlight w:val="none"/>
        </w:rPr>
        <w:t>；</w:t>
      </w:r>
    </w:p>
    <w:p w14:paraId="2AAF236F">
      <w:pPr>
        <w:spacing w:line="440" w:lineRule="exact"/>
        <w:ind w:firstLine="480" w:firstLineChars="200"/>
        <w:contextualSpacing/>
        <w:jc w:val="left"/>
        <w:rPr>
          <w:rFonts w:ascii="宋体" w:hAnsi="宋体" w:cs="仿宋_GB2312"/>
          <w:color w:val="auto"/>
          <w:sz w:val="24"/>
          <w:highlight w:val="none"/>
        </w:rPr>
      </w:pPr>
      <w:r>
        <w:rPr>
          <w:rFonts w:hint="eastAsia" w:ascii="宋体" w:hAnsi="宋体" w:cs="仿宋_GB2312"/>
          <w:color w:val="auto"/>
          <w:sz w:val="24"/>
          <w:highlight w:val="none"/>
        </w:rPr>
        <w:t>2.本授权委托书应由联合体牵头人的法定代表人按上述规定签字。</w:t>
      </w:r>
    </w:p>
    <w:p w14:paraId="0FB76570">
      <w:pPr>
        <w:spacing w:line="440" w:lineRule="exact"/>
        <w:ind w:firstLine="480" w:firstLineChars="200"/>
        <w:contextualSpacing/>
        <w:jc w:val="left"/>
        <w:rPr>
          <w:rFonts w:ascii="宋体" w:hAnsi="宋体"/>
          <w:color w:val="auto"/>
          <w:sz w:val="24"/>
          <w:highlight w:val="none"/>
        </w:rPr>
      </w:pPr>
      <w:r>
        <w:rPr>
          <w:rFonts w:hint="eastAsia" w:ascii="宋体" w:hAnsi="宋体" w:cs="仿宋_GB2312"/>
          <w:color w:val="auto"/>
          <w:sz w:val="24"/>
          <w:highlight w:val="none"/>
        </w:rPr>
        <w:t>3</w:t>
      </w:r>
      <w:r>
        <w:rPr>
          <w:rFonts w:ascii="宋体" w:hAnsi="宋体" w:cs="仿宋_GB2312"/>
          <w:color w:val="auto"/>
          <w:sz w:val="24"/>
          <w:highlight w:val="none"/>
        </w:rPr>
        <w:t>.</w:t>
      </w:r>
      <w:r>
        <w:rPr>
          <w:rFonts w:hint="eastAsia" w:ascii="宋体" w:hAnsi="宋体" w:cs="仿宋_GB2312"/>
          <w:color w:val="auto"/>
          <w:sz w:val="24"/>
          <w:highlight w:val="none"/>
        </w:rPr>
        <w:t>法人、其他组织投标时“我方”是指“我单位”，自然人投标时“我方”是指“本人”。</w:t>
      </w:r>
    </w:p>
    <w:p w14:paraId="1C9DCFDD">
      <w:pPr>
        <w:snapToGrid w:val="0"/>
        <w:spacing w:before="50" w:after="120" w:afterLines="50"/>
        <w:ind w:firstLine="480" w:firstLineChars="200"/>
        <w:jc w:val="left"/>
        <w:rPr>
          <w:rFonts w:ascii="宋体" w:hAnsi="宋体"/>
          <w:color w:val="auto"/>
          <w:sz w:val="24"/>
          <w:highlight w:val="none"/>
        </w:rPr>
        <w:sectPr>
          <w:footerReference r:id="rId11" w:type="first"/>
          <w:footerReference r:id="rId10" w:type="default"/>
          <w:pgSz w:w="11906" w:h="16838"/>
          <w:pgMar w:top="1134" w:right="1134" w:bottom="1134" w:left="1134" w:header="851" w:footer="567" w:gutter="0"/>
          <w:pgNumType w:fmt="decimal" w:start="1"/>
          <w:cols w:space="720" w:num="1"/>
          <w:titlePg/>
          <w:docGrid w:linePitch="312" w:charSpace="0"/>
        </w:sectPr>
      </w:pPr>
    </w:p>
    <w:p w14:paraId="0CC175BC">
      <w:pPr>
        <w:rPr>
          <w:rFonts w:ascii="宋体" w:hAnsi="宋体"/>
          <w:color w:val="auto"/>
          <w:sz w:val="24"/>
          <w:highlight w:val="none"/>
        </w:rPr>
      </w:pPr>
    </w:p>
    <w:p w14:paraId="02C92940">
      <w:pPr>
        <w:rPr>
          <w:rFonts w:ascii="宋体" w:hAnsi="宋体"/>
          <w:b/>
          <w:color w:val="auto"/>
          <w:sz w:val="24"/>
          <w:szCs w:val="20"/>
          <w:highlight w:val="none"/>
        </w:rPr>
      </w:pPr>
      <w:r>
        <w:rPr>
          <w:rFonts w:hint="eastAsia" w:ascii="宋体" w:hAnsi="宋体"/>
          <w:b/>
          <w:color w:val="auto"/>
          <w:sz w:val="24"/>
          <w:highlight w:val="none"/>
        </w:rPr>
        <w:t>6.商务要求偏离表格式（注：按项目需求表具体项目修改）</w:t>
      </w:r>
    </w:p>
    <w:p w14:paraId="28482432">
      <w:pPr>
        <w:snapToGrid w:val="0"/>
        <w:spacing w:before="50"/>
        <w:jc w:val="left"/>
        <w:rPr>
          <w:rFonts w:ascii="宋体" w:hAnsi="宋体"/>
          <w:color w:val="auto"/>
          <w:sz w:val="24"/>
          <w:highlight w:val="none"/>
        </w:rPr>
      </w:pPr>
    </w:p>
    <w:p w14:paraId="04C4023A">
      <w:pPr>
        <w:pStyle w:val="25"/>
        <w:rPr>
          <w:rFonts w:hAnsi="宋体"/>
          <w:color w:val="auto"/>
          <w:sz w:val="24"/>
          <w:szCs w:val="24"/>
          <w:highlight w:val="none"/>
        </w:rPr>
      </w:pPr>
      <w:r>
        <w:rPr>
          <w:rFonts w:hint="eastAsia" w:hAnsi="宋体"/>
          <w:color w:val="auto"/>
          <w:sz w:val="24"/>
          <w:szCs w:val="24"/>
          <w:highlight w:val="none"/>
        </w:rPr>
        <w:t>所投分标：</w:t>
      </w:r>
      <w:r>
        <w:rPr>
          <w:rFonts w:hint="eastAsia" w:hAnsi="宋体"/>
          <w:color w:val="auto"/>
          <w:sz w:val="24"/>
          <w:szCs w:val="24"/>
          <w:highlight w:val="none"/>
          <w:u w:val="single"/>
        </w:rPr>
        <w:t xml:space="preserve">     </w:t>
      </w:r>
      <w:r>
        <w:rPr>
          <w:rFonts w:hint="eastAsia" w:hAnsi="宋体"/>
          <w:color w:val="auto"/>
          <w:sz w:val="24"/>
          <w:szCs w:val="24"/>
          <w:highlight w:val="none"/>
        </w:rPr>
        <w:t>分标</w:t>
      </w:r>
    </w:p>
    <w:p w14:paraId="711B1EBF">
      <w:pPr>
        <w:snapToGrid w:val="0"/>
        <w:spacing w:before="50"/>
        <w:jc w:val="left"/>
        <w:rPr>
          <w:rFonts w:ascii="宋体" w:hAnsi="宋体"/>
          <w:color w:val="auto"/>
          <w:sz w:val="24"/>
          <w:highlight w:val="none"/>
          <w:u w:val="single"/>
        </w:rPr>
      </w:pPr>
    </w:p>
    <w:tbl>
      <w:tblPr>
        <w:tblStyle w:val="46"/>
        <w:tblW w:w="0" w:type="auto"/>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05"/>
        <w:gridCol w:w="2741"/>
        <w:gridCol w:w="1760"/>
        <w:gridCol w:w="2035"/>
      </w:tblGrid>
      <w:tr w14:paraId="1B387B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05" w:type="dxa"/>
            <w:tcBorders>
              <w:top w:val="single" w:color="auto" w:sz="4" w:space="0"/>
              <w:left w:val="single" w:color="auto" w:sz="4" w:space="0"/>
              <w:bottom w:val="single" w:color="auto" w:sz="4" w:space="0"/>
              <w:right w:val="single" w:color="auto" w:sz="4" w:space="0"/>
            </w:tcBorders>
          </w:tcPr>
          <w:p w14:paraId="574889E3">
            <w:pPr>
              <w:snapToGrid w:val="0"/>
              <w:spacing w:before="120" w:beforeLines="50"/>
              <w:jc w:val="center"/>
              <w:rPr>
                <w:rFonts w:ascii="宋体" w:hAnsi="宋体"/>
                <w:color w:val="auto"/>
                <w:sz w:val="24"/>
                <w:highlight w:val="none"/>
              </w:rPr>
            </w:pPr>
            <w:r>
              <w:rPr>
                <w:rFonts w:hint="eastAsia" w:ascii="宋体" w:hAnsi="宋体"/>
                <w:color w:val="auto"/>
                <w:sz w:val="24"/>
                <w:highlight w:val="none"/>
              </w:rPr>
              <w:t>项目</w:t>
            </w:r>
          </w:p>
        </w:tc>
        <w:tc>
          <w:tcPr>
            <w:tcW w:w="2741" w:type="dxa"/>
            <w:tcBorders>
              <w:top w:val="single" w:color="auto" w:sz="4" w:space="0"/>
              <w:left w:val="single" w:color="auto" w:sz="4" w:space="0"/>
              <w:bottom w:val="single" w:color="auto" w:sz="4" w:space="0"/>
              <w:right w:val="single" w:color="auto" w:sz="4" w:space="0"/>
            </w:tcBorders>
          </w:tcPr>
          <w:p w14:paraId="49E0E71C">
            <w:pPr>
              <w:snapToGrid w:val="0"/>
              <w:spacing w:before="120" w:beforeLines="50"/>
              <w:jc w:val="center"/>
              <w:rPr>
                <w:rFonts w:ascii="宋体" w:hAnsi="宋体"/>
                <w:color w:val="auto"/>
                <w:sz w:val="24"/>
                <w:highlight w:val="none"/>
              </w:rPr>
            </w:pPr>
            <w:r>
              <w:rPr>
                <w:rFonts w:hint="eastAsia" w:ascii="宋体" w:hAnsi="宋体"/>
                <w:color w:val="auto"/>
                <w:sz w:val="24"/>
                <w:highlight w:val="none"/>
              </w:rPr>
              <w:t>招标文件商务要求</w:t>
            </w:r>
          </w:p>
        </w:tc>
        <w:tc>
          <w:tcPr>
            <w:tcW w:w="1760" w:type="dxa"/>
            <w:tcBorders>
              <w:top w:val="single" w:color="auto" w:sz="4" w:space="0"/>
              <w:left w:val="single" w:color="auto" w:sz="4" w:space="0"/>
              <w:bottom w:val="single" w:color="auto" w:sz="4" w:space="0"/>
              <w:right w:val="single" w:color="auto" w:sz="4" w:space="0"/>
            </w:tcBorders>
          </w:tcPr>
          <w:p w14:paraId="3B0D79F9">
            <w:pPr>
              <w:snapToGrid w:val="0"/>
              <w:spacing w:before="120" w:beforeLines="50"/>
              <w:jc w:val="center"/>
              <w:rPr>
                <w:rFonts w:ascii="宋体" w:hAnsi="宋体"/>
                <w:color w:val="auto"/>
                <w:sz w:val="24"/>
                <w:highlight w:val="none"/>
              </w:rPr>
            </w:pPr>
            <w:r>
              <w:rPr>
                <w:rFonts w:hint="eastAsia" w:ascii="宋体" w:hAnsi="宋体"/>
                <w:color w:val="auto"/>
                <w:sz w:val="24"/>
                <w:highlight w:val="none"/>
              </w:rPr>
              <w:t>投标人的承诺</w:t>
            </w:r>
          </w:p>
        </w:tc>
        <w:tc>
          <w:tcPr>
            <w:tcW w:w="2035" w:type="dxa"/>
            <w:tcBorders>
              <w:top w:val="single" w:color="auto" w:sz="4" w:space="0"/>
              <w:left w:val="single" w:color="auto" w:sz="4" w:space="0"/>
              <w:bottom w:val="single" w:color="auto" w:sz="4" w:space="0"/>
              <w:right w:val="single" w:color="auto" w:sz="4" w:space="0"/>
            </w:tcBorders>
          </w:tcPr>
          <w:p w14:paraId="51974E8A">
            <w:pPr>
              <w:snapToGrid w:val="0"/>
              <w:spacing w:before="120" w:beforeLines="50"/>
              <w:jc w:val="center"/>
              <w:rPr>
                <w:rFonts w:ascii="宋体" w:hAnsi="宋体"/>
                <w:color w:val="auto"/>
                <w:sz w:val="24"/>
                <w:highlight w:val="none"/>
              </w:rPr>
            </w:pPr>
            <w:r>
              <w:rPr>
                <w:rFonts w:hint="eastAsia" w:ascii="宋体" w:hAnsi="宋体"/>
                <w:color w:val="auto"/>
                <w:sz w:val="24"/>
                <w:highlight w:val="none"/>
              </w:rPr>
              <w:t>偏离说明</w:t>
            </w:r>
          </w:p>
        </w:tc>
      </w:tr>
      <w:tr w14:paraId="5D209D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05" w:type="dxa"/>
            <w:tcBorders>
              <w:top w:val="single" w:color="auto" w:sz="4" w:space="0"/>
              <w:left w:val="single" w:color="auto" w:sz="4" w:space="0"/>
              <w:bottom w:val="single" w:color="auto" w:sz="4" w:space="0"/>
              <w:right w:val="single" w:color="auto" w:sz="4" w:space="0"/>
            </w:tcBorders>
            <w:vAlign w:val="center"/>
          </w:tcPr>
          <w:p w14:paraId="292FDBFD">
            <w:pPr>
              <w:snapToGrid w:val="0"/>
              <w:spacing w:line="36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w:t>
            </w:r>
            <w:r>
              <w:rPr>
                <w:rFonts w:hint="eastAsia" w:ascii="宋体" w:hAnsi="宋体" w:cs="宋体"/>
                <w:color w:val="auto"/>
                <w:szCs w:val="21"/>
                <w:highlight w:val="none"/>
              </w:rPr>
              <w:t>质保期</w:t>
            </w:r>
          </w:p>
        </w:tc>
        <w:tc>
          <w:tcPr>
            <w:tcW w:w="2741" w:type="dxa"/>
            <w:tcBorders>
              <w:top w:val="single" w:color="auto" w:sz="4" w:space="0"/>
              <w:left w:val="single" w:color="auto" w:sz="4" w:space="0"/>
              <w:bottom w:val="single" w:color="auto" w:sz="4" w:space="0"/>
              <w:right w:val="single" w:color="auto" w:sz="4" w:space="0"/>
            </w:tcBorders>
          </w:tcPr>
          <w:p w14:paraId="4F527DA6">
            <w:pPr>
              <w:snapToGrid w:val="0"/>
              <w:spacing w:before="120" w:beforeLines="50"/>
              <w:jc w:val="center"/>
              <w:rPr>
                <w:rFonts w:ascii="宋体" w:hAnsi="宋体"/>
                <w:color w:val="auto"/>
                <w:sz w:val="24"/>
                <w:highlight w:val="none"/>
              </w:rPr>
            </w:pPr>
          </w:p>
        </w:tc>
        <w:tc>
          <w:tcPr>
            <w:tcW w:w="1760" w:type="dxa"/>
            <w:tcBorders>
              <w:top w:val="single" w:color="auto" w:sz="4" w:space="0"/>
              <w:left w:val="single" w:color="auto" w:sz="4" w:space="0"/>
              <w:bottom w:val="single" w:color="auto" w:sz="4" w:space="0"/>
              <w:right w:val="single" w:color="auto" w:sz="4" w:space="0"/>
            </w:tcBorders>
          </w:tcPr>
          <w:p w14:paraId="34F36221">
            <w:pPr>
              <w:snapToGrid w:val="0"/>
              <w:spacing w:before="120" w:beforeLines="50"/>
              <w:jc w:val="center"/>
              <w:rPr>
                <w:rFonts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tcPr>
          <w:p w14:paraId="3B20142E">
            <w:pPr>
              <w:snapToGrid w:val="0"/>
              <w:spacing w:before="120" w:beforeLines="50"/>
              <w:jc w:val="center"/>
              <w:rPr>
                <w:rFonts w:ascii="宋体" w:hAnsi="宋体"/>
                <w:color w:val="auto"/>
                <w:sz w:val="24"/>
                <w:highlight w:val="none"/>
              </w:rPr>
            </w:pPr>
          </w:p>
        </w:tc>
      </w:tr>
      <w:tr w14:paraId="0D40C1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05" w:type="dxa"/>
            <w:tcBorders>
              <w:top w:val="single" w:color="auto" w:sz="4" w:space="0"/>
              <w:left w:val="single" w:color="auto" w:sz="4" w:space="0"/>
              <w:bottom w:val="single" w:color="auto" w:sz="4" w:space="0"/>
              <w:right w:val="single" w:color="auto" w:sz="4" w:space="0"/>
            </w:tcBorders>
            <w:vAlign w:val="center"/>
          </w:tcPr>
          <w:p w14:paraId="7EF4EBC5">
            <w:pPr>
              <w:snapToGrid w:val="0"/>
              <w:spacing w:line="36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w:t>
            </w:r>
            <w:r>
              <w:rPr>
                <w:rFonts w:hint="eastAsia" w:ascii="宋体" w:hAnsi="宋体" w:cs="宋体"/>
                <w:color w:val="auto"/>
                <w:szCs w:val="21"/>
                <w:highlight w:val="none"/>
              </w:rPr>
              <w:t>售后服务要求</w:t>
            </w:r>
          </w:p>
        </w:tc>
        <w:tc>
          <w:tcPr>
            <w:tcW w:w="2741" w:type="dxa"/>
            <w:tcBorders>
              <w:top w:val="single" w:color="auto" w:sz="4" w:space="0"/>
              <w:left w:val="single" w:color="auto" w:sz="4" w:space="0"/>
              <w:bottom w:val="single" w:color="auto" w:sz="4" w:space="0"/>
              <w:right w:val="single" w:color="auto" w:sz="4" w:space="0"/>
            </w:tcBorders>
          </w:tcPr>
          <w:p w14:paraId="34D229FE">
            <w:pPr>
              <w:snapToGrid w:val="0"/>
              <w:spacing w:before="120" w:beforeLines="50"/>
              <w:rPr>
                <w:rFonts w:ascii="宋体" w:hAnsi="宋体"/>
                <w:color w:val="auto"/>
                <w:sz w:val="24"/>
                <w:highlight w:val="none"/>
                <w:u w:val="single"/>
              </w:rPr>
            </w:pPr>
          </w:p>
        </w:tc>
        <w:tc>
          <w:tcPr>
            <w:tcW w:w="1760" w:type="dxa"/>
            <w:tcBorders>
              <w:top w:val="single" w:color="auto" w:sz="4" w:space="0"/>
              <w:left w:val="single" w:color="auto" w:sz="4" w:space="0"/>
              <w:bottom w:val="single" w:color="auto" w:sz="4" w:space="0"/>
              <w:right w:val="single" w:color="auto" w:sz="4" w:space="0"/>
            </w:tcBorders>
          </w:tcPr>
          <w:p w14:paraId="5D92A898">
            <w:pPr>
              <w:snapToGrid w:val="0"/>
              <w:spacing w:before="120" w:beforeLines="50"/>
              <w:ind w:left="43"/>
              <w:jc w:val="center"/>
              <w:rPr>
                <w:rFonts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tcPr>
          <w:p w14:paraId="0BA3F73A">
            <w:pPr>
              <w:snapToGrid w:val="0"/>
              <w:spacing w:before="120" w:beforeLines="50"/>
              <w:ind w:left="43"/>
              <w:jc w:val="center"/>
              <w:rPr>
                <w:rFonts w:ascii="宋体" w:hAnsi="宋体"/>
                <w:color w:val="auto"/>
                <w:sz w:val="24"/>
                <w:highlight w:val="none"/>
              </w:rPr>
            </w:pPr>
          </w:p>
        </w:tc>
      </w:tr>
      <w:tr w14:paraId="67F119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05" w:type="dxa"/>
            <w:tcBorders>
              <w:top w:val="single" w:color="auto" w:sz="4" w:space="0"/>
              <w:left w:val="single" w:color="auto" w:sz="4" w:space="0"/>
              <w:bottom w:val="single" w:color="auto" w:sz="4" w:space="0"/>
              <w:right w:val="single" w:color="auto" w:sz="4" w:space="0"/>
            </w:tcBorders>
            <w:vAlign w:val="center"/>
          </w:tcPr>
          <w:p w14:paraId="63E7696F">
            <w:pPr>
              <w:snapToGrid w:val="0"/>
              <w:spacing w:line="36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w:t>
            </w:r>
            <w:r>
              <w:rPr>
                <w:rFonts w:hint="eastAsia" w:ascii="宋体" w:hAnsi="宋体" w:cs="宋体"/>
                <w:color w:val="auto"/>
                <w:szCs w:val="21"/>
                <w:highlight w:val="none"/>
              </w:rPr>
              <w:t>交货时间及地点</w:t>
            </w:r>
          </w:p>
        </w:tc>
        <w:tc>
          <w:tcPr>
            <w:tcW w:w="2741" w:type="dxa"/>
            <w:tcBorders>
              <w:top w:val="single" w:color="auto" w:sz="4" w:space="0"/>
              <w:left w:val="single" w:color="auto" w:sz="4" w:space="0"/>
              <w:bottom w:val="single" w:color="auto" w:sz="4" w:space="0"/>
              <w:right w:val="single" w:color="auto" w:sz="4" w:space="0"/>
            </w:tcBorders>
          </w:tcPr>
          <w:p w14:paraId="404D726F">
            <w:pPr>
              <w:snapToGrid w:val="0"/>
              <w:spacing w:before="120" w:beforeLines="50"/>
              <w:rPr>
                <w:rFonts w:ascii="宋体" w:hAnsi="宋体"/>
                <w:color w:val="auto"/>
                <w:sz w:val="24"/>
                <w:highlight w:val="none"/>
                <w:u w:val="single"/>
              </w:rPr>
            </w:pPr>
          </w:p>
        </w:tc>
        <w:tc>
          <w:tcPr>
            <w:tcW w:w="1760" w:type="dxa"/>
            <w:tcBorders>
              <w:top w:val="single" w:color="auto" w:sz="4" w:space="0"/>
              <w:left w:val="single" w:color="auto" w:sz="4" w:space="0"/>
              <w:bottom w:val="single" w:color="auto" w:sz="4" w:space="0"/>
              <w:right w:val="single" w:color="auto" w:sz="4" w:space="0"/>
            </w:tcBorders>
          </w:tcPr>
          <w:p w14:paraId="12B4050D">
            <w:pPr>
              <w:snapToGrid w:val="0"/>
              <w:spacing w:before="120" w:beforeLines="50"/>
              <w:ind w:left="43"/>
              <w:jc w:val="center"/>
              <w:rPr>
                <w:rFonts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tcPr>
          <w:p w14:paraId="7A6584EB">
            <w:pPr>
              <w:snapToGrid w:val="0"/>
              <w:spacing w:before="120" w:beforeLines="50"/>
              <w:ind w:left="43"/>
              <w:jc w:val="center"/>
              <w:rPr>
                <w:rFonts w:ascii="宋体" w:hAnsi="宋体"/>
                <w:color w:val="auto"/>
                <w:sz w:val="24"/>
                <w:highlight w:val="none"/>
              </w:rPr>
            </w:pPr>
          </w:p>
        </w:tc>
      </w:tr>
      <w:tr w14:paraId="680F76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05" w:type="dxa"/>
            <w:tcBorders>
              <w:top w:val="single" w:color="auto" w:sz="4" w:space="0"/>
              <w:left w:val="single" w:color="auto" w:sz="4" w:space="0"/>
              <w:bottom w:val="single" w:color="auto" w:sz="4" w:space="0"/>
              <w:right w:val="single" w:color="auto" w:sz="4" w:space="0"/>
            </w:tcBorders>
            <w:vAlign w:val="center"/>
          </w:tcPr>
          <w:p w14:paraId="4D12E20A">
            <w:pPr>
              <w:snapToGrid w:val="0"/>
              <w:spacing w:line="36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w:t>
            </w:r>
            <w:r>
              <w:rPr>
                <w:rFonts w:hint="eastAsia" w:ascii="宋体" w:hAnsi="宋体" w:cs="宋体"/>
                <w:color w:val="auto"/>
                <w:szCs w:val="21"/>
                <w:highlight w:val="none"/>
              </w:rPr>
              <w:t>付款条件</w:t>
            </w:r>
          </w:p>
        </w:tc>
        <w:tc>
          <w:tcPr>
            <w:tcW w:w="2741" w:type="dxa"/>
            <w:tcBorders>
              <w:top w:val="single" w:color="auto" w:sz="4" w:space="0"/>
              <w:left w:val="single" w:color="auto" w:sz="4" w:space="0"/>
              <w:bottom w:val="single" w:color="auto" w:sz="4" w:space="0"/>
              <w:right w:val="single" w:color="auto" w:sz="4" w:space="0"/>
            </w:tcBorders>
          </w:tcPr>
          <w:p w14:paraId="675A1DD5">
            <w:pPr>
              <w:snapToGrid w:val="0"/>
              <w:spacing w:before="120" w:beforeLines="50"/>
              <w:rPr>
                <w:rFonts w:ascii="宋体" w:hAnsi="宋体"/>
                <w:color w:val="auto"/>
                <w:sz w:val="24"/>
                <w:highlight w:val="none"/>
                <w:u w:val="single"/>
              </w:rPr>
            </w:pPr>
          </w:p>
        </w:tc>
        <w:tc>
          <w:tcPr>
            <w:tcW w:w="1760" w:type="dxa"/>
            <w:tcBorders>
              <w:top w:val="single" w:color="auto" w:sz="4" w:space="0"/>
              <w:left w:val="single" w:color="auto" w:sz="4" w:space="0"/>
              <w:bottom w:val="single" w:color="auto" w:sz="4" w:space="0"/>
              <w:right w:val="single" w:color="auto" w:sz="4" w:space="0"/>
            </w:tcBorders>
          </w:tcPr>
          <w:p w14:paraId="455CB9F3">
            <w:pPr>
              <w:snapToGrid w:val="0"/>
              <w:spacing w:before="120" w:beforeLines="50"/>
              <w:ind w:left="43"/>
              <w:jc w:val="center"/>
              <w:rPr>
                <w:rFonts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tcPr>
          <w:p w14:paraId="5BA116AD">
            <w:pPr>
              <w:snapToGrid w:val="0"/>
              <w:spacing w:before="120" w:beforeLines="50"/>
              <w:ind w:left="43"/>
              <w:jc w:val="center"/>
              <w:rPr>
                <w:rFonts w:ascii="宋体" w:hAnsi="宋体"/>
                <w:color w:val="auto"/>
                <w:sz w:val="24"/>
                <w:highlight w:val="none"/>
              </w:rPr>
            </w:pPr>
          </w:p>
        </w:tc>
      </w:tr>
      <w:tr w14:paraId="69A042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05" w:type="dxa"/>
            <w:tcBorders>
              <w:top w:val="single" w:color="auto" w:sz="4" w:space="0"/>
              <w:left w:val="single" w:color="auto" w:sz="4" w:space="0"/>
              <w:bottom w:val="single" w:color="auto" w:sz="4" w:space="0"/>
              <w:right w:val="single" w:color="auto" w:sz="4" w:space="0"/>
            </w:tcBorders>
            <w:vAlign w:val="center"/>
          </w:tcPr>
          <w:p w14:paraId="5499369E">
            <w:pPr>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其他要求</w:t>
            </w:r>
          </w:p>
        </w:tc>
        <w:tc>
          <w:tcPr>
            <w:tcW w:w="2741" w:type="dxa"/>
            <w:tcBorders>
              <w:top w:val="single" w:color="auto" w:sz="4" w:space="0"/>
              <w:left w:val="single" w:color="auto" w:sz="4" w:space="0"/>
              <w:bottom w:val="single" w:color="auto" w:sz="4" w:space="0"/>
              <w:right w:val="single" w:color="auto" w:sz="4" w:space="0"/>
            </w:tcBorders>
          </w:tcPr>
          <w:p w14:paraId="1B68E56A">
            <w:pPr>
              <w:snapToGrid w:val="0"/>
              <w:spacing w:before="120" w:beforeLines="50"/>
              <w:rPr>
                <w:rFonts w:ascii="宋体" w:hAnsi="宋体"/>
                <w:color w:val="auto"/>
                <w:sz w:val="24"/>
                <w:highlight w:val="none"/>
                <w:u w:val="single"/>
              </w:rPr>
            </w:pPr>
          </w:p>
        </w:tc>
        <w:tc>
          <w:tcPr>
            <w:tcW w:w="1760" w:type="dxa"/>
            <w:tcBorders>
              <w:top w:val="single" w:color="auto" w:sz="4" w:space="0"/>
              <w:left w:val="single" w:color="auto" w:sz="4" w:space="0"/>
              <w:bottom w:val="single" w:color="auto" w:sz="4" w:space="0"/>
              <w:right w:val="single" w:color="auto" w:sz="4" w:space="0"/>
            </w:tcBorders>
          </w:tcPr>
          <w:p w14:paraId="0DE122B4">
            <w:pPr>
              <w:snapToGrid w:val="0"/>
              <w:spacing w:before="120" w:beforeLines="50"/>
              <w:ind w:left="43"/>
              <w:jc w:val="center"/>
              <w:rPr>
                <w:rFonts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tcPr>
          <w:p w14:paraId="2935D009">
            <w:pPr>
              <w:snapToGrid w:val="0"/>
              <w:spacing w:before="120" w:beforeLines="50"/>
              <w:ind w:left="43"/>
              <w:jc w:val="center"/>
              <w:rPr>
                <w:rFonts w:ascii="宋体" w:hAnsi="宋体"/>
                <w:color w:val="auto"/>
                <w:sz w:val="24"/>
                <w:highlight w:val="none"/>
              </w:rPr>
            </w:pPr>
          </w:p>
        </w:tc>
      </w:tr>
      <w:tr w14:paraId="0843C4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105" w:type="dxa"/>
            <w:tcBorders>
              <w:top w:val="single" w:color="auto" w:sz="4" w:space="0"/>
              <w:left w:val="single" w:color="auto" w:sz="4" w:space="0"/>
              <w:bottom w:val="single" w:color="auto" w:sz="4" w:space="0"/>
              <w:right w:val="single" w:color="auto" w:sz="4" w:space="0"/>
            </w:tcBorders>
            <w:vAlign w:val="center"/>
          </w:tcPr>
          <w:p w14:paraId="45AAE00C">
            <w:pPr>
              <w:snapToGrid w:val="0"/>
              <w:spacing w:line="360" w:lineRule="exact"/>
              <w:jc w:val="center"/>
              <w:rPr>
                <w:rFonts w:ascii="宋体" w:hAnsi="宋体" w:cs="宋体"/>
                <w:color w:val="auto"/>
                <w:szCs w:val="21"/>
                <w:highlight w:val="none"/>
              </w:rPr>
            </w:pPr>
            <w:r>
              <w:rPr>
                <w:rFonts w:hint="eastAsia" w:ascii="宋体" w:hAnsi="宋体" w:cs="宋体"/>
                <w:color w:val="auto"/>
                <w:kern w:val="0"/>
                <w:szCs w:val="21"/>
                <w:highlight w:val="none"/>
                <w:lang w:bidi="ar"/>
              </w:rPr>
              <w:t>▲</w:t>
            </w:r>
            <w:r>
              <w:rPr>
                <w:rFonts w:hint="eastAsia" w:ascii="宋体" w:hAnsi="宋体" w:cs="宋体"/>
                <w:color w:val="auto"/>
                <w:szCs w:val="21"/>
                <w:highlight w:val="none"/>
              </w:rPr>
              <w:t>核心产品</w:t>
            </w:r>
          </w:p>
        </w:tc>
        <w:tc>
          <w:tcPr>
            <w:tcW w:w="2741" w:type="dxa"/>
            <w:tcBorders>
              <w:top w:val="single" w:color="auto" w:sz="4" w:space="0"/>
              <w:left w:val="single" w:color="auto" w:sz="4" w:space="0"/>
              <w:bottom w:val="single" w:color="auto" w:sz="4" w:space="0"/>
              <w:right w:val="single" w:color="auto" w:sz="4" w:space="0"/>
            </w:tcBorders>
          </w:tcPr>
          <w:p w14:paraId="7D0EA9B5">
            <w:pPr>
              <w:snapToGrid w:val="0"/>
              <w:spacing w:before="120" w:beforeLines="50"/>
              <w:rPr>
                <w:rFonts w:ascii="宋体" w:hAnsi="宋体"/>
                <w:color w:val="auto"/>
                <w:sz w:val="24"/>
                <w:highlight w:val="none"/>
                <w:u w:val="single"/>
              </w:rPr>
            </w:pPr>
          </w:p>
        </w:tc>
        <w:tc>
          <w:tcPr>
            <w:tcW w:w="1760" w:type="dxa"/>
            <w:tcBorders>
              <w:top w:val="single" w:color="auto" w:sz="4" w:space="0"/>
              <w:left w:val="single" w:color="auto" w:sz="4" w:space="0"/>
              <w:bottom w:val="single" w:color="auto" w:sz="4" w:space="0"/>
              <w:right w:val="single" w:color="auto" w:sz="4" w:space="0"/>
            </w:tcBorders>
          </w:tcPr>
          <w:p w14:paraId="3C62B2AB">
            <w:pPr>
              <w:snapToGrid w:val="0"/>
              <w:spacing w:before="120" w:beforeLines="50"/>
              <w:ind w:left="43"/>
              <w:jc w:val="center"/>
              <w:rPr>
                <w:rFonts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tcPr>
          <w:p w14:paraId="6B71A12B">
            <w:pPr>
              <w:snapToGrid w:val="0"/>
              <w:spacing w:before="120" w:beforeLines="50"/>
              <w:ind w:left="43"/>
              <w:jc w:val="center"/>
              <w:rPr>
                <w:rFonts w:ascii="宋体" w:hAnsi="宋体"/>
                <w:color w:val="auto"/>
                <w:sz w:val="24"/>
                <w:highlight w:val="none"/>
              </w:rPr>
            </w:pPr>
          </w:p>
        </w:tc>
      </w:tr>
    </w:tbl>
    <w:p w14:paraId="19DB0CB1">
      <w:pPr>
        <w:pStyle w:val="19"/>
        <w:rPr>
          <w:rFonts w:ascii="宋体" w:hAnsi="宋体"/>
          <w:color w:val="auto"/>
          <w:highlight w:val="none"/>
        </w:rPr>
      </w:pPr>
      <w:r>
        <w:rPr>
          <w:rFonts w:hint="eastAsia" w:ascii="宋体" w:hAnsi="宋体"/>
          <w:color w:val="auto"/>
          <w:highlight w:val="none"/>
        </w:rPr>
        <w:t>注：</w:t>
      </w:r>
    </w:p>
    <w:p w14:paraId="2BB78A37">
      <w:pPr>
        <w:pStyle w:val="3"/>
        <w:spacing w:line="520" w:lineRule="exact"/>
        <w:ind w:firstLine="0" w:firstLineChars="0"/>
        <w:rPr>
          <w:rFonts w:ascii="宋体" w:hAnsi="宋体" w:eastAsia="宋体" w:cs="仿宋_GB2312"/>
          <w:color w:val="auto"/>
          <w:szCs w:val="32"/>
          <w:highlight w:val="none"/>
        </w:rPr>
      </w:pPr>
      <w:r>
        <w:rPr>
          <w:rFonts w:hint="eastAsia" w:ascii="宋体" w:hAnsi="宋体" w:eastAsia="宋体"/>
          <w:color w:val="auto"/>
          <w:sz w:val="24"/>
          <w:szCs w:val="24"/>
          <w:highlight w:val="none"/>
        </w:rPr>
        <w:t>1.</w:t>
      </w:r>
      <w:r>
        <w:rPr>
          <w:rFonts w:hint="eastAsia" w:ascii="宋体" w:hAnsi="宋体" w:eastAsia="宋体"/>
          <w:color w:val="auto"/>
          <w:highlight w:val="none"/>
        </w:rPr>
        <w:t xml:space="preserve"> </w:t>
      </w:r>
      <w:r>
        <w:rPr>
          <w:rFonts w:hint="eastAsia" w:ascii="宋体" w:hAnsi="宋体" w:eastAsia="宋体"/>
          <w:color w:val="auto"/>
          <w:sz w:val="24"/>
          <w:szCs w:val="24"/>
          <w:highlight w:val="none"/>
        </w:rPr>
        <w:t>说明：应对照招标文件“第二章 采购需求”中的商务要求逐条作明确的投标响应，并作出偏离说明。</w:t>
      </w:r>
    </w:p>
    <w:p w14:paraId="70324FFC">
      <w:pPr>
        <w:pStyle w:val="19"/>
        <w:rPr>
          <w:rFonts w:ascii="宋体" w:hAnsi="宋体"/>
          <w:b w:val="0"/>
          <w:bCs w:val="0"/>
          <w:color w:val="auto"/>
          <w:highlight w:val="none"/>
        </w:rPr>
      </w:pPr>
      <w:r>
        <w:rPr>
          <w:rFonts w:ascii="宋体" w:hAnsi="宋体"/>
          <w:b w:val="0"/>
          <w:bCs w:val="0"/>
          <w:color w:val="auto"/>
          <w:highlight w:val="none"/>
        </w:rPr>
        <w:t>2.</w:t>
      </w:r>
      <w:r>
        <w:rPr>
          <w:rFonts w:hint="eastAsia" w:ascii="宋体" w:hAnsi="宋体"/>
          <w:b w:val="0"/>
          <w:bCs w:val="0"/>
          <w:color w:val="auto"/>
          <w:highlight w:val="none"/>
        </w:rPr>
        <w:t>投标人应根据自身的承诺，对照招标文件要求在“偏离说明”中注明“</w:t>
      </w:r>
      <w:r>
        <w:rPr>
          <w:rFonts w:hint="eastAsia" w:ascii="宋体" w:hAnsi="宋体"/>
          <w:color w:val="auto"/>
          <w:highlight w:val="none"/>
        </w:rPr>
        <w:t>正偏离</w:t>
      </w:r>
      <w:r>
        <w:rPr>
          <w:rFonts w:hint="eastAsia" w:ascii="宋体" w:hAnsi="宋体"/>
          <w:b w:val="0"/>
          <w:bCs w:val="0"/>
          <w:color w:val="auto"/>
          <w:highlight w:val="none"/>
        </w:rPr>
        <w:t>”、“</w:t>
      </w:r>
      <w:r>
        <w:rPr>
          <w:rFonts w:hint="eastAsia" w:ascii="宋体" w:hAnsi="宋体"/>
          <w:color w:val="auto"/>
          <w:highlight w:val="none"/>
        </w:rPr>
        <w:t>负偏离</w:t>
      </w:r>
      <w:r>
        <w:rPr>
          <w:rFonts w:hint="eastAsia" w:ascii="宋体" w:hAnsi="宋体"/>
          <w:b w:val="0"/>
          <w:bCs w:val="0"/>
          <w:color w:val="auto"/>
          <w:highlight w:val="none"/>
        </w:rPr>
        <w:t>”或者“</w:t>
      </w:r>
      <w:r>
        <w:rPr>
          <w:rFonts w:hint="eastAsia" w:ascii="宋体" w:hAnsi="宋体"/>
          <w:color w:val="auto"/>
          <w:highlight w:val="none"/>
        </w:rPr>
        <w:t>无偏离</w:t>
      </w:r>
      <w:r>
        <w:rPr>
          <w:rFonts w:hint="eastAsia" w:ascii="宋体" w:hAnsi="宋体"/>
          <w:b w:val="0"/>
          <w:bCs w:val="0"/>
          <w:color w:val="auto"/>
          <w:highlight w:val="none"/>
        </w:rPr>
        <w:t>”。既不属于“</w:t>
      </w:r>
      <w:r>
        <w:rPr>
          <w:rFonts w:hint="eastAsia" w:ascii="宋体" w:hAnsi="宋体"/>
          <w:color w:val="auto"/>
          <w:highlight w:val="none"/>
        </w:rPr>
        <w:t>正偏离</w:t>
      </w:r>
      <w:r>
        <w:rPr>
          <w:rFonts w:hint="eastAsia" w:ascii="宋体" w:hAnsi="宋体"/>
          <w:b w:val="0"/>
          <w:bCs w:val="0"/>
          <w:color w:val="auto"/>
          <w:highlight w:val="none"/>
        </w:rPr>
        <w:t>”也不属于“</w:t>
      </w:r>
      <w:r>
        <w:rPr>
          <w:rFonts w:hint="eastAsia" w:ascii="宋体" w:hAnsi="宋体"/>
          <w:color w:val="auto"/>
          <w:highlight w:val="none"/>
        </w:rPr>
        <w:t>负偏离</w:t>
      </w:r>
      <w:r>
        <w:rPr>
          <w:rFonts w:hint="eastAsia" w:ascii="宋体" w:hAnsi="宋体"/>
          <w:b w:val="0"/>
          <w:bCs w:val="0"/>
          <w:color w:val="auto"/>
          <w:highlight w:val="none"/>
        </w:rPr>
        <w:t>”即为“</w:t>
      </w:r>
      <w:r>
        <w:rPr>
          <w:rFonts w:hint="eastAsia" w:ascii="宋体" w:hAnsi="宋体"/>
          <w:color w:val="auto"/>
          <w:highlight w:val="none"/>
        </w:rPr>
        <w:t>无偏离</w:t>
      </w:r>
      <w:r>
        <w:rPr>
          <w:rFonts w:hint="eastAsia" w:ascii="宋体" w:hAnsi="宋体"/>
          <w:b w:val="0"/>
          <w:bCs w:val="0"/>
          <w:color w:val="auto"/>
          <w:highlight w:val="none"/>
        </w:rPr>
        <w:t>”。</w:t>
      </w:r>
    </w:p>
    <w:p w14:paraId="533C35B4">
      <w:pPr>
        <w:snapToGrid w:val="0"/>
        <w:spacing w:before="50" w:after="50"/>
        <w:rPr>
          <w:rFonts w:ascii="宋体" w:hAnsi="宋体"/>
          <w:color w:val="auto"/>
          <w:sz w:val="24"/>
          <w:highlight w:val="none"/>
        </w:rPr>
      </w:pPr>
    </w:p>
    <w:p w14:paraId="637CE4A6">
      <w:pPr>
        <w:snapToGrid w:val="0"/>
        <w:spacing w:before="50" w:after="50"/>
        <w:rPr>
          <w:rFonts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u w:val="single"/>
        </w:rPr>
        <w:t xml:space="preserve">        </w:t>
      </w:r>
    </w:p>
    <w:p w14:paraId="0339B865">
      <w:pPr>
        <w:snapToGrid w:val="0"/>
        <w:spacing w:before="120" w:beforeLines="50"/>
        <w:rPr>
          <w:rFonts w:ascii="宋体" w:hAnsi="宋体"/>
          <w:color w:val="auto"/>
          <w:spacing w:val="20"/>
          <w:sz w:val="24"/>
          <w:highlight w:val="none"/>
        </w:rPr>
      </w:pPr>
      <w:r>
        <w:rPr>
          <w:rFonts w:hint="eastAsia" w:ascii="宋体" w:hAnsi="宋体"/>
          <w:color w:val="auto"/>
          <w:spacing w:val="20"/>
          <w:sz w:val="24"/>
          <w:highlight w:val="none"/>
        </w:rPr>
        <w:t>投标人盖公章：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w:t>
      </w:r>
    </w:p>
    <w:p w14:paraId="572DD089">
      <w:pPr>
        <w:snapToGrid w:val="0"/>
        <w:spacing w:before="120" w:beforeLines="50"/>
        <w:rPr>
          <w:rFonts w:ascii="宋体" w:hAnsi="宋体"/>
          <w:color w:val="auto"/>
          <w:sz w:val="24"/>
          <w:szCs w:val="20"/>
          <w:highlight w:val="none"/>
        </w:rPr>
      </w:pPr>
      <w:r>
        <w:rPr>
          <w:rFonts w:hint="eastAsia" w:ascii="宋体" w:hAnsi="宋体"/>
          <w:color w:val="auto"/>
          <w:spacing w:val="20"/>
          <w:sz w:val="24"/>
          <w:highlight w:val="none"/>
        </w:rPr>
        <w:t>日  期：</w:t>
      </w:r>
      <w:r>
        <w:rPr>
          <w:rFonts w:hint="eastAsia" w:ascii="宋体" w:hAnsi="宋体"/>
          <w:color w:val="auto"/>
          <w:spacing w:val="20"/>
          <w:sz w:val="24"/>
          <w:highlight w:val="none"/>
          <w:u w:val="single"/>
        </w:rPr>
        <w:t xml:space="preserve">         </w:t>
      </w:r>
    </w:p>
    <w:p w14:paraId="1EA0A4DF">
      <w:pPr>
        <w:snapToGrid w:val="0"/>
        <w:spacing w:before="120" w:beforeLines="50"/>
        <w:rPr>
          <w:rFonts w:ascii="宋体" w:hAnsi="宋体"/>
          <w:color w:val="auto"/>
          <w:sz w:val="24"/>
          <w:szCs w:val="20"/>
          <w:highlight w:val="none"/>
        </w:rPr>
      </w:pPr>
    </w:p>
    <w:p w14:paraId="196F0867">
      <w:pPr>
        <w:snapToGrid w:val="0"/>
        <w:spacing w:before="120" w:beforeLines="50" w:after="50"/>
        <w:jc w:val="left"/>
        <w:rPr>
          <w:rFonts w:ascii="宋体" w:hAnsi="宋体"/>
          <w:color w:val="auto"/>
          <w:sz w:val="24"/>
          <w:szCs w:val="20"/>
          <w:highlight w:val="none"/>
        </w:rPr>
      </w:pPr>
    </w:p>
    <w:p w14:paraId="5F861C35">
      <w:pPr>
        <w:snapToGrid w:val="0"/>
        <w:spacing w:before="120" w:beforeLines="50" w:after="50"/>
        <w:jc w:val="left"/>
        <w:rPr>
          <w:rFonts w:ascii="宋体" w:hAnsi="宋体"/>
          <w:b/>
          <w:color w:val="auto"/>
          <w:sz w:val="24"/>
          <w:highlight w:val="none"/>
        </w:rPr>
      </w:pPr>
      <w:r>
        <w:rPr>
          <w:rFonts w:ascii="宋体" w:hAnsi="宋体"/>
          <w:color w:val="auto"/>
          <w:sz w:val="24"/>
          <w:szCs w:val="20"/>
          <w:highlight w:val="none"/>
        </w:rPr>
        <w:br w:type="page"/>
      </w:r>
      <w:r>
        <w:rPr>
          <w:rFonts w:hint="eastAsia" w:ascii="宋体" w:hAnsi="宋体"/>
          <w:b/>
          <w:color w:val="auto"/>
          <w:sz w:val="24"/>
          <w:highlight w:val="none"/>
        </w:rPr>
        <w:t>7.投标人业绩证明材料</w:t>
      </w:r>
    </w:p>
    <w:p w14:paraId="52B84A21">
      <w:pPr>
        <w:pStyle w:val="35"/>
        <w:snapToGrid w:val="0"/>
        <w:ind w:left="480" w:hanging="480"/>
        <w:rPr>
          <w:rFonts w:ascii="宋体" w:hAnsi="宋体"/>
          <w:color w:val="auto"/>
          <w:sz w:val="24"/>
          <w:highlight w:val="none"/>
        </w:rPr>
      </w:pPr>
    </w:p>
    <w:p w14:paraId="5561330E">
      <w:pPr>
        <w:pStyle w:val="35"/>
        <w:snapToGrid w:val="0"/>
        <w:ind w:left="480" w:hanging="480"/>
        <w:rPr>
          <w:rFonts w:ascii="宋体" w:hAnsi="宋体"/>
          <w:color w:val="auto"/>
          <w:sz w:val="24"/>
          <w:highlight w:val="none"/>
        </w:rPr>
      </w:pPr>
      <w:r>
        <w:rPr>
          <w:rFonts w:hint="eastAsia" w:ascii="宋体" w:hAnsi="宋体"/>
          <w:color w:val="auto"/>
          <w:sz w:val="24"/>
          <w:highlight w:val="none"/>
        </w:rPr>
        <w:t xml:space="preserve">投标人业绩情况一览表格式： </w:t>
      </w:r>
    </w:p>
    <w:tbl>
      <w:tblPr>
        <w:tblStyle w:val="46"/>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2"/>
        <w:gridCol w:w="1770"/>
        <w:gridCol w:w="1770"/>
        <w:gridCol w:w="2856"/>
      </w:tblGrid>
      <w:tr w14:paraId="7D0DC3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250" w:type="pct"/>
            <w:vMerge w:val="restart"/>
            <w:tcBorders>
              <w:top w:val="single" w:color="auto" w:sz="4" w:space="0"/>
              <w:left w:val="single" w:color="auto" w:sz="4" w:space="0"/>
              <w:bottom w:val="single" w:color="auto" w:sz="4" w:space="0"/>
              <w:right w:val="single" w:color="auto" w:sz="4" w:space="0"/>
            </w:tcBorders>
            <w:vAlign w:val="center"/>
          </w:tcPr>
          <w:p w14:paraId="2F9B8448">
            <w:pPr>
              <w:snapToGrid w:val="0"/>
              <w:spacing w:line="240" w:lineRule="exact"/>
              <w:jc w:val="center"/>
              <w:rPr>
                <w:rFonts w:ascii="宋体" w:hAnsi="宋体"/>
                <w:color w:val="auto"/>
                <w:sz w:val="24"/>
                <w:highlight w:val="none"/>
              </w:rPr>
            </w:pPr>
            <w:r>
              <w:rPr>
                <w:rFonts w:hint="eastAsia" w:ascii="宋体" w:hAnsi="宋体"/>
                <w:color w:val="auto"/>
                <w:sz w:val="24"/>
                <w:highlight w:val="none"/>
              </w:rPr>
              <w:t>采购人名称</w:t>
            </w:r>
          </w:p>
        </w:tc>
        <w:tc>
          <w:tcPr>
            <w:tcW w:w="1038" w:type="pct"/>
            <w:vMerge w:val="restart"/>
            <w:tcBorders>
              <w:top w:val="single" w:color="auto" w:sz="4" w:space="0"/>
              <w:left w:val="single" w:color="auto" w:sz="4" w:space="0"/>
              <w:bottom w:val="single" w:color="auto" w:sz="4" w:space="0"/>
              <w:right w:val="single" w:color="auto" w:sz="4" w:space="0"/>
            </w:tcBorders>
            <w:vAlign w:val="center"/>
          </w:tcPr>
          <w:p w14:paraId="16BAB73E">
            <w:pPr>
              <w:snapToGrid w:val="0"/>
              <w:spacing w:line="240" w:lineRule="exact"/>
              <w:jc w:val="center"/>
              <w:rPr>
                <w:rFonts w:ascii="宋体" w:hAnsi="宋体"/>
                <w:color w:val="auto"/>
                <w:sz w:val="24"/>
                <w:highlight w:val="none"/>
              </w:rPr>
            </w:pPr>
            <w:r>
              <w:rPr>
                <w:rFonts w:hint="eastAsia" w:ascii="宋体" w:hAnsi="宋体"/>
                <w:color w:val="auto"/>
                <w:sz w:val="24"/>
                <w:highlight w:val="none"/>
              </w:rPr>
              <w:t>项目名称</w:t>
            </w:r>
          </w:p>
        </w:tc>
        <w:tc>
          <w:tcPr>
            <w:tcW w:w="1038" w:type="pct"/>
            <w:vMerge w:val="restart"/>
            <w:tcBorders>
              <w:top w:val="single" w:color="auto" w:sz="4" w:space="0"/>
              <w:left w:val="single" w:color="auto" w:sz="4" w:space="0"/>
              <w:bottom w:val="single" w:color="auto" w:sz="4" w:space="0"/>
              <w:right w:val="single" w:color="auto" w:sz="4" w:space="0"/>
            </w:tcBorders>
            <w:vAlign w:val="center"/>
          </w:tcPr>
          <w:p w14:paraId="7AD0A22F">
            <w:pPr>
              <w:snapToGrid w:val="0"/>
              <w:spacing w:line="240" w:lineRule="exact"/>
              <w:jc w:val="center"/>
              <w:rPr>
                <w:rFonts w:ascii="宋体" w:hAnsi="宋体"/>
                <w:color w:val="auto"/>
                <w:sz w:val="24"/>
                <w:highlight w:val="none"/>
              </w:rPr>
            </w:pPr>
            <w:r>
              <w:rPr>
                <w:rFonts w:hint="eastAsia" w:ascii="宋体" w:hAnsi="宋体"/>
                <w:color w:val="auto"/>
                <w:sz w:val="24"/>
                <w:highlight w:val="none"/>
              </w:rPr>
              <w:t>合同金额</w:t>
            </w:r>
          </w:p>
          <w:p w14:paraId="28D69D24">
            <w:pPr>
              <w:snapToGrid w:val="0"/>
              <w:spacing w:line="240" w:lineRule="exact"/>
              <w:jc w:val="center"/>
              <w:rPr>
                <w:rFonts w:ascii="宋体" w:hAnsi="宋体"/>
                <w:color w:val="auto"/>
                <w:sz w:val="24"/>
                <w:highlight w:val="none"/>
              </w:rPr>
            </w:pPr>
            <w:r>
              <w:rPr>
                <w:rFonts w:hint="eastAsia" w:ascii="宋体" w:hAnsi="宋体"/>
                <w:color w:val="auto"/>
                <w:sz w:val="24"/>
                <w:highlight w:val="none"/>
              </w:rPr>
              <w:t>（万元）</w:t>
            </w:r>
          </w:p>
        </w:tc>
        <w:tc>
          <w:tcPr>
            <w:tcW w:w="1674" w:type="pct"/>
            <w:vMerge w:val="restart"/>
            <w:tcBorders>
              <w:top w:val="single" w:color="auto" w:sz="4" w:space="0"/>
              <w:left w:val="single" w:color="auto" w:sz="4" w:space="0"/>
              <w:bottom w:val="single" w:color="auto" w:sz="4" w:space="0"/>
              <w:right w:val="single" w:color="auto" w:sz="4" w:space="0"/>
            </w:tcBorders>
            <w:vAlign w:val="center"/>
          </w:tcPr>
          <w:p w14:paraId="0C4FFEC4">
            <w:pPr>
              <w:snapToGrid w:val="0"/>
              <w:spacing w:line="240" w:lineRule="exact"/>
              <w:jc w:val="center"/>
              <w:rPr>
                <w:rFonts w:ascii="宋体" w:hAnsi="宋体"/>
                <w:color w:val="auto"/>
                <w:sz w:val="24"/>
                <w:highlight w:val="none"/>
              </w:rPr>
            </w:pPr>
            <w:r>
              <w:rPr>
                <w:rFonts w:hint="eastAsia" w:ascii="宋体" w:hAnsi="宋体"/>
                <w:color w:val="auto"/>
                <w:sz w:val="24"/>
                <w:highlight w:val="none"/>
              </w:rPr>
              <w:t>采购人联系人及</w:t>
            </w:r>
          </w:p>
          <w:p w14:paraId="3775BB73">
            <w:pPr>
              <w:snapToGrid w:val="0"/>
              <w:spacing w:line="240" w:lineRule="exact"/>
              <w:jc w:val="center"/>
              <w:rPr>
                <w:rFonts w:ascii="宋体" w:hAnsi="宋体"/>
                <w:color w:val="auto"/>
                <w:sz w:val="24"/>
                <w:highlight w:val="none"/>
              </w:rPr>
            </w:pPr>
            <w:r>
              <w:rPr>
                <w:rFonts w:hint="eastAsia" w:ascii="宋体" w:hAnsi="宋体"/>
                <w:color w:val="auto"/>
                <w:sz w:val="24"/>
                <w:highlight w:val="none"/>
              </w:rPr>
              <w:t>联系电话</w:t>
            </w:r>
          </w:p>
        </w:tc>
      </w:tr>
      <w:tr w14:paraId="567E49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250" w:type="pct"/>
            <w:vMerge w:val="continue"/>
            <w:tcBorders>
              <w:top w:val="single" w:color="auto" w:sz="4" w:space="0"/>
              <w:left w:val="single" w:color="auto" w:sz="4" w:space="0"/>
              <w:bottom w:val="single" w:color="auto" w:sz="4" w:space="0"/>
              <w:right w:val="single" w:color="auto" w:sz="4" w:space="0"/>
            </w:tcBorders>
            <w:vAlign w:val="center"/>
          </w:tcPr>
          <w:p w14:paraId="5EDC95FE">
            <w:pPr>
              <w:jc w:val="left"/>
              <w:rPr>
                <w:rFonts w:ascii="宋体" w:hAnsi="宋体"/>
                <w:color w:val="auto"/>
                <w:sz w:val="24"/>
                <w:highlight w:val="none"/>
              </w:rPr>
            </w:pPr>
          </w:p>
        </w:tc>
        <w:tc>
          <w:tcPr>
            <w:tcW w:w="1038" w:type="pct"/>
            <w:vMerge w:val="continue"/>
            <w:tcBorders>
              <w:top w:val="single" w:color="auto" w:sz="4" w:space="0"/>
              <w:left w:val="single" w:color="auto" w:sz="4" w:space="0"/>
              <w:bottom w:val="single" w:color="auto" w:sz="4" w:space="0"/>
              <w:right w:val="single" w:color="auto" w:sz="4" w:space="0"/>
            </w:tcBorders>
            <w:vAlign w:val="center"/>
          </w:tcPr>
          <w:p w14:paraId="5726B5F8">
            <w:pPr>
              <w:jc w:val="left"/>
              <w:rPr>
                <w:rFonts w:ascii="宋体" w:hAnsi="宋体"/>
                <w:color w:val="auto"/>
                <w:sz w:val="24"/>
                <w:highlight w:val="none"/>
              </w:rPr>
            </w:pPr>
          </w:p>
        </w:tc>
        <w:tc>
          <w:tcPr>
            <w:tcW w:w="1038" w:type="pct"/>
            <w:vMerge w:val="continue"/>
            <w:tcBorders>
              <w:top w:val="single" w:color="auto" w:sz="4" w:space="0"/>
              <w:left w:val="single" w:color="auto" w:sz="4" w:space="0"/>
              <w:bottom w:val="single" w:color="auto" w:sz="4" w:space="0"/>
              <w:right w:val="single" w:color="auto" w:sz="4" w:space="0"/>
            </w:tcBorders>
            <w:vAlign w:val="center"/>
          </w:tcPr>
          <w:p w14:paraId="744B8720">
            <w:pPr>
              <w:jc w:val="left"/>
              <w:rPr>
                <w:rFonts w:ascii="宋体" w:hAnsi="宋体"/>
                <w:color w:val="auto"/>
                <w:sz w:val="24"/>
                <w:highlight w:val="none"/>
              </w:rPr>
            </w:pPr>
          </w:p>
        </w:tc>
        <w:tc>
          <w:tcPr>
            <w:tcW w:w="1674" w:type="pct"/>
            <w:vMerge w:val="continue"/>
            <w:tcBorders>
              <w:top w:val="single" w:color="auto" w:sz="4" w:space="0"/>
              <w:left w:val="single" w:color="auto" w:sz="4" w:space="0"/>
              <w:bottom w:val="single" w:color="auto" w:sz="4" w:space="0"/>
              <w:right w:val="single" w:color="auto" w:sz="4" w:space="0"/>
            </w:tcBorders>
            <w:vAlign w:val="center"/>
          </w:tcPr>
          <w:p w14:paraId="5181A98D">
            <w:pPr>
              <w:jc w:val="left"/>
              <w:rPr>
                <w:rFonts w:ascii="宋体" w:hAnsi="宋体"/>
                <w:color w:val="auto"/>
                <w:sz w:val="24"/>
                <w:highlight w:val="none"/>
              </w:rPr>
            </w:pPr>
          </w:p>
        </w:tc>
      </w:tr>
      <w:tr w14:paraId="6B80B3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250" w:type="pct"/>
            <w:tcBorders>
              <w:top w:val="single" w:color="auto" w:sz="4" w:space="0"/>
              <w:left w:val="single" w:color="auto" w:sz="4" w:space="0"/>
              <w:bottom w:val="single" w:color="auto" w:sz="4" w:space="0"/>
              <w:right w:val="single" w:color="auto" w:sz="4" w:space="0"/>
            </w:tcBorders>
          </w:tcPr>
          <w:p w14:paraId="3909DF4A">
            <w:pPr>
              <w:snapToGrid w:val="0"/>
              <w:spacing w:line="240" w:lineRule="exact"/>
              <w:jc w:val="left"/>
              <w:rPr>
                <w:rFonts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4993A2C9">
            <w:pPr>
              <w:snapToGrid w:val="0"/>
              <w:spacing w:line="240" w:lineRule="exact"/>
              <w:jc w:val="left"/>
              <w:rPr>
                <w:rFonts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0F06DD12">
            <w:pPr>
              <w:snapToGrid w:val="0"/>
              <w:spacing w:line="240" w:lineRule="exact"/>
              <w:jc w:val="left"/>
              <w:rPr>
                <w:rFonts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tcPr>
          <w:p w14:paraId="4897FF2B">
            <w:pPr>
              <w:snapToGrid w:val="0"/>
              <w:spacing w:line="240" w:lineRule="exact"/>
              <w:jc w:val="left"/>
              <w:rPr>
                <w:rFonts w:ascii="宋体" w:hAnsi="宋体"/>
                <w:color w:val="auto"/>
                <w:sz w:val="24"/>
                <w:highlight w:val="none"/>
              </w:rPr>
            </w:pPr>
          </w:p>
        </w:tc>
      </w:tr>
      <w:tr w14:paraId="4EEA0F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14:paraId="0CE210FD">
            <w:pPr>
              <w:snapToGrid w:val="0"/>
              <w:spacing w:before="50" w:after="120" w:afterLines="50" w:line="400" w:lineRule="exact"/>
              <w:jc w:val="left"/>
              <w:rPr>
                <w:rFonts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26DEF063">
            <w:pPr>
              <w:snapToGrid w:val="0"/>
              <w:spacing w:before="50" w:after="120" w:afterLines="50" w:line="400" w:lineRule="exact"/>
              <w:jc w:val="left"/>
              <w:rPr>
                <w:rFonts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716E146E">
            <w:pPr>
              <w:snapToGrid w:val="0"/>
              <w:spacing w:before="50" w:after="120" w:afterLines="50" w:line="400" w:lineRule="exact"/>
              <w:jc w:val="left"/>
              <w:rPr>
                <w:rFonts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tcPr>
          <w:p w14:paraId="4FD42DBB">
            <w:pPr>
              <w:snapToGrid w:val="0"/>
              <w:spacing w:before="50" w:after="120" w:afterLines="50" w:line="400" w:lineRule="exact"/>
              <w:jc w:val="left"/>
              <w:rPr>
                <w:rFonts w:ascii="宋体" w:hAnsi="宋体"/>
                <w:color w:val="auto"/>
                <w:sz w:val="24"/>
                <w:highlight w:val="none"/>
              </w:rPr>
            </w:pPr>
          </w:p>
        </w:tc>
      </w:tr>
      <w:tr w14:paraId="03E0A1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250" w:type="pct"/>
            <w:tcBorders>
              <w:top w:val="single" w:color="auto" w:sz="4" w:space="0"/>
              <w:left w:val="single" w:color="auto" w:sz="4" w:space="0"/>
              <w:bottom w:val="single" w:color="auto" w:sz="4" w:space="0"/>
              <w:right w:val="single" w:color="auto" w:sz="4" w:space="0"/>
            </w:tcBorders>
          </w:tcPr>
          <w:p w14:paraId="7B570240">
            <w:pPr>
              <w:snapToGrid w:val="0"/>
              <w:spacing w:before="50" w:after="120" w:afterLines="50" w:line="400" w:lineRule="exact"/>
              <w:jc w:val="left"/>
              <w:rPr>
                <w:rFonts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5762E0EB">
            <w:pPr>
              <w:snapToGrid w:val="0"/>
              <w:spacing w:before="50" w:after="120" w:afterLines="50" w:line="400" w:lineRule="exact"/>
              <w:jc w:val="left"/>
              <w:rPr>
                <w:rFonts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43ED74CD">
            <w:pPr>
              <w:snapToGrid w:val="0"/>
              <w:spacing w:before="50" w:after="120" w:afterLines="50" w:line="400" w:lineRule="exact"/>
              <w:jc w:val="left"/>
              <w:rPr>
                <w:rFonts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tcPr>
          <w:p w14:paraId="1766AFFE">
            <w:pPr>
              <w:snapToGrid w:val="0"/>
              <w:spacing w:before="50" w:after="120" w:afterLines="50" w:line="400" w:lineRule="exact"/>
              <w:jc w:val="left"/>
              <w:rPr>
                <w:rFonts w:ascii="宋体" w:hAnsi="宋体"/>
                <w:color w:val="auto"/>
                <w:sz w:val="24"/>
                <w:highlight w:val="none"/>
              </w:rPr>
            </w:pPr>
          </w:p>
        </w:tc>
      </w:tr>
      <w:tr w14:paraId="4D92B2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14:paraId="1CB9B317">
            <w:pPr>
              <w:snapToGrid w:val="0"/>
              <w:spacing w:before="50" w:after="120" w:afterLines="50" w:line="400" w:lineRule="exact"/>
              <w:jc w:val="left"/>
              <w:rPr>
                <w:rFonts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0398B82F">
            <w:pPr>
              <w:snapToGrid w:val="0"/>
              <w:spacing w:before="50" w:after="120" w:afterLines="50" w:line="400" w:lineRule="exact"/>
              <w:jc w:val="left"/>
              <w:rPr>
                <w:rFonts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462C82F6">
            <w:pPr>
              <w:snapToGrid w:val="0"/>
              <w:spacing w:before="50" w:after="120" w:afterLines="50" w:line="400" w:lineRule="exact"/>
              <w:jc w:val="left"/>
              <w:rPr>
                <w:rFonts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tcPr>
          <w:p w14:paraId="784B3615">
            <w:pPr>
              <w:snapToGrid w:val="0"/>
              <w:spacing w:before="50" w:after="120" w:afterLines="50" w:line="400" w:lineRule="exact"/>
              <w:jc w:val="left"/>
              <w:rPr>
                <w:rFonts w:ascii="宋体" w:hAnsi="宋体"/>
                <w:color w:val="auto"/>
                <w:sz w:val="24"/>
                <w:highlight w:val="none"/>
              </w:rPr>
            </w:pPr>
          </w:p>
        </w:tc>
      </w:tr>
      <w:tr w14:paraId="67337F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tcPr>
          <w:p w14:paraId="1FCEE6A4">
            <w:pPr>
              <w:snapToGrid w:val="0"/>
              <w:spacing w:before="50" w:after="120" w:afterLines="50" w:line="400" w:lineRule="exact"/>
              <w:jc w:val="left"/>
              <w:rPr>
                <w:rFonts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3C34E064">
            <w:pPr>
              <w:snapToGrid w:val="0"/>
              <w:spacing w:before="50" w:after="120" w:afterLines="50" w:line="400" w:lineRule="exact"/>
              <w:jc w:val="left"/>
              <w:rPr>
                <w:rFonts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tcPr>
          <w:p w14:paraId="7C4DB015">
            <w:pPr>
              <w:snapToGrid w:val="0"/>
              <w:spacing w:before="50" w:after="120" w:afterLines="50" w:line="400" w:lineRule="exact"/>
              <w:jc w:val="left"/>
              <w:rPr>
                <w:rFonts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tcPr>
          <w:p w14:paraId="515A85D5">
            <w:pPr>
              <w:snapToGrid w:val="0"/>
              <w:spacing w:before="50" w:after="120" w:afterLines="50" w:line="400" w:lineRule="exact"/>
              <w:jc w:val="left"/>
              <w:rPr>
                <w:rFonts w:ascii="宋体" w:hAnsi="宋体"/>
                <w:color w:val="auto"/>
                <w:sz w:val="24"/>
                <w:highlight w:val="none"/>
              </w:rPr>
            </w:pPr>
          </w:p>
        </w:tc>
      </w:tr>
    </w:tbl>
    <w:p w14:paraId="42EAF0B4">
      <w:pPr>
        <w:pStyle w:val="16"/>
        <w:spacing w:before="0" w:after="0" w:line="360" w:lineRule="auto"/>
        <w:contextualSpacing/>
        <w:rPr>
          <w:rFonts w:ascii="宋体" w:hAnsi="宋体" w:eastAsia="宋体"/>
          <w:color w:val="auto"/>
          <w:sz w:val="24"/>
          <w:szCs w:val="24"/>
          <w:highlight w:val="none"/>
        </w:rPr>
      </w:pPr>
    </w:p>
    <w:p w14:paraId="68104C77">
      <w:pPr>
        <w:pStyle w:val="16"/>
        <w:spacing w:before="0" w:after="0" w:line="360" w:lineRule="auto"/>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注：</w:t>
      </w:r>
      <w:r>
        <w:rPr>
          <w:rFonts w:hint="eastAsia" w:ascii="宋体" w:hAnsi="宋体" w:eastAsia="宋体"/>
          <w:color w:val="auto"/>
          <w:sz w:val="24"/>
          <w:highlight w:val="none"/>
        </w:rPr>
        <w:t>投标人根据评标标准具体要求附业绩证明材料。</w:t>
      </w:r>
    </w:p>
    <w:p w14:paraId="5EC19F96">
      <w:pPr>
        <w:pStyle w:val="16"/>
        <w:spacing w:before="0" w:after="0" w:line="360" w:lineRule="auto"/>
        <w:contextualSpacing/>
        <w:jc w:val="left"/>
        <w:rPr>
          <w:rFonts w:ascii="宋体" w:hAnsi="宋体" w:eastAsia="宋体"/>
          <w:color w:val="auto"/>
          <w:sz w:val="24"/>
          <w:szCs w:val="24"/>
          <w:highlight w:val="none"/>
          <w:u w:val="single"/>
        </w:rPr>
      </w:pPr>
      <w:r>
        <w:rPr>
          <w:rFonts w:hint="eastAsia" w:ascii="宋体" w:hAnsi="宋体" w:eastAsia="宋体"/>
          <w:color w:val="auto"/>
          <w:sz w:val="24"/>
          <w:szCs w:val="24"/>
          <w:highlight w:val="none"/>
        </w:rPr>
        <w:t>法定代表人或者委托代理人（签字）：</w:t>
      </w:r>
      <w:r>
        <w:rPr>
          <w:rFonts w:hint="eastAsia" w:ascii="宋体" w:hAnsi="宋体" w:eastAsia="宋体"/>
          <w:color w:val="auto"/>
          <w:sz w:val="24"/>
          <w:szCs w:val="24"/>
          <w:highlight w:val="none"/>
          <w:u w:val="single"/>
        </w:rPr>
        <w:t>　　　　　</w:t>
      </w:r>
    </w:p>
    <w:p w14:paraId="4638733E">
      <w:pPr>
        <w:spacing w:line="360" w:lineRule="auto"/>
        <w:ind w:right="480"/>
        <w:contextualSpacing/>
        <w:jc w:val="left"/>
        <w:rPr>
          <w:rFonts w:ascii="宋体" w:hAnsi="宋体"/>
          <w:color w:val="auto"/>
          <w:sz w:val="24"/>
          <w:szCs w:val="20"/>
          <w:highlight w:val="none"/>
        </w:rPr>
      </w:pPr>
      <w:r>
        <w:rPr>
          <w:rFonts w:hint="eastAsia" w:ascii="宋体" w:hAnsi="宋体" w:cs="Arial"/>
          <w:color w:val="auto"/>
          <w:sz w:val="24"/>
          <w:highlight w:val="none"/>
        </w:rPr>
        <w:t xml:space="preserve">投标人（盖公章）：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年    月    日</w:t>
      </w:r>
    </w:p>
    <w:p w14:paraId="65DD8B11">
      <w:pPr>
        <w:snapToGrid w:val="0"/>
        <w:spacing w:before="50"/>
        <w:ind w:firstLine="480" w:firstLineChars="200"/>
        <w:jc w:val="left"/>
        <w:rPr>
          <w:rFonts w:ascii="宋体" w:hAnsi="宋体"/>
          <w:color w:val="auto"/>
          <w:sz w:val="24"/>
          <w:szCs w:val="20"/>
          <w:highlight w:val="none"/>
        </w:rPr>
      </w:pPr>
    </w:p>
    <w:p w14:paraId="5CE1DC31">
      <w:pPr>
        <w:snapToGrid w:val="0"/>
        <w:spacing w:before="50"/>
        <w:jc w:val="left"/>
        <w:rPr>
          <w:rFonts w:ascii="宋体" w:hAnsi="宋体"/>
          <w:color w:val="auto"/>
          <w:sz w:val="24"/>
          <w:highlight w:val="none"/>
        </w:rPr>
      </w:pPr>
    </w:p>
    <w:p w14:paraId="1CB9AFF9">
      <w:pPr>
        <w:snapToGrid w:val="0"/>
        <w:spacing w:before="120" w:beforeLines="50"/>
        <w:rPr>
          <w:rFonts w:ascii="宋体" w:hAnsi="宋体"/>
          <w:color w:val="auto"/>
          <w:sz w:val="24"/>
          <w:szCs w:val="20"/>
          <w:highlight w:val="none"/>
        </w:rPr>
        <w:sectPr>
          <w:pgSz w:w="11906" w:h="16838"/>
          <w:pgMar w:top="1440" w:right="1797" w:bottom="1440" w:left="1797" w:header="851" w:footer="992" w:gutter="0"/>
          <w:pgNumType w:fmt="decimal"/>
          <w:cols w:space="720" w:num="1"/>
          <w:docGrid w:linePitch="312" w:charSpace="0"/>
        </w:sectPr>
      </w:pPr>
    </w:p>
    <w:p w14:paraId="356D8183">
      <w:pPr>
        <w:rPr>
          <w:rFonts w:ascii="宋体" w:hAnsi="宋体"/>
          <w:b/>
          <w:color w:val="auto"/>
          <w:sz w:val="28"/>
          <w:szCs w:val="28"/>
          <w:highlight w:val="none"/>
        </w:rPr>
      </w:pPr>
      <w:r>
        <w:rPr>
          <w:rFonts w:hint="eastAsia" w:ascii="宋体" w:hAnsi="宋体"/>
          <w:b/>
          <w:color w:val="auto"/>
          <w:sz w:val="28"/>
          <w:szCs w:val="28"/>
          <w:highlight w:val="none"/>
        </w:rPr>
        <w:t>四、技术文件格式</w:t>
      </w:r>
    </w:p>
    <w:p w14:paraId="6121A949">
      <w:pPr>
        <w:snapToGrid w:val="0"/>
        <w:spacing w:before="120" w:beforeLines="50" w:after="50"/>
        <w:ind w:left="142"/>
        <w:jc w:val="left"/>
        <w:rPr>
          <w:rFonts w:ascii="宋体" w:hAnsi="宋体"/>
          <w:b/>
          <w:color w:val="auto"/>
          <w:sz w:val="24"/>
          <w:highlight w:val="none"/>
        </w:rPr>
      </w:pPr>
      <w:r>
        <w:rPr>
          <w:rFonts w:hint="eastAsia" w:ascii="宋体" w:hAnsi="宋体"/>
          <w:b/>
          <w:color w:val="auto"/>
          <w:sz w:val="24"/>
          <w:highlight w:val="none"/>
        </w:rPr>
        <w:t xml:space="preserve">1. 技术文件封面格式： </w:t>
      </w:r>
    </w:p>
    <w:p w14:paraId="79C21063">
      <w:pPr>
        <w:snapToGrid w:val="0"/>
        <w:spacing w:before="120" w:beforeLines="50" w:after="50"/>
        <w:rPr>
          <w:rFonts w:ascii="宋体" w:hAnsi="宋体"/>
          <w:b/>
          <w:bCs/>
          <w:color w:val="auto"/>
          <w:sz w:val="32"/>
          <w:szCs w:val="20"/>
          <w:highlight w:val="none"/>
        </w:rPr>
      </w:pPr>
      <w:r>
        <w:rPr>
          <w:rFonts w:hint="eastAsia" w:ascii="宋体" w:hAnsi="宋体"/>
          <w:color w:val="auto"/>
          <w:sz w:val="24"/>
          <w:highlight w:val="none"/>
        </w:rPr>
        <w:t xml:space="preserve">                                                   </w:t>
      </w:r>
    </w:p>
    <w:p w14:paraId="4CCDC685">
      <w:pPr>
        <w:snapToGrid w:val="0"/>
        <w:spacing w:before="120" w:beforeLines="50" w:after="50"/>
        <w:rPr>
          <w:rFonts w:ascii="宋体" w:hAnsi="宋体"/>
          <w:color w:val="auto"/>
          <w:sz w:val="24"/>
          <w:szCs w:val="20"/>
          <w:highlight w:val="none"/>
        </w:rPr>
      </w:pPr>
    </w:p>
    <w:p w14:paraId="4E97B165">
      <w:pPr>
        <w:snapToGrid w:val="0"/>
        <w:spacing w:before="120" w:beforeLines="50" w:after="50"/>
        <w:rPr>
          <w:rFonts w:ascii="宋体" w:hAnsi="宋体"/>
          <w:color w:val="auto"/>
          <w:sz w:val="24"/>
          <w:szCs w:val="20"/>
          <w:highlight w:val="none"/>
        </w:rPr>
      </w:pPr>
    </w:p>
    <w:p w14:paraId="48EF326C">
      <w:pPr>
        <w:snapToGrid w:val="0"/>
        <w:spacing w:before="120" w:beforeLines="50" w:after="50"/>
        <w:jc w:val="center"/>
        <w:rPr>
          <w:rFonts w:ascii="宋体" w:hAnsi="宋体" w:cs="方正小标宋简体"/>
          <w:color w:val="auto"/>
          <w:sz w:val="84"/>
          <w:szCs w:val="84"/>
          <w:highlight w:val="none"/>
        </w:rPr>
      </w:pPr>
      <w:r>
        <w:rPr>
          <w:rFonts w:hint="eastAsia" w:ascii="宋体" w:hAnsi="宋体" w:cs="方正小标宋简体"/>
          <w:color w:val="auto"/>
          <w:sz w:val="84"/>
          <w:szCs w:val="84"/>
          <w:highlight w:val="none"/>
        </w:rPr>
        <w:t>投  标  文  件</w:t>
      </w:r>
    </w:p>
    <w:p w14:paraId="2D63067F">
      <w:pPr>
        <w:snapToGrid w:val="0"/>
        <w:spacing w:before="120" w:beforeLines="50" w:after="50"/>
        <w:rPr>
          <w:rFonts w:ascii="宋体" w:hAnsi="宋体"/>
          <w:color w:val="auto"/>
          <w:sz w:val="24"/>
          <w:szCs w:val="20"/>
          <w:highlight w:val="none"/>
        </w:rPr>
      </w:pPr>
    </w:p>
    <w:p w14:paraId="2D27E04A">
      <w:pPr>
        <w:snapToGrid w:val="0"/>
        <w:spacing w:before="120" w:beforeLines="50" w:after="50"/>
        <w:rPr>
          <w:rFonts w:ascii="宋体" w:hAnsi="宋体"/>
          <w:color w:val="auto"/>
          <w:sz w:val="24"/>
          <w:szCs w:val="20"/>
          <w:highlight w:val="none"/>
        </w:rPr>
      </w:pPr>
    </w:p>
    <w:p w14:paraId="2DA7D224">
      <w:pPr>
        <w:snapToGrid w:val="0"/>
        <w:spacing w:before="120" w:beforeLines="50" w:after="50"/>
        <w:jc w:val="center"/>
        <w:rPr>
          <w:rFonts w:ascii="宋体" w:hAnsi="宋体"/>
          <w:b/>
          <w:bCs/>
          <w:color w:val="auto"/>
          <w:sz w:val="32"/>
          <w:szCs w:val="32"/>
          <w:highlight w:val="none"/>
        </w:rPr>
      </w:pPr>
      <w:r>
        <w:rPr>
          <w:rFonts w:hint="eastAsia" w:ascii="宋体" w:hAnsi="宋体"/>
          <w:b/>
          <w:bCs/>
          <w:color w:val="auto"/>
          <w:sz w:val="32"/>
          <w:szCs w:val="32"/>
          <w:highlight w:val="none"/>
        </w:rPr>
        <w:t>技  术  文  件</w:t>
      </w:r>
    </w:p>
    <w:p w14:paraId="2269A84F">
      <w:pPr>
        <w:snapToGrid w:val="0"/>
        <w:spacing w:before="120" w:beforeLines="50" w:after="50"/>
        <w:rPr>
          <w:rFonts w:ascii="宋体" w:hAnsi="宋体"/>
          <w:bCs/>
          <w:color w:val="auto"/>
          <w:sz w:val="24"/>
          <w:szCs w:val="20"/>
          <w:highlight w:val="none"/>
        </w:rPr>
      </w:pPr>
    </w:p>
    <w:p w14:paraId="30A20068">
      <w:pPr>
        <w:snapToGrid w:val="0"/>
        <w:spacing w:before="120" w:beforeLines="50" w:after="50"/>
        <w:rPr>
          <w:rFonts w:ascii="宋体" w:hAnsi="宋体"/>
          <w:bCs/>
          <w:color w:val="auto"/>
          <w:sz w:val="24"/>
          <w:szCs w:val="20"/>
          <w:highlight w:val="none"/>
        </w:rPr>
      </w:pPr>
    </w:p>
    <w:p w14:paraId="6E861989">
      <w:pPr>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项目名称： </w:t>
      </w:r>
    </w:p>
    <w:p w14:paraId="4C9034E9">
      <w:pPr>
        <w:snapToGrid w:val="0"/>
        <w:spacing w:before="120" w:beforeLines="50" w:after="50" w:line="400" w:lineRule="exact"/>
        <w:ind w:firstLine="360" w:firstLineChars="150"/>
        <w:rPr>
          <w:rFonts w:ascii="宋体" w:hAnsi="宋体"/>
          <w:bCs/>
          <w:color w:val="auto"/>
          <w:sz w:val="24"/>
          <w:szCs w:val="20"/>
          <w:highlight w:val="none"/>
        </w:rPr>
      </w:pPr>
    </w:p>
    <w:p w14:paraId="1F63BD07">
      <w:pPr>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项目编号： </w:t>
      </w:r>
    </w:p>
    <w:p w14:paraId="570A6B17">
      <w:pPr>
        <w:snapToGrid w:val="0"/>
        <w:spacing w:before="120" w:beforeLines="50" w:after="50" w:line="400" w:lineRule="exact"/>
        <w:ind w:firstLine="360" w:firstLineChars="150"/>
        <w:rPr>
          <w:rFonts w:ascii="宋体" w:hAnsi="宋体"/>
          <w:bCs/>
          <w:color w:val="auto"/>
          <w:sz w:val="24"/>
          <w:highlight w:val="none"/>
        </w:rPr>
      </w:pPr>
    </w:p>
    <w:p w14:paraId="106EC3AD">
      <w:pPr>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所投分标：</w:t>
      </w:r>
    </w:p>
    <w:p w14:paraId="4298CB14">
      <w:pPr>
        <w:snapToGrid w:val="0"/>
        <w:spacing w:before="120" w:beforeLines="50" w:after="50" w:line="400" w:lineRule="exact"/>
        <w:ind w:firstLine="360" w:firstLineChars="150"/>
        <w:rPr>
          <w:rFonts w:ascii="宋体" w:hAnsi="宋体"/>
          <w:bCs/>
          <w:color w:val="auto"/>
          <w:sz w:val="24"/>
          <w:highlight w:val="none"/>
        </w:rPr>
      </w:pPr>
    </w:p>
    <w:p w14:paraId="496C017E">
      <w:pPr>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投标人名称：</w:t>
      </w:r>
    </w:p>
    <w:p w14:paraId="683BD95D">
      <w:pPr>
        <w:snapToGrid w:val="0"/>
        <w:spacing w:before="120" w:beforeLines="50" w:after="50" w:line="400" w:lineRule="exact"/>
        <w:ind w:firstLine="360" w:firstLineChars="150"/>
        <w:rPr>
          <w:rFonts w:ascii="宋体" w:hAnsi="宋体"/>
          <w:bCs/>
          <w:color w:val="auto"/>
          <w:sz w:val="24"/>
          <w:highlight w:val="none"/>
        </w:rPr>
      </w:pPr>
    </w:p>
    <w:p w14:paraId="3ACDD5E5">
      <w:pPr>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投标人地址：</w:t>
      </w:r>
    </w:p>
    <w:p w14:paraId="4E107251">
      <w:pPr>
        <w:snapToGrid w:val="0"/>
        <w:spacing w:before="120" w:beforeLines="50" w:after="50" w:line="400" w:lineRule="exact"/>
        <w:ind w:firstLine="360" w:firstLineChars="150"/>
        <w:rPr>
          <w:rFonts w:ascii="宋体" w:hAnsi="宋体"/>
          <w:bCs/>
          <w:color w:val="auto"/>
          <w:sz w:val="24"/>
          <w:highlight w:val="none"/>
        </w:rPr>
      </w:pPr>
    </w:p>
    <w:p w14:paraId="73591013">
      <w:pPr>
        <w:snapToGrid w:val="0"/>
        <w:spacing w:before="120" w:beforeLines="50" w:after="50"/>
        <w:ind w:firstLine="645"/>
        <w:jc w:val="center"/>
        <w:rPr>
          <w:rFonts w:ascii="宋体" w:hAnsi="宋体"/>
          <w:color w:val="auto"/>
          <w:sz w:val="24"/>
          <w:highlight w:val="none"/>
        </w:rPr>
      </w:pPr>
      <w:r>
        <w:rPr>
          <w:rFonts w:hint="eastAsia" w:ascii="宋体" w:hAnsi="宋体"/>
          <w:color w:val="auto"/>
          <w:sz w:val="24"/>
          <w:highlight w:val="none"/>
        </w:rPr>
        <w:t xml:space="preserve">               </w:t>
      </w:r>
    </w:p>
    <w:p w14:paraId="53AB47BC">
      <w:pPr>
        <w:snapToGrid w:val="0"/>
        <w:spacing w:before="120" w:beforeLines="50" w:after="50"/>
        <w:ind w:firstLine="645"/>
        <w:jc w:val="center"/>
        <w:rPr>
          <w:rFonts w:ascii="宋体" w:hAnsi="宋体"/>
          <w:color w:val="auto"/>
          <w:sz w:val="24"/>
          <w:highlight w:val="none"/>
        </w:rPr>
      </w:pPr>
    </w:p>
    <w:p w14:paraId="719C45CD">
      <w:pPr>
        <w:snapToGrid w:val="0"/>
        <w:spacing w:before="120" w:beforeLines="50" w:after="50"/>
        <w:ind w:firstLine="645"/>
        <w:jc w:val="center"/>
        <w:rPr>
          <w:rFonts w:ascii="宋体" w:hAnsi="宋体"/>
          <w:color w:val="auto"/>
          <w:sz w:val="24"/>
          <w:highlight w:val="none"/>
        </w:rPr>
      </w:pPr>
      <w:r>
        <w:rPr>
          <w:rFonts w:hint="eastAsia" w:ascii="宋体" w:hAnsi="宋体"/>
          <w:color w:val="auto"/>
          <w:sz w:val="24"/>
          <w:highlight w:val="none"/>
        </w:rPr>
        <w:t>年    月    日</w:t>
      </w:r>
    </w:p>
    <w:p w14:paraId="31175D36">
      <w:pPr>
        <w:snapToGrid w:val="0"/>
        <w:spacing w:before="120" w:beforeLines="50" w:after="50"/>
        <w:ind w:firstLine="645"/>
        <w:jc w:val="center"/>
        <w:rPr>
          <w:rFonts w:ascii="宋体" w:hAnsi="宋体"/>
          <w:color w:val="auto"/>
          <w:sz w:val="24"/>
          <w:szCs w:val="20"/>
          <w:highlight w:val="none"/>
        </w:rPr>
      </w:pPr>
    </w:p>
    <w:p w14:paraId="24F00201">
      <w:pPr>
        <w:snapToGrid w:val="0"/>
        <w:spacing w:before="120" w:beforeLines="50" w:after="50"/>
        <w:ind w:left="142"/>
        <w:jc w:val="left"/>
        <w:rPr>
          <w:rFonts w:ascii="宋体" w:hAnsi="宋体"/>
          <w:b/>
          <w:bCs/>
          <w:color w:val="auto"/>
          <w:sz w:val="24"/>
          <w:highlight w:val="none"/>
        </w:rPr>
      </w:pPr>
      <w:r>
        <w:rPr>
          <w:rFonts w:ascii="宋体" w:hAnsi="宋体"/>
          <w:b/>
          <w:bCs/>
          <w:color w:val="auto"/>
          <w:sz w:val="24"/>
          <w:highlight w:val="none"/>
        </w:rPr>
        <w:br w:type="page"/>
      </w:r>
      <w:r>
        <w:rPr>
          <w:rFonts w:hint="eastAsia" w:ascii="宋体" w:hAnsi="宋体"/>
          <w:b/>
          <w:bCs/>
          <w:color w:val="auto"/>
          <w:sz w:val="24"/>
          <w:highlight w:val="none"/>
        </w:rPr>
        <w:t>2.技术文件目录</w:t>
      </w:r>
    </w:p>
    <w:p w14:paraId="1BFE79B5">
      <w:pPr>
        <w:snapToGrid w:val="0"/>
        <w:spacing w:before="50" w:after="120" w:afterLines="50"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根据招标文件规定及投标人提供的材料自行编写目录。</w:t>
      </w:r>
    </w:p>
    <w:p w14:paraId="19596837">
      <w:pPr>
        <w:snapToGrid w:val="0"/>
        <w:spacing w:before="120" w:beforeLines="50" w:after="50"/>
        <w:ind w:left="142"/>
        <w:jc w:val="left"/>
        <w:rPr>
          <w:rFonts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3. 设备性能配置清单格式</w:t>
      </w:r>
    </w:p>
    <w:p w14:paraId="46E054D0">
      <w:pPr>
        <w:snapToGrid w:val="0"/>
        <w:spacing w:before="120" w:beforeLines="50" w:after="50"/>
        <w:ind w:left="142"/>
        <w:jc w:val="left"/>
        <w:rPr>
          <w:rFonts w:ascii="宋体" w:hAnsi="宋体"/>
          <w:b/>
          <w:color w:val="auto"/>
          <w:sz w:val="24"/>
          <w:highlight w:val="none"/>
        </w:rPr>
      </w:pPr>
    </w:p>
    <w:p w14:paraId="242B4B15">
      <w:pPr>
        <w:snapToGrid w:val="0"/>
        <w:spacing w:before="120" w:beforeLines="50" w:after="50"/>
        <w:ind w:left="142"/>
        <w:jc w:val="center"/>
        <w:rPr>
          <w:rFonts w:ascii="宋体" w:hAnsi="宋体"/>
          <w:b/>
          <w:color w:val="auto"/>
          <w:sz w:val="32"/>
          <w:szCs w:val="32"/>
          <w:highlight w:val="none"/>
        </w:rPr>
      </w:pPr>
      <w:r>
        <w:rPr>
          <w:rFonts w:hint="eastAsia" w:ascii="宋体" w:hAnsi="宋体"/>
          <w:b/>
          <w:color w:val="auto"/>
          <w:sz w:val="32"/>
          <w:szCs w:val="32"/>
          <w:highlight w:val="none"/>
        </w:rPr>
        <w:t>设备性能配置清单</w:t>
      </w:r>
    </w:p>
    <w:p w14:paraId="2C8755AB">
      <w:pPr>
        <w:pStyle w:val="25"/>
        <w:rPr>
          <w:rFonts w:hAnsi="宋体"/>
          <w:color w:val="auto"/>
          <w:sz w:val="24"/>
          <w:szCs w:val="24"/>
          <w:highlight w:val="none"/>
        </w:rPr>
      </w:pPr>
      <w:r>
        <w:rPr>
          <w:rFonts w:hint="eastAsia" w:hAnsi="宋体"/>
          <w:color w:val="auto"/>
          <w:sz w:val="24"/>
          <w:szCs w:val="24"/>
          <w:highlight w:val="none"/>
        </w:rPr>
        <w:t>所投分标：</w:t>
      </w:r>
      <w:r>
        <w:rPr>
          <w:rFonts w:hint="eastAsia" w:hAnsi="宋体"/>
          <w:color w:val="auto"/>
          <w:sz w:val="24"/>
          <w:szCs w:val="24"/>
          <w:highlight w:val="none"/>
          <w:u w:val="single"/>
        </w:rPr>
        <w:t xml:space="preserve">     </w:t>
      </w:r>
      <w:r>
        <w:rPr>
          <w:rFonts w:hint="eastAsia" w:hAnsi="宋体"/>
          <w:color w:val="auto"/>
          <w:sz w:val="24"/>
          <w:szCs w:val="24"/>
          <w:highlight w:val="none"/>
        </w:rPr>
        <w:t>分标</w:t>
      </w:r>
    </w:p>
    <w:tbl>
      <w:tblPr>
        <w:tblStyle w:val="46"/>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3"/>
        <w:gridCol w:w="1187"/>
        <w:gridCol w:w="989"/>
        <w:gridCol w:w="862"/>
        <w:gridCol w:w="1470"/>
        <w:gridCol w:w="1028"/>
        <w:gridCol w:w="862"/>
        <w:gridCol w:w="1427"/>
      </w:tblGrid>
      <w:tr w14:paraId="65FCEE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14:paraId="34502DD3">
            <w:pPr>
              <w:snapToGrid w:val="0"/>
              <w:spacing w:before="50" w:after="50"/>
              <w:jc w:val="center"/>
              <w:rPr>
                <w:rFonts w:ascii="宋体" w:hAnsi="宋体"/>
                <w:color w:val="auto"/>
                <w:sz w:val="24"/>
                <w:highlight w:val="none"/>
              </w:rPr>
            </w:pPr>
            <w:r>
              <w:rPr>
                <w:rFonts w:hint="eastAsia" w:ascii="宋体" w:hAnsi="宋体"/>
                <w:color w:val="auto"/>
                <w:sz w:val="24"/>
                <w:highlight w:val="none"/>
              </w:rPr>
              <w:t>序号</w:t>
            </w:r>
          </w:p>
        </w:tc>
        <w:tc>
          <w:tcPr>
            <w:tcW w:w="695" w:type="pct"/>
            <w:tcBorders>
              <w:top w:val="single" w:color="auto" w:sz="4" w:space="0"/>
              <w:left w:val="single" w:color="auto" w:sz="4" w:space="0"/>
              <w:bottom w:val="single" w:color="auto" w:sz="4" w:space="0"/>
              <w:right w:val="single" w:color="auto" w:sz="4" w:space="0"/>
            </w:tcBorders>
            <w:vAlign w:val="center"/>
          </w:tcPr>
          <w:p w14:paraId="33963719">
            <w:pPr>
              <w:snapToGrid w:val="0"/>
              <w:spacing w:before="50" w:after="50"/>
              <w:jc w:val="center"/>
              <w:rPr>
                <w:rFonts w:ascii="宋体" w:hAnsi="宋体"/>
                <w:color w:val="auto"/>
                <w:sz w:val="24"/>
                <w:highlight w:val="none"/>
              </w:rPr>
            </w:pPr>
            <w:r>
              <w:rPr>
                <w:rFonts w:hint="eastAsia" w:ascii="宋体" w:hAnsi="宋体"/>
                <w:color w:val="auto"/>
                <w:sz w:val="24"/>
                <w:highlight w:val="none"/>
              </w:rPr>
              <w:t>货物名称</w:t>
            </w:r>
          </w:p>
        </w:tc>
        <w:tc>
          <w:tcPr>
            <w:tcW w:w="579" w:type="pct"/>
            <w:tcBorders>
              <w:top w:val="single" w:color="auto" w:sz="4" w:space="0"/>
              <w:left w:val="single" w:color="auto" w:sz="4" w:space="0"/>
              <w:bottom w:val="single" w:color="auto" w:sz="4" w:space="0"/>
              <w:right w:val="single" w:color="auto" w:sz="4" w:space="0"/>
            </w:tcBorders>
            <w:vAlign w:val="center"/>
          </w:tcPr>
          <w:p w14:paraId="57F1C6E8">
            <w:pPr>
              <w:snapToGrid w:val="0"/>
              <w:spacing w:before="50" w:after="50"/>
              <w:jc w:val="center"/>
              <w:rPr>
                <w:rFonts w:ascii="宋体" w:hAnsi="宋体"/>
                <w:color w:val="auto"/>
                <w:sz w:val="24"/>
                <w:highlight w:val="none"/>
              </w:rPr>
            </w:pPr>
            <w:r>
              <w:rPr>
                <w:rFonts w:hint="eastAsia" w:ascii="宋体" w:hAnsi="宋体"/>
                <w:color w:val="auto"/>
                <w:sz w:val="24"/>
                <w:highlight w:val="none"/>
              </w:rPr>
              <w:t>数量及单位</w:t>
            </w:r>
          </w:p>
        </w:tc>
        <w:tc>
          <w:tcPr>
            <w:tcW w:w="505" w:type="pct"/>
            <w:tcBorders>
              <w:top w:val="single" w:color="auto" w:sz="4" w:space="0"/>
              <w:left w:val="single" w:color="auto" w:sz="4" w:space="0"/>
              <w:bottom w:val="single" w:color="auto" w:sz="4" w:space="0"/>
              <w:right w:val="single" w:color="auto" w:sz="4" w:space="0"/>
            </w:tcBorders>
            <w:vAlign w:val="center"/>
          </w:tcPr>
          <w:p w14:paraId="10134DDD">
            <w:pPr>
              <w:snapToGrid w:val="0"/>
              <w:spacing w:before="50" w:after="50"/>
              <w:jc w:val="center"/>
              <w:rPr>
                <w:rFonts w:ascii="宋体" w:hAnsi="宋体"/>
                <w:color w:val="auto"/>
                <w:sz w:val="24"/>
                <w:highlight w:val="none"/>
              </w:rPr>
            </w:pPr>
            <w:r>
              <w:rPr>
                <w:rFonts w:hint="eastAsia" w:ascii="宋体" w:hAnsi="宋体"/>
                <w:color w:val="auto"/>
                <w:sz w:val="24"/>
                <w:highlight w:val="none"/>
              </w:rPr>
              <w:t>品牌</w:t>
            </w:r>
          </w:p>
        </w:tc>
        <w:tc>
          <w:tcPr>
            <w:tcW w:w="861" w:type="pct"/>
            <w:tcBorders>
              <w:top w:val="single" w:color="auto" w:sz="4" w:space="0"/>
              <w:left w:val="single" w:color="auto" w:sz="4" w:space="0"/>
              <w:bottom w:val="single" w:color="auto" w:sz="4" w:space="0"/>
              <w:right w:val="single" w:color="auto" w:sz="4" w:space="0"/>
            </w:tcBorders>
          </w:tcPr>
          <w:p w14:paraId="69053252">
            <w:pPr>
              <w:snapToGrid w:val="0"/>
              <w:spacing w:before="50" w:after="50"/>
              <w:jc w:val="center"/>
              <w:rPr>
                <w:rFonts w:ascii="宋体" w:hAnsi="宋体"/>
                <w:color w:val="auto"/>
                <w:sz w:val="24"/>
                <w:highlight w:val="none"/>
              </w:rPr>
            </w:pPr>
          </w:p>
          <w:p w14:paraId="3BCC87AF">
            <w:pPr>
              <w:snapToGrid w:val="0"/>
              <w:spacing w:before="50" w:after="50"/>
              <w:jc w:val="center"/>
              <w:rPr>
                <w:rFonts w:ascii="宋体" w:hAnsi="宋体"/>
                <w:color w:val="auto"/>
                <w:sz w:val="24"/>
                <w:highlight w:val="none"/>
              </w:rPr>
            </w:pPr>
            <w:r>
              <w:rPr>
                <w:rFonts w:hint="eastAsia" w:ascii="宋体" w:hAnsi="宋体"/>
                <w:color w:val="auto"/>
                <w:sz w:val="24"/>
                <w:highlight w:val="none"/>
              </w:rPr>
              <w:t>规格型号</w:t>
            </w:r>
          </w:p>
        </w:tc>
        <w:tc>
          <w:tcPr>
            <w:tcW w:w="602" w:type="pct"/>
            <w:tcBorders>
              <w:top w:val="single" w:color="auto" w:sz="4" w:space="0"/>
              <w:left w:val="single" w:color="auto" w:sz="4" w:space="0"/>
              <w:bottom w:val="single" w:color="auto" w:sz="4" w:space="0"/>
              <w:right w:val="single" w:color="auto" w:sz="4" w:space="0"/>
            </w:tcBorders>
            <w:vAlign w:val="center"/>
          </w:tcPr>
          <w:p w14:paraId="3B54BB0A">
            <w:pPr>
              <w:snapToGrid w:val="0"/>
              <w:spacing w:before="50" w:after="50"/>
              <w:jc w:val="center"/>
              <w:rPr>
                <w:rFonts w:ascii="宋体" w:hAnsi="宋体"/>
                <w:color w:val="auto"/>
                <w:sz w:val="24"/>
                <w:highlight w:val="none"/>
              </w:rPr>
            </w:pPr>
            <w:r>
              <w:rPr>
                <w:rFonts w:hint="eastAsia" w:ascii="宋体" w:hAnsi="宋体"/>
                <w:color w:val="auto"/>
                <w:sz w:val="24"/>
                <w:highlight w:val="none"/>
              </w:rPr>
              <w:t>制造商</w:t>
            </w:r>
          </w:p>
        </w:tc>
        <w:tc>
          <w:tcPr>
            <w:tcW w:w="505" w:type="pct"/>
            <w:tcBorders>
              <w:top w:val="single" w:color="auto" w:sz="4" w:space="0"/>
              <w:left w:val="single" w:color="auto" w:sz="4" w:space="0"/>
              <w:bottom w:val="single" w:color="auto" w:sz="4" w:space="0"/>
              <w:right w:val="single" w:color="auto" w:sz="4" w:space="0"/>
            </w:tcBorders>
            <w:vAlign w:val="center"/>
          </w:tcPr>
          <w:p w14:paraId="774D652B">
            <w:pPr>
              <w:snapToGrid w:val="0"/>
              <w:spacing w:before="50" w:after="50"/>
              <w:jc w:val="center"/>
              <w:rPr>
                <w:rFonts w:ascii="宋体" w:hAnsi="宋体"/>
                <w:color w:val="auto"/>
                <w:sz w:val="24"/>
                <w:highlight w:val="none"/>
              </w:rPr>
            </w:pPr>
            <w:r>
              <w:rPr>
                <w:rFonts w:hint="eastAsia" w:ascii="宋体" w:hAnsi="宋体"/>
                <w:color w:val="auto"/>
                <w:sz w:val="24"/>
                <w:highlight w:val="none"/>
              </w:rPr>
              <w:t>原产地</w:t>
            </w:r>
          </w:p>
        </w:tc>
        <w:tc>
          <w:tcPr>
            <w:tcW w:w="836" w:type="pct"/>
            <w:tcBorders>
              <w:top w:val="single" w:color="auto" w:sz="4" w:space="0"/>
              <w:left w:val="single" w:color="auto" w:sz="4" w:space="0"/>
              <w:bottom w:val="single" w:color="auto" w:sz="4" w:space="0"/>
              <w:right w:val="single" w:color="auto" w:sz="4" w:space="0"/>
            </w:tcBorders>
            <w:vAlign w:val="center"/>
          </w:tcPr>
          <w:p w14:paraId="3BC6F7F7">
            <w:pPr>
              <w:snapToGrid w:val="0"/>
              <w:spacing w:before="50" w:after="50"/>
              <w:jc w:val="center"/>
              <w:rPr>
                <w:rFonts w:ascii="宋体" w:hAnsi="宋体"/>
                <w:color w:val="auto"/>
                <w:sz w:val="24"/>
                <w:highlight w:val="none"/>
              </w:rPr>
            </w:pPr>
            <w:r>
              <w:rPr>
                <w:rFonts w:hint="eastAsia" w:ascii="宋体" w:hAnsi="宋体"/>
                <w:color w:val="auto"/>
                <w:sz w:val="24"/>
                <w:highlight w:val="none"/>
              </w:rPr>
              <w:t>参数性能、指标及配置</w:t>
            </w:r>
          </w:p>
        </w:tc>
      </w:tr>
      <w:tr w14:paraId="3FA269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14:paraId="7DFAF9BA">
            <w:pPr>
              <w:snapToGrid w:val="0"/>
              <w:spacing w:before="50" w:after="50"/>
              <w:jc w:val="center"/>
              <w:rPr>
                <w:rFonts w:ascii="宋体" w:hAnsi="宋体"/>
                <w:color w:val="auto"/>
                <w:sz w:val="24"/>
                <w:highlight w:val="none"/>
              </w:rPr>
            </w:pPr>
          </w:p>
        </w:tc>
        <w:tc>
          <w:tcPr>
            <w:tcW w:w="695" w:type="pct"/>
            <w:tcBorders>
              <w:top w:val="single" w:color="auto" w:sz="4" w:space="0"/>
              <w:left w:val="single" w:color="auto" w:sz="4" w:space="0"/>
              <w:bottom w:val="single" w:color="auto" w:sz="4" w:space="0"/>
              <w:right w:val="single" w:color="auto" w:sz="4" w:space="0"/>
            </w:tcBorders>
            <w:vAlign w:val="center"/>
          </w:tcPr>
          <w:p w14:paraId="15B5F09C">
            <w:pPr>
              <w:snapToGrid w:val="0"/>
              <w:spacing w:before="50" w:after="50"/>
              <w:jc w:val="center"/>
              <w:rPr>
                <w:rFonts w:ascii="宋体" w:hAnsi="宋体"/>
                <w:color w:val="auto"/>
                <w:sz w:val="24"/>
                <w:highlight w:val="none"/>
              </w:rPr>
            </w:pPr>
          </w:p>
        </w:tc>
        <w:tc>
          <w:tcPr>
            <w:tcW w:w="579" w:type="pct"/>
            <w:tcBorders>
              <w:top w:val="single" w:color="auto" w:sz="4" w:space="0"/>
              <w:left w:val="single" w:color="auto" w:sz="4" w:space="0"/>
              <w:bottom w:val="single" w:color="auto" w:sz="4" w:space="0"/>
              <w:right w:val="single" w:color="auto" w:sz="4" w:space="0"/>
            </w:tcBorders>
            <w:vAlign w:val="center"/>
          </w:tcPr>
          <w:p w14:paraId="2528ADC2">
            <w:pPr>
              <w:snapToGrid w:val="0"/>
              <w:spacing w:before="50" w:after="50"/>
              <w:jc w:val="center"/>
              <w:rPr>
                <w:rFonts w:ascii="宋体" w:hAnsi="宋体"/>
                <w:color w:val="auto"/>
                <w:sz w:val="24"/>
                <w:highlight w:val="none"/>
              </w:rPr>
            </w:pPr>
          </w:p>
        </w:tc>
        <w:tc>
          <w:tcPr>
            <w:tcW w:w="505" w:type="pct"/>
            <w:tcBorders>
              <w:top w:val="single" w:color="auto" w:sz="4" w:space="0"/>
              <w:left w:val="single" w:color="auto" w:sz="4" w:space="0"/>
              <w:bottom w:val="single" w:color="auto" w:sz="4" w:space="0"/>
              <w:right w:val="single" w:color="auto" w:sz="4" w:space="0"/>
            </w:tcBorders>
            <w:vAlign w:val="center"/>
          </w:tcPr>
          <w:p w14:paraId="4F21B79A">
            <w:pPr>
              <w:snapToGrid w:val="0"/>
              <w:spacing w:before="50" w:after="50"/>
              <w:jc w:val="center"/>
              <w:rPr>
                <w:rFonts w:ascii="宋体" w:hAnsi="宋体"/>
                <w:color w:val="auto"/>
                <w:sz w:val="24"/>
                <w:highlight w:val="none"/>
              </w:rPr>
            </w:pPr>
          </w:p>
        </w:tc>
        <w:tc>
          <w:tcPr>
            <w:tcW w:w="861" w:type="pct"/>
            <w:tcBorders>
              <w:top w:val="single" w:color="auto" w:sz="4" w:space="0"/>
              <w:left w:val="single" w:color="auto" w:sz="4" w:space="0"/>
              <w:bottom w:val="single" w:color="auto" w:sz="4" w:space="0"/>
              <w:right w:val="single" w:color="auto" w:sz="4" w:space="0"/>
            </w:tcBorders>
          </w:tcPr>
          <w:p w14:paraId="5DE709CE">
            <w:pPr>
              <w:snapToGrid w:val="0"/>
              <w:spacing w:before="50" w:after="50"/>
              <w:jc w:val="center"/>
              <w:rPr>
                <w:rFonts w:ascii="宋体" w:hAnsi="宋体"/>
                <w:color w:val="auto"/>
                <w:sz w:val="24"/>
                <w:highlight w:val="none"/>
              </w:rPr>
            </w:pPr>
          </w:p>
        </w:tc>
        <w:tc>
          <w:tcPr>
            <w:tcW w:w="602" w:type="pct"/>
            <w:tcBorders>
              <w:top w:val="single" w:color="auto" w:sz="4" w:space="0"/>
              <w:left w:val="single" w:color="auto" w:sz="4" w:space="0"/>
              <w:bottom w:val="single" w:color="auto" w:sz="4" w:space="0"/>
              <w:right w:val="single" w:color="auto" w:sz="4" w:space="0"/>
            </w:tcBorders>
            <w:vAlign w:val="center"/>
          </w:tcPr>
          <w:p w14:paraId="194FB672">
            <w:pPr>
              <w:snapToGrid w:val="0"/>
              <w:spacing w:before="50" w:after="50"/>
              <w:jc w:val="center"/>
              <w:rPr>
                <w:rFonts w:ascii="宋体" w:hAnsi="宋体"/>
                <w:color w:val="auto"/>
                <w:sz w:val="24"/>
                <w:highlight w:val="none"/>
              </w:rPr>
            </w:pPr>
          </w:p>
        </w:tc>
        <w:tc>
          <w:tcPr>
            <w:tcW w:w="505" w:type="pct"/>
            <w:tcBorders>
              <w:top w:val="single" w:color="auto" w:sz="4" w:space="0"/>
              <w:left w:val="single" w:color="auto" w:sz="4" w:space="0"/>
              <w:bottom w:val="single" w:color="auto" w:sz="4" w:space="0"/>
              <w:right w:val="single" w:color="auto" w:sz="4" w:space="0"/>
            </w:tcBorders>
            <w:vAlign w:val="center"/>
          </w:tcPr>
          <w:p w14:paraId="70047349">
            <w:pPr>
              <w:snapToGrid w:val="0"/>
              <w:spacing w:before="50" w:after="50"/>
              <w:jc w:val="center"/>
              <w:rPr>
                <w:rFonts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vAlign w:val="center"/>
          </w:tcPr>
          <w:p w14:paraId="3A7603F4">
            <w:pPr>
              <w:snapToGrid w:val="0"/>
              <w:spacing w:before="50" w:after="50"/>
              <w:jc w:val="center"/>
              <w:rPr>
                <w:rFonts w:ascii="宋体" w:hAnsi="宋体"/>
                <w:color w:val="auto"/>
                <w:sz w:val="24"/>
                <w:highlight w:val="none"/>
              </w:rPr>
            </w:pPr>
          </w:p>
        </w:tc>
      </w:tr>
      <w:tr w14:paraId="07C8C8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14:paraId="03E89D6B">
            <w:pPr>
              <w:snapToGrid w:val="0"/>
              <w:spacing w:before="50" w:after="50"/>
              <w:jc w:val="center"/>
              <w:rPr>
                <w:rFonts w:ascii="宋体" w:hAnsi="宋体"/>
                <w:color w:val="auto"/>
                <w:sz w:val="24"/>
                <w:highlight w:val="none"/>
              </w:rPr>
            </w:pPr>
          </w:p>
        </w:tc>
        <w:tc>
          <w:tcPr>
            <w:tcW w:w="695" w:type="pct"/>
            <w:tcBorders>
              <w:top w:val="single" w:color="auto" w:sz="4" w:space="0"/>
              <w:left w:val="single" w:color="auto" w:sz="4" w:space="0"/>
              <w:bottom w:val="single" w:color="auto" w:sz="4" w:space="0"/>
              <w:right w:val="single" w:color="auto" w:sz="4" w:space="0"/>
            </w:tcBorders>
            <w:vAlign w:val="center"/>
          </w:tcPr>
          <w:p w14:paraId="0DE01D6B">
            <w:pPr>
              <w:snapToGrid w:val="0"/>
              <w:spacing w:before="50" w:after="50"/>
              <w:jc w:val="center"/>
              <w:rPr>
                <w:rFonts w:ascii="宋体" w:hAnsi="宋体"/>
                <w:color w:val="auto"/>
                <w:sz w:val="24"/>
                <w:highlight w:val="none"/>
              </w:rPr>
            </w:pPr>
          </w:p>
        </w:tc>
        <w:tc>
          <w:tcPr>
            <w:tcW w:w="579" w:type="pct"/>
            <w:tcBorders>
              <w:top w:val="single" w:color="auto" w:sz="4" w:space="0"/>
              <w:left w:val="single" w:color="auto" w:sz="4" w:space="0"/>
              <w:bottom w:val="single" w:color="auto" w:sz="4" w:space="0"/>
              <w:right w:val="single" w:color="auto" w:sz="4" w:space="0"/>
            </w:tcBorders>
            <w:vAlign w:val="center"/>
          </w:tcPr>
          <w:p w14:paraId="0D519362">
            <w:pPr>
              <w:snapToGrid w:val="0"/>
              <w:spacing w:before="50" w:after="50"/>
              <w:jc w:val="center"/>
              <w:rPr>
                <w:rFonts w:ascii="宋体" w:hAnsi="宋体"/>
                <w:color w:val="auto"/>
                <w:sz w:val="24"/>
                <w:highlight w:val="none"/>
              </w:rPr>
            </w:pPr>
          </w:p>
        </w:tc>
        <w:tc>
          <w:tcPr>
            <w:tcW w:w="505" w:type="pct"/>
            <w:tcBorders>
              <w:top w:val="single" w:color="auto" w:sz="4" w:space="0"/>
              <w:left w:val="single" w:color="auto" w:sz="4" w:space="0"/>
              <w:bottom w:val="single" w:color="auto" w:sz="4" w:space="0"/>
              <w:right w:val="single" w:color="auto" w:sz="4" w:space="0"/>
            </w:tcBorders>
            <w:vAlign w:val="center"/>
          </w:tcPr>
          <w:p w14:paraId="4BDBC17D">
            <w:pPr>
              <w:snapToGrid w:val="0"/>
              <w:spacing w:before="50" w:after="50"/>
              <w:jc w:val="center"/>
              <w:rPr>
                <w:rFonts w:ascii="宋体" w:hAnsi="宋体"/>
                <w:color w:val="auto"/>
                <w:sz w:val="24"/>
                <w:highlight w:val="none"/>
              </w:rPr>
            </w:pPr>
          </w:p>
        </w:tc>
        <w:tc>
          <w:tcPr>
            <w:tcW w:w="861" w:type="pct"/>
            <w:tcBorders>
              <w:top w:val="single" w:color="auto" w:sz="4" w:space="0"/>
              <w:left w:val="single" w:color="auto" w:sz="4" w:space="0"/>
              <w:bottom w:val="single" w:color="auto" w:sz="4" w:space="0"/>
              <w:right w:val="single" w:color="auto" w:sz="4" w:space="0"/>
            </w:tcBorders>
          </w:tcPr>
          <w:p w14:paraId="3C9DB8D3">
            <w:pPr>
              <w:snapToGrid w:val="0"/>
              <w:spacing w:before="50" w:after="50"/>
              <w:jc w:val="center"/>
              <w:rPr>
                <w:rFonts w:ascii="宋体" w:hAnsi="宋体"/>
                <w:color w:val="auto"/>
                <w:sz w:val="24"/>
                <w:highlight w:val="none"/>
              </w:rPr>
            </w:pPr>
          </w:p>
        </w:tc>
        <w:tc>
          <w:tcPr>
            <w:tcW w:w="602" w:type="pct"/>
            <w:tcBorders>
              <w:top w:val="single" w:color="auto" w:sz="4" w:space="0"/>
              <w:left w:val="single" w:color="auto" w:sz="4" w:space="0"/>
              <w:bottom w:val="single" w:color="auto" w:sz="4" w:space="0"/>
              <w:right w:val="single" w:color="auto" w:sz="4" w:space="0"/>
            </w:tcBorders>
            <w:vAlign w:val="center"/>
          </w:tcPr>
          <w:p w14:paraId="7CDE4056">
            <w:pPr>
              <w:snapToGrid w:val="0"/>
              <w:spacing w:before="50" w:after="50"/>
              <w:jc w:val="center"/>
              <w:rPr>
                <w:rFonts w:ascii="宋体" w:hAnsi="宋体"/>
                <w:color w:val="auto"/>
                <w:sz w:val="24"/>
                <w:highlight w:val="none"/>
              </w:rPr>
            </w:pPr>
          </w:p>
        </w:tc>
        <w:tc>
          <w:tcPr>
            <w:tcW w:w="505" w:type="pct"/>
            <w:tcBorders>
              <w:top w:val="single" w:color="auto" w:sz="4" w:space="0"/>
              <w:left w:val="single" w:color="auto" w:sz="4" w:space="0"/>
              <w:bottom w:val="single" w:color="auto" w:sz="4" w:space="0"/>
              <w:right w:val="single" w:color="auto" w:sz="4" w:space="0"/>
            </w:tcBorders>
            <w:vAlign w:val="center"/>
          </w:tcPr>
          <w:p w14:paraId="3980D5D7">
            <w:pPr>
              <w:snapToGrid w:val="0"/>
              <w:spacing w:before="50" w:after="50"/>
              <w:jc w:val="center"/>
              <w:rPr>
                <w:rFonts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vAlign w:val="center"/>
          </w:tcPr>
          <w:p w14:paraId="7F6DB539">
            <w:pPr>
              <w:snapToGrid w:val="0"/>
              <w:spacing w:before="50" w:after="50"/>
              <w:jc w:val="center"/>
              <w:rPr>
                <w:rFonts w:ascii="宋体" w:hAnsi="宋体"/>
                <w:color w:val="auto"/>
                <w:sz w:val="24"/>
                <w:highlight w:val="none"/>
              </w:rPr>
            </w:pPr>
          </w:p>
        </w:tc>
      </w:tr>
      <w:tr w14:paraId="4078A3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14:paraId="3E0975DD">
            <w:pPr>
              <w:snapToGrid w:val="0"/>
              <w:spacing w:before="50" w:after="50"/>
              <w:jc w:val="center"/>
              <w:rPr>
                <w:rFonts w:ascii="宋体" w:hAnsi="宋体"/>
                <w:color w:val="auto"/>
                <w:sz w:val="24"/>
                <w:highlight w:val="none"/>
              </w:rPr>
            </w:pPr>
          </w:p>
        </w:tc>
        <w:tc>
          <w:tcPr>
            <w:tcW w:w="695" w:type="pct"/>
            <w:tcBorders>
              <w:top w:val="single" w:color="auto" w:sz="4" w:space="0"/>
              <w:left w:val="single" w:color="auto" w:sz="4" w:space="0"/>
              <w:bottom w:val="single" w:color="auto" w:sz="4" w:space="0"/>
              <w:right w:val="single" w:color="auto" w:sz="4" w:space="0"/>
            </w:tcBorders>
            <w:vAlign w:val="center"/>
          </w:tcPr>
          <w:p w14:paraId="25D990BE">
            <w:pPr>
              <w:snapToGrid w:val="0"/>
              <w:spacing w:before="50" w:after="50"/>
              <w:jc w:val="center"/>
              <w:rPr>
                <w:rFonts w:ascii="宋体" w:hAnsi="宋体"/>
                <w:color w:val="auto"/>
                <w:sz w:val="24"/>
                <w:highlight w:val="none"/>
              </w:rPr>
            </w:pPr>
          </w:p>
        </w:tc>
        <w:tc>
          <w:tcPr>
            <w:tcW w:w="579" w:type="pct"/>
            <w:tcBorders>
              <w:top w:val="single" w:color="auto" w:sz="4" w:space="0"/>
              <w:left w:val="single" w:color="auto" w:sz="4" w:space="0"/>
              <w:bottom w:val="single" w:color="auto" w:sz="4" w:space="0"/>
              <w:right w:val="single" w:color="auto" w:sz="4" w:space="0"/>
            </w:tcBorders>
            <w:vAlign w:val="center"/>
          </w:tcPr>
          <w:p w14:paraId="6C2ABC74">
            <w:pPr>
              <w:snapToGrid w:val="0"/>
              <w:spacing w:before="50" w:after="50"/>
              <w:jc w:val="center"/>
              <w:rPr>
                <w:rFonts w:ascii="宋体" w:hAnsi="宋体"/>
                <w:color w:val="auto"/>
                <w:sz w:val="24"/>
                <w:highlight w:val="none"/>
              </w:rPr>
            </w:pPr>
          </w:p>
        </w:tc>
        <w:tc>
          <w:tcPr>
            <w:tcW w:w="505" w:type="pct"/>
            <w:tcBorders>
              <w:top w:val="single" w:color="auto" w:sz="4" w:space="0"/>
              <w:left w:val="single" w:color="auto" w:sz="4" w:space="0"/>
              <w:bottom w:val="single" w:color="auto" w:sz="4" w:space="0"/>
              <w:right w:val="single" w:color="auto" w:sz="4" w:space="0"/>
            </w:tcBorders>
            <w:vAlign w:val="center"/>
          </w:tcPr>
          <w:p w14:paraId="5062CE06">
            <w:pPr>
              <w:snapToGrid w:val="0"/>
              <w:spacing w:before="50" w:after="50"/>
              <w:jc w:val="center"/>
              <w:rPr>
                <w:rFonts w:ascii="宋体" w:hAnsi="宋体"/>
                <w:color w:val="auto"/>
                <w:sz w:val="24"/>
                <w:highlight w:val="none"/>
              </w:rPr>
            </w:pPr>
          </w:p>
        </w:tc>
        <w:tc>
          <w:tcPr>
            <w:tcW w:w="861" w:type="pct"/>
            <w:tcBorders>
              <w:top w:val="single" w:color="auto" w:sz="4" w:space="0"/>
              <w:left w:val="single" w:color="auto" w:sz="4" w:space="0"/>
              <w:bottom w:val="single" w:color="auto" w:sz="4" w:space="0"/>
              <w:right w:val="single" w:color="auto" w:sz="4" w:space="0"/>
            </w:tcBorders>
          </w:tcPr>
          <w:p w14:paraId="4C582A36">
            <w:pPr>
              <w:snapToGrid w:val="0"/>
              <w:spacing w:before="50" w:after="50"/>
              <w:jc w:val="center"/>
              <w:rPr>
                <w:rFonts w:ascii="宋体" w:hAnsi="宋体"/>
                <w:color w:val="auto"/>
                <w:sz w:val="24"/>
                <w:highlight w:val="none"/>
              </w:rPr>
            </w:pPr>
          </w:p>
        </w:tc>
        <w:tc>
          <w:tcPr>
            <w:tcW w:w="602" w:type="pct"/>
            <w:tcBorders>
              <w:top w:val="single" w:color="auto" w:sz="4" w:space="0"/>
              <w:left w:val="single" w:color="auto" w:sz="4" w:space="0"/>
              <w:bottom w:val="single" w:color="auto" w:sz="4" w:space="0"/>
              <w:right w:val="single" w:color="auto" w:sz="4" w:space="0"/>
            </w:tcBorders>
            <w:vAlign w:val="center"/>
          </w:tcPr>
          <w:p w14:paraId="7FF91270">
            <w:pPr>
              <w:snapToGrid w:val="0"/>
              <w:spacing w:before="50" w:after="50"/>
              <w:jc w:val="center"/>
              <w:rPr>
                <w:rFonts w:ascii="宋体" w:hAnsi="宋体"/>
                <w:color w:val="auto"/>
                <w:sz w:val="24"/>
                <w:highlight w:val="none"/>
              </w:rPr>
            </w:pPr>
          </w:p>
        </w:tc>
        <w:tc>
          <w:tcPr>
            <w:tcW w:w="505" w:type="pct"/>
            <w:tcBorders>
              <w:top w:val="single" w:color="auto" w:sz="4" w:space="0"/>
              <w:left w:val="single" w:color="auto" w:sz="4" w:space="0"/>
              <w:bottom w:val="single" w:color="auto" w:sz="4" w:space="0"/>
              <w:right w:val="single" w:color="auto" w:sz="4" w:space="0"/>
            </w:tcBorders>
            <w:vAlign w:val="center"/>
          </w:tcPr>
          <w:p w14:paraId="60860142">
            <w:pPr>
              <w:snapToGrid w:val="0"/>
              <w:spacing w:before="50" w:after="50"/>
              <w:jc w:val="center"/>
              <w:rPr>
                <w:rFonts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vAlign w:val="center"/>
          </w:tcPr>
          <w:p w14:paraId="22924C21">
            <w:pPr>
              <w:snapToGrid w:val="0"/>
              <w:spacing w:before="50" w:after="50"/>
              <w:jc w:val="center"/>
              <w:rPr>
                <w:rFonts w:ascii="宋体" w:hAnsi="宋体"/>
                <w:color w:val="auto"/>
                <w:sz w:val="24"/>
                <w:highlight w:val="none"/>
              </w:rPr>
            </w:pPr>
          </w:p>
        </w:tc>
      </w:tr>
    </w:tbl>
    <w:p w14:paraId="6665CEC4">
      <w:pPr>
        <w:spacing w:line="360" w:lineRule="auto"/>
        <w:contextualSpacing/>
        <w:rPr>
          <w:rFonts w:ascii="宋体" w:hAnsi="宋体"/>
          <w:color w:val="auto"/>
          <w:sz w:val="24"/>
          <w:highlight w:val="none"/>
        </w:rPr>
      </w:pPr>
      <w:r>
        <w:rPr>
          <w:rFonts w:hint="eastAsia" w:ascii="宋体" w:hAnsi="宋体"/>
          <w:color w:val="auto"/>
          <w:sz w:val="24"/>
          <w:highlight w:val="none"/>
        </w:rPr>
        <w:t>备注：</w:t>
      </w:r>
    </w:p>
    <w:p w14:paraId="78DE57C0">
      <w:pPr>
        <w:spacing w:line="360" w:lineRule="auto"/>
        <w:ind w:firstLine="480" w:firstLineChars="200"/>
        <w:contextualSpacing/>
        <w:rPr>
          <w:rFonts w:ascii="宋体" w:hAnsi="宋体"/>
          <w:b/>
          <w:color w:val="auto"/>
          <w:sz w:val="24"/>
          <w:highlight w:val="none"/>
        </w:rPr>
      </w:pPr>
      <w:r>
        <w:rPr>
          <w:rFonts w:hint="eastAsia" w:ascii="宋体" w:hAnsi="宋体"/>
          <w:color w:val="auto"/>
          <w:sz w:val="24"/>
          <w:highlight w:val="none"/>
        </w:rPr>
        <w:t>以上设备性能配置清单中“货物名称、数量及单位、品牌、规格型号、制造商、原产地、参数性能、指标及配置”必须如实填写完整，品牌、规格型号没有则填无，填写有缺漏</w:t>
      </w:r>
      <w:r>
        <w:rPr>
          <w:rFonts w:hint="eastAsia" w:ascii="宋体" w:hAnsi="宋体"/>
          <w:bCs/>
          <w:color w:val="auto"/>
          <w:sz w:val="24"/>
          <w:highlight w:val="none"/>
        </w:rPr>
        <w:t>的，</w:t>
      </w:r>
      <w:r>
        <w:rPr>
          <w:rFonts w:hint="eastAsia" w:ascii="宋体" w:hAnsi="宋体"/>
          <w:b/>
          <w:color w:val="auto"/>
          <w:sz w:val="24"/>
          <w:highlight w:val="none"/>
        </w:rPr>
        <w:t>作无效投标处理。</w:t>
      </w:r>
      <w:r>
        <w:rPr>
          <w:rFonts w:hint="eastAsia" w:ascii="宋体" w:hAnsi="宋体"/>
          <w:color w:val="auto"/>
          <w:sz w:val="24"/>
          <w:highlight w:val="none"/>
        </w:rPr>
        <w:t>货物名称、数量及单位、品牌必须与“开标一览表”一致，</w:t>
      </w:r>
      <w:r>
        <w:rPr>
          <w:rFonts w:hint="eastAsia" w:ascii="宋体" w:hAnsi="宋体"/>
          <w:b/>
          <w:color w:val="auto"/>
          <w:sz w:val="24"/>
          <w:highlight w:val="none"/>
        </w:rPr>
        <w:t>否则按无效投标处理。</w:t>
      </w:r>
    </w:p>
    <w:p w14:paraId="3800E9EA">
      <w:pPr>
        <w:spacing w:line="360" w:lineRule="auto"/>
        <w:ind w:firstLine="480" w:firstLineChars="200"/>
        <w:contextualSpacing/>
        <w:rPr>
          <w:rFonts w:ascii="宋体" w:hAnsi="宋体"/>
          <w:color w:val="auto"/>
          <w:sz w:val="24"/>
          <w:highlight w:val="none"/>
        </w:rPr>
      </w:pPr>
    </w:p>
    <w:p w14:paraId="203EF841">
      <w:pPr>
        <w:spacing w:line="360" w:lineRule="auto"/>
        <w:contextualSpacing/>
        <w:rPr>
          <w:rFonts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u w:val="single"/>
        </w:rPr>
        <w:t xml:space="preserve">        </w:t>
      </w:r>
    </w:p>
    <w:p w14:paraId="1520B4B4">
      <w:pPr>
        <w:spacing w:line="360" w:lineRule="auto"/>
        <w:contextualSpacing/>
        <w:rPr>
          <w:rFonts w:ascii="宋体" w:hAnsi="宋体"/>
          <w:color w:val="auto"/>
          <w:sz w:val="24"/>
          <w:szCs w:val="20"/>
          <w:highlight w:val="none"/>
        </w:rPr>
      </w:pPr>
      <w:r>
        <w:rPr>
          <w:rFonts w:hint="eastAsia" w:ascii="宋体" w:hAnsi="宋体"/>
          <w:color w:val="auto"/>
          <w:spacing w:val="20"/>
          <w:sz w:val="24"/>
          <w:highlight w:val="none"/>
        </w:rPr>
        <w:t>投标人（盖公章）：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日  期：</w:t>
      </w:r>
      <w:r>
        <w:rPr>
          <w:rFonts w:hint="eastAsia" w:ascii="宋体" w:hAnsi="宋体"/>
          <w:color w:val="auto"/>
          <w:spacing w:val="20"/>
          <w:sz w:val="24"/>
          <w:highlight w:val="none"/>
          <w:u w:val="single"/>
        </w:rPr>
        <w:t xml:space="preserve">          </w:t>
      </w:r>
    </w:p>
    <w:p w14:paraId="61B7D02E">
      <w:pPr>
        <w:snapToGrid w:val="0"/>
        <w:spacing w:before="50" w:after="120" w:afterLines="50"/>
        <w:jc w:val="left"/>
        <w:rPr>
          <w:rFonts w:ascii="宋体" w:hAnsi="宋体"/>
          <w:color w:val="auto"/>
          <w:sz w:val="24"/>
          <w:szCs w:val="20"/>
          <w:highlight w:val="none"/>
        </w:rPr>
      </w:pPr>
    </w:p>
    <w:p w14:paraId="785E9E68">
      <w:pPr>
        <w:snapToGrid w:val="0"/>
        <w:spacing w:before="50" w:after="120" w:afterLines="50"/>
        <w:jc w:val="left"/>
        <w:rPr>
          <w:rFonts w:ascii="宋体" w:hAnsi="宋体"/>
          <w:color w:val="auto"/>
          <w:sz w:val="24"/>
          <w:szCs w:val="20"/>
          <w:highlight w:val="none"/>
        </w:rPr>
      </w:pPr>
    </w:p>
    <w:p w14:paraId="11A9BEC5">
      <w:pPr>
        <w:snapToGrid w:val="0"/>
        <w:spacing w:before="120" w:beforeLines="50" w:after="50"/>
        <w:ind w:left="142"/>
        <w:jc w:val="left"/>
        <w:rPr>
          <w:rFonts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4. 技术要求偏离表格式</w:t>
      </w:r>
    </w:p>
    <w:p w14:paraId="2EBC935F">
      <w:pPr>
        <w:snapToGrid w:val="0"/>
        <w:spacing w:before="120" w:beforeLines="50" w:after="50"/>
        <w:ind w:left="142"/>
        <w:jc w:val="left"/>
        <w:rPr>
          <w:rFonts w:ascii="宋体" w:hAnsi="宋体"/>
          <w:b/>
          <w:color w:val="auto"/>
          <w:sz w:val="24"/>
          <w:highlight w:val="none"/>
        </w:rPr>
      </w:pPr>
    </w:p>
    <w:p w14:paraId="63151FA9">
      <w:pPr>
        <w:snapToGrid w:val="0"/>
        <w:spacing w:before="120" w:beforeLines="50" w:after="50"/>
        <w:ind w:left="142"/>
        <w:jc w:val="center"/>
        <w:rPr>
          <w:rFonts w:ascii="宋体" w:hAnsi="宋体"/>
          <w:b/>
          <w:color w:val="auto"/>
          <w:sz w:val="32"/>
          <w:szCs w:val="32"/>
          <w:highlight w:val="none"/>
        </w:rPr>
      </w:pPr>
      <w:r>
        <w:rPr>
          <w:rFonts w:hint="eastAsia" w:ascii="宋体" w:hAnsi="宋体"/>
          <w:b/>
          <w:color w:val="auto"/>
          <w:sz w:val="32"/>
          <w:szCs w:val="32"/>
          <w:highlight w:val="none"/>
        </w:rPr>
        <w:t>技术要求偏离表</w:t>
      </w:r>
    </w:p>
    <w:p w14:paraId="66BC9A56">
      <w:pPr>
        <w:pStyle w:val="25"/>
        <w:rPr>
          <w:rFonts w:hAnsi="宋体"/>
          <w:color w:val="auto"/>
          <w:sz w:val="24"/>
          <w:szCs w:val="24"/>
          <w:highlight w:val="none"/>
        </w:rPr>
      </w:pPr>
      <w:r>
        <w:rPr>
          <w:rFonts w:hint="eastAsia" w:hAnsi="宋体"/>
          <w:color w:val="auto"/>
          <w:sz w:val="24"/>
          <w:szCs w:val="24"/>
          <w:highlight w:val="none"/>
        </w:rPr>
        <w:t>所投分标：</w:t>
      </w:r>
      <w:r>
        <w:rPr>
          <w:rFonts w:hint="eastAsia" w:hAnsi="宋体"/>
          <w:color w:val="auto"/>
          <w:sz w:val="24"/>
          <w:szCs w:val="24"/>
          <w:highlight w:val="none"/>
          <w:u w:val="single"/>
        </w:rPr>
        <w:t xml:space="preserve">     </w:t>
      </w:r>
      <w:r>
        <w:rPr>
          <w:rFonts w:hint="eastAsia" w:hAnsi="宋体"/>
          <w:color w:val="auto"/>
          <w:sz w:val="24"/>
          <w:szCs w:val="24"/>
          <w:highlight w:val="none"/>
        </w:rPr>
        <w:t>分标</w:t>
      </w:r>
    </w:p>
    <w:tbl>
      <w:tblPr>
        <w:tblStyle w:val="46"/>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14:paraId="7A5D1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vAlign w:val="center"/>
          </w:tcPr>
          <w:p w14:paraId="3BB13BAD">
            <w:pPr>
              <w:pStyle w:val="25"/>
              <w:spacing w:line="400" w:lineRule="exact"/>
              <w:jc w:val="center"/>
              <w:rPr>
                <w:rFonts w:hAnsi="宋体" w:cs="Courier New"/>
                <w:color w:val="auto"/>
                <w:kern w:val="2"/>
                <w:sz w:val="24"/>
                <w:szCs w:val="24"/>
                <w:highlight w:val="none"/>
              </w:rPr>
            </w:pPr>
            <w:r>
              <w:rPr>
                <w:rFonts w:hint="eastAsia" w:hAnsi="宋体" w:cs="Courier New"/>
                <w:color w:val="auto"/>
                <w:kern w:val="2"/>
                <w:sz w:val="24"/>
                <w:szCs w:val="24"/>
                <w:highlight w:val="none"/>
              </w:rPr>
              <w:t>项号</w:t>
            </w:r>
          </w:p>
        </w:tc>
        <w:tc>
          <w:tcPr>
            <w:tcW w:w="2143" w:type="dxa"/>
            <w:vAlign w:val="center"/>
          </w:tcPr>
          <w:p w14:paraId="15882D49">
            <w:pPr>
              <w:pStyle w:val="25"/>
              <w:spacing w:line="400" w:lineRule="exact"/>
              <w:jc w:val="center"/>
              <w:rPr>
                <w:rFonts w:hAnsi="宋体" w:cs="Courier New"/>
                <w:color w:val="auto"/>
                <w:kern w:val="2"/>
                <w:sz w:val="24"/>
                <w:szCs w:val="24"/>
                <w:highlight w:val="none"/>
              </w:rPr>
            </w:pPr>
            <w:r>
              <w:rPr>
                <w:rFonts w:hint="eastAsia" w:hAnsi="宋体" w:cs="Courier New"/>
                <w:color w:val="auto"/>
                <w:kern w:val="2"/>
                <w:sz w:val="24"/>
                <w:szCs w:val="24"/>
                <w:highlight w:val="none"/>
              </w:rPr>
              <w:t>标的的名称</w:t>
            </w:r>
          </w:p>
        </w:tc>
        <w:tc>
          <w:tcPr>
            <w:tcW w:w="1834" w:type="dxa"/>
            <w:vAlign w:val="center"/>
          </w:tcPr>
          <w:p w14:paraId="08D3997A">
            <w:pPr>
              <w:pStyle w:val="25"/>
              <w:spacing w:line="400" w:lineRule="exact"/>
              <w:jc w:val="center"/>
              <w:rPr>
                <w:rFonts w:hAnsi="宋体" w:cs="Courier New"/>
                <w:color w:val="auto"/>
                <w:kern w:val="2"/>
                <w:sz w:val="24"/>
                <w:szCs w:val="24"/>
                <w:highlight w:val="none"/>
              </w:rPr>
            </w:pPr>
            <w:r>
              <w:rPr>
                <w:rFonts w:hint="eastAsia" w:hAnsi="宋体" w:cs="Courier New"/>
                <w:color w:val="auto"/>
                <w:kern w:val="2"/>
                <w:sz w:val="24"/>
                <w:szCs w:val="24"/>
                <w:highlight w:val="none"/>
              </w:rPr>
              <w:t>技术要求</w:t>
            </w:r>
          </w:p>
        </w:tc>
        <w:tc>
          <w:tcPr>
            <w:tcW w:w="2181" w:type="dxa"/>
            <w:vAlign w:val="center"/>
          </w:tcPr>
          <w:p w14:paraId="3DB287F7">
            <w:pPr>
              <w:pStyle w:val="25"/>
              <w:spacing w:line="400" w:lineRule="exact"/>
              <w:jc w:val="center"/>
              <w:rPr>
                <w:rFonts w:hAnsi="宋体" w:cs="Courier New"/>
                <w:color w:val="auto"/>
                <w:kern w:val="2"/>
                <w:sz w:val="24"/>
                <w:szCs w:val="24"/>
                <w:highlight w:val="none"/>
              </w:rPr>
            </w:pPr>
            <w:r>
              <w:rPr>
                <w:rFonts w:hint="eastAsia" w:hAnsi="宋体" w:cs="Courier New"/>
                <w:color w:val="auto"/>
                <w:kern w:val="2"/>
                <w:sz w:val="24"/>
                <w:szCs w:val="24"/>
                <w:highlight w:val="none"/>
              </w:rPr>
              <w:t>投标响应</w:t>
            </w:r>
          </w:p>
        </w:tc>
        <w:tc>
          <w:tcPr>
            <w:tcW w:w="1934" w:type="dxa"/>
            <w:vAlign w:val="center"/>
          </w:tcPr>
          <w:p w14:paraId="689E2FFA">
            <w:pPr>
              <w:pStyle w:val="25"/>
              <w:spacing w:line="400" w:lineRule="exact"/>
              <w:jc w:val="center"/>
              <w:rPr>
                <w:rFonts w:hAnsi="宋体" w:cs="Courier New"/>
                <w:color w:val="auto"/>
                <w:kern w:val="2"/>
                <w:sz w:val="24"/>
                <w:szCs w:val="24"/>
                <w:highlight w:val="none"/>
              </w:rPr>
            </w:pPr>
            <w:r>
              <w:rPr>
                <w:rFonts w:hint="eastAsia" w:hAnsi="宋体" w:cs="Courier New"/>
                <w:color w:val="auto"/>
                <w:kern w:val="2"/>
                <w:sz w:val="24"/>
                <w:szCs w:val="24"/>
                <w:highlight w:val="none"/>
              </w:rPr>
              <w:t>偏离说明</w:t>
            </w:r>
          </w:p>
        </w:tc>
      </w:tr>
      <w:tr w14:paraId="5983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5570825F">
            <w:pPr>
              <w:pStyle w:val="25"/>
              <w:spacing w:line="600" w:lineRule="exact"/>
              <w:jc w:val="center"/>
              <w:rPr>
                <w:rFonts w:hAnsi="宋体" w:cs="Courier New"/>
                <w:color w:val="auto"/>
                <w:kern w:val="2"/>
                <w:sz w:val="24"/>
                <w:szCs w:val="24"/>
                <w:highlight w:val="none"/>
              </w:rPr>
            </w:pPr>
          </w:p>
        </w:tc>
        <w:tc>
          <w:tcPr>
            <w:tcW w:w="2143" w:type="dxa"/>
            <w:vAlign w:val="center"/>
          </w:tcPr>
          <w:p w14:paraId="45F265B2">
            <w:pPr>
              <w:pStyle w:val="25"/>
              <w:spacing w:line="600" w:lineRule="exact"/>
              <w:jc w:val="center"/>
              <w:rPr>
                <w:rFonts w:hAnsi="宋体" w:cs="Courier New"/>
                <w:color w:val="auto"/>
                <w:kern w:val="2"/>
                <w:sz w:val="24"/>
                <w:szCs w:val="24"/>
                <w:highlight w:val="none"/>
              </w:rPr>
            </w:pPr>
          </w:p>
        </w:tc>
        <w:tc>
          <w:tcPr>
            <w:tcW w:w="1834" w:type="dxa"/>
            <w:vAlign w:val="center"/>
          </w:tcPr>
          <w:p w14:paraId="7F4EC51E">
            <w:pPr>
              <w:pStyle w:val="25"/>
              <w:spacing w:line="600" w:lineRule="exact"/>
              <w:jc w:val="center"/>
              <w:rPr>
                <w:rFonts w:hAnsi="宋体" w:cs="Courier New"/>
                <w:color w:val="auto"/>
                <w:kern w:val="2"/>
                <w:sz w:val="24"/>
                <w:szCs w:val="24"/>
                <w:highlight w:val="none"/>
              </w:rPr>
            </w:pPr>
          </w:p>
        </w:tc>
        <w:tc>
          <w:tcPr>
            <w:tcW w:w="2181" w:type="dxa"/>
            <w:vAlign w:val="center"/>
          </w:tcPr>
          <w:p w14:paraId="51B4D348">
            <w:pPr>
              <w:pStyle w:val="25"/>
              <w:spacing w:line="600" w:lineRule="exact"/>
              <w:jc w:val="center"/>
              <w:rPr>
                <w:rFonts w:hAnsi="宋体" w:cs="Courier New"/>
                <w:color w:val="auto"/>
                <w:kern w:val="2"/>
                <w:sz w:val="24"/>
                <w:szCs w:val="24"/>
                <w:highlight w:val="none"/>
              </w:rPr>
            </w:pPr>
          </w:p>
        </w:tc>
        <w:tc>
          <w:tcPr>
            <w:tcW w:w="1934" w:type="dxa"/>
            <w:vAlign w:val="center"/>
          </w:tcPr>
          <w:p w14:paraId="2ABCBB1A">
            <w:pPr>
              <w:pStyle w:val="25"/>
              <w:spacing w:line="600" w:lineRule="exact"/>
              <w:jc w:val="center"/>
              <w:rPr>
                <w:rFonts w:hAnsi="宋体" w:cs="Courier New"/>
                <w:color w:val="auto"/>
                <w:kern w:val="2"/>
                <w:sz w:val="24"/>
                <w:szCs w:val="24"/>
                <w:highlight w:val="none"/>
              </w:rPr>
            </w:pPr>
          </w:p>
        </w:tc>
      </w:tr>
      <w:tr w14:paraId="1FF95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21557FBE">
            <w:pPr>
              <w:pStyle w:val="25"/>
              <w:spacing w:line="600" w:lineRule="exact"/>
              <w:rPr>
                <w:rFonts w:hAnsi="宋体" w:cs="Courier New"/>
                <w:color w:val="auto"/>
                <w:kern w:val="2"/>
                <w:sz w:val="24"/>
                <w:szCs w:val="24"/>
                <w:highlight w:val="none"/>
              </w:rPr>
            </w:pPr>
          </w:p>
        </w:tc>
        <w:tc>
          <w:tcPr>
            <w:tcW w:w="2143" w:type="dxa"/>
          </w:tcPr>
          <w:p w14:paraId="1A351766">
            <w:pPr>
              <w:pStyle w:val="25"/>
              <w:spacing w:line="600" w:lineRule="exact"/>
              <w:rPr>
                <w:rFonts w:hAnsi="宋体" w:cs="Courier New"/>
                <w:color w:val="auto"/>
                <w:kern w:val="2"/>
                <w:sz w:val="24"/>
                <w:szCs w:val="24"/>
                <w:highlight w:val="none"/>
              </w:rPr>
            </w:pPr>
          </w:p>
        </w:tc>
        <w:tc>
          <w:tcPr>
            <w:tcW w:w="1834" w:type="dxa"/>
          </w:tcPr>
          <w:p w14:paraId="55E0FD31">
            <w:pPr>
              <w:pStyle w:val="25"/>
              <w:spacing w:line="600" w:lineRule="exact"/>
              <w:rPr>
                <w:rFonts w:hAnsi="宋体" w:cs="Courier New"/>
                <w:color w:val="auto"/>
                <w:kern w:val="2"/>
                <w:sz w:val="24"/>
                <w:szCs w:val="24"/>
                <w:highlight w:val="none"/>
              </w:rPr>
            </w:pPr>
          </w:p>
        </w:tc>
        <w:tc>
          <w:tcPr>
            <w:tcW w:w="2181" w:type="dxa"/>
          </w:tcPr>
          <w:p w14:paraId="4FBE2EF7">
            <w:pPr>
              <w:pStyle w:val="25"/>
              <w:spacing w:line="600" w:lineRule="exact"/>
              <w:rPr>
                <w:rFonts w:hAnsi="宋体" w:cs="Courier New"/>
                <w:color w:val="auto"/>
                <w:kern w:val="2"/>
                <w:sz w:val="24"/>
                <w:szCs w:val="24"/>
                <w:highlight w:val="none"/>
              </w:rPr>
            </w:pPr>
          </w:p>
        </w:tc>
        <w:tc>
          <w:tcPr>
            <w:tcW w:w="1934" w:type="dxa"/>
          </w:tcPr>
          <w:p w14:paraId="27BB2D87">
            <w:pPr>
              <w:pStyle w:val="25"/>
              <w:spacing w:line="600" w:lineRule="exact"/>
              <w:rPr>
                <w:rFonts w:hAnsi="宋体" w:cs="Courier New"/>
                <w:color w:val="auto"/>
                <w:kern w:val="2"/>
                <w:sz w:val="24"/>
                <w:szCs w:val="24"/>
                <w:highlight w:val="none"/>
              </w:rPr>
            </w:pPr>
          </w:p>
        </w:tc>
      </w:tr>
      <w:tr w14:paraId="6ABEC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1F9EA6BC">
            <w:pPr>
              <w:pStyle w:val="25"/>
              <w:spacing w:line="600" w:lineRule="exact"/>
              <w:rPr>
                <w:rFonts w:hAnsi="宋体" w:cs="Courier New"/>
                <w:color w:val="auto"/>
                <w:kern w:val="2"/>
                <w:sz w:val="24"/>
                <w:szCs w:val="24"/>
                <w:highlight w:val="none"/>
              </w:rPr>
            </w:pPr>
          </w:p>
        </w:tc>
        <w:tc>
          <w:tcPr>
            <w:tcW w:w="2143" w:type="dxa"/>
          </w:tcPr>
          <w:p w14:paraId="7DD5089F">
            <w:pPr>
              <w:pStyle w:val="25"/>
              <w:spacing w:line="600" w:lineRule="exact"/>
              <w:rPr>
                <w:rFonts w:hAnsi="宋体" w:cs="Courier New"/>
                <w:color w:val="auto"/>
                <w:kern w:val="2"/>
                <w:sz w:val="24"/>
                <w:szCs w:val="24"/>
                <w:highlight w:val="none"/>
              </w:rPr>
            </w:pPr>
          </w:p>
        </w:tc>
        <w:tc>
          <w:tcPr>
            <w:tcW w:w="1834" w:type="dxa"/>
          </w:tcPr>
          <w:p w14:paraId="64C3C7CA">
            <w:pPr>
              <w:pStyle w:val="25"/>
              <w:spacing w:line="600" w:lineRule="exact"/>
              <w:rPr>
                <w:rFonts w:hAnsi="宋体" w:cs="Courier New"/>
                <w:color w:val="auto"/>
                <w:kern w:val="2"/>
                <w:sz w:val="24"/>
                <w:szCs w:val="24"/>
                <w:highlight w:val="none"/>
              </w:rPr>
            </w:pPr>
          </w:p>
        </w:tc>
        <w:tc>
          <w:tcPr>
            <w:tcW w:w="2181" w:type="dxa"/>
          </w:tcPr>
          <w:p w14:paraId="4ED6A922">
            <w:pPr>
              <w:pStyle w:val="25"/>
              <w:spacing w:line="600" w:lineRule="exact"/>
              <w:rPr>
                <w:rFonts w:hAnsi="宋体" w:cs="Courier New"/>
                <w:color w:val="auto"/>
                <w:kern w:val="2"/>
                <w:sz w:val="24"/>
                <w:szCs w:val="24"/>
                <w:highlight w:val="none"/>
              </w:rPr>
            </w:pPr>
          </w:p>
        </w:tc>
        <w:tc>
          <w:tcPr>
            <w:tcW w:w="1934" w:type="dxa"/>
          </w:tcPr>
          <w:p w14:paraId="05388305">
            <w:pPr>
              <w:pStyle w:val="25"/>
              <w:spacing w:line="600" w:lineRule="exact"/>
              <w:rPr>
                <w:rFonts w:hAnsi="宋体" w:cs="Courier New"/>
                <w:color w:val="auto"/>
                <w:kern w:val="2"/>
                <w:sz w:val="24"/>
                <w:szCs w:val="24"/>
                <w:highlight w:val="none"/>
              </w:rPr>
            </w:pPr>
          </w:p>
        </w:tc>
      </w:tr>
      <w:tr w14:paraId="4C90F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6B813FFE">
            <w:pPr>
              <w:pStyle w:val="25"/>
              <w:spacing w:line="600" w:lineRule="exact"/>
              <w:rPr>
                <w:rFonts w:hAnsi="宋体" w:cs="Courier New"/>
                <w:color w:val="auto"/>
                <w:kern w:val="2"/>
                <w:sz w:val="24"/>
                <w:szCs w:val="24"/>
                <w:highlight w:val="none"/>
              </w:rPr>
            </w:pPr>
          </w:p>
        </w:tc>
        <w:tc>
          <w:tcPr>
            <w:tcW w:w="2143" w:type="dxa"/>
          </w:tcPr>
          <w:p w14:paraId="046A2700">
            <w:pPr>
              <w:pStyle w:val="25"/>
              <w:spacing w:line="600" w:lineRule="exact"/>
              <w:rPr>
                <w:rFonts w:hAnsi="宋体" w:cs="Courier New"/>
                <w:color w:val="auto"/>
                <w:kern w:val="2"/>
                <w:sz w:val="24"/>
                <w:szCs w:val="24"/>
                <w:highlight w:val="none"/>
              </w:rPr>
            </w:pPr>
          </w:p>
        </w:tc>
        <w:tc>
          <w:tcPr>
            <w:tcW w:w="1834" w:type="dxa"/>
          </w:tcPr>
          <w:p w14:paraId="79B5EBFC">
            <w:pPr>
              <w:pStyle w:val="25"/>
              <w:spacing w:line="600" w:lineRule="exact"/>
              <w:rPr>
                <w:rFonts w:hAnsi="宋体" w:cs="Courier New"/>
                <w:color w:val="auto"/>
                <w:kern w:val="2"/>
                <w:sz w:val="24"/>
                <w:szCs w:val="24"/>
                <w:highlight w:val="none"/>
              </w:rPr>
            </w:pPr>
          </w:p>
        </w:tc>
        <w:tc>
          <w:tcPr>
            <w:tcW w:w="2181" w:type="dxa"/>
          </w:tcPr>
          <w:p w14:paraId="54AF6FAE">
            <w:pPr>
              <w:pStyle w:val="25"/>
              <w:spacing w:line="600" w:lineRule="exact"/>
              <w:rPr>
                <w:rFonts w:hAnsi="宋体" w:cs="Courier New"/>
                <w:color w:val="auto"/>
                <w:kern w:val="2"/>
                <w:sz w:val="24"/>
                <w:szCs w:val="24"/>
                <w:highlight w:val="none"/>
              </w:rPr>
            </w:pPr>
          </w:p>
        </w:tc>
        <w:tc>
          <w:tcPr>
            <w:tcW w:w="1934" w:type="dxa"/>
          </w:tcPr>
          <w:p w14:paraId="5D1BF578">
            <w:pPr>
              <w:pStyle w:val="25"/>
              <w:spacing w:line="600" w:lineRule="exact"/>
              <w:rPr>
                <w:rFonts w:hAnsi="宋体" w:cs="Courier New"/>
                <w:color w:val="auto"/>
                <w:kern w:val="2"/>
                <w:sz w:val="24"/>
                <w:szCs w:val="24"/>
                <w:highlight w:val="none"/>
              </w:rPr>
            </w:pPr>
          </w:p>
        </w:tc>
      </w:tr>
      <w:tr w14:paraId="6CC9D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67DEC7A9">
            <w:pPr>
              <w:pStyle w:val="25"/>
              <w:spacing w:line="600" w:lineRule="exact"/>
              <w:rPr>
                <w:rFonts w:hAnsi="宋体" w:cs="Courier New"/>
                <w:color w:val="auto"/>
                <w:kern w:val="2"/>
                <w:sz w:val="24"/>
                <w:szCs w:val="24"/>
                <w:highlight w:val="none"/>
              </w:rPr>
            </w:pPr>
          </w:p>
        </w:tc>
        <w:tc>
          <w:tcPr>
            <w:tcW w:w="2143" w:type="dxa"/>
          </w:tcPr>
          <w:p w14:paraId="4C801246">
            <w:pPr>
              <w:pStyle w:val="25"/>
              <w:spacing w:line="600" w:lineRule="exact"/>
              <w:rPr>
                <w:rFonts w:hAnsi="宋体" w:cs="Courier New"/>
                <w:color w:val="auto"/>
                <w:kern w:val="2"/>
                <w:sz w:val="24"/>
                <w:szCs w:val="24"/>
                <w:highlight w:val="none"/>
              </w:rPr>
            </w:pPr>
          </w:p>
        </w:tc>
        <w:tc>
          <w:tcPr>
            <w:tcW w:w="1834" w:type="dxa"/>
          </w:tcPr>
          <w:p w14:paraId="5B95B1BC">
            <w:pPr>
              <w:pStyle w:val="25"/>
              <w:spacing w:line="600" w:lineRule="exact"/>
              <w:rPr>
                <w:rFonts w:hAnsi="宋体" w:cs="Courier New"/>
                <w:color w:val="auto"/>
                <w:kern w:val="2"/>
                <w:sz w:val="24"/>
                <w:szCs w:val="24"/>
                <w:highlight w:val="none"/>
              </w:rPr>
            </w:pPr>
          </w:p>
        </w:tc>
        <w:tc>
          <w:tcPr>
            <w:tcW w:w="2181" w:type="dxa"/>
          </w:tcPr>
          <w:p w14:paraId="13B5B9C5">
            <w:pPr>
              <w:pStyle w:val="25"/>
              <w:spacing w:line="600" w:lineRule="exact"/>
              <w:rPr>
                <w:rFonts w:hAnsi="宋体" w:cs="Courier New"/>
                <w:color w:val="auto"/>
                <w:kern w:val="2"/>
                <w:sz w:val="24"/>
                <w:szCs w:val="24"/>
                <w:highlight w:val="none"/>
              </w:rPr>
            </w:pPr>
          </w:p>
        </w:tc>
        <w:tc>
          <w:tcPr>
            <w:tcW w:w="1934" w:type="dxa"/>
          </w:tcPr>
          <w:p w14:paraId="04A5DF8F">
            <w:pPr>
              <w:pStyle w:val="25"/>
              <w:spacing w:line="600" w:lineRule="exact"/>
              <w:rPr>
                <w:rFonts w:hAnsi="宋体" w:cs="Courier New"/>
                <w:color w:val="auto"/>
                <w:kern w:val="2"/>
                <w:sz w:val="24"/>
                <w:szCs w:val="24"/>
                <w:highlight w:val="none"/>
              </w:rPr>
            </w:pPr>
          </w:p>
        </w:tc>
      </w:tr>
      <w:tr w14:paraId="5DED8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tcPr>
          <w:p w14:paraId="4B39C7AE">
            <w:pPr>
              <w:pStyle w:val="25"/>
              <w:spacing w:line="600" w:lineRule="exact"/>
              <w:rPr>
                <w:rFonts w:hAnsi="宋体" w:cs="Courier New"/>
                <w:color w:val="auto"/>
                <w:kern w:val="2"/>
                <w:sz w:val="24"/>
                <w:szCs w:val="24"/>
                <w:highlight w:val="none"/>
              </w:rPr>
            </w:pPr>
          </w:p>
        </w:tc>
        <w:tc>
          <w:tcPr>
            <w:tcW w:w="2143" w:type="dxa"/>
          </w:tcPr>
          <w:p w14:paraId="338BDA14">
            <w:pPr>
              <w:pStyle w:val="25"/>
              <w:spacing w:line="600" w:lineRule="exact"/>
              <w:rPr>
                <w:rFonts w:hAnsi="宋体" w:cs="Courier New"/>
                <w:color w:val="auto"/>
                <w:kern w:val="2"/>
                <w:sz w:val="24"/>
                <w:szCs w:val="24"/>
                <w:highlight w:val="none"/>
              </w:rPr>
            </w:pPr>
          </w:p>
        </w:tc>
        <w:tc>
          <w:tcPr>
            <w:tcW w:w="1834" w:type="dxa"/>
          </w:tcPr>
          <w:p w14:paraId="028C7D77">
            <w:pPr>
              <w:pStyle w:val="25"/>
              <w:spacing w:line="600" w:lineRule="exact"/>
              <w:rPr>
                <w:rFonts w:hAnsi="宋体" w:cs="Courier New"/>
                <w:color w:val="auto"/>
                <w:kern w:val="2"/>
                <w:sz w:val="24"/>
                <w:szCs w:val="24"/>
                <w:highlight w:val="none"/>
              </w:rPr>
            </w:pPr>
          </w:p>
        </w:tc>
        <w:tc>
          <w:tcPr>
            <w:tcW w:w="2181" w:type="dxa"/>
          </w:tcPr>
          <w:p w14:paraId="2D87A678">
            <w:pPr>
              <w:pStyle w:val="25"/>
              <w:spacing w:line="600" w:lineRule="exact"/>
              <w:rPr>
                <w:rFonts w:hAnsi="宋体" w:cs="Courier New"/>
                <w:color w:val="auto"/>
                <w:kern w:val="2"/>
                <w:sz w:val="24"/>
                <w:szCs w:val="24"/>
                <w:highlight w:val="none"/>
              </w:rPr>
            </w:pPr>
          </w:p>
        </w:tc>
        <w:tc>
          <w:tcPr>
            <w:tcW w:w="1934" w:type="dxa"/>
          </w:tcPr>
          <w:p w14:paraId="03621E2C">
            <w:pPr>
              <w:pStyle w:val="25"/>
              <w:spacing w:line="600" w:lineRule="exact"/>
              <w:rPr>
                <w:rFonts w:hAnsi="宋体" w:cs="Courier New"/>
                <w:color w:val="auto"/>
                <w:kern w:val="2"/>
                <w:sz w:val="24"/>
                <w:szCs w:val="24"/>
                <w:highlight w:val="none"/>
              </w:rPr>
            </w:pPr>
          </w:p>
        </w:tc>
      </w:tr>
    </w:tbl>
    <w:p w14:paraId="09381632">
      <w:pPr>
        <w:pStyle w:val="19"/>
        <w:rPr>
          <w:rFonts w:ascii="宋体" w:hAnsi="宋体"/>
          <w:color w:val="auto"/>
          <w:highlight w:val="none"/>
        </w:rPr>
      </w:pPr>
      <w:r>
        <w:rPr>
          <w:rFonts w:hint="eastAsia" w:ascii="宋体" w:hAnsi="宋体"/>
          <w:color w:val="auto"/>
          <w:highlight w:val="none"/>
        </w:rPr>
        <w:t>注：</w:t>
      </w:r>
    </w:p>
    <w:p w14:paraId="76121BDC">
      <w:pPr>
        <w:pStyle w:val="3"/>
        <w:spacing w:line="360" w:lineRule="auto"/>
        <w:ind w:firstLine="0" w:firstLineChars="0"/>
        <w:rPr>
          <w:rFonts w:ascii="宋体" w:hAnsi="宋体" w:eastAsia="宋体" w:cs="仿宋_GB2312"/>
          <w:color w:val="auto"/>
          <w:szCs w:val="32"/>
          <w:highlight w:val="none"/>
        </w:rPr>
      </w:pPr>
      <w:r>
        <w:rPr>
          <w:rFonts w:hint="eastAsia" w:ascii="宋体" w:hAnsi="宋体" w:eastAsia="宋体"/>
          <w:color w:val="auto"/>
          <w:sz w:val="24"/>
          <w:szCs w:val="24"/>
          <w:highlight w:val="none"/>
        </w:rPr>
        <w:t>1. 说明：应对照招标文件“第二章 采购需求”中的“技术要求”逐条作明确的投标响应，并作出偏离说明。</w:t>
      </w:r>
    </w:p>
    <w:p w14:paraId="32E90292">
      <w:pPr>
        <w:pStyle w:val="19"/>
        <w:spacing w:line="360" w:lineRule="auto"/>
        <w:rPr>
          <w:rFonts w:ascii="宋体" w:hAnsi="宋体"/>
          <w:b w:val="0"/>
          <w:bCs w:val="0"/>
          <w:color w:val="auto"/>
          <w:highlight w:val="none"/>
        </w:rPr>
      </w:pPr>
      <w:r>
        <w:rPr>
          <w:rFonts w:ascii="宋体" w:hAnsi="宋体"/>
          <w:b w:val="0"/>
          <w:bCs w:val="0"/>
          <w:color w:val="auto"/>
          <w:highlight w:val="none"/>
        </w:rPr>
        <w:t>2.</w:t>
      </w:r>
      <w:r>
        <w:rPr>
          <w:rFonts w:hint="eastAsia" w:ascii="宋体" w:hAnsi="宋体"/>
          <w:b w:val="0"/>
          <w:bCs w:val="0"/>
          <w:color w:val="auto"/>
          <w:highlight w:val="none"/>
        </w:rPr>
        <w:t>投标人根据投标货物的性能指标，对照招标文件技术要求，在“偏离说明”中注明“</w:t>
      </w:r>
      <w:r>
        <w:rPr>
          <w:rFonts w:hint="eastAsia" w:ascii="宋体" w:hAnsi="宋体"/>
          <w:color w:val="auto"/>
          <w:highlight w:val="none"/>
        </w:rPr>
        <w:t>正偏离</w:t>
      </w:r>
      <w:r>
        <w:rPr>
          <w:rFonts w:hint="eastAsia" w:ascii="宋体" w:hAnsi="宋体"/>
          <w:b w:val="0"/>
          <w:bCs w:val="0"/>
          <w:color w:val="auto"/>
          <w:highlight w:val="none"/>
        </w:rPr>
        <w:t>”、“</w:t>
      </w:r>
      <w:r>
        <w:rPr>
          <w:rFonts w:hint="eastAsia" w:ascii="宋体" w:hAnsi="宋体"/>
          <w:color w:val="auto"/>
          <w:highlight w:val="none"/>
        </w:rPr>
        <w:t>负偏离</w:t>
      </w:r>
      <w:r>
        <w:rPr>
          <w:rFonts w:hint="eastAsia" w:ascii="宋体" w:hAnsi="宋体"/>
          <w:b w:val="0"/>
          <w:bCs w:val="0"/>
          <w:color w:val="auto"/>
          <w:highlight w:val="none"/>
        </w:rPr>
        <w:t>”或者“</w:t>
      </w:r>
      <w:r>
        <w:rPr>
          <w:rFonts w:hint="eastAsia" w:ascii="宋体" w:hAnsi="宋体"/>
          <w:color w:val="auto"/>
          <w:highlight w:val="none"/>
        </w:rPr>
        <w:t>无偏离</w:t>
      </w:r>
      <w:r>
        <w:rPr>
          <w:rFonts w:hint="eastAsia" w:ascii="宋体" w:hAnsi="宋体"/>
          <w:b w:val="0"/>
          <w:bCs w:val="0"/>
          <w:color w:val="auto"/>
          <w:highlight w:val="none"/>
        </w:rPr>
        <w:t>”。既不属于“</w:t>
      </w:r>
      <w:r>
        <w:rPr>
          <w:rFonts w:hint="eastAsia" w:ascii="宋体" w:hAnsi="宋体"/>
          <w:color w:val="auto"/>
          <w:highlight w:val="none"/>
        </w:rPr>
        <w:t>正偏离</w:t>
      </w:r>
      <w:r>
        <w:rPr>
          <w:rFonts w:hint="eastAsia" w:ascii="宋体" w:hAnsi="宋体"/>
          <w:b w:val="0"/>
          <w:bCs w:val="0"/>
          <w:color w:val="auto"/>
          <w:highlight w:val="none"/>
        </w:rPr>
        <w:t>”也不属于“</w:t>
      </w:r>
      <w:r>
        <w:rPr>
          <w:rFonts w:hint="eastAsia" w:ascii="宋体" w:hAnsi="宋体"/>
          <w:color w:val="auto"/>
          <w:highlight w:val="none"/>
        </w:rPr>
        <w:t>负偏离</w:t>
      </w:r>
      <w:r>
        <w:rPr>
          <w:rFonts w:hint="eastAsia" w:ascii="宋体" w:hAnsi="宋体"/>
          <w:b w:val="0"/>
          <w:bCs w:val="0"/>
          <w:color w:val="auto"/>
          <w:highlight w:val="none"/>
        </w:rPr>
        <w:t>”即为“</w:t>
      </w:r>
      <w:r>
        <w:rPr>
          <w:rFonts w:hint="eastAsia" w:ascii="宋体" w:hAnsi="宋体"/>
          <w:color w:val="auto"/>
          <w:highlight w:val="none"/>
        </w:rPr>
        <w:t>无偏离</w:t>
      </w:r>
      <w:r>
        <w:rPr>
          <w:rFonts w:hint="eastAsia" w:ascii="宋体" w:hAnsi="宋体"/>
          <w:b w:val="0"/>
          <w:bCs w:val="0"/>
          <w:color w:val="auto"/>
          <w:highlight w:val="none"/>
        </w:rPr>
        <w:t>”。</w:t>
      </w:r>
    </w:p>
    <w:p w14:paraId="6B58D943">
      <w:pPr>
        <w:pStyle w:val="3"/>
        <w:spacing w:line="360" w:lineRule="auto"/>
        <w:ind w:firstLine="0" w:firstLineChars="0"/>
        <w:rPr>
          <w:rFonts w:ascii="宋体" w:hAnsi="宋体" w:eastAsia="宋体"/>
          <w:color w:val="auto"/>
          <w:sz w:val="24"/>
          <w:szCs w:val="24"/>
          <w:highlight w:val="none"/>
        </w:rPr>
      </w:pPr>
      <w:r>
        <w:rPr>
          <w:rFonts w:hint="eastAsia" w:ascii="宋体" w:hAnsi="宋体" w:eastAsia="宋体"/>
          <w:color w:val="auto"/>
          <w:sz w:val="24"/>
          <w:szCs w:val="24"/>
          <w:highlight w:val="none"/>
        </w:rPr>
        <w:t>3.投标人认为其投标响应有正偏离的，请在技术要求偏离表中列明，且在投标文件中提供投标产品的彩页或</w:t>
      </w:r>
      <w:r>
        <w:rPr>
          <w:rFonts w:ascii="宋体" w:hAnsi="宋体" w:eastAsia="宋体"/>
          <w:color w:val="auto"/>
          <w:sz w:val="24"/>
          <w:szCs w:val="24"/>
          <w:highlight w:val="none"/>
        </w:rPr>
        <w:t>国家认可的有资质的第三方检测机构出具的检测报告复印件</w:t>
      </w:r>
      <w:r>
        <w:rPr>
          <w:rFonts w:hint="eastAsia" w:ascii="宋体" w:hAnsi="宋体" w:eastAsia="宋体"/>
          <w:color w:val="auto"/>
          <w:sz w:val="24"/>
          <w:szCs w:val="24"/>
          <w:highlight w:val="none"/>
        </w:rPr>
        <w:t>或产品生产厂家出具的技术参数说明证明作为佐证，以上佐证材料均需加盖生产厂家或代理商（附生产厂家授权资料）公章。</w:t>
      </w:r>
    </w:p>
    <w:p w14:paraId="24CC40BA">
      <w:pPr>
        <w:pStyle w:val="3"/>
        <w:spacing w:line="360" w:lineRule="auto"/>
        <w:ind w:firstLine="0" w:firstLineChars="0"/>
        <w:rPr>
          <w:rFonts w:ascii="宋体" w:hAnsi="宋体" w:eastAsia="宋体"/>
          <w:color w:val="auto"/>
          <w:sz w:val="24"/>
          <w:szCs w:val="24"/>
          <w:highlight w:val="none"/>
        </w:rPr>
      </w:pPr>
      <w:r>
        <w:rPr>
          <w:rFonts w:hint="eastAsia" w:ascii="宋体" w:hAnsi="宋体" w:eastAsia="宋体"/>
          <w:color w:val="auto"/>
          <w:sz w:val="24"/>
          <w:szCs w:val="24"/>
          <w:highlight w:val="none"/>
        </w:rPr>
        <w:t>4</w:t>
      </w:r>
      <w:r>
        <w:rPr>
          <w:rFonts w:ascii="宋体" w:hAnsi="宋体" w:eastAsia="宋体"/>
          <w:color w:val="auto"/>
          <w:sz w:val="24"/>
          <w:szCs w:val="24"/>
          <w:highlight w:val="none"/>
        </w:rPr>
        <w:t>.</w:t>
      </w:r>
      <w:r>
        <w:rPr>
          <w:rFonts w:hint="eastAsia" w:ascii="宋体" w:hAnsi="宋体" w:eastAsia="宋体"/>
          <w:color w:val="auto"/>
          <w:sz w:val="24"/>
          <w:szCs w:val="24"/>
          <w:highlight w:val="none"/>
        </w:rPr>
        <w:t xml:space="preserve"> 如技术要求偏离表中的投标响应与佐证材料不一致的，以佐证材料为准。</w:t>
      </w:r>
    </w:p>
    <w:p w14:paraId="250E7BCF">
      <w:pPr>
        <w:snapToGrid w:val="0"/>
        <w:spacing w:before="50" w:after="50" w:line="360" w:lineRule="auto"/>
        <w:rPr>
          <w:rFonts w:ascii="宋体" w:hAnsi="宋体"/>
          <w:color w:val="auto"/>
          <w:sz w:val="24"/>
          <w:highlight w:val="none"/>
        </w:rPr>
      </w:pPr>
    </w:p>
    <w:p w14:paraId="59C57347">
      <w:pPr>
        <w:snapToGrid w:val="0"/>
        <w:spacing w:before="50" w:after="50" w:line="360" w:lineRule="auto"/>
        <w:rPr>
          <w:rFonts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u w:val="single"/>
        </w:rPr>
        <w:t xml:space="preserve">        </w:t>
      </w:r>
    </w:p>
    <w:p w14:paraId="1066967C">
      <w:pPr>
        <w:snapToGrid w:val="0"/>
        <w:spacing w:before="50" w:after="50" w:line="360" w:lineRule="auto"/>
        <w:rPr>
          <w:rFonts w:ascii="宋体" w:hAnsi="宋体"/>
          <w:color w:val="auto"/>
          <w:spacing w:val="20"/>
          <w:sz w:val="24"/>
          <w:highlight w:val="none"/>
          <w:u w:val="single"/>
        </w:rPr>
      </w:pPr>
      <w:r>
        <w:rPr>
          <w:rFonts w:hint="eastAsia" w:ascii="宋体" w:hAnsi="宋体"/>
          <w:color w:val="auto"/>
          <w:spacing w:val="20"/>
          <w:sz w:val="24"/>
          <w:highlight w:val="none"/>
        </w:rPr>
        <w:t>投标人（盖公章）：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日 期：</w:t>
      </w:r>
      <w:r>
        <w:rPr>
          <w:rFonts w:hint="eastAsia" w:ascii="宋体" w:hAnsi="宋体"/>
          <w:color w:val="auto"/>
          <w:spacing w:val="20"/>
          <w:sz w:val="24"/>
          <w:highlight w:val="none"/>
          <w:u w:val="single"/>
        </w:rPr>
        <w:t xml:space="preserve">        </w:t>
      </w:r>
    </w:p>
    <w:p w14:paraId="570FB37F">
      <w:pPr>
        <w:snapToGrid w:val="0"/>
        <w:spacing w:before="50" w:after="50" w:line="360" w:lineRule="auto"/>
        <w:rPr>
          <w:rFonts w:ascii="宋体" w:hAnsi="宋体"/>
          <w:color w:val="auto"/>
          <w:sz w:val="24"/>
          <w:szCs w:val="20"/>
          <w:highlight w:val="none"/>
        </w:rPr>
      </w:pPr>
    </w:p>
    <w:p w14:paraId="08471A07">
      <w:pPr>
        <w:snapToGrid w:val="0"/>
        <w:spacing w:before="120" w:beforeLines="50" w:after="50"/>
        <w:ind w:left="142"/>
        <w:jc w:val="left"/>
        <w:rPr>
          <w:rFonts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5. 项目实施人员一览表格式</w:t>
      </w:r>
    </w:p>
    <w:p w14:paraId="380F17AA">
      <w:pPr>
        <w:snapToGrid w:val="0"/>
        <w:spacing w:before="120" w:beforeLines="50" w:after="50"/>
        <w:ind w:left="142"/>
        <w:jc w:val="left"/>
        <w:rPr>
          <w:rFonts w:ascii="宋体" w:hAnsi="宋体"/>
          <w:b/>
          <w:color w:val="auto"/>
          <w:sz w:val="24"/>
          <w:highlight w:val="none"/>
        </w:rPr>
      </w:pPr>
    </w:p>
    <w:p w14:paraId="1C3A7800">
      <w:pPr>
        <w:snapToGrid w:val="0"/>
        <w:spacing w:before="120" w:beforeLines="50" w:after="50"/>
        <w:ind w:left="142"/>
        <w:jc w:val="center"/>
        <w:rPr>
          <w:rFonts w:ascii="宋体" w:hAnsi="宋体"/>
          <w:b/>
          <w:color w:val="auto"/>
          <w:sz w:val="32"/>
          <w:szCs w:val="32"/>
          <w:highlight w:val="none"/>
        </w:rPr>
      </w:pPr>
      <w:r>
        <w:rPr>
          <w:rFonts w:hint="eastAsia" w:ascii="宋体" w:hAnsi="宋体"/>
          <w:b/>
          <w:color w:val="auto"/>
          <w:sz w:val="32"/>
          <w:szCs w:val="32"/>
          <w:highlight w:val="none"/>
        </w:rPr>
        <w:t>项目实施人员一览表</w:t>
      </w:r>
    </w:p>
    <w:p w14:paraId="25897064">
      <w:pPr>
        <w:pStyle w:val="25"/>
        <w:rPr>
          <w:rFonts w:hAnsi="宋体"/>
          <w:color w:val="auto"/>
          <w:sz w:val="24"/>
          <w:szCs w:val="24"/>
          <w:highlight w:val="none"/>
        </w:rPr>
      </w:pPr>
      <w:r>
        <w:rPr>
          <w:rFonts w:hint="eastAsia" w:hAnsi="宋体"/>
          <w:color w:val="auto"/>
          <w:sz w:val="24"/>
          <w:szCs w:val="24"/>
          <w:highlight w:val="none"/>
        </w:rPr>
        <w:t>所投分标：</w:t>
      </w:r>
      <w:r>
        <w:rPr>
          <w:rFonts w:hint="eastAsia" w:hAnsi="宋体"/>
          <w:color w:val="auto"/>
          <w:sz w:val="24"/>
          <w:szCs w:val="24"/>
          <w:highlight w:val="none"/>
          <w:u w:val="single"/>
        </w:rPr>
        <w:t xml:space="preserve">     </w:t>
      </w:r>
      <w:r>
        <w:rPr>
          <w:rFonts w:hint="eastAsia" w:hAnsi="宋体"/>
          <w:color w:val="auto"/>
          <w:sz w:val="24"/>
          <w:szCs w:val="24"/>
          <w:highlight w:val="none"/>
        </w:rPr>
        <w:t>分标</w:t>
      </w: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701"/>
        <w:gridCol w:w="1420"/>
        <w:gridCol w:w="1698"/>
        <w:gridCol w:w="1843"/>
      </w:tblGrid>
      <w:tr w14:paraId="6ED2C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A18D07B">
            <w:pPr>
              <w:snapToGrid w:val="0"/>
              <w:spacing w:before="50" w:after="120" w:afterLines="50"/>
              <w:jc w:val="center"/>
              <w:rPr>
                <w:rFonts w:ascii="宋体" w:hAnsi="宋体"/>
                <w:color w:val="auto"/>
                <w:sz w:val="24"/>
                <w:szCs w:val="20"/>
                <w:highlight w:val="none"/>
              </w:rPr>
            </w:pPr>
            <w:r>
              <w:rPr>
                <w:rFonts w:hint="eastAsia" w:ascii="宋体" w:hAnsi="宋体"/>
                <w:color w:val="auto"/>
                <w:sz w:val="24"/>
                <w:szCs w:val="20"/>
                <w:highlight w:val="none"/>
              </w:rPr>
              <w:t>姓名</w:t>
            </w:r>
          </w:p>
        </w:tc>
        <w:tc>
          <w:tcPr>
            <w:tcW w:w="709" w:type="dxa"/>
            <w:vAlign w:val="center"/>
          </w:tcPr>
          <w:p w14:paraId="4BB37456">
            <w:pPr>
              <w:snapToGrid w:val="0"/>
              <w:spacing w:before="50" w:after="120" w:afterLines="50"/>
              <w:jc w:val="center"/>
              <w:rPr>
                <w:rFonts w:ascii="宋体" w:hAnsi="宋体"/>
                <w:color w:val="auto"/>
                <w:sz w:val="24"/>
                <w:szCs w:val="20"/>
                <w:highlight w:val="none"/>
              </w:rPr>
            </w:pPr>
            <w:r>
              <w:rPr>
                <w:rFonts w:hint="eastAsia" w:ascii="宋体" w:hAnsi="宋体"/>
                <w:color w:val="auto"/>
                <w:sz w:val="24"/>
                <w:szCs w:val="20"/>
                <w:highlight w:val="none"/>
              </w:rPr>
              <w:t>职务</w:t>
            </w:r>
          </w:p>
        </w:tc>
        <w:tc>
          <w:tcPr>
            <w:tcW w:w="1701" w:type="dxa"/>
            <w:vAlign w:val="center"/>
          </w:tcPr>
          <w:p w14:paraId="36A4C737">
            <w:pPr>
              <w:snapToGrid w:val="0"/>
              <w:spacing w:before="50" w:after="120" w:afterLines="50"/>
              <w:jc w:val="center"/>
              <w:rPr>
                <w:rFonts w:ascii="宋体" w:hAnsi="宋体"/>
                <w:color w:val="auto"/>
                <w:sz w:val="24"/>
                <w:szCs w:val="20"/>
                <w:highlight w:val="none"/>
              </w:rPr>
            </w:pPr>
            <w:r>
              <w:rPr>
                <w:rFonts w:hint="eastAsia" w:ascii="宋体" w:hAnsi="宋体"/>
                <w:color w:val="auto"/>
                <w:sz w:val="24"/>
                <w:szCs w:val="20"/>
                <w:highlight w:val="none"/>
              </w:rPr>
              <w:t>专业技术资格（职称）或者职业资格或者执业资格证或者其他证书</w:t>
            </w:r>
          </w:p>
        </w:tc>
        <w:tc>
          <w:tcPr>
            <w:tcW w:w="1420" w:type="dxa"/>
            <w:vAlign w:val="center"/>
          </w:tcPr>
          <w:p w14:paraId="65A18871">
            <w:pPr>
              <w:snapToGrid w:val="0"/>
              <w:spacing w:before="50" w:after="120" w:afterLines="50"/>
              <w:jc w:val="center"/>
              <w:rPr>
                <w:rFonts w:ascii="宋体" w:hAnsi="宋体"/>
                <w:color w:val="auto"/>
                <w:sz w:val="24"/>
                <w:szCs w:val="20"/>
                <w:highlight w:val="none"/>
              </w:rPr>
            </w:pPr>
            <w:r>
              <w:rPr>
                <w:rFonts w:hint="eastAsia" w:ascii="宋体" w:hAnsi="宋体"/>
                <w:color w:val="auto"/>
                <w:sz w:val="24"/>
                <w:szCs w:val="20"/>
                <w:highlight w:val="none"/>
              </w:rPr>
              <w:t>证书编号</w:t>
            </w:r>
          </w:p>
        </w:tc>
        <w:tc>
          <w:tcPr>
            <w:tcW w:w="1698" w:type="dxa"/>
            <w:vAlign w:val="center"/>
          </w:tcPr>
          <w:p w14:paraId="21DC0D2B">
            <w:pPr>
              <w:snapToGrid w:val="0"/>
              <w:spacing w:before="50" w:after="120" w:afterLines="50"/>
              <w:jc w:val="center"/>
              <w:rPr>
                <w:rFonts w:ascii="宋体" w:hAnsi="宋体"/>
                <w:color w:val="auto"/>
                <w:sz w:val="24"/>
                <w:szCs w:val="20"/>
                <w:highlight w:val="none"/>
              </w:rPr>
            </w:pPr>
            <w:r>
              <w:rPr>
                <w:rFonts w:hint="eastAsia" w:ascii="宋体" w:hAnsi="宋体"/>
                <w:color w:val="auto"/>
                <w:sz w:val="24"/>
                <w:szCs w:val="20"/>
                <w:highlight w:val="none"/>
              </w:rPr>
              <w:t>参加本单位</w:t>
            </w:r>
          </w:p>
          <w:p w14:paraId="1E2757AD">
            <w:pPr>
              <w:snapToGrid w:val="0"/>
              <w:spacing w:before="50" w:after="120" w:afterLines="50"/>
              <w:jc w:val="center"/>
              <w:rPr>
                <w:rFonts w:ascii="宋体" w:hAnsi="宋体"/>
                <w:color w:val="auto"/>
                <w:sz w:val="24"/>
                <w:szCs w:val="20"/>
                <w:highlight w:val="none"/>
              </w:rPr>
            </w:pPr>
            <w:r>
              <w:rPr>
                <w:rFonts w:hint="eastAsia" w:ascii="宋体" w:hAnsi="宋体"/>
                <w:color w:val="auto"/>
                <w:sz w:val="24"/>
                <w:szCs w:val="20"/>
                <w:highlight w:val="none"/>
              </w:rPr>
              <w:t>工作时间</w:t>
            </w:r>
          </w:p>
        </w:tc>
        <w:tc>
          <w:tcPr>
            <w:tcW w:w="1843" w:type="dxa"/>
            <w:vAlign w:val="center"/>
          </w:tcPr>
          <w:p w14:paraId="3EE5F047">
            <w:pPr>
              <w:snapToGrid w:val="0"/>
              <w:spacing w:before="50" w:after="120" w:afterLines="50"/>
              <w:jc w:val="center"/>
              <w:rPr>
                <w:rFonts w:ascii="宋体" w:hAnsi="宋体"/>
                <w:color w:val="auto"/>
                <w:sz w:val="24"/>
                <w:szCs w:val="20"/>
                <w:highlight w:val="none"/>
              </w:rPr>
            </w:pPr>
            <w:r>
              <w:rPr>
                <w:rFonts w:hint="eastAsia" w:ascii="宋体" w:hAnsi="宋体"/>
                <w:color w:val="auto"/>
                <w:sz w:val="24"/>
                <w:szCs w:val="20"/>
                <w:highlight w:val="none"/>
              </w:rPr>
              <w:t>劳动合同编号</w:t>
            </w:r>
          </w:p>
        </w:tc>
      </w:tr>
      <w:tr w14:paraId="1E3FF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BBC62BE">
            <w:pPr>
              <w:snapToGrid w:val="0"/>
              <w:spacing w:before="50" w:after="120" w:afterLines="50"/>
              <w:jc w:val="center"/>
              <w:rPr>
                <w:rFonts w:ascii="宋体" w:hAnsi="宋体"/>
                <w:color w:val="auto"/>
                <w:sz w:val="24"/>
                <w:szCs w:val="20"/>
                <w:highlight w:val="none"/>
              </w:rPr>
            </w:pPr>
          </w:p>
        </w:tc>
        <w:tc>
          <w:tcPr>
            <w:tcW w:w="709" w:type="dxa"/>
            <w:vAlign w:val="center"/>
          </w:tcPr>
          <w:p w14:paraId="10B57768">
            <w:pPr>
              <w:snapToGrid w:val="0"/>
              <w:spacing w:before="50" w:after="120" w:afterLines="50"/>
              <w:jc w:val="center"/>
              <w:rPr>
                <w:rFonts w:ascii="宋体" w:hAnsi="宋体"/>
                <w:color w:val="auto"/>
                <w:sz w:val="24"/>
                <w:szCs w:val="20"/>
                <w:highlight w:val="none"/>
              </w:rPr>
            </w:pPr>
          </w:p>
        </w:tc>
        <w:tc>
          <w:tcPr>
            <w:tcW w:w="1701" w:type="dxa"/>
            <w:vAlign w:val="center"/>
          </w:tcPr>
          <w:p w14:paraId="2E967AD8">
            <w:pPr>
              <w:snapToGrid w:val="0"/>
              <w:spacing w:before="50" w:after="120" w:afterLines="50"/>
              <w:jc w:val="center"/>
              <w:rPr>
                <w:rFonts w:ascii="宋体" w:hAnsi="宋体"/>
                <w:color w:val="auto"/>
                <w:sz w:val="24"/>
                <w:szCs w:val="20"/>
                <w:highlight w:val="none"/>
              </w:rPr>
            </w:pPr>
          </w:p>
        </w:tc>
        <w:tc>
          <w:tcPr>
            <w:tcW w:w="1420" w:type="dxa"/>
            <w:vAlign w:val="center"/>
          </w:tcPr>
          <w:p w14:paraId="53A63731">
            <w:pPr>
              <w:snapToGrid w:val="0"/>
              <w:spacing w:before="50" w:after="120" w:afterLines="50"/>
              <w:jc w:val="center"/>
              <w:rPr>
                <w:rFonts w:ascii="宋体" w:hAnsi="宋体"/>
                <w:color w:val="auto"/>
                <w:sz w:val="24"/>
                <w:szCs w:val="20"/>
                <w:highlight w:val="none"/>
              </w:rPr>
            </w:pPr>
          </w:p>
        </w:tc>
        <w:tc>
          <w:tcPr>
            <w:tcW w:w="1698" w:type="dxa"/>
            <w:vAlign w:val="center"/>
          </w:tcPr>
          <w:p w14:paraId="3990EBD8">
            <w:pPr>
              <w:snapToGrid w:val="0"/>
              <w:spacing w:before="50" w:after="120" w:afterLines="50"/>
              <w:jc w:val="center"/>
              <w:rPr>
                <w:rFonts w:ascii="宋体" w:hAnsi="宋体"/>
                <w:color w:val="auto"/>
                <w:sz w:val="24"/>
                <w:szCs w:val="20"/>
                <w:highlight w:val="none"/>
              </w:rPr>
            </w:pPr>
          </w:p>
        </w:tc>
        <w:tc>
          <w:tcPr>
            <w:tcW w:w="1843" w:type="dxa"/>
            <w:vAlign w:val="center"/>
          </w:tcPr>
          <w:p w14:paraId="0B4AB7D6">
            <w:pPr>
              <w:snapToGrid w:val="0"/>
              <w:spacing w:before="50" w:after="120" w:afterLines="50"/>
              <w:jc w:val="center"/>
              <w:rPr>
                <w:rFonts w:ascii="宋体" w:hAnsi="宋体"/>
                <w:color w:val="auto"/>
                <w:sz w:val="24"/>
                <w:szCs w:val="20"/>
                <w:highlight w:val="none"/>
              </w:rPr>
            </w:pPr>
          </w:p>
        </w:tc>
      </w:tr>
      <w:tr w14:paraId="1468C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29DDD65">
            <w:pPr>
              <w:snapToGrid w:val="0"/>
              <w:spacing w:before="50" w:after="120" w:afterLines="50"/>
              <w:jc w:val="center"/>
              <w:rPr>
                <w:rFonts w:ascii="宋体" w:hAnsi="宋体"/>
                <w:color w:val="auto"/>
                <w:sz w:val="24"/>
                <w:szCs w:val="20"/>
                <w:highlight w:val="none"/>
              </w:rPr>
            </w:pPr>
          </w:p>
        </w:tc>
        <w:tc>
          <w:tcPr>
            <w:tcW w:w="709" w:type="dxa"/>
            <w:vAlign w:val="center"/>
          </w:tcPr>
          <w:p w14:paraId="7D0C2FA3">
            <w:pPr>
              <w:snapToGrid w:val="0"/>
              <w:spacing w:before="50" w:after="120" w:afterLines="50"/>
              <w:jc w:val="center"/>
              <w:rPr>
                <w:rFonts w:ascii="宋体" w:hAnsi="宋体"/>
                <w:color w:val="auto"/>
                <w:sz w:val="24"/>
                <w:szCs w:val="20"/>
                <w:highlight w:val="none"/>
              </w:rPr>
            </w:pPr>
          </w:p>
        </w:tc>
        <w:tc>
          <w:tcPr>
            <w:tcW w:w="1701" w:type="dxa"/>
            <w:vAlign w:val="center"/>
          </w:tcPr>
          <w:p w14:paraId="38E5A3E8">
            <w:pPr>
              <w:snapToGrid w:val="0"/>
              <w:spacing w:before="50" w:after="120" w:afterLines="50"/>
              <w:jc w:val="center"/>
              <w:rPr>
                <w:rFonts w:ascii="宋体" w:hAnsi="宋体"/>
                <w:color w:val="auto"/>
                <w:sz w:val="24"/>
                <w:szCs w:val="20"/>
                <w:highlight w:val="none"/>
              </w:rPr>
            </w:pPr>
          </w:p>
        </w:tc>
        <w:tc>
          <w:tcPr>
            <w:tcW w:w="1420" w:type="dxa"/>
            <w:vAlign w:val="center"/>
          </w:tcPr>
          <w:p w14:paraId="5134967E">
            <w:pPr>
              <w:snapToGrid w:val="0"/>
              <w:spacing w:before="50" w:after="120" w:afterLines="50"/>
              <w:jc w:val="center"/>
              <w:rPr>
                <w:rFonts w:ascii="宋体" w:hAnsi="宋体"/>
                <w:color w:val="auto"/>
                <w:sz w:val="24"/>
                <w:szCs w:val="20"/>
                <w:highlight w:val="none"/>
              </w:rPr>
            </w:pPr>
          </w:p>
        </w:tc>
        <w:tc>
          <w:tcPr>
            <w:tcW w:w="1698" w:type="dxa"/>
            <w:vAlign w:val="center"/>
          </w:tcPr>
          <w:p w14:paraId="3D036B79">
            <w:pPr>
              <w:snapToGrid w:val="0"/>
              <w:spacing w:before="50" w:after="120" w:afterLines="50"/>
              <w:jc w:val="center"/>
              <w:rPr>
                <w:rFonts w:ascii="宋体" w:hAnsi="宋体"/>
                <w:color w:val="auto"/>
                <w:sz w:val="24"/>
                <w:szCs w:val="20"/>
                <w:highlight w:val="none"/>
              </w:rPr>
            </w:pPr>
          </w:p>
        </w:tc>
        <w:tc>
          <w:tcPr>
            <w:tcW w:w="1843" w:type="dxa"/>
            <w:vAlign w:val="center"/>
          </w:tcPr>
          <w:p w14:paraId="5D45D09C">
            <w:pPr>
              <w:snapToGrid w:val="0"/>
              <w:spacing w:before="50" w:after="120" w:afterLines="50"/>
              <w:jc w:val="center"/>
              <w:rPr>
                <w:rFonts w:ascii="宋体" w:hAnsi="宋体"/>
                <w:color w:val="auto"/>
                <w:sz w:val="24"/>
                <w:szCs w:val="20"/>
                <w:highlight w:val="none"/>
              </w:rPr>
            </w:pPr>
          </w:p>
        </w:tc>
      </w:tr>
      <w:tr w14:paraId="64A65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F4FB7BB">
            <w:pPr>
              <w:snapToGrid w:val="0"/>
              <w:spacing w:before="50" w:after="120" w:afterLines="50"/>
              <w:jc w:val="center"/>
              <w:rPr>
                <w:rFonts w:ascii="宋体" w:hAnsi="宋体"/>
                <w:color w:val="auto"/>
                <w:sz w:val="24"/>
                <w:szCs w:val="20"/>
                <w:highlight w:val="none"/>
              </w:rPr>
            </w:pPr>
          </w:p>
        </w:tc>
        <w:tc>
          <w:tcPr>
            <w:tcW w:w="709" w:type="dxa"/>
            <w:vAlign w:val="center"/>
          </w:tcPr>
          <w:p w14:paraId="3ED5C0B7">
            <w:pPr>
              <w:snapToGrid w:val="0"/>
              <w:spacing w:before="50" w:after="120" w:afterLines="50"/>
              <w:jc w:val="center"/>
              <w:rPr>
                <w:rFonts w:ascii="宋体" w:hAnsi="宋体"/>
                <w:color w:val="auto"/>
                <w:sz w:val="24"/>
                <w:szCs w:val="20"/>
                <w:highlight w:val="none"/>
              </w:rPr>
            </w:pPr>
          </w:p>
        </w:tc>
        <w:tc>
          <w:tcPr>
            <w:tcW w:w="1701" w:type="dxa"/>
            <w:vAlign w:val="center"/>
          </w:tcPr>
          <w:p w14:paraId="2C5DFBAD">
            <w:pPr>
              <w:snapToGrid w:val="0"/>
              <w:spacing w:before="50" w:after="120" w:afterLines="50"/>
              <w:jc w:val="center"/>
              <w:rPr>
                <w:rFonts w:ascii="宋体" w:hAnsi="宋体"/>
                <w:color w:val="auto"/>
                <w:sz w:val="24"/>
                <w:szCs w:val="20"/>
                <w:highlight w:val="none"/>
              </w:rPr>
            </w:pPr>
          </w:p>
        </w:tc>
        <w:tc>
          <w:tcPr>
            <w:tcW w:w="1420" w:type="dxa"/>
            <w:vAlign w:val="center"/>
          </w:tcPr>
          <w:p w14:paraId="0283923B">
            <w:pPr>
              <w:snapToGrid w:val="0"/>
              <w:spacing w:before="50" w:after="120" w:afterLines="50"/>
              <w:jc w:val="center"/>
              <w:rPr>
                <w:rFonts w:ascii="宋体" w:hAnsi="宋体"/>
                <w:color w:val="auto"/>
                <w:sz w:val="24"/>
                <w:szCs w:val="20"/>
                <w:highlight w:val="none"/>
              </w:rPr>
            </w:pPr>
          </w:p>
        </w:tc>
        <w:tc>
          <w:tcPr>
            <w:tcW w:w="1698" w:type="dxa"/>
            <w:vAlign w:val="center"/>
          </w:tcPr>
          <w:p w14:paraId="07CACC1F">
            <w:pPr>
              <w:snapToGrid w:val="0"/>
              <w:spacing w:before="50" w:after="120" w:afterLines="50"/>
              <w:jc w:val="center"/>
              <w:rPr>
                <w:rFonts w:ascii="宋体" w:hAnsi="宋体"/>
                <w:color w:val="auto"/>
                <w:sz w:val="24"/>
                <w:szCs w:val="20"/>
                <w:highlight w:val="none"/>
              </w:rPr>
            </w:pPr>
          </w:p>
        </w:tc>
        <w:tc>
          <w:tcPr>
            <w:tcW w:w="1843" w:type="dxa"/>
            <w:vAlign w:val="center"/>
          </w:tcPr>
          <w:p w14:paraId="2620417C">
            <w:pPr>
              <w:snapToGrid w:val="0"/>
              <w:spacing w:before="50" w:after="120" w:afterLines="50"/>
              <w:jc w:val="center"/>
              <w:rPr>
                <w:rFonts w:ascii="宋体" w:hAnsi="宋体"/>
                <w:color w:val="auto"/>
                <w:sz w:val="24"/>
                <w:szCs w:val="20"/>
                <w:highlight w:val="none"/>
              </w:rPr>
            </w:pPr>
          </w:p>
        </w:tc>
      </w:tr>
    </w:tbl>
    <w:p w14:paraId="7D36D866">
      <w:pPr>
        <w:snapToGrid w:val="0"/>
        <w:spacing w:before="50" w:after="120" w:afterLines="50"/>
        <w:jc w:val="left"/>
        <w:rPr>
          <w:rFonts w:ascii="宋体" w:hAnsi="宋体"/>
          <w:color w:val="auto"/>
          <w:sz w:val="24"/>
          <w:szCs w:val="20"/>
          <w:highlight w:val="none"/>
        </w:rPr>
      </w:pPr>
    </w:p>
    <w:p w14:paraId="44158DFF">
      <w:pPr>
        <w:spacing w:line="360" w:lineRule="auto"/>
        <w:contextualSpacing/>
        <w:jc w:val="left"/>
        <w:rPr>
          <w:rFonts w:ascii="宋体" w:hAnsi="宋体"/>
          <w:color w:val="auto"/>
          <w:sz w:val="24"/>
          <w:szCs w:val="20"/>
          <w:highlight w:val="none"/>
        </w:rPr>
      </w:pPr>
      <w:r>
        <w:rPr>
          <w:rFonts w:hint="eastAsia" w:ascii="宋体" w:hAnsi="宋体"/>
          <w:color w:val="auto"/>
          <w:sz w:val="24"/>
          <w:szCs w:val="20"/>
          <w:highlight w:val="none"/>
        </w:rPr>
        <w:t>注：</w:t>
      </w:r>
    </w:p>
    <w:p w14:paraId="01373C78">
      <w:pPr>
        <w:spacing w:line="360" w:lineRule="auto"/>
        <w:contextualSpacing/>
        <w:jc w:val="left"/>
        <w:rPr>
          <w:rFonts w:ascii="宋体" w:hAnsi="宋体"/>
          <w:color w:val="auto"/>
          <w:sz w:val="24"/>
          <w:szCs w:val="20"/>
          <w:highlight w:val="none"/>
        </w:rPr>
      </w:pPr>
      <w:r>
        <w:rPr>
          <w:rFonts w:hint="eastAsia" w:ascii="宋体" w:hAnsi="宋体"/>
          <w:color w:val="auto"/>
          <w:sz w:val="24"/>
          <w:szCs w:val="20"/>
          <w:highlight w:val="none"/>
        </w:rPr>
        <w:t>1</w:t>
      </w:r>
      <w:r>
        <w:rPr>
          <w:rFonts w:ascii="宋体" w:hAnsi="宋体"/>
          <w:color w:val="auto"/>
          <w:sz w:val="24"/>
          <w:szCs w:val="20"/>
          <w:highlight w:val="none"/>
        </w:rPr>
        <w:t>.</w:t>
      </w:r>
      <w:r>
        <w:rPr>
          <w:rFonts w:hint="eastAsia" w:ascii="宋体" w:hAnsi="宋体"/>
          <w:color w:val="auto"/>
          <w:sz w:val="24"/>
          <w:szCs w:val="20"/>
          <w:highlight w:val="none"/>
        </w:rPr>
        <w:t>在填写时，如本表格不适合投标单位的实际情况，可根据本表格式自行制表填写。</w:t>
      </w:r>
    </w:p>
    <w:p w14:paraId="2A01A2D8">
      <w:pPr>
        <w:spacing w:line="360" w:lineRule="auto"/>
        <w:contextualSpacing/>
        <w:jc w:val="left"/>
        <w:rPr>
          <w:rFonts w:ascii="宋体" w:hAnsi="宋体"/>
          <w:color w:val="auto"/>
          <w:sz w:val="24"/>
          <w:szCs w:val="20"/>
          <w:highlight w:val="none"/>
        </w:rPr>
      </w:pPr>
      <w:r>
        <w:rPr>
          <w:rFonts w:ascii="宋体" w:hAnsi="宋体"/>
          <w:color w:val="auto"/>
          <w:sz w:val="24"/>
          <w:szCs w:val="20"/>
          <w:highlight w:val="none"/>
        </w:rPr>
        <w:t>2.</w:t>
      </w:r>
      <w:r>
        <w:rPr>
          <w:rFonts w:hint="eastAsia" w:ascii="宋体" w:hAnsi="宋体"/>
          <w:color w:val="auto"/>
          <w:sz w:val="24"/>
          <w:szCs w:val="20"/>
          <w:highlight w:val="none"/>
        </w:rPr>
        <w:t>投标人应当附本表所列证书的复印件并加盖投标人公章。</w:t>
      </w:r>
    </w:p>
    <w:p w14:paraId="4760FAF1">
      <w:pPr>
        <w:spacing w:line="360" w:lineRule="auto"/>
        <w:contextualSpacing/>
        <w:rPr>
          <w:rFonts w:ascii="宋体" w:hAnsi="宋体"/>
          <w:color w:val="auto"/>
          <w:spacing w:val="20"/>
          <w:sz w:val="24"/>
          <w:szCs w:val="20"/>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u w:val="single"/>
        </w:rPr>
        <w:t xml:space="preserve">        </w:t>
      </w:r>
    </w:p>
    <w:p w14:paraId="396790CA">
      <w:pPr>
        <w:spacing w:line="360" w:lineRule="auto"/>
        <w:contextualSpacing/>
        <w:jc w:val="left"/>
        <w:rPr>
          <w:rFonts w:ascii="宋体" w:hAnsi="宋体"/>
          <w:color w:val="auto"/>
          <w:sz w:val="24"/>
          <w:szCs w:val="20"/>
          <w:highlight w:val="none"/>
        </w:rPr>
      </w:pPr>
      <w:r>
        <w:rPr>
          <w:rFonts w:hint="eastAsia" w:ascii="宋体" w:hAnsi="宋体"/>
          <w:color w:val="auto"/>
          <w:spacing w:val="20"/>
          <w:sz w:val="24"/>
          <w:highlight w:val="none"/>
        </w:rPr>
        <w:t>投标人（盖公章）：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日 期：</w:t>
      </w:r>
      <w:r>
        <w:rPr>
          <w:rFonts w:hint="eastAsia" w:ascii="宋体" w:hAnsi="宋体"/>
          <w:color w:val="auto"/>
          <w:spacing w:val="20"/>
          <w:sz w:val="24"/>
          <w:highlight w:val="none"/>
          <w:u w:val="single"/>
        </w:rPr>
        <w:t xml:space="preserve">         </w:t>
      </w:r>
    </w:p>
    <w:p w14:paraId="4CD05806">
      <w:pPr>
        <w:snapToGrid w:val="0"/>
        <w:spacing w:before="50" w:after="120" w:afterLines="50"/>
        <w:jc w:val="left"/>
        <w:rPr>
          <w:rFonts w:ascii="宋体" w:hAnsi="宋体"/>
          <w:color w:val="auto"/>
          <w:sz w:val="24"/>
          <w:szCs w:val="20"/>
          <w:highlight w:val="none"/>
        </w:rPr>
      </w:pPr>
    </w:p>
    <w:p w14:paraId="512DE7E6">
      <w:pPr>
        <w:snapToGrid w:val="0"/>
        <w:spacing w:before="120" w:beforeLines="50" w:after="50"/>
        <w:ind w:left="142"/>
        <w:jc w:val="left"/>
        <w:rPr>
          <w:rFonts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6. 选配件、专用耗材、售后服务优惠表格式（注：按项目需求表具体项目修改）</w:t>
      </w:r>
    </w:p>
    <w:p w14:paraId="4307C26E">
      <w:pPr>
        <w:snapToGrid w:val="0"/>
        <w:spacing w:before="120" w:beforeLines="50" w:after="50"/>
        <w:ind w:left="142"/>
        <w:jc w:val="left"/>
        <w:rPr>
          <w:rFonts w:ascii="宋体" w:hAnsi="宋体"/>
          <w:b/>
          <w:color w:val="auto"/>
          <w:sz w:val="24"/>
          <w:highlight w:val="none"/>
        </w:rPr>
      </w:pPr>
    </w:p>
    <w:p w14:paraId="40B9AA5F">
      <w:pPr>
        <w:snapToGrid w:val="0"/>
        <w:spacing w:before="120" w:beforeLines="50" w:after="50"/>
        <w:ind w:left="142"/>
        <w:jc w:val="center"/>
        <w:rPr>
          <w:rFonts w:ascii="宋体" w:hAnsi="宋体"/>
          <w:b/>
          <w:color w:val="auto"/>
          <w:sz w:val="32"/>
          <w:szCs w:val="32"/>
          <w:highlight w:val="none"/>
        </w:rPr>
      </w:pPr>
      <w:r>
        <w:rPr>
          <w:rFonts w:hint="eastAsia" w:ascii="宋体" w:hAnsi="宋体"/>
          <w:b/>
          <w:color w:val="auto"/>
          <w:sz w:val="32"/>
          <w:szCs w:val="32"/>
          <w:highlight w:val="none"/>
        </w:rPr>
        <w:t>选配件、专用耗材、售后服务优惠表</w:t>
      </w:r>
    </w:p>
    <w:p w14:paraId="7B502203">
      <w:pPr>
        <w:pStyle w:val="25"/>
        <w:rPr>
          <w:rFonts w:hAnsi="宋体"/>
          <w:color w:val="auto"/>
          <w:sz w:val="24"/>
          <w:szCs w:val="24"/>
          <w:highlight w:val="none"/>
        </w:rPr>
      </w:pPr>
      <w:r>
        <w:rPr>
          <w:rFonts w:hint="eastAsia" w:hAnsi="宋体"/>
          <w:color w:val="auto"/>
          <w:sz w:val="24"/>
          <w:szCs w:val="24"/>
          <w:highlight w:val="none"/>
        </w:rPr>
        <w:t>所投分标：</w:t>
      </w:r>
      <w:r>
        <w:rPr>
          <w:rFonts w:hint="eastAsia" w:hAnsi="宋体"/>
          <w:color w:val="auto"/>
          <w:sz w:val="24"/>
          <w:szCs w:val="24"/>
          <w:highlight w:val="none"/>
          <w:u w:val="single"/>
        </w:rPr>
        <w:t xml:space="preserve">     </w:t>
      </w:r>
      <w:r>
        <w:rPr>
          <w:rFonts w:hint="eastAsia" w:hAnsi="宋体"/>
          <w:color w:val="auto"/>
          <w:sz w:val="24"/>
          <w:szCs w:val="24"/>
          <w:highlight w:val="none"/>
        </w:rPr>
        <w:t>分标</w:t>
      </w:r>
    </w:p>
    <w:tbl>
      <w:tblPr>
        <w:tblStyle w:val="46"/>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35"/>
        <w:gridCol w:w="2700"/>
        <w:gridCol w:w="1440"/>
        <w:gridCol w:w="1440"/>
        <w:gridCol w:w="2340"/>
      </w:tblGrid>
      <w:tr w14:paraId="2A8B4D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73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A70B500">
            <w:pPr>
              <w:pStyle w:val="25"/>
              <w:snapToGrid w:val="0"/>
              <w:spacing w:before="295" w:after="295"/>
              <w:jc w:val="center"/>
              <w:rPr>
                <w:rFonts w:hAnsi="宋体" w:cs="Courier New"/>
                <w:color w:val="auto"/>
                <w:kern w:val="2"/>
                <w:sz w:val="24"/>
                <w:szCs w:val="24"/>
                <w:highlight w:val="none"/>
              </w:rPr>
            </w:pPr>
            <w:r>
              <w:rPr>
                <w:rFonts w:hint="eastAsia" w:hAnsi="宋体" w:cs="Courier New"/>
                <w:color w:val="auto"/>
                <w:kern w:val="2"/>
                <w:sz w:val="24"/>
                <w:szCs w:val="24"/>
                <w:highlight w:val="none"/>
              </w:rPr>
              <w:t>序号</w:t>
            </w:r>
          </w:p>
        </w:tc>
        <w:tc>
          <w:tcPr>
            <w:tcW w:w="2700" w:type="dxa"/>
            <w:tcBorders>
              <w:top w:val="single" w:color="auto" w:sz="4" w:space="0"/>
              <w:left w:val="single" w:color="auto" w:sz="4" w:space="0"/>
              <w:bottom w:val="single" w:color="auto" w:sz="2" w:space="0"/>
              <w:right w:val="single" w:color="auto" w:sz="4" w:space="0"/>
            </w:tcBorders>
            <w:vAlign w:val="center"/>
          </w:tcPr>
          <w:p w14:paraId="03632931">
            <w:pPr>
              <w:pStyle w:val="25"/>
              <w:snapToGrid w:val="0"/>
              <w:spacing w:before="295" w:after="295"/>
              <w:jc w:val="center"/>
              <w:rPr>
                <w:rFonts w:hAnsi="宋体" w:cs="Courier New"/>
                <w:color w:val="auto"/>
                <w:kern w:val="2"/>
                <w:sz w:val="24"/>
                <w:szCs w:val="24"/>
                <w:highlight w:val="none"/>
              </w:rPr>
            </w:pPr>
            <w:r>
              <w:rPr>
                <w:rFonts w:hint="eastAsia" w:hAnsi="宋体" w:cs="Courier New"/>
                <w:color w:val="auto"/>
                <w:kern w:val="2"/>
                <w:sz w:val="24"/>
                <w:szCs w:val="24"/>
                <w:highlight w:val="none"/>
              </w:rPr>
              <w:t>优惠内容</w:t>
            </w:r>
          </w:p>
        </w:tc>
        <w:tc>
          <w:tcPr>
            <w:tcW w:w="1440" w:type="dxa"/>
            <w:tcBorders>
              <w:top w:val="single" w:color="auto" w:sz="4" w:space="0"/>
              <w:left w:val="single" w:color="auto" w:sz="4" w:space="0"/>
              <w:bottom w:val="single" w:color="auto" w:sz="2" w:space="0"/>
              <w:right w:val="single" w:color="auto" w:sz="4" w:space="0"/>
            </w:tcBorders>
            <w:vAlign w:val="center"/>
          </w:tcPr>
          <w:p w14:paraId="275D9EB5">
            <w:pPr>
              <w:pStyle w:val="25"/>
              <w:snapToGrid w:val="0"/>
              <w:spacing w:before="295" w:after="295"/>
              <w:jc w:val="center"/>
              <w:rPr>
                <w:rFonts w:hAnsi="宋体" w:cs="Courier New"/>
                <w:color w:val="auto"/>
                <w:kern w:val="2"/>
                <w:sz w:val="24"/>
                <w:szCs w:val="24"/>
                <w:highlight w:val="none"/>
              </w:rPr>
            </w:pPr>
            <w:r>
              <w:rPr>
                <w:rFonts w:hint="eastAsia" w:hAnsi="宋体" w:cs="Courier New"/>
                <w:color w:val="auto"/>
                <w:kern w:val="2"/>
                <w:sz w:val="24"/>
                <w:szCs w:val="24"/>
                <w:highlight w:val="none"/>
              </w:rPr>
              <w:t>适用机型</w:t>
            </w:r>
          </w:p>
        </w:tc>
        <w:tc>
          <w:tcPr>
            <w:tcW w:w="1440" w:type="dxa"/>
            <w:tcBorders>
              <w:top w:val="single" w:color="auto" w:sz="4" w:space="0"/>
              <w:left w:val="single" w:color="auto" w:sz="4" w:space="0"/>
              <w:bottom w:val="single" w:color="auto" w:sz="2" w:space="0"/>
              <w:right w:val="single" w:color="auto" w:sz="4" w:space="0"/>
            </w:tcBorders>
            <w:tcMar>
              <w:top w:w="15" w:type="dxa"/>
              <w:left w:w="15" w:type="dxa"/>
              <w:bottom w:w="0" w:type="dxa"/>
              <w:right w:w="15" w:type="dxa"/>
            </w:tcMar>
            <w:vAlign w:val="center"/>
          </w:tcPr>
          <w:p w14:paraId="7D4F716E">
            <w:pPr>
              <w:pStyle w:val="25"/>
              <w:snapToGrid w:val="0"/>
              <w:spacing w:before="295" w:after="295"/>
              <w:jc w:val="center"/>
              <w:rPr>
                <w:rFonts w:hAnsi="宋体" w:cs="Courier New"/>
                <w:color w:val="auto"/>
                <w:kern w:val="2"/>
                <w:sz w:val="24"/>
                <w:szCs w:val="24"/>
                <w:highlight w:val="none"/>
              </w:rPr>
            </w:pPr>
            <w:r>
              <w:rPr>
                <w:rFonts w:hint="eastAsia" w:hAnsi="宋体" w:cs="Courier New"/>
                <w:color w:val="auto"/>
                <w:kern w:val="2"/>
                <w:sz w:val="24"/>
                <w:szCs w:val="24"/>
                <w:highlight w:val="none"/>
              </w:rPr>
              <w:t>单价</w:t>
            </w:r>
          </w:p>
        </w:tc>
        <w:tc>
          <w:tcPr>
            <w:tcW w:w="2340" w:type="dxa"/>
            <w:tcBorders>
              <w:top w:val="single" w:color="auto" w:sz="4" w:space="0"/>
              <w:left w:val="single" w:color="auto" w:sz="4" w:space="0"/>
              <w:bottom w:val="single" w:color="auto" w:sz="2" w:space="0"/>
              <w:right w:val="single" w:color="auto" w:sz="4" w:space="0"/>
            </w:tcBorders>
            <w:vAlign w:val="center"/>
          </w:tcPr>
          <w:p w14:paraId="3A6AD6ED">
            <w:pPr>
              <w:pStyle w:val="25"/>
              <w:snapToGrid w:val="0"/>
              <w:spacing w:before="295" w:after="295"/>
              <w:jc w:val="center"/>
              <w:rPr>
                <w:rFonts w:hAnsi="宋体" w:cs="Courier New"/>
                <w:color w:val="auto"/>
                <w:kern w:val="2"/>
                <w:sz w:val="24"/>
                <w:szCs w:val="24"/>
                <w:highlight w:val="none"/>
              </w:rPr>
            </w:pPr>
            <w:r>
              <w:rPr>
                <w:rFonts w:hint="eastAsia" w:hAnsi="宋体" w:cs="Courier New"/>
                <w:color w:val="auto"/>
                <w:kern w:val="2"/>
                <w:sz w:val="24"/>
                <w:szCs w:val="24"/>
                <w:highlight w:val="none"/>
              </w:rPr>
              <w:t>比市场价优惠率</w:t>
            </w:r>
          </w:p>
        </w:tc>
      </w:tr>
      <w:tr w14:paraId="030D14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3CB1F165">
            <w:pPr>
              <w:pStyle w:val="25"/>
              <w:snapToGrid w:val="0"/>
              <w:spacing w:before="295" w:after="295"/>
              <w:jc w:val="center"/>
              <w:rPr>
                <w:rFonts w:hAnsi="宋体"/>
                <w:color w:val="auto"/>
                <w:kern w:val="2"/>
                <w:sz w:val="24"/>
                <w:szCs w:val="24"/>
                <w:highlight w:val="none"/>
              </w:rPr>
            </w:pPr>
            <w:r>
              <w:rPr>
                <w:rFonts w:hint="eastAsia" w:hAnsi="宋体"/>
                <w:color w:val="auto"/>
                <w:kern w:val="2"/>
                <w:sz w:val="24"/>
                <w:szCs w:val="24"/>
                <w:highlight w:val="none"/>
              </w:rPr>
              <w:t>1</w:t>
            </w:r>
          </w:p>
        </w:tc>
        <w:tc>
          <w:tcPr>
            <w:tcW w:w="2700" w:type="dxa"/>
            <w:tcBorders>
              <w:top w:val="single" w:color="auto" w:sz="2" w:space="0"/>
              <w:left w:val="single" w:color="auto" w:sz="2" w:space="0"/>
              <w:bottom w:val="single" w:color="auto" w:sz="6" w:space="0"/>
              <w:right w:val="single" w:color="auto" w:sz="4" w:space="0"/>
            </w:tcBorders>
            <w:vAlign w:val="center"/>
          </w:tcPr>
          <w:p w14:paraId="2659B2E0">
            <w:pPr>
              <w:pStyle w:val="25"/>
              <w:snapToGrid w:val="0"/>
              <w:spacing w:before="295" w:after="295"/>
              <w:jc w:val="center"/>
              <w:rPr>
                <w:rFonts w:hAnsi="宋体"/>
                <w:color w:val="auto"/>
                <w:kern w:val="2"/>
                <w:sz w:val="24"/>
                <w:szCs w:val="24"/>
                <w:highlight w:val="none"/>
              </w:rPr>
            </w:pPr>
          </w:p>
        </w:tc>
        <w:tc>
          <w:tcPr>
            <w:tcW w:w="1440" w:type="dxa"/>
            <w:tcBorders>
              <w:top w:val="single" w:color="auto" w:sz="2" w:space="0"/>
              <w:left w:val="single" w:color="auto" w:sz="4" w:space="0"/>
              <w:bottom w:val="single" w:color="auto" w:sz="6" w:space="0"/>
              <w:right w:val="single" w:color="auto" w:sz="6" w:space="0"/>
            </w:tcBorders>
            <w:vAlign w:val="center"/>
          </w:tcPr>
          <w:p w14:paraId="246822D2">
            <w:pPr>
              <w:pStyle w:val="25"/>
              <w:snapToGrid w:val="0"/>
              <w:spacing w:before="295" w:after="295"/>
              <w:jc w:val="center"/>
              <w:rPr>
                <w:rFonts w:hAnsi="宋体"/>
                <w:color w:val="auto"/>
                <w:kern w:val="2"/>
                <w:sz w:val="24"/>
                <w:szCs w:val="24"/>
                <w:highlight w:val="none"/>
              </w:rPr>
            </w:pPr>
          </w:p>
        </w:tc>
        <w:tc>
          <w:tcPr>
            <w:tcW w:w="1440" w:type="dxa"/>
            <w:tcBorders>
              <w:top w:val="single" w:color="auto" w:sz="2" w:space="0"/>
              <w:left w:val="single" w:color="auto" w:sz="6" w:space="0"/>
              <w:bottom w:val="single" w:color="auto" w:sz="6" w:space="0"/>
              <w:right w:val="single" w:color="auto" w:sz="6" w:space="0"/>
            </w:tcBorders>
            <w:tcMar>
              <w:top w:w="15" w:type="dxa"/>
              <w:left w:w="15" w:type="dxa"/>
              <w:bottom w:w="0" w:type="dxa"/>
              <w:right w:w="15" w:type="dxa"/>
            </w:tcMar>
            <w:vAlign w:val="center"/>
          </w:tcPr>
          <w:p w14:paraId="75D450A0">
            <w:pPr>
              <w:pStyle w:val="25"/>
              <w:snapToGrid w:val="0"/>
              <w:spacing w:before="295" w:after="295"/>
              <w:jc w:val="center"/>
              <w:rPr>
                <w:rFonts w:hAnsi="宋体"/>
                <w:color w:val="auto"/>
                <w:kern w:val="2"/>
                <w:sz w:val="24"/>
                <w:szCs w:val="24"/>
                <w:highlight w:val="none"/>
              </w:rPr>
            </w:pPr>
          </w:p>
        </w:tc>
        <w:tc>
          <w:tcPr>
            <w:tcW w:w="2340" w:type="dxa"/>
            <w:tcBorders>
              <w:top w:val="single" w:color="auto" w:sz="2" w:space="0"/>
              <w:left w:val="single" w:color="auto" w:sz="6" w:space="0"/>
              <w:bottom w:val="single" w:color="auto" w:sz="6" w:space="0"/>
              <w:right w:val="single" w:color="auto" w:sz="2" w:space="0"/>
            </w:tcBorders>
            <w:vAlign w:val="center"/>
          </w:tcPr>
          <w:p w14:paraId="524FA9B1">
            <w:pPr>
              <w:pStyle w:val="25"/>
              <w:snapToGrid w:val="0"/>
              <w:spacing w:before="295" w:after="295"/>
              <w:jc w:val="center"/>
              <w:rPr>
                <w:rFonts w:hAnsi="宋体"/>
                <w:color w:val="auto"/>
                <w:kern w:val="2"/>
                <w:sz w:val="24"/>
                <w:szCs w:val="24"/>
                <w:highlight w:val="none"/>
              </w:rPr>
            </w:pPr>
            <w:r>
              <w:rPr>
                <w:rFonts w:hint="eastAsia" w:hAnsi="宋体"/>
                <w:color w:val="auto"/>
                <w:kern w:val="2"/>
                <w:sz w:val="24"/>
                <w:szCs w:val="24"/>
                <w:highlight w:val="none"/>
              </w:rPr>
              <w:t xml:space="preserve"> </w:t>
            </w:r>
            <w:r>
              <w:rPr>
                <w:rFonts w:hint="eastAsia" w:hAnsi="宋体"/>
                <w:color w:val="auto"/>
                <w:kern w:val="2"/>
                <w:sz w:val="24"/>
                <w:szCs w:val="24"/>
                <w:highlight w:val="none"/>
                <w:u w:val="single"/>
              </w:rPr>
              <w:t xml:space="preserve">           </w:t>
            </w:r>
            <w:r>
              <w:rPr>
                <w:rFonts w:hint="eastAsia" w:hAnsi="宋体"/>
                <w:color w:val="auto"/>
                <w:kern w:val="2"/>
                <w:sz w:val="24"/>
                <w:szCs w:val="24"/>
                <w:highlight w:val="none"/>
              </w:rPr>
              <w:t>%</w:t>
            </w:r>
          </w:p>
        </w:tc>
      </w:tr>
      <w:tr w14:paraId="262BA6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01EDF494">
            <w:pPr>
              <w:pStyle w:val="25"/>
              <w:snapToGrid w:val="0"/>
              <w:spacing w:before="295" w:after="295"/>
              <w:jc w:val="center"/>
              <w:rPr>
                <w:rFonts w:hAnsi="宋体"/>
                <w:color w:val="auto"/>
                <w:kern w:val="2"/>
                <w:sz w:val="24"/>
                <w:szCs w:val="24"/>
                <w:highlight w:val="none"/>
              </w:rPr>
            </w:pPr>
            <w:r>
              <w:rPr>
                <w:rFonts w:hint="eastAsia" w:hAnsi="宋体"/>
                <w:color w:val="auto"/>
                <w:kern w:val="2"/>
                <w:sz w:val="24"/>
                <w:szCs w:val="24"/>
                <w:highlight w:val="none"/>
              </w:rPr>
              <w:t>2</w:t>
            </w:r>
          </w:p>
        </w:tc>
        <w:tc>
          <w:tcPr>
            <w:tcW w:w="2700" w:type="dxa"/>
            <w:tcBorders>
              <w:top w:val="single" w:color="auto" w:sz="6" w:space="0"/>
              <w:left w:val="single" w:color="auto" w:sz="2" w:space="0"/>
              <w:bottom w:val="single" w:color="auto" w:sz="6" w:space="0"/>
              <w:right w:val="single" w:color="auto" w:sz="4" w:space="0"/>
            </w:tcBorders>
            <w:vAlign w:val="center"/>
          </w:tcPr>
          <w:p w14:paraId="64444AD9">
            <w:pPr>
              <w:pStyle w:val="25"/>
              <w:snapToGrid w:val="0"/>
              <w:spacing w:before="295" w:after="295"/>
              <w:jc w:val="center"/>
              <w:rPr>
                <w:rFonts w:hAnsi="宋体"/>
                <w:color w:val="auto"/>
                <w:kern w:val="2"/>
                <w:sz w:val="24"/>
                <w:szCs w:val="24"/>
                <w:highlight w:val="none"/>
              </w:rPr>
            </w:pPr>
          </w:p>
        </w:tc>
        <w:tc>
          <w:tcPr>
            <w:tcW w:w="1440" w:type="dxa"/>
            <w:tcBorders>
              <w:top w:val="single" w:color="auto" w:sz="6" w:space="0"/>
              <w:left w:val="single" w:color="auto" w:sz="4" w:space="0"/>
              <w:bottom w:val="single" w:color="auto" w:sz="6" w:space="0"/>
              <w:right w:val="single" w:color="auto" w:sz="6" w:space="0"/>
            </w:tcBorders>
            <w:vAlign w:val="center"/>
          </w:tcPr>
          <w:p w14:paraId="48A1AF5C">
            <w:pPr>
              <w:pStyle w:val="25"/>
              <w:snapToGrid w:val="0"/>
              <w:spacing w:before="295" w:after="295"/>
              <w:jc w:val="center"/>
              <w:rPr>
                <w:rFonts w:hAnsi="宋体"/>
                <w:color w:val="auto"/>
                <w:kern w:val="2"/>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190784E8">
            <w:pPr>
              <w:pStyle w:val="25"/>
              <w:snapToGrid w:val="0"/>
              <w:spacing w:before="295" w:after="295"/>
              <w:jc w:val="center"/>
              <w:rPr>
                <w:rFonts w:hAnsi="宋体"/>
                <w:color w:val="auto"/>
                <w:kern w:val="2"/>
                <w:sz w:val="24"/>
                <w:szCs w:val="24"/>
                <w:highlight w:val="none"/>
              </w:rPr>
            </w:pPr>
          </w:p>
        </w:tc>
        <w:tc>
          <w:tcPr>
            <w:tcW w:w="2340" w:type="dxa"/>
            <w:tcBorders>
              <w:top w:val="single" w:color="auto" w:sz="6" w:space="0"/>
              <w:left w:val="single" w:color="auto" w:sz="6" w:space="0"/>
              <w:bottom w:val="single" w:color="auto" w:sz="6" w:space="0"/>
              <w:right w:val="single" w:color="auto" w:sz="2" w:space="0"/>
            </w:tcBorders>
            <w:vAlign w:val="center"/>
          </w:tcPr>
          <w:p w14:paraId="2AE9FFF9">
            <w:pPr>
              <w:pStyle w:val="25"/>
              <w:snapToGrid w:val="0"/>
              <w:spacing w:before="295" w:after="295"/>
              <w:jc w:val="center"/>
              <w:rPr>
                <w:rFonts w:hAnsi="宋体"/>
                <w:color w:val="auto"/>
                <w:kern w:val="2"/>
                <w:sz w:val="24"/>
                <w:szCs w:val="24"/>
                <w:highlight w:val="none"/>
              </w:rPr>
            </w:pPr>
            <w:r>
              <w:rPr>
                <w:rFonts w:hint="eastAsia" w:hAnsi="宋体"/>
                <w:color w:val="auto"/>
                <w:kern w:val="2"/>
                <w:sz w:val="24"/>
                <w:szCs w:val="24"/>
                <w:highlight w:val="none"/>
              </w:rPr>
              <w:t xml:space="preserve"> </w:t>
            </w:r>
            <w:r>
              <w:rPr>
                <w:rFonts w:hint="eastAsia" w:hAnsi="宋体"/>
                <w:color w:val="auto"/>
                <w:kern w:val="2"/>
                <w:sz w:val="24"/>
                <w:szCs w:val="24"/>
                <w:highlight w:val="none"/>
                <w:u w:val="single"/>
              </w:rPr>
              <w:t xml:space="preserve">           </w:t>
            </w:r>
            <w:r>
              <w:rPr>
                <w:rFonts w:hint="eastAsia" w:hAnsi="宋体"/>
                <w:color w:val="auto"/>
                <w:kern w:val="2"/>
                <w:sz w:val="24"/>
                <w:szCs w:val="24"/>
                <w:highlight w:val="none"/>
              </w:rPr>
              <w:t>%</w:t>
            </w:r>
          </w:p>
        </w:tc>
      </w:tr>
      <w:tr w14:paraId="076AD5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14:paraId="57A1EC11">
            <w:pPr>
              <w:pStyle w:val="25"/>
              <w:snapToGrid w:val="0"/>
              <w:spacing w:before="295" w:after="295"/>
              <w:jc w:val="center"/>
              <w:rPr>
                <w:rFonts w:hAnsi="宋体"/>
                <w:color w:val="auto"/>
                <w:kern w:val="2"/>
                <w:sz w:val="24"/>
                <w:szCs w:val="24"/>
                <w:highlight w:val="none"/>
              </w:rPr>
            </w:pPr>
            <w:r>
              <w:rPr>
                <w:rFonts w:hint="eastAsia" w:hAnsi="宋体"/>
                <w:color w:val="auto"/>
                <w:kern w:val="2"/>
                <w:sz w:val="24"/>
                <w:szCs w:val="24"/>
                <w:highlight w:val="none"/>
              </w:rPr>
              <w:t>3</w:t>
            </w:r>
          </w:p>
        </w:tc>
        <w:tc>
          <w:tcPr>
            <w:tcW w:w="2700" w:type="dxa"/>
            <w:tcBorders>
              <w:top w:val="single" w:color="auto" w:sz="6" w:space="0"/>
              <w:left w:val="single" w:color="auto" w:sz="2" w:space="0"/>
              <w:bottom w:val="single" w:color="auto" w:sz="6" w:space="0"/>
              <w:right w:val="single" w:color="auto" w:sz="4" w:space="0"/>
            </w:tcBorders>
            <w:vAlign w:val="center"/>
          </w:tcPr>
          <w:p w14:paraId="4882C8C7">
            <w:pPr>
              <w:pStyle w:val="25"/>
              <w:snapToGrid w:val="0"/>
              <w:spacing w:before="295" w:after="295"/>
              <w:jc w:val="center"/>
              <w:rPr>
                <w:rFonts w:hAnsi="宋体"/>
                <w:color w:val="auto"/>
                <w:kern w:val="2"/>
                <w:sz w:val="24"/>
                <w:szCs w:val="24"/>
                <w:highlight w:val="none"/>
              </w:rPr>
            </w:pPr>
          </w:p>
        </w:tc>
        <w:tc>
          <w:tcPr>
            <w:tcW w:w="1440" w:type="dxa"/>
            <w:tcBorders>
              <w:top w:val="single" w:color="auto" w:sz="6" w:space="0"/>
              <w:left w:val="single" w:color="auto" w:sz="4" w:space="0"/>
              <w:bottom w:val="single" w:color="auto" w:sz="6" w:space="0"/>
              <w:right w:val="single" w:color="auto" w:sz="6" w:space="0"/>
            </w:tcBorders>
            <w:vAlign w:val="center"/>
          </w:tcPr>
          <w:p w14:paraId="68D2434B">
            <w:pPr>
              <w:pStyle w:val="25"/>
              <w:snapToGrid w:val="0"/>
              <w:spacing w:before="295" w:after="295"/>
              <w:jc w:val="center"/>
              <w:rPr>
                <w:rFonts w:hAnsi="宋体"/>
                <w:color w:val="auto"/>
                <w:kern w:val="2"/>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14:paraId="7ABE4BF6">
            <w:pPr>
              <w:pStyle w:val="25"/>
              <w:snapToGrid w:val="0"/>
              <w:spacing w:before="295" w:after="295"/>
              <w:jc w:val="center"/>
              <w:rPr>
                <w:rFonts w:hAnsi="宋体"/>
                <w:color w:val="auto"/>
                <w:kern w:val="2"/>
                <w:sz w:val="24"/>
                <w:szCs w:val="24"/>
                <w:highlight w:val="none"/>
              </w:rPr>
            </w:pPr>
          </w:p>
        </w:tc>
        <w:tc>
          <w:tcPr>
            <w:tcW w:w="2340" w:type="dxa"/>
            <w:tcBorders>
              <w:top w:val="single" w:color="auto" w:sz="6" w:space="0"/>
              <w:left w:val="single" w:color="auto" w:sz="6" w:space="0"/>
              <w:bottom w:val="single" w:color="auto" w:sz="6" w:space="0"/>
              <w:right w:val="single" w:color="auto" w:sz="2" w:space="0"/>
            </w:tcBorders>
            <w:vAlign w:val="center"/>
          </w:tcPr>
          <w:p w14:paraId="48C04157">
            <w:pPr>
              <w:pStyle w:val="25"/>
              <w:snapToGrid w:val="0"/>
              <w:spacing w:before="295" w:after="295"/>
              <w:jc w:val="center"/>
              <w:rPr>
                <w:rFonts w:hAnsi="宋体"/>
                <w:color w:val="auto"/>
                <w:kern w:val="2"/>
                <w:sz w:val="24"/>
                <w:szCs w:val="24"/>
                <w:highlight w:val="none"/>
              </w:rPr>
            </w:pPr>
            <w:r>
              <w:rPr>
                <w:rFonts w:hint="eastAsia" w:hAnsi="宋体"/>
                <w:color w:val="auto"/>
                <w:kern w:val="2"/>
                <w:sz w:val="24"/>
                <w:szCs w:val="24"/>
                <w:highlight w:val="none"/>
              </w:rPr>
              <w:t xml:space="preserve"> </w:t>
            </w:r>
            <w:r>
              <w:rPr>
                <w:rFonts w:hint="eastAsia" w:hAnsi="宋体"/>
                <w:color w:val="auto"/>
                <w:kern w:val="2"/>
                <w:sz w:val="24"/>
                <w:szCs w:val="24"/>
                <w:highlight w:val="none"/>
                <w:u w:val="single"/>
              </w:rPr>
              <w:t xml:space="preserve">           </w:t>
            </w:r>
            <w:r>
              <w:rPr>
                <w:rFonts w:hint="eastAsia" w:hAnsi="宋体"/>
                <w:color w:val="auto"/>
                <w:kern w:val="2"/>
                <w:sz w:val="24"/>
                <w:szCs w:val="24"/>
                <w:highlight w:val="none"/>
              </w:rPr>
              <w:t>%</w:t>
            </w:r>
          </w:p>
        </w:tc>
      </w:tr>
    </w:tbl>
    <w:p w14:paraId="436E825C">
      <w:pPr>
        <w:spacing w:line="360" w:lineRule="auto"/>
        <w:contextualSpacing/>
        <w:rPr>
          <w:rFonts w:ascii="宋体" w:hAnsi="宋体"/>
          <w:color w:val="auto"/>
          <w:sz w:val="24"/>
          <w:highlight w:val="none"/>
        </w:rPr>
      </w:pPr>
    </w:p>
    <w:p w14:paraId="610A3B51">
      <w:pPr>
        <w:spacing w:line="360" w:lineRule="auto"/>
        <w:contextualSpacing/>
        <w:rPr>
          <w:rFonts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u w:val="single"/>
        </w:rPr>
        <w:t xml:space="preserve">        </w:t>
      </w:r>
    </w:p>
    <w:p w14:paraId="3491DC97">
      <w:pPr>
        <w:spacing w:line="360" w:lineRule="auto"/>
        <w:contextualSpacing/>
        <w:rPr>
          <w:rFonts w:ascii="宋体" w:hAnsi="宋体"/>
          <w:color w:val="auto"/>
          <w:sz w:val="24"/>
          <w:szCs w:val="20"/>
          <w:highlight w:val="none"/>
        </w:rPr>
      </w:pPr>
      <w:r>
        <w:rPr>
          <w:rFonts w:hint="eastAsia" w:ascii="宋体" w:hAnsi="宋体"/>
          <w:color w:val="auto"/>
          <w:spacing w:val="20"/>
          <w:sz w:val="24"/>
          <w:highlight w:val="none"/>
        </w:rPr>
        <w:t>投标人（盖公章）：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日 期：</w:t>
      </w:r>
      <w:r>
        <w:rPr>
          <w:rFonts w:hint="eastAsia" w:ascii="宋体" w:hAnsi="宋体"/>
          <w:color w:val="auto"/>
          <w:spacing w:val="20"/>
          <w:sz w:val="24"/>
          <w:highlight w:val="none"/>
          <w:u w:val="single"/>
        </w:rPr>
        <w:t xml:space="preserve">            </w:t>
      </w:r>
    </w:p>
    <w:p w14:paraId="68191DE4">
      <w:pPr>
        <w:snapToGrid w:val="0"/>
        <w:spacing w:before="50" w:after="120" w:afterLines="50"/>
        <w:jc w:val="left"/>
        <w:rPr>
          <w:rFonts w:ascii="宋体" w:hAnsi="宋体"/>
          <w:color w:val="auto"/>
          <w:sz w:val="24"/>
          <w:szCs w:val="20"/>
          <w:highlight w:val="none"/>
        </w:rPr>
      </w:pPr>
    </w:p>
    <w:p w14:paraId="04876914">
      <w:pPr>
        <w:rPr>
          <w:rFonts w:ascii="宋体" w:hAnsi="宋体"/>
          <w:b/>
          <w:color w:val="auto"/>
          <w:sz w:val="28"/>
          <w:szCs w:val="28"/>
          <w:highlight w:val="none"/>
        </w:rPr>
      </w:pPr>
      <w:r>
        <w:rPr>
          <w:rFonts w:ascii="宋体" w:hAnsi="宋体"/>
          <w:b/>
          <w:bCs/>
          <w:color w:val="auto"/>
          <w:sz w:val="24"/>
          <w:highlight w:val="none"/>
        </w:rPr>
        <w:br w:type="page"/>
      </w:r>
      <w:r>
        <w:rPr>
          <w:rFonts w:hint="eastAsia" w:ascii="宋体" w:hAnsi="宋体"/>
          <w:b/>
          <w:color w:val="auto"/>
          <w:sz w:val="28"/>
          <w:szCs w:val="28"/>
          <w:highlight w:val="none"/>
        </w:rPr>
        <w:t>五、其他文书、文件格式</w:t>
      </w:r>
    </w:p>
    <w:p w14:paraId="61DB9E3F">
      <w:pPr>
        <w:snapToGrid w:val="0"/>
        <w:spacing w:before="120" w:beforeLines="50" w:after="50"/>
        <w:ind w:left="142"/>
        <w:jc w:val="left"/>
        <w:rPr>
          <w:rFonts w:ascii="宋体" w:hAnsi="宋体"/>
          <w:b/>
          <w:color w:val="auto"/>
          <w:spacing w:val="20"/>
          <w:sz w:val="24"/>
          <w:highlight w:val="none"/>
        </w:rPr>
      </w:pPr>
      <w:r>
        <w:rPr>
          <w:rFonts w:hint="eastAsia" w:ascii="宋体" w:hAnsi="宋体"/>
          <w:b/>
          <w:color w:val="auto"/>
          <w:spacing w:val="20"/>
          <w:sz w:val="24"/>
          <w:highlight w:val="none"/>
        </w:rPr>
        <w:t>1.联合投标协议书格式</w:t>
      </w:r>
    </w:p>
    <w:p w14:paraId="1947E731">
      <w:pPr>
        <w:snapToGrid w:val="0"/>
        <w:spacing w:before="120" w:beforeLines="50" w:after="50"/>
        <w:ind w:left="142"/>
        <w:jc w:val="left"/>
        <w:rPr>
          <w:rFonts w:ascii="宋体" w:hAnsi="宋体"/>
          <w:b/>
          <w:color w:val="auto"/>
          <w:spacing w:val="20"/>
          <w:sz w:val="24"/>
          <w:highlight w:val="none"/>
        </w:rPr>
      </w:pPr>
    </w:p>
    <w:p w14:paraId="77C196F3">
      <w:pPr>
        <w:pStyle w:val="9"/>
        <w:overflowPunct w:val="0"/>
        <w:jc w:val="center"/>
        <w:rPr>
          <w:rFonts w:ascii="宋体" w:hAnsi="宋体" w:cs="方正小标宋简体"/>
          <w:color w:val="auto"/>
          <w:sz w:val="44"/>
          <w:szCs w:val="44"/>
          <w:highlight w:val="none"/>
        </w:rPr>
      </w:pPr>
      <w:r>
        <w:rPr>
          <w:rFonts w:hint="eastAsia" w:ascii="宋体" w:hAnsi="宋体" w:cs="方正小标宋简体"/>
          <w:color w:val="auto"/>
          <w:sz w:val="44"/>
          <w:szCs w:val="44"/>
          <w:highlight w:val="none"/>
        </w:rPr>
        <w:t>联合体协议书</w:t>
      </w:r>
    </w:p>
    <w:p w14:paraId="6C7CD077">
      <w:pPr>
        <w:pStyle w:val="9"/>
        <w:overflowPunct w:val="0"/>
        <w:rPr>
          <w:rFonts w:ascii="宋体" w:hAnsi="宋体"/>
          <w:color w:val="auto"/>
          <w:sz w:val="24"/>
          <w:highlight w:val="none"/>
        </w:rPr>
      </w:pPr>
    </w:p>
    <w:p w14:paraId="1DA36273">
      <w:pPr>
        <w:pStyle w:val="9"/>
        <w:overflowPunct w:val="0"/>
        <w:spacing w:line="360" w:lineRule="auto"/>
        <w:contextualSpacing/>
        <w:rPr>
          <w:rFonts w:ascii="宋体" w:hAnsi="宋体"/>
          <w:color w:val="auto"/>
          <w:sz w:val="24"/>
          <w:highlight w:val="none"/>
        </w:rPr>
      </w:pP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（所有成员单位名称）自愿组成</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（联合体名称）联合体，共同参加</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u w:val="single"/>
        </w:rPr>
        <w:t>（项</w:t>
      </w:r>
      <w:r>
        <w:rPr>
          <w:rFonts w:hint="eastAsia" w:ascii="宋体" w:hAnsi="宋体"/>
          <w:color w:val="auto"/>
          <w:sz w:val="24"/>
          <w:highlight w:val="none"/>
        </w:rPr>
        <w:t>目名称）采购招标项目投标。现就联合体投标事宜订立如下协议。</w:t>
      </w:r>
    </w:p>
    <w:p w14:paraId="20D85DDF">
      <w:pPr>
        <w:pStyle w:val="9"/>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 xml:space="preserve">1.  </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（某成员单位名称）为</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（联合体名称）牵头人。</w:t>
      </w:r>
    </w:p>
    <w:p w14:paraId="4A495BE7">
      <w:pPr>
        <w:pStyle w:val="9"/>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联合体各成员授权牵头人代表联合体参加投标活动，签署文件及对文件的盖章，提交和接收相关的资料、</w:t>
      </w:r>
      <w:r>
        <w:rPr>
          <w:rFonts w:ascii="宋体" w:hAnsi="宋体"/>
          <w:color w:val="auto"/>
          <w:sz w:val="24"/>
          <w:highlight w:val="none"/>
        </w:rPr>
        <w:t xml:space="preserve"> </w:t>
      </w:r>
      <w:r>
        <w:rPr>
          <w:rFonts w:hint="eastAsia" w:ascii="宋体" w:hAnsi="宋体"/>
          <w:color w:val="auto"/>
          <w:sz w:val="24"/>
          <w:highlight w:val="none"/>
        </w:rPr>
        <w:t>信息及指示，进行合同谈判活动，负责合同实施阶段的组织和协调工作，以及处理与本招标项</w:t>
      </w:r>
      <w:r>
        <w:rPr>
          <w:rFonts w:ascii="宋体" w:hAnsi="宋体"/>
          <w:color w:val="auto"/>
          <w:sz w:val="24"/>
          <w:highlight w:val="none"/>
        </w:rPr>
        <w:t xml:space="preserve"> </w:t>
      </w:r>
      <w:r>
        <w:rPr>
          <w:rFonts w:hint="eastAsia" w:ascii="宋体" w:hAnsi="宋体"/>
          <w:color w:val="auto"/>
          <w:sz w:val="24"/>
          <w:highlight w:val="none"/>
        </w:rPr>
        <w:t>目有关的一切事宜。</w:t>
      </w:r>
    </w:p>
    <w:p w14:paraId="40C94D15">
      <w:pPr>
        <w:pStyle w:val="9"/>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联合体牵头人在本项目中签署和盖章的一切文件和处理的一切事宜，联合体各成员均予以承认。</w:t>
      </w:r>
      <w:r>
        <w:rPr>
          <w:rFonts w:ascii="宋体" w:hAnsi="宋体"/>
          <w:color w:val="auto"/>
          <w:sz w:val="24"/>
          <w:highlight w:val="none"/>
        </w:rPr>
        <w:t xml:space="preserve"> </w:t>
      </w:r>
      <w:r>
        <w:rPr>
          <w:rFonts w:hint="eastAsia" w:ascii="宋体" w:hAnsi="宋体"/>
          <w:color w:val="auto"/>
          <w:sz w:val="24"/>
          <w:highlight w:val="none"/>
        </w:rPr>
        <w:t>联合体各成员将严格按照招标文件、投标文件和合同的要求全面履行义务，并向招标人承担连带责任。</w:t>
      </w:r>
    </w:p>
    <w:p w14:paraId="7803AB5C">
      <w:pPr>
        <w:pStyle w:val="9"/>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4.</w:t>
      </w:r>
      <w:r>
        <w:rPr>
          <w:rFonts w:hint="eastAsia" w:ascii="宋体" w:hAnsi="宋体"/>
          <w:color w:val="auto"/>
          <w:sz w:val="24"/>
          <w:highlight w:val="none"/>
        </w:rPr>
        <w:t>联合体各成员单位内部的职责分工如下：</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w:t>
      </w:r>
    </w:p>
    <w:p w14:paraId="0678E3E1">
      <w:pPr>
        <w:pStyle w:val="9"/>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5.</w:t>
      </w:r>
      <w:r>
        <w:rPr>
          <w:rFonts w:hint="eastAsia" w:ascii="宋体" w:hAnsi="宋体"/>
          <w:color w:val="auto"/>
          <w:sz w:val="24"/>
          <w:highlight w:val="none"/>
        </w:rPr>
        <w:t>本协议书自所有成员单位法定代表人或者其委托代理人签字或者盖公章之日起生效，合同履行完毕后自动失效。</w:t>
      </w:r>
    </w:p>
    <w:p w14:paraId="323351B8">
      <w:pPr>
        <w:pStyle w:val="9"/>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6.</w:t>
      </w:r>
      <w:r>
        <w:rPr>
          <w:rFonts w:hint="eastAsia" w:ascii="宋体" w:hAnsi="宋体"/>
          <w:color w:val="auto"/>
          <w:sz w:val="24"/>
          <w:highlight w:val="none"/>
        </w:rPr>
        <w:t>本协议书一式</w:t>
      </w:r>
      <w:r>
        <w:rPr>
          <w:rFonts w:ascii="宋体" w:hAnsi="宋体"/>
          <w:color w:val="auto"/>
          <w:sz w:val="24"/>
          <w:highlight w:val="none"/>
          <w:u w:val="single"/>
        </w:rPr>
        <w:t xml:space="preserve"> </w:t>
      </w:r>
      <w:r>
        <w:rPr>
          <w:rFonts w:ascii="宋体" w:hAnsi="宋体"/>
          <w:color w:val="auto"/>
          <w:sz w:val="24"/>
          <w:highlight w:val="none"/>
          <w:u w:val="single"/>
        </w:rPr>
        <w:tab/>
      </w:r>
      <w:r>
        <w:rPr>
          <w:rFonts w:hint="eastAsia" w:ascii="宋体" w:hAnsi="宋体"/>
          <w:color w:val="auto"/>
          <w:sz w:val="24"/>
          <w:highlight w:val="none"/>
        </w:rPr>
        <w:t>份，联合体成员和招标人各执一份。</w:t>
      </w:r>
    </w:p>
    <w:p w14:paraId="6FC3B740">
      <w:pPr>
        <w:pStyle w:val="9"/>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注：本协议书由法定代表人签字的，应附法定代表人身份证明；由委托代理人签字的，应附授权委托书。</w:t>
      </w:r>
    </w:p>
    <w:p w14:paraId="40243DED">
      <w:pPr>
        <w:pStyle w:val="9"/>
        <w:overflowPunct w:val="0"/>
        <w:spacing w:line="360" w:lineRule="auto"/>
        <w:ind w:firstLineChars="175"/>
        <w:contextualSpacing/>
        <w:rPr>
          <w:rFonts w:ascii="宋体" w:hAnsi="宋体"/>
          <w:color w:val="auto"/>
          <w:sz w:val="24"/>
          <w:highlight w:val="none"/>
        </w:rPr>
      </w:pPr>
    </w:p>
    <w:p w14:paraId="7C660455">
      <w:pPr>
        <w:pStyle w:val="9"/>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联合体牵头人名称（盖公章）：</w:t>
      </w:r>
    </w:p>
    <w:p w14:paraId="65D5FF39">
      <w:pPr>
        <w:pStyle w:val="9"/>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法定代表人或者其委托代理人：</w:t>
      </w:r>
      <w:r>
        <w:rPr>
          <w:rFonts w:ascii="宋体" w:hAnsi="宋体"/>
          <w:color w:val="auto"/>
          <w:sz w:val="24"/>
          <w:highlight w:val="none"/>
        </w:rPr>
        <w:t xml:space="preserve"> </w:t>
      </w:r>
      <w:r>
        <w:rPr>
          <w:rFonts w:ascii="宋体" w:hAnsi="宋体"/>
          <w:color w:val="auto"/>
          <w:sz w:val="24"/>
          <w:highlight w:val="none"/>
        </w:rPr>
        <w:tab/>
      </w:r>
      <w:r>
        <w:rPr>
          <w:rFonts w:hint="eastAsia" w:ascii="宋体" w:hAnsi="宋体"/>
          <w:color w:val="auto"/>
          <w:sz w:val="24"/>
          <w:highlight w:val="none"/>
        </w:rPr>
        <w:t>（签字）</w:t>
      </w:r>
    </w:p>
    <w:p w14:paraId="5160724E">
      <w:pPr>
        <w:pStyle w:val="9"/>
        <w:overflowPunct w:val="0"/>
        <w:spacing w:line="360" w:lineRule="auto"/>
        <w:ind w:firstLineChars="175"/>
        <w:contextualSpacing/>
        <w:rPr>
          <w:rFonts w:ascii="宋体" w:hAnsi="宋体"/>
          <w:color w:val="auto"/>
          <w:sz w:val="24"/>
          <w:highlight w:val="none"/>
        </w:rPr>
      </w:pPr>
    </w:p>
    <w:p w14:paraId="23607592">
      <w:pPr>
        <w:pStyle w:val="9"/>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联合体成员名称（盖公章）：</w:t>
      </w:r>
    </w:p>
    <w:p w14:paraId="611771A4">
      <w:pPr>
        <w:pStyle w:val="9"/>
        <w:overflowPunct w:val="0"/>
        <w:spacing w:line="360" w:lineRule="auto"/>
        <w:ind w:firstLineChars="175"/>
        <w:contextualSpacing/>
        <w:rPr>
          <w:rFonts w:ascii="宋体" w:hAnsi="宋体"/>
          <w:color w:val="auto"/>
          <w:sz w:val="24"/>
          <w:highlight w:val="none"/>
        </w:rPr>
      </w:pPr>
      <w:r>
        <w:rPr>
          <w:rFonts w:hint="eastAsia" w:ascii="宋体" w:hAnsi="宋体"/>
          <w:color w:val="auto"/>
          <w:sz w:val="24"/>
          <w:highlight w:val="none"/>
        </w:rPr>
        <w:t>法定代表人或者其委托代理人：</w:t>
      </w:r>
      <w:r>
        <w:rPr>
          <w:rFonts w:ascii="宋体" w:hAnsi="宋体"/>
          <w:color w:val="auto"/>
          <w:sz w:val="24"/>
          <w:highlight w:val="none"/>
        </w:rPr>
        <w:t xml:space="preserve"> </w:t>
      </w:r>
      <w:r>
        <w:rPr>
          <w:rFonts w:ascii="宋体" w:hAnsi="宋体"/>
          <w:color w:val="auto"/>
          <w:sz w:val="24"/>
          <w:highlight w:val="none"/>
        </w:rPr>
        <w:tab/>
      </w:r>
      <w:r>
        <w:rPr>
          <w:rFonts w:hint="eastAsia" w:ascii="宋体" w:hAnsi="宋体"/>
          <w:color w:val="auto"/>
          <w:sz w:val="24"/>
          <w:highlight w:val="none"/>
        </w:rPr>
        <w:t>（签字）</w:t>
      </w:r>
    </w:p>
    <w:p w14:paraId="3F5A0681">
      <w:pPr>
        <w:pStyle w:val="9"/>
        <w:overflowPunct w:val="0"/>
        <w:spacing w:line="360" w:lineRule="auto"/>
        <w:ind w:firstLineChars="175"/>
        <w:contextualSpacing/>
        <w:rPr>
          <w:rFonts w:ascii="宋体" w:hAnsi="宋体"/>
          <w:color w:val="auto"/>
          <w:sz w:val="24"/>
          <w:highlight w:val="none"/>
        </w:rPr>
      </w:pPr>
      <w:r>
        <w:rPr>
          <w:rFonts w:ascii="宋体" w:hAnsi="宋体"/>
          <w:color w:val="auto"/>
          <w:sz w:val="24"/>
          <w:highlight w:val="none"/>
        </w:rPr>
        <w:t>……</w:t>
      </w:r>
    </w:p>
    <w:p w14:paraId="09A50A2A">
      <w:pPr>
        <w:pStyle w:val="9"/>
        <w:overflowPunct w:val="0"/>
        <w:spacing w:line="360" w:lineRule="auto"/>
        <w:ind w:firstLineChars="175"/>
        <w:contextualSpacing/>
        <w:rPr>
          <w:rFonts w:ascii="宋体" w:hAnsi="宋体"/>
          <w:color w:val="auto"/>
          <w:sz w:val="24"/>
          <w:highlight w:val="none"/>
        </w:rPr>
      </w:pPr>
    </w:p>
    <w:p w14:paraId="2E0B7FE3">
      <w:pPr>
        <w:pStyle w:val="9"/>
        <w:overflowPunct w:val="0"/>
        <w:spacing w:line="360" w:lineRule="auto"/>
        <w:ind w:firstLineChars="175"/>
        <w:contextualSpacing/>
        <w:jc w:val="right"/>
        <w:rPr>
          <w:rFonts w:ascii="宋体" w:hAnsi="宋体"/>
          <w:b/>
          <w:color w:val="auto"/>
          <w:sz w:val="24"/>
          <w:highlight w:val="none"/>
        </w:rPr>
      </w:pPr>
      <w:r>
        <w:rPr>
          <w:rFonts w:ascii="宋体" w:hAnsi="宋体"/>
          <w:color w:val="auto"/>
          <w:sz w:val="24"/>
          <w:highlight w:val="none"/>
        </w:rPr>
        <w:t xml:space="preserve"> </w:t>
      </w:r>
      <w:r>
        <w:rPr>
          <w:rFonts w:ascii="宋体" w:hAnsi="宋体"/>
          <w:color w:val="auto"/>
          <w:sz w:val="24"/>
          <w:highlight w:val="none"/>
        </w:rPr>
        <w:tab/>
      </w:r>
      <w:r>
        <w:rPr>
          <w:rFonts w:hint="eastAsia" w:ascii="宋体" w:hAnsi="宋体"/>
          <w:color w:val="auto"/>
          <w:sz w:val="24"/>
          <w:highlight w:val="none"/>
        </w:rPr>
        <w:t>年</w:t>
      </w:r>
      <w:r>
        <w:rPr>
          <w:rFonts w:ascii="宋体" w:hAnsi="宋体"/>
          <w:color w:val="auto"/>
          <w:sz w:val="24"/>
          <w:highlight w:val="none"/>
        </w:rPr>
        <w:t xml:space="preserve"> </w:t>
      </w:r>
      <w:r>
        <w:rPr>
          <w:rFonts w:ascii="宋体" w:hAnsi="宋体"/>
          <w:color w:val="auto"/>
          <w:sz w:val="24"/>
          <w:highlight w:val="none"/>
        </w:rPr>
        <w:tab/>
      </w:r>
      <w:r>
        <w:rPr>
          <w:rFonts w:hint="eastAsia" w:ascii="宋体" w:hAnsi="宋体"/>
          <w:color w:val="auto"/>
          <w:sz w:val="24"/>
          <w:highlight w:val="none"/>
        </w:rPr>
        <w:t>月</w:t>
      </w:r>
      <w:r>
        <w:rPr>
          <w:rFonts w:ascii="宋体" w:hAnsi="宋体"/>
          <w:color w:val="auto"/>
          <w:sz w:val="24"/>
          <w:highlight w:val="none"/>
        </w:rPr>
        <w:t xml:space="preserve"> </w:t>
      </w:r>
      <w:r>
        <w:rPr>
          <w:rFonts w:ascii="宋体" w:hAnsi="宋体"/>
          <w:color w:val="auto"/>
          <w:sz w:val="24"/>
          <w:highlight w:val="none"/>
        </w:rPr>
        <w:tab/>
      </w:r>
      <w:r>
        <w:rPr>
          <w:rFonts w:hint="eastAsia" w:ascii="宋体" w:hAnsi="宋体"/>
          <w:color w:val="auto"/>
          <w:sz w:val="24"/>
          <w:highlight w:val="none"/>
        </w:rPr>
        <w:t>日</w:t>
      </w:r>
    </w:p>
    <w:p w14:paraId="2765D5BB">
      <w:pPr>
        <w:snapToGrid w:val="0"/>
        <w:spacing w:before="120" w:beforeLines="50" w:after="50"/>
        <w:jc w:val="left"/>
        <w:rPr>
          <w:rFonts w:ascii="宋体" w:hAnsi="宋体"/>
          <w:b/>
          <w:color w:val="auto"/>
          <w:sz w:val="24"/>
          <w:highlight w:val="none"/>
        </w:rPr>
      </w:pPr>
      <w:r>
        <w:rPr>
          <w:rFonts w:hint="eastAsia" w:ascii="宋体" w:hAnsi="宋体"/>
          <w:b/>
          <w:color w:val="auto"/>
          <w:sz w:val="24"/>
          <w:highlight w:val="none"/>
        </w:rPr>
        <w:t xml:space="preserve"> </w:t>
      </w:r>
    </w:p>
    <w:p w14:paraId="1EB86763">
      <w:pPr>
        <w:snapToGrid w:val="0"/>
        <w:spacing w:before="120" w:beforeLines="50" w:after="50"/>
        <w:jc w:val="left"/>
        <w:rPr>
          <w:rFonts w:ascii="宋体" w:hAnsi="宋体"/>
          <w:color w:val="auto"/>
          <w:highlight w:val="none"/>
        </w:rPr>
      </w:pPr>
      <w:r>
        <w:rPr>
          <w:rFonts w:hint="eastAsia" w:ascii="宋体" w:hAnsi="宋体"/>
          <w:b/>
          <w:color w:val="auto"/>
          <w:sz w:val="24"/>
          <w:highlight w:val="none"/>
        </w:rPr>
        <w:br w:type="page"/>
      </w:r>
      <w:r>
        <w:rPr>
          <w:rFonts w:hint="eastAsia" w:ascii="宋体" w:hAnsi="宋体"/>
          <w:b/>
          <w:color w:val="auto"/>
          <w:sz w:val="24"/>
          <w:highlight w:val="none"/>
        </w:rPr>
        <w:t>2.中小企业声明函格式</w:t>
      </w:r>
    </w:p>
    <w:p w14:paraId="15B126EF">
      <w:pPr>
        <w:rPr>
          <w:rFonts w:ascii="宋体" w:hAnsi="宋体"/>
          <w:color w:val="auto"/>
          <w:highlight w:val="none"/>
        </w:rPr>
      </w:pPr>
    </w:p>
    <w:p w14:paraId="25B120D6">
      <w:pPr>
        <w:jc w:val="center"/>
        <w:rPr>
          <w:rFonts w:ascii="宋体" w:hAnsi="宋体" w:cs="方正小标宋简体"/>
          <w:color w:val="auto"/>
          <w:sz w:val="44"/>
          <w:szCs w:val="44"/>
          <w:highlight w:val="none"/>
        </w:rPr>
      </w:pPr>
      <w:r>
        <w:rPr>
          <w:rFonts w:hint="eastAsia" w:ascii="宋体" w:hAnsi="宋体" w:cs="方正小标宋简体"/>
          <w:color w:val="auto"/>
          <w:sz w:val="44"/>
          <w:szCs w:val="44"/>
          <w:highlight w:val="none"/>
        </w:rPr>
        <w:t>中小企业声明函（货物）</w:t>
      </w:r>
    </w:p>
    <w:p w14:paraId="7AE18926">
      <w:pPr>
        <w:spacing w:before="2" w:line="500" w:lineRule="exact"/>
        <w:rPr>
          <w:rFonts w:ascii="宋体" w:hAnsi="宋体" w:cs="宋体"/>
          <w:b/>
          <w:bCs/>
          <w:color w:val="auto"/>
          <w:sz w:val="27"/>
          <w:szCs w:val="27"/>
          <w:highlight w:val="none"/>
        </w:rPr>
      </w:pPr>
    </w:p>
    <w:p w14:paraId="552B7094">
      <w:pPr>
        <w:pStyle w:val="20"/>
        <w:spacing w:line="360" w:lineRule="auto"/>
        <w:ind w:left="-426" w:leftChars="-203" w:right="142" w:firstLine="480" w:firstLineChars="200"/>
        <w:contextualSpacing/>
        <w:rPr>
          <w:rFonts w:ascii="宋体" w:hAnsi="宋体"/>
          <w:color w:val="auto"/>
          <w:kern w:val="24"/>
          <w:highlight w:val="none"/>
        </w:rPr>
      </w:pPr>
      <w:r>
        <w:rPr>
          <w:rFonts w:ascii="宋体" w:hAnsi="宋体"/>
          <w:color w:val="auto"/>
          <w:kern w:val="24"/>
          <w:highlight w:val="none"/>
        </w:rPr>
        <w:t>本公司（联合体）郑重声明，根据《政府采购促进中小企业发展管理办法》（财库﹝2020﹞46号）的规定，本公司（联合体）参加</w:t>
      </w:r>
      <w:r>
        <w:rPr>
          <w:rFonts w:ascii="宋体" w:hAnsi="宋体"/>
          <w:color w:val="auto"/>
          <w:kern w:val="24"/>
          <w:highlight w:val="none"/>
          <w:u w:val="single"/>
        </w:rPr>
        <w:t>（单位名称）</w:t>
      </w:r>
      <w:r>
        <w:rPr>
          <w:rFonts w:ascii="宋体" w:hAnsi="宋体"/>
          <w:color w:val="auto"/>
          <w:kern w:val="24"/>
          <w:highlight w:val="none"/>
        </w:rPr>
        <w:t>的</w:t>
      </w:r>
      <w:r>
        <w:rPr>
          <w:rFonts w:ascii="宋体" w:hAnsi="宋体"/>
          <w:color w:val="auto"/>
          <w:kern w:val="24"/>
          <w:highlight w:val="none"/>
          <w:u w:val="single"/>
        </w:rPr>
        <w:t>（项目名称）</w:t>
      </w:r>
      <w:r>
        <w:rPr>
          <w:rFonts w:ascii="宋体" w:hAnsi="宋体"/>
          <w:color w:val="auto"/>
          <w:kern w:val="24"/>
          <w:highlight w:val="none"/>
        </w:rPr>
        <w:t>采购活动，提供的货物全部由符合政策要求的中小企业制造。相关企业（含联合体中的中小企业、签订分包意向协议的中小企业）的具体情况如下：</w:t>
      </w:r>
    </w:p>
    <w:p w14:paraId="2234D4DE">
      <w:pPr>
        <w:tabs>
          <w:tab w:val="left" w:pos="1384"/>
          <w:tab w:val="left" w:pos="4562"/>
          <w:tab w:val="left" w:pos="6803"/>
        </w:tabs>
        <w:spacing w:line="360" w:lineRule="auto"/>
        <w:ind w:left="-426" w:right="-58" w:firstLine="655"/>
        <w:contextualSpacing/>
        <w:rPr>
          <w:rFonts w:ascii="宋体" w:hAnsi="宋体"/>
          <w:color w:val="auto"/>
          <w:kern w:val="24"/>
          <w:sz w:val="24"/>
          <w:highlight w:val="none"/>
        </w:rPr>
      </w:pPr>
      <w:r>
        <w:rPr>
          <w:rFonts w:ascii="宋体" w:hAnsi="宋体"/>
          <w:color w:val="auto"/>
          <w:kern w:val="24"/>
          <w:sz w:val="24"/>
          <w:highlight w:val="none"/>
        </w:rPr>
        <w:t>1.</w:t>
      </w:r>
      <w:r>
        <w:rPr>
          <w:rFonts w:ascii="宋体" w:hAnsi="宋体"/>
          <w:color w:val="auto"/>
          <w:kern w:val="24"/>
          <w:sz w:val="24"/>
          <w:highlight w:val="none"/>
          <w:u w:val="single"/>
        </w:rPr>
        <w:t>（标的名称）</w:t>
      </w:r>
      <w:r>
        <w:rPr>
          <w:rFonts w:ascii="宋体" w:hAnsi="宋体"/>
          <w:color w:val="auto"/>
          <w:kern w:val="24"/>
          <w:sz w:val="24"/>
          <w:highlight w:val="none"/>
        </w:rPr>
        <w:t>，属于</w:t>
      </w:r>
      <w:r>
        <w:rPr>
          <w:rFonts w:ascii="宋体" w:hAnsi="宋体"/>
          <w:color w:val="auto"/>
          <w:kern w:val="24"/>
          <w:sz w:val="24"/>
          <w:highlight w:val="none"/>
          <w:u w:val="single"/>
        </w:rPr>
        <w:t>（采购文件中明确的所属行业）</w:t>
      </w:r>
      <w:r>
        <w:rPr>
          <w:rFonts w:ascii="宋体" w:hAnsi="宋体"/>
          <w:color w:val="auto"/>
          <w:kern w:val="24"/>
          <w:sz w:val="24"/>
          <w:highlight w:val="none"/>
        </w:rPr>
        <w:t>行业；制造商为</w:t>
      </w:r>
      <w:r>
        <w:rPr>
          <w:rFonts w:ascii="宋体" w:hAnsi="宋体"/>
          <w:color w:val="auto"/>
          <w:kern w:val="24"/>
          <w:sz w:val="24"/>
          <w:highlight w:val="none"/>
          <w:u w:val="single"/>
        </w:rPr>
        <w:t>（企业名称）</w:t>
      </w:r>
      <w:r>
        <w:rPr>
          <w:rFonts w:ascii="宋体" w:hAnsi="宋体"/>
          <w:color w:val="auto"/>
          <w:kern w:val="24"/>
          <w:sz w:val="24"/>
          <w:highlight w:val="none"/>
        </w:rPr>
        <w:t>，从业人员</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人，营业收入为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万元，资产总额为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万元，属于</w:t>
      </w:r>
      <w:r>
        <w:rPr>
          <w:rFonts w:ascii="宋体" w:hAnsi="宋体"/>
          <w:color w:val="auto"/>
          <w:kern w:val="24"/>
          <w:sz w:val="24"/>
          <w:highlight w:val="none"/>
          <w:u w:val="single"/>
        </w:rPr>
        <w:t>（中型企业、小型企业、微型企业）</w:t>
      </w:r>
      <w:r>
        <w:rPr>
          <w:rFonts w:ascii="宋体" w:hAnsi="宋体"/>
          <w:color w:val="auto"/>
          <w:kern w:val="24"/>
          <w:sz w:val="24"/>
          <w:highlight w:val="none"/>
        </w:rPr>
        <w:t>；</w:t>
      </w:r>
    </w:p>
    <w:p w14:paraId="7A896C08">
      <w:pPr>
        <w:tabs>
          <w:tab w:val="left" w:pos="1065"/>
          <w:tab w:val="left" w:pos="6477"/>
        </w:tabs>
        <w:spacing w:line="360" w:lineRule="auto"/>
        <w:ind w:left="-426" w:right="-58" w:firstLine="655"/>
        <w:contextualSpacing/>
        <w:rPr>
          <w:rFonts w:ascii="宋体" w:hAnsi="宋体"/>
          <w:color w:val="auto"/>
          <w:kern w:val="24"/>
          <w:sz w:val="24"/>
          <w:highlight w:val="none"/>
        </w:rPr>
      </w:pPr>
      <w:r>
        <w:rPr>
          <w:rFonts w:ascii="宋体" w:hAnsi="宋体"/>
          <w:color w:val="auto"/>
          <w:kern w:val="24"/>
          <w:sz w:val="24"/>
          <w:highlight w:val="none"/>
        </w:rPr>
        <w:t>2.</w:t>
      </w:r>
      <w:r>
        <w:rPr>
          <w:rFonts w:ascii="宋体" w:hAnsi="宋体"/>
          <w:color w:val="auto"/>
          <w:kern w:val="24"/>
          <w:sz w:val="24"/>
          <w:highlight w:val="none"/>
          <w:u w:val="single"/>
        </w:rPr>
        <w:t>（标的名称）</w:t>
      </w:r>
      <w:r>
        <w:rPr>
          <w:rFonts w:ascii="宋体" w:hAnsi="宋体"/>
          <w:color w:val="auto"/>
          <w:kern w:val="24"/>
          <w:sz w:val="24"/>
          <w:highlight w:val="none"/>
        </w:rPr>
        <w:t>，属于</w:t>
      </w:r>
      <w:r>
        <w:rPr>
          <w:rFonts w:ascii="宋体" w:hAnsi="宋体"/>
          <w:color w:val="auto"/>
          <w:kern w:val="24"/>
          <w:sz w:val="24"/>
          <w:highlight w:val="none"/>
          <w:u w:val="single"/>
        </w:rPr>
        <w:t>（采购文件中明确的所属行业）</w:t>
      </w:r>
      <w:r>
        <w:rPr>
          <w:rFonts w:ascii="宋体" w:hAnsi="宋体"/>
          <w:color w:val="auto"/>
          <w:kern w:val="24"/>
          <w:sz w:val="24"/>
          <w:highlight w:val="none"/>
        </w:rPr>
        <w:t>行业；制造商为</w:t>
      </w:r>
      <w:r>
        <w:rPr>
          <w:rFonts w:ascii="宋体" w:hAnsi="宋体"/>
          <w:color w:val="auto"/>
          <w:kern w:val="24"/>
          <w:sz w:val="24"/>
          <w:highlight w:val="none"/>
          <w:u w:val="single"/>
        </w:rPr>
        <w:t>（企业名称）</w:t>
      </w:r>
      <w:r>
        <w:rPr>
          <w:rFonts w:ascii="宋体" w:hAnsi="宋体"/>
          <w:color w:val="auto"/>
          <w:kern w:val="24"/>
          <w:sz w:val="24"/>
          <w:highlight w:val="none"/>
        </w:rPr>
        <w:t>，从业人员</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人，营业收入为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万元，资产总额为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万元，属于</w:t>
      </w:r>
      <w:r>
        <w:rPr>
          <w:rFonts w:ascii="宋体" w:hAnsi="宋体"/>
          <w:color w:val="auto"/>
          <w:kern w:val="24"/>
          <w:sz w:val="24"/>
          <w:highlight w:val="none"/>
          <w:u w:val="single"/>
        </w:rPr>
        <w:t>（中型企业、小型企业、微型企业）</w:t>
      </w:r>
      <w:r>
        <w:rPr>
          <w:rFonts w:ascii="宋体" w:hAnsi="宋体"/>
          <w:color w:val="auto"/>
          <w:kern w:val="24"/>
          <w:sz w:val="24"/>
          <w:highlight w:val="none"/>
        </w:rPr>
        <w:t>；</w:t>
      </w:r>
    </w:p>
    <w:p w14:paraId="49E261A3">
      <w:pPr>
        <w:pStyle w:val="20"/>
        <w:spacing w:line="360" w:lineRule="auto"/>
        <w:ind w:left="142" w:right="142"/>
        <w:contextualSpacing/>
        <w:rPr>
          <w:rFonts w:ascii="宋体" w:hAnsi="宋体"/>
          <w:color w:val="auto"/>
          <w:kern w:val="24"/>
          <w:highlight w:val="none"/>
        </w:rPr>
      </w:pPr>
      <w:r>
        <w:rPr>
          <w:rFonts w:ascii="宋体" w:hAnsi="宋体"/>
          <w:color w:val="auto"/>
          <w:kern w:val="24"/>
          <w:highlight w:val="none"/>
        </w:rPr>
        <w:t xml:space="preserve">…… </w:t>
      </w:r>
    </w:p>
    <w:p w14:paraId="5DA6C6BD">
      <w:pPr>
        <w:pStyle w:val="20"/>
        <w:spacing w:line="360" w:lineRule="auto"/>
        <w:ind w:left="-405" w:leftChars="-193" w:right="142" w:firstLine="453" w:firstLineChars="189"/>
        <w:contextualSpacing/>
        <w:rPr>
          <w:rFonts w:ascii="宋体" w:hAnsi="宋体"/>
          <w:color w:val="auto"/>
          <w:kern w:val="24"/>
          <w:highlight w:val="none"/>
        </w:rPr>
      </w:pPr>
      <w:r>
        <w:rPr>
          <w:rFonts w:ascii="宋体" w:hAnsi="宋体"/>
          <w:color w:val="auto"/>
          <w:kern w:val="24"/>
          <w:highlight w:val="none"/>
        </w:rPr>
        <w:t>以上企业，不属于大企业的分支机构，不存在控股股东为大企业的情形，也不存在与大企业的负责人为同一人的情形。</w:t>
      </w:r>
    </w:p>
    <w:p w14:paraId="25AC8D5A">
      <w:pPr>
        <w:pStyle w:val="20"/>
        <w:spacing w:line="360" w:lineRule="auto"/>
        <w:ind w:left="-426" w:right="142" w:firstLine="567"/>
        <w:contextualSpacing/>
        <w:rPr>
          <w:rFonts w:ascii="宋体" w:hAnsi="宋体"/>
          <w:color w:val="auto"/>
          <w:kern w:val="24"/>
          <w:highlight w:val="none"/>
        </w:rPr>
      </w:pPr>
      <w:r>
        <w:rPr>
          <w:rFonts w:ascii="宋体" w:hAnsi="宋体"/>
          <w:color w:val="auto"/>
          <w:kern w:val="24"/>
          <w:highlight w:val="none"/>
        </w:rPr>
        <w:t>本企业对上述声明内容的真实性负责。如有虚假，将依法承担相应责任。</w:t>
      </w:r>
    </w:p>
    <w:p w14:paraId="713DFDC1">
      <w:pPr>
        <w:pStyle w:val="20"/>
        <w:spacing w:line="360" w:lineRule="auto"/>
        <w:ind w:left="3960" w:right="1808"/>
        <w:contextualSpacing/>
        <w:rPr>
          <w:rFonts w:ascii="宋体" w:hAnsi="宋体"/>
          <w:color w:val="auto"/>
          <w:kern w:val="24"/>
          <w:highlight w:val="none"/>
        </w:rPr>
      </w:pPr>
    </w:p>
    <w:p w14:paraId="6BC14BEF">
      <w:pPr>
        <w:pStyle w:val="20"/>
        <w:spacing w:line="360" w:lineRule="auto"/>
        <w:ind w:left="3960" w:right="1808"/>
        <w:contextualSpacing/>
        <w:rPr>
          <w:rFonts w:ascii="宋体" w:hAnsi="宋体"/>
          <w:color w:val="auto"/>
          <w:kern w:val="24"/>
          <w:highlight w:val="none"/>
        </w:rPr>
      </w:pPr>
      <w:r>
        <w:rPr>
          <w:rFonts w:ascii="宋体" w:hAnsi="宋体"/>
          <w:color w:val="auto"/>
          <w:kern w:val="24"/>
          <w:highlight w:val="none"/>
        </w:rPr>
        <w:t xml:space="preserve">企业名称（章）： </w:t>
      </w:r>
    </w:p>
    <w:p w14:paraId="756857ED">
      <w:pPr>
        <w:pStyle w:val="20"/>
        <w:spacing w:line="360" w:lineRule="auto"/>
        <w:ind w:left="3960" w:right="1808"/>
        <w:contextualSpacing/>
        <w:rPr>
          <w:rFonts w:ascii="宋体" w:hAnsi="宋体"/>
          <w:color w:val="auto"/>
          <w:kern w:val="24"/>
          <w:highlight w:val="none"/>
        </w:rPr>
      </w:pPr>
      <w:r>
        <w:rPr>
          <w:rFonts w:ascii="宋体" w:hAnsi="宋体"/>
          <w:color w:val="auto"/>
          <w:kern w:val="24"/>
          <w:highlight w:val="none"/>
        </w:rPr>
        <w:t>日</w:t>
      </w:r>
      <w:r>
        <w:rPr>
          <w:rFonts w:hint="eastAsia" w:ascii="宋体" w:hAnsi="宋体"/>
          <w:color w:val="auto"/>
          <w:kern w:val="24"/>
          <w:highlight w:val="none"/>
        </w:rPr>
        <w:t xml:space="preserve"> </w:t>
      </w:r>
      <w:r>
        <w:rPr>
          <w:rFonts w:ascii="宋体" w:hAnsi="宋体"/>
          <w:color w:val="auto"/>
          <w:kern w:val="24"/>
          <w:highlight w:val="none"/>
        </w:rPr>
        <w:t>期：</w:t>
      </w:r>
    </w:p>
    <w:p w14:paraId="7B3B63E0">
      <w:pPr>
        <w:pStyle w:val="20"/>
        <w:spacing w:line="360" w:lineRule="auto"/>
        <w:ind w:left="3960" w:right="1808"/>
        <w:contextualSpacing/>
        <w:rPr>
          <w:rFonts w:ascii="宋体" w:hAnsi="宋体"/>
          <w:color w:val="auto"/>
          <w:kern w:val="24"/>
          <w:highlight w:val="none"/>
        </w:rPr>
      </w:pPr>
    </w:p>
    <w:p w14:paraId="057F1D89">
      <w:pPr>
        <w:pStyle w:val="20"/>
        <w:spacing w:line="360" w:lineRule="auto"/>
        <w:ind w:left="3960" w:right="1808"/>
        <w:contextualSpacing/>
        <w:rPr>
          <w:rFonts w:ascii="宋体" w:hAnsi="宋体"/>
          <w:color w:val="auto"/>
          <w:kern w:val="24"/>
          <w:highlight w:val="none"/>
        </w:rPr>
      </w:pPr>
    </w:p>
    <w:p w14:paraId="47677BF0">
      <w:pPr>
        <w:pStyle w:val="20"/>
        <w:spacing w:line="360" w:lineRule="auto"/>
        <w:ind w:left="-426" w:right="142" w:firstLine="567"/>
        <w:contextualSpacing/>
        <w:rPr>
          <w:rFonts w:ascii="宋体" w:hAnsi="宋体"/>
          <w:color w:val="auto"/>
          <w:kern w:val="24"/>
          <w:highlight w:val="none"/>
        </w:rPr>
      </w:pPr>
      <w:r>
        <w:rPr>
          <w:rFonts w:hint="eastAsia" w:ascii="宋体" w:hAnsi="宋体"/>
          <w:color w:val="auto"/>
          <w:kern w:val="24"/>
          <w:highlight w:val="none"/>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p>
    <w:p w14:paraId="5A1054AD">
      <w:pPr>
        <w:snapToGrid w:val="0"/>
        <w:spacing w:before="120" w:beforeLines="50" w:after="50"/>
        <w:ind w:left="142"/>
        <w:jc w:val="left"/>
        <w:rPr>
          <w:rFonts w:ascii="宋体" w:hAnsi="宋体"/>
          <w:b/>
          <w:color w:val="auto"/>
          <w:sz w:val="24"/>
          <w:highlight w:val="none"/>
        </w:rPr>
      </w:pPr>
    </w:p>
    <w:p w14:paraId="2980E412">
      <w:pPr>
        <w:pStyle w:val="25"/>
        <w:jc w:val="left"/>
        <w:rPr>
          <w:rFonts w:hAnsi="宋体" w:cs="Arial Unicode MS"/>
          <w:color w:val="auto"/>
          <w:sz w:val="32"/>
          <w:szCs w:val="32"/>
          <w:highlight w:val="none"/>
        </w:rPr>
      </w:pPr>
      <w:r>
        <w:rPr>
          <w:rFonts w:hAnsi="宋体" w:cs="Arial Unicode MS"/>
          <w:color w:val="auto"/>
          <w:sz w:val="32"/>
          <w:szCs w:val="32"/>
          <w:highlight w:val="none"/>
        </w:rPr>
        <w:br w:type="page"/>
      </w:r>
      <w:r>
        <w:rPr>
          <w:rFonts w:hint="eastAsia" w:hAnsi="宋体" w:cs="Arial Unicode MS"/>
          <w:color w:val="auto"/>
          <w:sz w:val="32"/>
          <w:szCs w:val="32"/>
          <w:highlight w:val="none"/>
        </w:rPr>
        <w:t>附：</w:t>
      </w:r>
    </w:p>
    <w:p w14:paraId="0D16F5F6">
      <w:pPr>
        <w:jc w:val="center"/>
        <w:rPr>
          <w:rFonts w:ascii="宋体" w:hAnsi="宋体" w:cs="Arial Unicode MS"/>
          <w:color w:val="auto"/>
          <w:sz w:val="44"/>
          <w:szCs w:val="44"/>
          <w:highlight w:val="none"/>
        </w:rPr>
      </w:pPr>
      <w:r>
        <w:rPr>
          <w:rFonts w:hint="eastAsia" w:ascii="宋体" w:hAnsi="宋体" w:cs="Arial Unicode MS"/>
          <w:color w:val="auto"/>
          <w:sz w:val="44"/>
          <w:szCs w:val="44"/>
          <w:highlight w:val="none"/>
        </w:rPr>
        <w:t>中小微企业划型标准</w:t>
      </w:r>
    </w:p>
    <w:p w14:paraId="593863B0">
      <w:pPr>
        <w:ind w:left="1871"/>
        <w:rPr>
          <w:rFonts w:ascii="宋体" w:hAnsi="宋体" w:cs="Arial Unicode MS"/>
          <w:color w:val="auto"/>
          <w:szCs w:val="21"/>
          <w:highlight w:val="none"/>
        </w:rPr>
      </w:pPr>
    </w:p>
    <w:tbl>
      <w:tblPr>
        <w:tblStyle w:val="46"/>
        <w:tblW w:w="7983" w:type="dxa"/>
        <w:tblInd w:w="250" w:type="dxa"/>
        <w:tblLayout w:type="fixed"/>
        <w:tblCellMar>
          <w:top w:w="0" w:type="dxa"/>
          <w:left w:w="108" w:type="dxa"/>
          <w:bottom w:w="0" w:type="dxa"/>
          <w:right w:w="108" w:type="dxa"/>
        </w:tblCellMar>
      </w:tblPr>
      <w:tblGrid>
        <w:gridCol w:w="1701"/>
        <w:gridCol w:w="1384"/>
        <w:gridCol w:w="913"/>
        <w:gridCol w:w="1620"/>
        <w:gridCol w:w="1440"/>
        <w:gridCol w:w="925"/>
      </w:tblGrid>
      <w:tr w14:paraId="6FC6C532">
        <w:tblPrEx>
          <w:tblCellMar>
            <w:top w:w="0" w:type="dxa"/>
            <w:left w:w="108" w:type="dxa"/>
            <w:bottom w:w="0" w:type="dxa"/>
            <w:right w:w="108" w:type="dxa"/>
          </w:tblCellMar>
        </w:tblPrEx>
        <w:trPr>
          <w:trHeight w:val="285" w:hRule="atLeast"/>
        </w:trPr>
        <w:tc>
          <w:tcPr>
            <w:tcW w:w="1701" w:type="dxa"/>
            <w:tcBorders>
              <w:top w:val="single" w:color="auto" w:sz="4" w:space="0"/>
              <w:left w:val="single" w:color="auto" w:sz="4" w:space="0"/>
              <w:bottom w:val="single" w:color="auto" w:sz="4" w:space="0"/>
              <w:right w:val="single" w:color="auto" w:sz="4" w:space="0"/>
            </w:tcBorders>
            <w:vAlign w:val="center"/>
          </w:tcPr>
          <w:p w14:paraId="6B0CDBC1">
            <w:pPr>
              <w:widowControl/>
              <w:jc w:val="left"/>
              <w:rPr>
                <w:rFonts w:ascii="宋体" w:hAnsi="宋体" w:cs="宋体"/>
                <w:b/>
                <w:color w:val="auto"/>
                <w:kern w:val="0"/>
                <w:sz w:val="24"/>
                <w:highlight w:val="none"/>
              </w:rPr>
            </w:pPr>
            <w:r>
              <w:rPr>
                <w:rFonts w:hint="eastAsia" w:ascii="宋体" w:hAnsi="宋体" w:cs="宋体"/>
                <w:b/>
                <w:color w:val="auto"/>
                <w:kern w:val="0"/>
                <w:sz w:val="24"/>
                <w:highlight w:val="none"/>
              </w:rPr>
              <w:t>行业名称</w:t>
            </w:r>
          </w:p>
        </w:tc>
        <w:tc>
          <w:tcPr>
            <w:tcW w:w="1384" w:type="dxa"/>
            <w:tcBorders>
              <w:top w:val="single" w:color="auto" w:sz="4" w:space="0"/>
              <w:left w:val="nil"/>
              <w:bottom w:val="single" w:color="auto" w:sz="4" w:space="0"/>
              <w:right w:val="single" w:color="auto" w:sz="4" w:space="0"/>
            </w:tcBorders>
            <w:vAlign w:val="center"/>
          </w:tcPr>
          <w:p w14:paraId="598DF5B4">
            <w:pPr>
              <w:widowControl/>
              <w:jc w:val="left"/>
              <w:rPr>
                <w:rFonts w:ascii="宋体" w:hAnsi="宋体" w:cs="宋体"/>
                <w:b/>
                <w:color w:val="auto"/>
                <w:kern w:val="0"/>
                <w:sz w:val="24"/>
                <w:highlight w:val="none"/>
              </w:rPr>
            </w:pPr>
            <w:r>
              <w:rPr>
                <w:rFonts w:hint="eastAsia" w:ascii="宋体" w:hAnsi="宋体" w:cs="宋体"/>
                <w:b/>
                <w:color w:val="auto"/>
                <w:kern w:val="0"/>
                <w:sz w:val="24"/>
                <w:highlight w:val="none"/>
              </w:rPr>
              <w:t>指标名称</w:t>
            </w:r>
          </w:p>
        </w:tc>
        <w:tc>
          <w:tcPr>
            <w:tcW w:w="913" w:type="dxa"/>
            <w:tcBorders>
              <w:top w:val="single" w:color="auto" w:sz="4" w:space="0"/>
              <w:left w:val="nil"/>
              <w:bottom w:val="single" w:color="auto" w:sz="4" w:space="0"/>
              <w:right w:val="single" w:color="auto" w:sz="4" w:space="0"/>
            </w:tcBorders>
            <w:vAlign w:val="center"/>
          </w:tcPr>
          <w:p w14:paraId="7A3A091C">
            <w:pPr>
              <w:widowControl/>
              <w:jc w:val="left"/>
              <w:rPr>
                <w:rFonts w:ascii="宋体" w:hAnsi="宋体" w:cs="宋体"/>
                <w:b/>
                <w:color w:val="auto"/>
                <w:kern w:val="0"/>
                <w:sz w:val="24"/>
                <w:highlight w:val="none"/>
              </w:rPr>
            </w:pPr>
            <w:r>
              <w:rPr>
                <w:rFonts w:hint="eastAsia" w:ascii="宋体" w:hAnsi="宋体" w:cs="宋体"/>
                <w:b/>
                <w:color w:val="auto"/>
                <w:kern w:val="0"/>
                <w:sz w:val="24"/>
                <w:highlight w:val="none"/>
              </w:rPr>
              <w:t>计量单位</w:t>
            </w:r>
          </w:p>
        </w:tc>
        <w:tc>
          <w:tcPr>
            <w:tcW w:w="1620" w:type="dxa"/>
            <w:tcBorders>
              <w:top w:val="single" w:color="auto" w:sz="4" w:space="0"/>
              <w:left w:val="nil"/>
              <w:bottom w:val="single" w:color="auto" w:sz="4" w:space="0"/>
              <w:right w:val="single" w:color="auto" w:sz="4" w:space="0"/>
            </w:tcBorders>
            <w:vAlign w:val="center"/>
          </w:tcPr>
          <w:p w14:paraId="164E348D">
            <w:pPr>
              <w:widowControl/>
              <w:jc w:val="left"/>
              <w:rPr>
                <w:rFonts w:ascii="宋体" w:hAnsi="宋体" w:cs="宋体"/>
                <w:b/>
                <w:color w:val="auto"/>
                <w:kern w:val="0"/>
                <w:sz w:val="24"/>
                <w:highlight w:val="none"/>
              </w:rPr>
            </w:pPr>
            <w:r>
              <w:rPr>
                <w:rFonts w:hint="eastAsia" w:ascii="宋体" w:hAnsi="宋体" w:cs="宋体"/>
                <w:b/>
                <w:color w:val="auto"/>
                <w:kern w:val="0"/>
                <w:sz w:val="24"/>
                <w:highlight w:val="none"/>
              </w:rPr>
              <w:t>中型</w:t>
            </w:r>
          </w:p>
        </w:tc>
        <w:tc>
          <w:tcPr>
            <w:tcW w:w="1440" w:type="dxa"/>
            <w:tcBorders>
              <w:top w:val="single" w:color="auto" w:sz="4" w:space="0"/>
              <w:left w:val="nil"/>
              <w:bottom w:val="single" w:color="auto" w:sz="4" w:space="0"/>
              <w:right w:val="single" w:color="auto" w:sz="4" w:space="0"/>
            </w:tcBorders>
            <w:vAlign w:val="center"/>
          </w:tcPr>
          <w:p w14:paraId="795DE607">
            <w:pPr>
              <w:widowControl/>
              <w:jc w:val="left"/>
              <w:rPr>
                <w:rFonts w:ascii="宋体" w:hAnsi="宋体" w:cs="宋体"/>
                <w:b/>
                <w:color w:val="auto"/>
                <w:kern w:val="0"/>
                <w:sz w:val="24"/>
                <w:highlight w:val="none"/>
              </w:rPr>
            </w:pPr>
            <w:r>
              <w:rPr>
                <w:rFonts w:hint="eastAsia" w:ascii="宋体" w:hAnsi="宋体" w:cs="宋体"/>
                <w:b/>
                <w:color w:val="auto"/>
                <w:kern w:val="0"/>
                <w:sz w:val="24"/>
                <w:highlight w:val="none"/>
              </w:rPr>
              <w:t>小型</w:t>
            </w:r>
          </w:p>
        </w:tc>
        <w:tc>
          <w:tcPr>
            <w:tcW w:w="925" w:type="dxa"/>
            <w:tcBorders>
              <w:top w:val="single" w:color="auto" w:sz="4" w:space="0"/>
              <w:left w:val="nil"/>
              <w:bottom w:val="single" w:color="auto" w:sz="4" w:space="0"/>
              <w:right w:val="single" w:color="auto" w:sz="4" w:space="0"/>
            </w:tcBorders>
            <w:vAlign w:val="center"/>
          </w:tcPr>
          <w:p w14:paraId="06C7C031">
            <w:pPr>
              <w:widowControl/>
              <w:jc w:val="left"/>
              <w:rPr>
                <w:rFonts w:ascii="宋体" w:hAnsi="宋体" w:cs="宋体"/>
                <w:b/>
                <w:color w:val="auto"/>
                <w:kern w:val="0"/>
                <w:sz w:val="24"/>
                <w:highlight w:val="none"/>
              </w:rPr>
            </w:pPr>
            <w:r>
              <w:rPr>
                <w:rFonts w:hint="eastAsia" w:ascii="宋体" w:hAnsi="宋体" w:cs="宋体"/>
                <w:b/>
                <w:color w:val="auto"/>
                <w:kern w:val="0"/>
                <w:sz w:val="24"/>
                <w:highlight w:val="none"/>
              </w:rPr>
              <w:t>微型</w:t>
            </w:r>
          </w:p>
        </w:tc>
      </w:tr>
      <w:tr w14:paraId="75B56F8C">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00FB46CE">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农、林、牧、渔</w:t>
            </w:r>
          </w:p>
        </w:tc>
        <w:tc>
          <w:tcPr>
            <w:tcW w:w="1384" w:type="dxa"/>
            <w:tcBorders>
              <w:top w:val="nil"/>
              <w:left w:val="nil"/>
              <w:bottom w:val="single" w:color="auto" w:sz="4" w:space="0"/>
              <w:right w:val="single" w:color="auto" w:sz="4" w:space="0"/>
            </w:tcBorders>
            <w:vAlign w:val="center"/>
          </w:tcPr>
          <w:p w14:paraId="2A5E716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7FA0DE3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02FA488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440" w:type="dxa"/>
            <w:tcBorders>
              <w:top w:val="nil"/>
              <w:left w:val="nil"/>
              <w:bottom w:val="single" w:color="auto" w:sz="4" w:space="0"/>
              <w:right w:val="single" w:color="auto" w:sz="4" w:space="0"/>
            </w:tcBorders>
            <w:vAlign w:val="center"/>
          </w:tcPr>
          <w:p w14:paraId="0C4DA29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925" w:type="dxa"/>
            <w:tcBorders>
              <w:top w:val="nil"/>
              <w:left w:val="nil"/>
              <w:bottom w:val="single" w:color="auto" w:sz="4" w:space="0"/>
              <w:right w:val="single" w:color="auto" w:sz="4" w:space="0"/>
            </w:tcBorders>
            <w:vAlign w:val="center"/>
          </w:tcPr>
          <w:p w14:paraId="39E5FBB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63898F5C">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4167B0B">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工业</w:t>
            </w:r>
          </w:p>
        </w:tc>
        <w:tc>
          <w:tcPr>
            <w:tcW w:w="1384" w:type="dxa"/>
            <w:tcBorders>
              <w:top w:val="nil"/>
              <w:left w:val="nil"/>
              <w:bottom w:val="single" w:color="auto" w:sz="4" w:space="0"/>
              <w:right w:val="single" w:color="auto" w:sz="4" w:space="0"/>
            </w:tcBorders>
            <w:vAlign w:val="center"/>
          </w:tcPr>
          <w:p w14:paraId="1284D6E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4F31129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287E5EA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40" w:type="dxa"/>
            <w:tcBorders>
              <w:top w:val="nil"/>
              <w:left w:val="nil"/>
              <w:bottom w:val="single" w:color="auto" w:sz="4" w:space="0"/>
              <w:right w:val="single" w:color="auto" w:sz="4" w:space="0"/>
            </w:tcBorders>
            <w:vAlign w:val="center"/>
          </w:tcPr>
          <w:p w14:paraId="15C158F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25" w:type="dxa"/>
            <w:tcBorders>
              <w:top w:val="nil"/>
              <w:left w:val="nil"/>
              <w:bottom w:val="single" w:color="auto" w:sz="4" w:space="0"/>
              <w:right w:val="single" w:color="auto" w:sz="4" w:space="0"/>
            </w:tcBorders>
            <w:vAlign w:val="center"/>
          </w:tcPr>
          <w:p w14:paraId="1893A60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5D1AC5C5">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3B69A111">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466D8DE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08E4111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502C640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440" w:type="dxa"/>
            <w:tcBorders>
              <w:top w:val="nil"/>
              <w:left w:val="nil"/>
              <w:bottom w:val="single" w:color="auto" w:sz="4" w:space="0"/>
              <w:right w:val="single" w:color="auto" w:sz="4" w:space="0"/>
            </w:tcBorders>
            <w:vAlign w:val="center"/>
          </w:tcPr>
          <w:p w14:paraId="5D81A28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925" w:type="dxa"/>
            <w:tcBorders>
              <w:top w:val="nil"/>
              <w:left w:val="nil"/>
              <w:bottom w:val="single" w:color="auto" w:sz="4" w:space="0"/>
              <w:right w:val="single" w:color="auto" w:sz="4" w:space="0"/>
            </w:tcBorders>
            <w:vAlign w:val="center"/>
          </w:tcPr>
          <w:p w14:paraId="754579E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55793E9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0FBB023A">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建筑业</w:t>
            </w:r>
          </w:p>
        </w:tc>
        <w:tc>
          <w:tcPr>
            <w:tcW w:w="1384" w:type="dxa"/>
            <w:tcBorders>
              <w:top w:val="nil"/>
              <w:left w:val="nil"/>
              <w:bottom w:val="single" w:color="auto" w:sz="4" w:space="0"/>
              <w:right w:val="single" w:color="auto" w:sz="4" w:space="0"/>
            </w:tcBorders>
            <w:vAlign w:val="center"/>
          </w:tcPr>
          <w:p w14:paraId="512AA59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562CA3F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55DC3DC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440" w:type="dxa"/>
            <w:tcBorders>
              <w:top w:val="nil"/>
              <w:left w:val="nil"/>
              <w:bottom w:val="single" w:color="auto" w:sz="4" w:space="0"/>
              <w:right w:val="single" w:color="auto" w:sz="4" w:space="0"/>
            </w:tcBorders>
            <w:vAlign w:val="center"/>
          </w:tcPr>
          <w:p w14:paraId="2C0FBDF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925" w:type="dxa"/>
            <w:tcBorders>
              <w:top w:val="nil"/>
              <w:left w:val="nil"/>
              <w:bottom w:val="single" w:color="auto" w:sz="4" w:space="0"/>
              <w:right w:val="single" w:color="auto" w:sz="4" w:space="0"/>
            </w:tcBorders>
            <w:vAlign w:val="center"/>
          </w:tcPr>
          <w:p w14:paraId="7955024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6A72231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55CD93CE">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0835A10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14:paraId="1BBD50F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2C272DD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440" w:type="dxa"/>
            <w:tcBorders>
              <w:top w:val="nil"/>
              <w:left w:val="nil"/>
              <w:bottom w:val="single" w:color="auto" w:sz="4" w:space="0"/>
              <w:right w:val="single" w:color="auto" w:sz="4" w:space="0"/>
            </w:tcBorders>
            <w:vAlign w:val="center"/>
          </w:tcPr>
          <w:p w14:paraId="73D8125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925" w:type="dxa"/>
            <w:tcBorders>
              <w:top w:val="nil"/>
              <w:left w:val="nil"/>
              <w:bottom w:val="single" w:color="auto" w:sz="4" w:space="0"/>
              <w:right w:val="single" w:color="auto" w:sz="4" w:space="0"/>
            </w:tcBorders>
            <w:vAlign w:val="center"/>
          </w:tcPr>
          <w:p w14:paraId="5D46266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14:paraId="4CDD320D">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E12844F">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批发业</w:t>
            </w:r>
          </w:p>
        </w:tc>
        <w:tc>
          <w:tcPr>
            <w:tcW w:w="1384" w:type="dxa"/>
            <w:tcBorders>
              <w:top w:val="nil"/>
              <w:left w:val="nil"/>
              <w:bottom w:val="single" w:color="auto" w:sz="4" w:space="0"/>
              <w:right w:val="single" w:color="auto" w:sz="4" w:space="0"/>
            </w:tcBorders>
            <w:vAlign w:val="center"/>
          </w:tcPr>
          <w:p w14:paraId="037FC3A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7CFADD4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7710B7E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440" w:type="dxa"/>
            <w:tcBorders>
              <w:top w:val="nil"/>
              <w:left w:val="nil"/>
              <w:bottom w:val="single" w:color="auto" w:sz="4" w:space="0"/>
              <w:right w:val="single" w:color="auto" w:sz="4" w:space="0"/>
            </w:tcBorders>
            <w:vAlign w:val="center"/>
          </w:tcPr>
          <w:p w14:paraId="66E06A4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925" w:type="dxa"/>
            <w:tcBorders>
              <w:top w:val="nil"/>
              <w:left w:val="nil"/>
              <w:bottom w:val="single" w:color="auto" w:sz="4" w:space="0"/>
              <w:right w:val="single" w:color="auto" w:sz="4" w:space="0"/>
            </w:tcBorders>
            <w:vAlign w:val="center"/>
          </w:tcPr>
          <w:p w14:paraId="549DB9B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14:paraId="1473F7B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52E4EB3">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52821D8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77F0D58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3489EA1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440" w:type="dxa"/>
            <w:tcBorders>
              <w:top w:val="nil"/>
              <w:left w:val="nil"/>
              <w:bottom w:val="single" w:color="auto" w:sz="4" w:space="0"/>
              <w:right w:val="single" w:color="auto" w:sz="4" w:space="0"/>
            </w:tcBorders>
            <w:vAlign w:val="center"/>
          </w:tcPr>
          <w:p w14:paraId="55E009A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925" w:type="dxa"/>
            <w:tcBorders>
              <w:top w:val="nil"/>
              <w:left w:val="nil"/>
              <w:bottom w:val="single" w:color="auto" w:sz="4" w:space="0"/>
              <w:right w:val="single" w:color="auto" w:sz="4" w:space="0"/>
            </w:tcBorders>
            <w:vAlign w:val="center"/>
          </w:tcPr>
          <w:p w14:paraId="1C143F0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14:paraId="2711A15D">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85B650A">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零售业</w:t>
            </w:r>
          </w:p>
        </w:tc>
        <w:tc>
          <w:tcPr>
            <w:tcW w:w="1384" w:type="dxa"/>
            <w:tcBorders>
              <w:top w:val="nil"/>
              <w:left w:val="nil"/>
              <w:bottom w:val="single" w:color="auto" w:sz="4" w:space="0"/>
              <w:right w:val="single" w:color="auto" w:sz="4" w:space="0"/>
            </w:tcBorders>
            <w:vAlign w:val="center"/>
          </w:tcPr>
          <w:p w14:paraId="5FF4A54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7211EE9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6545298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440" w:type="dxa"/>
            <w:tcBorders>
              <w:top w:val="nil"/>
              <w:left w:val="nil"/>
              <w:bottom w:val="single" w:color="auto" w:sz="4" w:space="0"/>
              <w:right w:val="single" w:color="auto" w:sz="4" w:space="0"/>
            </w:tcBorders>
            <w:vAlign w:val="center"/>
          </w:tcPr>
          <w:p w14:paraId="249121E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10≤X＜50</w:t>
            </w:r>
          </w:p>
        </w:tc>
        <w:tc>
          <w:tcPr>
            <w:tcW w:w="925" w:type="dxa"/>
            <w:tcBorders>
              <w:top w:val="nil"/>
              <w:left w:val="nil"/>
              <w:bottom w:val="single" w:color="auto" w:sz="4" w:space="0"/>
              <w:right w:val="single" w:color="auto" w:sz="4" w:space="0"/>
            </w:tcBorders>
            <w:vAlign w:val="center"/>
          </w:tcPr>
          <w:p w14:paraId="09E8F80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3FC0E9FE">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9FCA090">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4E5C077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101D83B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0E9490F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440" w:type="dxa"/>
            <w:tcBorders>
              <w:top w:val="nil"/>
              <w:left w:val="nil"/>
              <w:bottom w:val="single" w:color="auto" w:sz="4" w:space="0"/>
              <w:right w:val="single" w:color="auto" w:sz="4" w:space="0"/>
            </w:tcBorders>
            <w:vAlign w:val="center"/>
          </w:tcPr>
          <w:p w14:paraId="6B66B4B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925" w:type="dxa"/>
            <w:tcBorders>
              <w:top w:val="nil"/>
              <w:left w:val="nil"/>
              <w:bottom w:val="single" w:color="auto" w:sz="4" w:space="0"/>
              <w:right w:val="single" w:color="auto" w:sz="4" w:space="0"/>
            </w:tcBorders>
            <w:vAlign w:val="center"/>
          </w:tcPr>
          <w:p w14:paraId="7144FB2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26360529">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D6D9C3E">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交通运输业</w:t>
            </w:r>
          </w:p>
        </w:tc>
        <w:tc>
          <w:tcPr>
            <w:tcW w:w="1384" w:type="dxa"/>
            <w:tcBorders>
              <w:top w:val="nil"/>
              <w:left w:val="nil"/>
              <w:bottom w:val="single" w:color="auto" w:sz="4" w:space="0"/>
              <w:right w:val="single" w:color="auto" w:sz="4" w:space="0"/>
            </w:tcBorders>
            <w:vAlign w:val="center"/>
          </w:tcPr>
          <w:p w14:paraId="0E07546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46EB823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5CDAA2C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40" w:type="dxa"/>
            <w:tcBorders>
              <w:top w:val="nil"/>
              <w:left w:val="nil"/>
              <w:bottom w:val="single" w:color="auto" w:sz="4" w:space="0"/>
              <w:right w:val="single" w:color="auto" w:sz="4" w:space="0"/>
            </w:tcBorders>
            <w:vAlign w:val="center"/>
          </w:tcPr>
          <w:p w14:paraId="5FDFADD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25" w:type="dxa"/>
            <w:tcBorders>
              <w:top w:val="nil"/>
              <w:left w:val="nil"/>
              <w:bottom w:val="single" w:color="auto" w:sz="4" w:space="0"/>
              <w:right w:val="single" w:color="auto" w:sz="4" w:space="0"/>
            </w:tcBorders>
            <w:vAlign w:val="center"/>
          </w:tcPr>
          <w:p w14:paraId="12DA0F7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7D1DE00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677A9E61">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344F333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35DAAA6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4A1DF38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440" w:type="dxa"/>
            <w:tcBorders>
              <w:top w:val="nil"/>
              <w:left w:val="nil"/>
              <w:bottom w:val="single" w:color="auto" w:sz="4" w:space="0"/>
              <w:right w:val="single" w:color="auto" w:sz="4" w:space="0"/>
            </w:tcBorders>
            <w:vAlign w:val="center"/>
          </w:tcPr>
          <w:p w14:paraId="6F54C3B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925" w:type="dxa"/>
            <w:tcBorders>
              <w:top w:val="nil"/>
              <w:left w:val="nil"/>
              <w:bottom w:val="single" w:color="auto" w:sz="4" w:space="0"/>
              <w:right w:val="single" w:color="auto" w:sz="4" w:space="0"/>
            </w:tcBorders>
            <w:vAlign w:val="center"/>
          </w:tcPr>
          <w:p w14:paraId="773FA1E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14:paraId="0636B55C">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F99F136">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仓储业</w:t>
            </w:r>
          </w:p>
        </w:tc>
        <w:tc>
          <w:tcPr>
            <w:tcW w:w="1384" w:type="dxa"/>
            <w:tcBorders>
              <w:top w:val="nil"/>
              <w:left w:val="nil"/>
              <w:bottom w:val="single" w:color="auto" w:sz="4" w:space="0"/>
              <w:right w:val="single" w:color="auto" w:sz="4" w:space="0"/>
            </w:tcBorders>
            <w:vAlign w:val="center"/>
          </w:tcPr>
          <w:p w14:paraId="0049A14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3A92D2C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6EA7B88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440" w:type="dxa"/>
            <w:tcBorders>
              <w:top w:val="nil"/>
              <w:left w:val="nil"/>
              <w:bottom w:val="single" w:color="auto" w:sz="4" w:space="0"/>
              <w:right w:val="single" w:color="auto" w:sz="4" w:space="0"/>
            </w:tcBorders>
            <w:vAlign w:val="center"/>
          </w:tcPr>
          <w:p w14:paraId="3125299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925" w:type="dxa"/>
            <w:tcBorders>
              <w:top w:val="nil"/>
              <w:left w:val="nil"/>
              <w:bottom w:val="single" w:color="auto" w:sz="4" w:space="0"/>
              <w:right w:val="single" w:color="auto" w:sz="4" w:space="0"/>
            </w:tcBorders>
            <w:vAlign w:val="center"/>
          </w:tcPr>
          <w:p w14:paraId="7905783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5060CF5E">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5E6E54F">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02FB6C5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07E9461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736A7E6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440" w:type="dxa"/>
            <w:tcBorders>
              <w:top w:val="nil"/>
              <w:left w:val="nil"/>
              <w:bottom w:val="single" w:color="auto" w:sz="4" w:space="0"/>
              <w:right w:val="single" w:color="auto" w:sz="4" w:space="0"/>
            </w:tcBorders>
            <w:vAlign w:val="center"/>
          </w:tcPr>
          <w:p w14:paraId="3B23016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25" w:type="dxa"/>
            <w:tcBorders>
              <w:top w:val="nil"/>
              <w:left w:val="nil"/>
              <w:bottom w:val="single" w:color="auto" w:sz="4" w:space="0"/>
              <w:right w:val="single" w:color="auto" w:sz="4" w:space="0"/>
            </w:tcBorders>
            <w:vAlign w:val="center"/>
          </w:tcPr>
          <w:p w14:paraId="02189F9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4642EB89">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051C08B9">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邮政业</w:t>
            </w:r>
          </w:p>
        </w:tc>
        <w:tc>
          <w:tcPr>
            <w:tcW w:w="1384" w:type="dxa"/>
            <w:tcBorders>
              <w:top w:val="nil"/>
              <w:left w:val="nil"/>
              <w:bottom w:val="single" w:color="auto" w:sz="4" w:space="0"/>
              <w:right w:val="single" w:color="auto" w:sz="4" w:space="0"/>
            </w:tcBorders>
            <w:vAlign w:val="center"/>
          </w:tcPr>
          <w:p w14:paraId="5A2FF7F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70F8CA6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1D0FA73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40" w:type="dxa"/>
            <w:tcBorders>
              <w:top w:val="nil"/>
              <w:left w:val="nil"/>
              <w:bottom w:val="single" w:color="auto" w:sz="4" w:space="0"/>
              <w:right w:val="single" w:color="auto" w:sz="4" w:space="0"/>
            </w:tcBorders>
            <w:vAlign w:val="center"/>
          </w:tcPr>
          <w:p w14:paraId="0A71C9A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25" w:type="dxa"/>
            <w:tcBorders>
              <w:top w:val="nil"/>
              <w:left w:val="nil"/>
              <w:bottom w:val="single" w:color="auto" w:sz="4" w:space="0"/>
              <w:right w:val="single" w:color="auto" w:sz="4" w:space="0"/>
            </w:tcBorders>
            <w:vAlign w:val="center"/>
          </w:tcPr>
          <w:p w14:paraId="411BCF8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0F97F97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6E42137D">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4310905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49AB410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6B72199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440" w:type="dxa"/>
            <w:tcBorders>
              <w:top w:val="nil"/>
              <w:left w:val="nil"/>
              <w:bottom w:val="single" w:color="auto" w:sz="4" w:space="0"/>
              <w:right w:val="single" w:color="auto" w:sz="4" w:space="0"/>
            </w:tcBorders>
            <w:vAlign w:val="center"/>
          </w:tcPr>
          <w:p w14:paraId="390225E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25" w:type="dxa"/>
            <w:tcBorders>
              <w:top w:val="nil"/>
              <w:left w:val="nil"/>
              <w:bottom w:val="single" w:color="auto" w:sz="4" w:space="0"/>
              <w:right w:val="single" w:color="auto" w:sz="4" w:space="0"/>
            </w:tcBorders>
            <w:vAlign w:val="center"/>
          </w:tcPr>
          <w:p w14:paraId="00DEB67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4AB8BEA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8794096">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住宿业</w:t>
            </w:r>
          </w:p>
        </w:tc>
        <w:tc>
          <w:tcPr>
            <w:tcW w:w="1384" w:type="dxa"/>
            <w:tcBorders>
              <w:top w:val="nil"/>
              <w:left w:val="nil"/>
              <w:bottom w:val="single" w:color="auto" w:sz="4" w:space="0"/>
              <w:right w:val="single" w:color="auto" w:sz="4" w:space="0"/>
            </w:tcBorders>
            <w:vAlign w:val="center"/>
          </w:tcPr>
          <w:p w14:paraId="4A55FC9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7B2885F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0DFD79D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55866D6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659646F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194F80AD">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8B68A5F">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009D7AB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0921BD4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4E40DA7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40" w:type="dxa"/>
            <w:tcBorders>
              <w:top w:val="nil"/>
              <w:left w:val="nil"/>
              <w:bottom w:val="single" w:color="auto" w:sz="4" w:space="0"/>
              <w:right w:val="single" w:color="auto" w:sz="4" w:space="0"/>
            </w:tcBorders>
            <w:vAlign w:val="center"/>
          </w:tcPr>
          <w:p w14:paraId="4C87334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25" w:type="dxa"/>
            <w:tcBorders>
              <w:top w:val="nil"/>
              <w:left w:val="nil"/>
              <w:bottom w:val="single" w:color="auto" w:sz="4" w:space="0"/>
              <w:right w:val="single" w:color="auto" w:sz="4" w:space="0"/>
            </w:tcBorders>
            <w:vAlign w:val="center"/>
          </w:tcPr>
          <w:p w14:paraId="16B787A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4C49AE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79B9C411">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餐饮业</w:t>
            </w:r>
          </w:p>
        </w:tc>
        <w:tc>
          <w:tcPr>
            <w:tcW w:w="1384" w:type="dxa"/>
            <w:tcBorders>
              <w:top w:val="nil"/>
              <w:left w:val="nil"/>
              <w:bottom w:val="single" w:color="auto" w:sz="4" w:space="0"/>
              <w:right w:val="single" w:color="auto" w:sz="4" w:space="0"/>
            </w:tcBorders>
            <w:vAlign w:val="center"/>
          </w:tcPr>
          <w:p w14:paraId="036DD64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56858B4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63BC5E6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502D827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67F2CD1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13A8C5D6">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7F377F8">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57EFED0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2942D7B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5E07A5A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40" w:type="dxa"/>
            <w:tcBorders>
              <w:top w:val="nil"/>
              <w:left w:val="nil"/>
              <w:bottom w:val="single" w:color="auto" w:sz="4" w:space="0"/>
              <w:right w:val="single" w:color="auto" w:sz="4" w:space="0"/>
            </w:tcBorders>
            <w:vAlign w:val="center"/>
          </w:tcPr>
          <w:p w14:paraId="624D2E4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25" w:type="dxa"/>
            <w:tcBorders>
              <w:top w:val="nil"/>
              <w:left w:val="nil"/>
              <w:bottom w:val="single" w:color="auto" w:sz="4" w:space="0"/>
              <w:right w:val="single" w:color="auto" w:sz="4" w:space="0"/>
            </w:tcBorders>
            <w:vAlign w:val="center"/>
          </w:tcPr>
          <w:p w14:paraId="477F35B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1C7985DA">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616E7D5D">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信息传输业</w:t>
            </w:r>
          </w:p>
        </w:tc>
        <w:tc>
          <w:tcPr>
            <w:tcW w:w="1384" w:type="dxa"/>
            <w:tcBorders>
              <w:top w:val="nil"/>
              <w:left w:val="nil"/>
              <w:bottom w:val="single" w:color="auto" w:sz="4" w:space="0"/>
              <w:right w:val="single" w:color="auto" w:sz="4" w:space="0"/>
            </w:tcBorders>
            <w:vAlign w:val="center"/>
          </w:tcPr>
          <w:p w14:paraId="0D36345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4DF044A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684965E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440" w:type="dxa"/>
            <w:tcBorders>
              <w:top w:val="nil"/>
              <w:left w:val="nil"/>
              <w:bottom w:val="single" w:color="auto" w:sz="4" w:space="0"/>
              <w:right w:val="single" w:color="auto" w:sz="4" w:space="0"/>
            </w:tcBorders>
            <w:vAlign w:val="center"/>
          </w:tcPr>
          <w:p w14:paraId="0C6C259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7348646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2341F19A">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61BE28B2">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7A4EA17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5A04957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74BB875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1440" w:type="dxa"/>
            <w:tcBorders>
              <w:top w:val="nil"/>
              <w:left w:val="nil"/>
              <w:bottom w:val="single" w:color="auto" w:sz="4" w:space="0"/>
              <w:right w:val="single" w:color="auto" w:sz="4" w:space="0"/>
            </w:tcBorders>
            <w:vAlign w:val="center"/>
          </w:tcPr>
          <w:p w14:paraId="49074E7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25" w:type="dxa"/>
            <w:tcBorders>
              <w:top w:val="nil"/>
              <w:left w:val="nil"/>
              <w:bottom w:val="single" w:color="auto" w:sz="4" w:space="0"/>
              <w:right w:val="single" w:color="auto" w:sz="4" w:space="0"/>
            </w:tcBorders>
            <w:vAlign w:val="center"/>
          </w:tcPr>
          <w:p w14:paraId="2A3EEBE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6954B754">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686FC547">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软件和信息技术服务业</w:t>
            </w:r>
          </w:p>
        </w:tc>
        <w:tc>
          <w:tcPr>
            <w:tcW w:w="1384" w:type="dxa"/>
            <w:tcBorders>
              <w:top w:val="nil"/>
              <w:left w:val="nil"/>
              <w:bottom w:val="single" w:color="auto" w:sz="4" w:space="0"/>
              <w:right w:val="single" w:color="auto" w:sz="4" w:space="0"/>
            </w:tcBorders>
            <w:vAlign w:val="center"/>
          </w:tcPr>
          <w:p w14:paraId="06EC8C0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24F74E1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11E18D7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34A5768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6BA5F1B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71E1636A">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CA6B114">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42C25CA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5D5571B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1BE81AD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440" w:type="dxa"/>
            <w:tcBorders>
              <w:top w:val="nil"/>
              <w:left w:val="nil"/>
              <w:bottom w:val="single" w:color="auto" w:sz="4" w:space="0"/>
              <w:right w:val="single" w:color="auto" w:sz="4" w:space="0"/>
            </w:tcBorders>
            <w:vAlign w:val="center"/>
          </w:tcPr>
          <w:p w14:paraId="668DEB1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925" w:type="dxa"/>
            <w:tcBorders>
              <w:top w:val="nil"/>
              <w:left w:val="nil"/>
              <w:bottom w:val="single" w:color="auto" w:sz="4" w:space="0"/>
              <w:right w:val="single" w:color="auto" w:sz="4" w:space="0"/>
            </w:tcBorders>
            <w:vAlign w:val="center"/>
          </w:tcPr>
          <w:p w14:paraId="7C272F0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65F1A471">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2B34AB5A">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房地产开发经营</w:t>
            </w:r>
          </w:p>
        </w:tc>
        <w:tc>
          <w:tcPr>
            <w:tcW w:w="1384" w:type="dxa"/>
            <w:tcBorders>
              <w:top w:val="nil"/>
              <w:left w:val="nil"/>
              <w:bottom w:val="single" w:color="auto" w:sz="4" w:space="0"/>
              <w:right w:val="single" w:color="auto" w:sz="4" w:space="0"/>
            </w:tcBorders>
            <w:vAlign w:val="center"/>
          </w:tcPr>
          <w:p w14:paraId="2D2699F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67B21C2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08F59E5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1440" w:type="dxa"/>
            <w:tcBorders>
              <w:top w:val="nil"/>
              <w:left w:val="nil"/>
              <w:bottom w:val="single" w:color="auto" w:sz="4" w:space="0"/>
              <w:right w:val="single" w:color="auto" w:sz="4" w:space="0"/>
            </w:tcBorders>
            <w:vAlign w:val="center"/>
          </w:tcPr>
          <w:p w14:paraId="61E5780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100≤X＜1000</w:t>
            </w:r>
          </w:p>
        </w:tc>
        <w:tc>
          <w:tcPr>
            <w:tcW w:w="925" w:type="dxa"/>
            <w:tcBorders>
              <w:top w:val="nil"/>
              <w:left w:val="nil"/>
              <w:bottom w:val="single" w:color="auto" w:sz="4" w:space="0"/>
              <w:right w:val="single" w:color="auto" w:sz="4" w:space="0"/>
            </w:tcBorders>
            <w:vAlign w:val="center"/>
          </w:tcPr>
          <w:p w14:paraId="768EEBD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2403282E">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BFD2A5A">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42CB04D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14:paraId="34DFB1D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259E96B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440" w:type="dxa"/>
            <w:tcBorders>
              <w:top w:val="nil"/>
              <w:left w:val="nil"/>
              <w:bottom w:val="single" w:color="auto" w:sz="4" w:space="0"/>
              <w:right w:val="single" w:color="auto" w:sz="4" w:space="0"/>
            </w:tcBorders>
            <w:vAlign w:val="center"/>
          </w:tcPr>
          <w:p w14:paraId="2325553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2000≤Y＜5000</w:t>
            </w:r>
          </w:p>
        </w:tc>
        <w:tc>
          <w:tcPr>
            <w:tcW w:w="925" w:type="dxa"/>
            <w:tcBorders>
              <w:top w:val="nil"/>
              <w:left w:val="nil"/>
              <w:bottom w:val="single" w:color="auto" w:sz="4" w:space="0"/>
              <w:right w:val="single" w:color="auto" w:sz="4" w:space="0"/>
            </w:tcBorders>
            <w:vAlign w:val="center"/>
          </w:tcPr>
          <w:p w14:paraId="4E048CD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w:t>
            </w:r>
          </w:p>
        </w:tc>
      </w:tr>
      <w:tr w14:paraId="242120DA">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63E71F9A">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物业管理</w:t>
            </w:r>
          </w:p>
        </w:tc>
        <w:tc>
          <w:tcPr>
            <w:tcW w:w="1384" w:type="dxa"/>
            <w:tcBorders>
              <w:top w:val="nil"/>
              <w:left w:val="nil"/>
              <w:bottom w:val="single" w:color="auto" w:sz="4" w:space="0"/>
              <w:right w:val="single" w:color="auto" w:sz="4" w:space="0"/>
            </w:tcBorders>
            <w:vAlign w:val="center"/>
          </w:tcPr>
          <w:p w14:paraId="6EFD097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6EB2743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68E32A1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40" w:type="dxa"/>
            <w:tcBorders>
              <w:top w:val="nil"/>
              <w:left w:val="nil"/>
              <w:bottom w:val="single" w:color="auto" w:sz="4" w:space="0"/>
              <w:right w:val="single" w:color="auto" w:sz="4" w:space="0"/>
            </w:tcBorders>
            <w:vAlign w:val="center"/>
          </w:tcPr>
          <w:p w14:paraId="2630841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925" w:type="dxa"/>
            <w:tcBorders>
              <w:top w:val="nil"/>
              <w:left w:val="nil"/>
              <w:bottom w:val="single" w:color="auto" w:sz="4" w:space="0"/>
              <w:right w:val="single" w:color="auto" w:sz="4" w:space="0"/>
            </w:tcBorders>
            <w:vAlign w:val="center"/>
          </w:tcPr>
          <w:p w14:paraId="1B0C643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52D263D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DEC06D7">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0B33FFB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14:paraId="7AD4462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02C020C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440" w:type="dxa"/>
            <w:tcBorders>
              <w:top w:val="nil"/>
              <w:left w:val="nil"/>
              <w:bottom w:val="single" w:color="auto" w:sz="4" w:space="0"/>
              <w:right w:val="single" w:color="auto" w:sz="4" w:space="0"/>
            </w:tcBorders>
            <w:vAlign w:val="center"/>
          </w:tcPr>
          <w:p w14:paraId="2780789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925" w:type="dxa"/>
            <w:tcBorders>
              <w:top w:val="nil"/>
              <w:left w:val="nil"/>
              <w:bottom w:val="single" w:color="auto" w:sz="4" w:space="0"/>
              <w:right w:val="single" w:color="auto" w:sz="4" w:space="0"/>
            </w:tcBorders>
            <w:vAlign w:val="center"/>
          </w:tcPr>
          <w:p w14:paraId="1A5D095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14:paraId="5E41CFD8">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70303902">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租赁和商务服务业</w:t>
            </w:r>
          </w:p>
        </w:tc>
        <w:tc>
          <w:tcPr>
            <w:tcW w:w="1384" w:type="dxa"/>
            <w:tcBorders>
              <w:top w:val="nil"/>
              <w:left w:val="nil"/>
              <w:bottom w:val="single" w:color="auto" w:sz="4" w:space="0"/>
              <w:right w:val="single" w:color="auto" w:sz="4" w:space="0"/>
            </w:tcBorders>
            <w:vAlign w:val="center"/>
          </w:tcPr>
          <w:p w14:paraId="6E5C816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125943E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2D06AB8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7B0CFBA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71ACC09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71AD9B49">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4EFE0ED">
            <w:pPr>
              <w:widowControl/>
              <w:jc w:val="left"/>
              <w:rPr>
                <w:rFonts w:ascii="宋体" w:hAnsi="宋体" w:cs="宋体"/>
                <w:b/>
                <w:bCs/>
                <w:color w:val="auto"/>
                <w:kern w:val="0"/>
                <w:sz w:val="18"/>
                <w:szCs w:val="18"/>
                <w:highlight w:val="none"/>
              </w:rPr>
            </w:pPr>
          </w:p>
        </w:tc>
        <w:tc>
          <w:tcPr>
            <w:tcW w:w="1384" w:type="dxa"/>
            <w:tcBorders>
              <w:top w:val="nil"/>
              <w:left w:val="nil"/>
              <w:bottom w:val="single" w:color="auto" w:sz="4" w:space="0"/>
              <w:right w:val="single" w:color="auto" w:sz="4" w:space="0"/>
            </w:tcBorders>
            <w:vAlign w:val="center"/>
          </w:tcPr>
          <w:p w14:paraId="20092C1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14:paraId="449D6D3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620" w:type="dxa"/>
            <w:tcBorders>
              <w:top w:val="nil"/>
              <w:left w:val="nil"/>
              <w:bottom w:val="single" w:color="auto" w:sz="4" w:space="0"/>
              <w:right w:val="single" w:color="auto" w:sz="4" w:space="0"/>
            </w:tcBorders>
            <w:vAlign w:val="center"/>
          </w:tcPr>
          <w:p w14:paraId="28E5EEC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1440" w:type="dxa"/>
            <w:tcBorders>
              <w:top w:val="nil"/>
              <w:left w:val="nil"/>
              <w:bottom w:val="single" w:color="auto" w:sz="4" w:space="0"/>
              <w:right w:val="single" w:color="auto" w:sz="4" w:space="0"/>
            </w:tcBorders>
            <w:vAlign w:val="center"/>
          </w:tcPr>
          <w:p w14:paraId="035CFE3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925" w:type="dxa"/>
            <w:tcBorders>
              <w:top w:val="nil"/>
              <w:left w:val="nil"/>
              <w:bottom w:val="single" w:color="auto" w:sz="4" w:space="0"/>
              <w:right w:val="single" w:color="auto" w:sz="4" w:space="0"/>
            </w:tcBorders>
            <w:vAlign w:val="center"/>
          </w:tcPr>
          <w:p w14:paraId="2994040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4C790D5">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0731E937">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其他未列明行业</w:t>
            </w:r>
          </w:p>
        </w:tc>
        <w:tc>
          <w:tcPr>
            <w:tcW w:w="1384" w:type="dxa"/>
            <w:tcBorders>
              <w:top w:val="nil"/>
              <w:left w:val="nil"/>
              <w:bottom w:val="single" w:color="auto" w:sz="4" w:space="0"/>
              <w:right w:val="single" w:color="auto" w:sz="4" w:space="0"/>
            </w:tcBorders>
            <w:vAlign w:val="center"/>
          </w:tcPr>
          <w:p w14:paraId="31374A8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14:paraId="7FECB20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620" w:type="dxa"/>
            <w:tcBorders>
              <w:top w:val="nil"/>
              <w:left w:val="nil"/>
              <w:bottom w:val="single" w:color="auto" w:sz="4" w:space="0"/>
              <w:right w:val="single" w:color="auto" w:sz="4" w:space="0"/>
            </w:tcBorders>
            <w:vAlign w:val="center"/>
          </w:tcPr>
          <w:p w14:paraId="7D0B9AC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40" w:type="dxa"/>
            <w:tcBorders>
              <w:top w:val="nil"/>
              <w:left w:val="nil"/>
              <w:bottom w:val="single" w:color="auto" w:sz="4" w:space="0"/>
              <w:right w:val="single" w:color="auto" w:sz="4" w:space="0"/>
            </w:tcBorders>
            <w:vAlign w:val="center"/>
          </w:tcPr>
          <w:p w14:paraId="087C138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14:paraId="644B48A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14:paraId="4007CAFE">
      <w:pPr>
        <w:spacing w:line="360" w:lineRule="auto"/>
        <w:ind w:firstLine="525" w:firstLineChars="250"/>
        <w:rPr>
          <w:rFonts w:ascii="宋体" w:hAnsi="宋体"/>
          <w:color w:val="auto"/>
          <w:szCs w:val="21"/>
          <w:highlight w:val="none"/>
        </w:rPr>
      </w:pPr>
    </w:p>
    <w:p w14:paraId="0624CC54">
      <w:pP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21899B7A">
      <w:pPr>
        <w:snapToGrid w:val="0"/>
        <w:spacing w:before="120" w:beforeLines="50" w:after="50"/>
        <w:ind w:left="142"/>
        <w:jc w:val="left"/>
        <w:rPr>
          <w:rFonts w:ascii="宋体" w:hAnsi="宋体"/>
          <w:b/>
          <w:color w:val="auto"/>
          <w:sz w:val="24"/>
          <w:highlight w:val="none"/>
        </w:rPr>
      </w:pPr>
    </w:p>
    <w:p w14:paraId="7931675F">
      <w:pPr>
        <w:snapToGrid w:val="0"/>
        <w:spacing w:before="120" w:beforeLines="50" w:after="50"/>
        <w:ind w:left="142"/>
        <w:jc w:val="left"/>
        <w:rPr>
          <w:rFonts w:ascii="宋体" w:hAnsi="宋体"/>
          <w:b/>
          <w:color w:val="auto"/>
          <w:sz w:val="24"/>
          <w:highlight w:val="none"/>
        </w:rPr>
      </w:pPr>
    </w:p>
    <w:p w14:paraId="4992A7BA">
      <w:pPr>
        <w:snapToGrid w:val="0"/>
        <w:spacing w:before="120" w:beforeLines="50" w:after="50"/>
        <w:ind w:left="142"/>
        <w:jc w:val="left"/>
        <w:rPr>
          <w:rFonts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3.残疾人福利性单位声明函格式</w:t>
      </w:r>
    </w:p>
    <w:p w14:paraId="3D9F4489">
      <w:pPr>
        <w:spacing w:line="588" w:lineRule="exact"/>
        <w:jc w:val="center"/>
        <w:rPr>
          <w:rFonts w:ascii="宋体" w:hAnsi="宋体"/>
          <w:b/>
          <w:color w:val="auto"/>
          <w:spacing w:val="6"/>
          <w:sz w:val="32"/>
          <w:szCs w:val="32"/>
          <w:highlight w:val="none"/>
        </w:rPr>
      </w:pPr>
    </w:p>
    <w:p w14:paraId="1D075C10">
      <w:pPr>
        <w:spacing w:line="588" w:lineRule="exact"/>
        <w:jc w:val="center"/>
        <w:rPr>
          <w:rFonts w:ascii="宋体" w:hAnsi="宋体" w:cs="方正小标宋简体"/>
          <w:bCs/>
          <w:color w:val="auto"/>
          <w:spacing w:val="6"/>
          <w:sz w:val="44"/>
          <w:szCs w:val="44"/>
          <w:highlight w:val="none"/>
        </w:rPr>
      </w:pPr>
      <w:r>
        <w:rPr>
          <w:rFonts w:hint="eastAsia" w:ascii="宋体" w:hAnsi="宋体" w:cs="方正小标宋简体"/>
          <w:bCs/>
          <w:color w:val="auto"/>
          <w:spacing w:val="6"/>
          <w:sz w:val="44"/>
          <w:szCs w:val="44"/>
          <w:highlight w:val="none"/>
        </w:rPr>
        <w:t>残疾人福利性单位声明函</w:t>
      </w:r>
    </w:p>
    <w:p w14:paraId="6189CF8B">
      <w:pPr>
        <w:spacing w:line="360" w:lineRule="auto"/>
        <w:contextualSpacing/>
        <w:rPr>
          <w:rFonts w:ascii="宋体" w:hAnsi="宋体"/>
          <w:bCs/>
          <w:color w:val="auto"/>
          <w:spacing w:val="6"/>
          <w:sz w:val="30"/>
          <w:szCs w:val="30"/>
          <w:highlight w:val="none"/>
        </w:rPr>
      </w:pPr>
    </w:p>
    <w:p w14:paraId="4CCE6AD0">
      <w:pPr>
        <w:spacing w:line="360" w:lineRule="auto"/>
        <w:ind w:firstLine="504" w:firstLineChars="200"/>
        <w:contextualSpacing/>
        <w:rPr>
          <w:rFonts w:ascii="宋体" w:hAnsi="宋体"/>
          <w:color w:val="auto"/>
          <w:spacing w:val="6"/>
          <w:sz w:val="24"/>
          <w:highlight w:val="none"/>
        </w:rPr>
      </w:pPr>
      <w:r>
        <w:rPr>
          <w:rFonts w:hint="eastAsia" w:ascii="宋体" w:hAnsi="宋体"/>
          <w:color w:val="auto"/>
          <w:spacing w:val="6"/>
          <w:sz w:val="24"/>
          <w:highlight w:val="none"/>
        </w:rPr>
        <w:t>本单位郑重声明，根据《财政部 民政部 中国残疾人联合会关于促进残疾人就业政府采购政策的通知》（财库</w:t>
      </w:r>
      <w:r>
        <w:rPr>
          <w:rFonts w:hint="eastAsia" w:ascii="宋体" w:hAnsi="宋体"/>
          <w:color w:val="auto"/>
          <w:sz w:val="24"/>
          <w:highlight w:val="none"/>
        </w:rPr>
        <w:t>〔2017〕 141</w:t>
      </w:r>
      <w:r>
        <w:rPr>
          <w:rFonts w:hint="eastAsia" w:ascii="宋体" w:hAnsi="宋体"/>
          <w:color w:val="auto"/>
          <w:spacing w:val="6"/>
          <w:sz w:val="24"/>
          <w:highlight w:val="none"/>
        </w:rPr>
        <w:t>号）的规定，本单位为符合条件的残疾人福利性单位，且本单位参加______单位的______项目采购活动提供本单位制造的货物（由本单位承担工程/提供服务），或者提供其他残</w:t>
      </w:r>
      <w:r>
        <w:rPr>
          <w:rFonts w:hint="eastAsia" w:ascii="宋体" w:hAnsi="宋体"/>
          <w:color w:val="auto"/>
          <w:spacing w:val="-6"/>
          <w:sz w:val="24"/>
          <w:highlight w:val="none"/>
        </w:rPr>
        <w:t>疾人福利性单位制造的货物（不包括使用非残疾人福利性单位注册商标的货物）。</w:t>
      </w:r>
    </w:p>
    <w:p w14:paraId="3DB87FBB">
      <w:pPr>
        <w:spacing w:line="360" w:lineRule="auto"/>
        <w:ind w:firstLine="504" w:firstLineChars="200"/>
        <w:contextualSpacing/>
        <w:rPr>
          <w:rFonts w:ascii="宋体" w:hAnsi="宋体"/>
          <w:color w:val="auto"/>
          <w:spacing w:val="6"/>
          <w:sz w:val="24"/>
          <w:highlight w:val="none"/>
        </w:rPr>
      </w:pPr>
      <w:r>
        <w:rPr>
          <w:rFonts w:hint="eastAsia" w:ascii="宋体" w:hAnsi="宋体"/>
          <w:color w:val="auto"/>
          <w:spacing w:val="6"/>
          <w:sz w:val="24"/>
          <w:highlight w:val="none"/>
        </w:rPr>
        <w:t>本单位对上述声明的真实性负责。如有虚假，将依法承担相应责任。</w:t>
      </w:r>
    </w:p>
    <w:p w14:paraId="75C6CFE2">
      <w:pPr>
        <w:spacing w:line="360" w:lineRule="auto"/>
        <w:ind w:firstLine="504" w:firstLineChars="200"/>
        <w:contextualSpacing/>
        <w:rPr>
          <w:rFonts w:ascii="宋体" w:hAnsi="宋体"/>
          <w:color w:val="auto"/>
          <w:spacing w:val="6"/>
          <w:sz w:val="24"/>
          <w:highlight w:val="none"/>
        </w:rPr>
      </w:pPr>
    </w:p>
    <w:p w14:paraId="374CD37C">
      <w:pPr>
        <w:spacing w:line="360" w:lineRule="auto"/>
        <w:ind w:firstLine="504" w:firstLineChars="200"/>
        <w:contextualSpacing/>
        <w:rPr>
          <w:rFonts w:ascii="宋体" w:hAnsi="宋体"/>
          <w:color w:val="auto"/>
          <w:spacing w:val="6"/>
          <w:sz w:val="24"/>
          <w:highlight w:val="none"/>
        </w:rPr>
      </w:pPr>
    </w:p>
    <w:p w14:paraId="65B84F35">
      <w:pPr>
        <w:tabs>
          <w:tab w:val="left" w:pos="4860"/>
        </w:tabs>
        <w:spacing w:line="360" w:lineRule="auto"/>
        <w:ind w:right="1560" w:firstLine="504" w:firstLineChars="200"/>
        <w:contextualSpacing/>
        <w:jc w:val="center"/>
        <w:rPr>
          <w:rFonts w:ascii="宋体" w:hAnsi="宋体"/>
          <w:color w:val="auto"/>
          <w:spacing w:val="6"/>
          <w:sz w:val="24"/>
          <w:highlight w:val="none"/>
        </w:rPr>
      </w:pPr>
      <w:r>
        <w:rPr>
          <w:rFonts w:hint="eastAsia" w:ascii="宋体" w:hAnsi="宋体"/>
          <w:color w:val="auto"/>
          <w:spacing w:val="6"/>
          <w:sz w:val="24"/>
          <w:highlight w:val="none"/>
        </w:rPr>
        <w:t>单位名称（盖公章）：</w:t>
      </w:r>
    </w:p>
    <w:p w14:paraId="376B990F">
      <w:pPr>
        <w:tabs>
          <w:tab w:val="left" w:pos="4860"/>
        </w:tabs>
        <w:spacing w:line="360" w:lineRule="auto"/>
        <w:ind w:right="1560" w:firstLine="504" w:firstLineChars="200"/>
        <w:contextualSpacing/>
        <w:jc w:val="center"/>
        <w:rPr>
          <w:rFonts w:ascii="宋体" w:hAnsi="宋体"/>
          <w:color w:val="auto"/>
          <w:spacing w:val="6"/>
          <w:sz w:val="24"/>
          <w:highlight w:val="none"/>
        </w:rPr>
      </w:pPr>
      <w:r>
        <w:rPr>
          <w:rFonts w:hint="eastAsia" w:ascii="宋体" w:hAnsi="宋体"/>
          <w:color w:val="auto"/>
          <w:spacing w:val="6"/>
          <w:sz w:val="24"/>
          <w:highlight w:val="none"/>
        </w:rPr>
        <w:t>日  期：</w:t>
      </w:r>
    </w:p>
    <w:p w14:paraId="3DA1967D">
      <w:pPr>
        <w:spacing w:line="360" w:lineRule="auto"/>
        <w:contextualSpacing/>
        <w:rPr>
          <w:rFonts w:ascii="宋体" w:hAnsi="宋体"/>
          <w:color w:val="auto"/>
          <w:sz w:val="24"/>
          <w:highlight w:val="none"/>
        </w:rPr>
      </w:pPr>
    </w:p>
    <w:p w14:paraId="279FE7CC">
      <w:pPr>
        <w:spacing w:line="360" w:lineRule="auto"/>
        <w:contextualSpacing/>
        <w:rPr>
          <w:rFonts w:ascii="宋体" w:hAnsi="宋体"/>
          <w:color w:val="auto"/>
          <w:sz w:val="24"/>
          <w:highlight w:val="none"/>
        </w:rPr>
      </w:pPr>
    </w:p>
    <w:p w14:paraId="36F7B2F1">
      <w:pPr>
        <w:spacing w:line="360" w:lineRule="auto"/>
        <w:contextualSpacing/>
        <w:rPr>
          <w:rFonts w:ascii="宋体" w:hAnsi="宋体"/>
          <w:color w:val="auto"/>
          <w:sz w:val="24"/>
          <w:highlight w:val="none"/>
        </w:rPr>
      </w:pPr>
    </w:p>
    <w:p w14:paraId="17B31CF7">
      <w:pPr>
        <w:spacing w:line="360" w:lineRule="auto"/>
        <w:contextualSpacing/>
        <w:rPr>
          <w:rFonts w:ascii="宋体" w:hAnsi="宋体"/>
          <w:color w:val="auto"/>
          <w:sz w:val="24"/>
          <w:highlight w:val="none"/>
        </w:rPr>
      </w:pPr>
      <w:r>
        <w:rPr>
          <w:rFonts w:hint="eastAsia" w:ascii="宋体" w:hAnsi="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746264EC">
      <w:pPr>
        <w:spacing w:line="360" w:lineRule="auto"/>
        <w:jc w:val="left"/>
        <w:rPr>
          <w:rFonts w:ascii="宋体" w:hAnsi="宋体"/>
          <w:color w:val="auto"/>
          <w:sz w:val="24"/>
          <w:highlight w:val="none"/>
        </w:rPr>
      </w:pPr>
      <w:r>
        <w:rPr>
          <w:rFonts w:ascii="宋体" w:hAnsi="宋体"/>
          <w:color w:val="auto"/>
          <w:sz w:val="24"/>
          <w:highlight w:val="none"/>
        </w:rPr>
        <w:br w:type="page"/>
      </w:r>
      <w:r>
        <w:rPr>
          <w:rFonts w:hint="eastAsia" w:ascii="宋体" w:hAnsi="宋体"/>
          <w:b/>
          <w:color w:val="auto"/>
          <w:sz w:val="24"/>
          <w:highlight w:val="none"/>
        </w:rPr>
        <w:t>4.质疑函格式</w:t>
      </w:r>
    </w:p>
    <w:p w14:paraId="1A2ECF11">
      <w:pPr>
        <w:spacing w:line="360" w:lineRule="auto"/>
        <w:jc w:val="center"/>
        <w:rPr>
          <w:rFonts w:ascii="宋体" w:hAnsi="宋体" w:cs="方正小标宋简体"/>
          <w:color w:val="auto"/>
          <w:sz w:val="44"/>
          <w:szCs w:val="44"/>
          <w:highlight w:val="none"/>
        </w:rPr>
      </w:pPr>
      <w:r>
        <w:rPr>
          <w:rFonts w:hint="eastAsia" w:ascii="宋体" w:hAnsi="宋体" w:cs="方正小标宋简体"/>
          <w:color w:val="auto"/>
          <w:sz w:val="44"/>
          <w:szCs w:val="44"/>
          <w:highlight w:val="none"/>
        </w:rPr>
        <w:t>质疑函</w:t>
      </w:r>
    </w:p>
    <w:p w14:paraId="5D758323">
      <w:pPr>
        <w:pStyle w:val="25"/>
        <w:snapToGrid w:val="0"/>
        <w:spacing w:line="400" w:lineRule="exact"/>
        <w:ind w:firstLine="482" w:firstLineChars="200"/>
        <w:rPr>
          <w:rFonts w:hAnsi="宋体"/>
          <w:b/>
          <w:bCs/>
          <w:color w:val="auto"/>
          <w:sz w:val="24"/>
          <w:szCs w:val="24"/>
          <w:highlight w:val="none"/>
        </w:rPr>
      </w:pPr>
      <w:r>
        <w:rPr>
          <w:rFonts w:hint="eastAsia" w:hAnsi="宋体"/>
          <w:b/>
          <w:bCs/>
          <w:color w:val="auto"/>
          <w:sz w:val="24"/>
          <w:szCs w:val="24"/>
          <w:highlight w:val="none"/>
        </w:rPr>
        <w:t>一、质疑供应商基本信息：</w:t>
      </w:r>
    </w:p>
    <w:p w14:paraId="4B860C9D">
      <w:pPr>
        <w:pStyle w:val="25"/>
        <w:snapToGrid w:val="0"/>
        <w:spacing w:line="40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05F79A4">
      <w:pPr>
        <w:pStyle w:val="25"/>
        <w:snapToGrid w:val="0"/>
        <w:spacing w:line="400" w:lineRule="exact"/>
        <w:ind w:firstLine="480" w:firstLineChars="200"/>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967D59D">
      <w:pPr>
        <w:pStyle w:val="25"/>
        <w:snapToGrid w:val="0"/>
        <w:spacing w:line="400" w:lineRule="exact"/>
        <w:ind w:firstLine="480" w:firstLineChars="200"/>
        <w:rPr>
          <w:rFonts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7B29E486">
      <w:pPr>
        <w:pStyle w:val="25"/>
        <w:snapToGrid w:val="0"/>
        <w:spacing w:line="400" w:lineRule="exact"/>
        <w:ind w:firstLine="480" w:firstLineChars="200"/>
        <w:rPr>
          <w:rFonts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4A8E5379">
      <w:pPr>
        <w:pStyle w:val="25"/>
        <w:snapToGrid w:val="0"/>
        <w:spacing w:line="400" w:lineRule="exact"/>
        <w:ind w:firstLine="480" w:firstLineChars="200"/>
        <w:rPr>
          <w:rFonts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7EF33D12">
      <w:pPr>
        <w:pStyle w:val="25"/>
        <w:snapToGrid w:val="0"/>
        <w:spacing w:line="400" w:lineRule="exact"/>
        <w:ind w:firstLine="480" w:firstLineChars="200"/>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19D36D8">
      <w:pPr>
        <w:pStyle w:val="25"/>
        <w:snapToGrid w:val="0"/>
        <w:spacing w:line="400" w:lineRule="exact"/>
        <w:ind w:firstLine="482" w:firstLineChars="200"/>
        <w:rPr>
          <w:rFonts w:hAnsi="宋体"/>
          <w:b/>
          <w:bCs/>
          <w:color w:val="auto"/>
          <w:sz w:val="24"/>
          <w:szCs w:val="24"/>
          <w:highlight w:val="none"/>
        </w:rPr>
      </w:pPr>
      <w:r>
        <w:rPr>
          <w:rFonts w:hint="eastAsia" w:hAnsi="宋体"/>
          <w:b/>
          <w:bCs/>
          <w:color w:val="auto"/>
          <w:sz w:val="24"/>
          <w:szCs w:val="24"/>
          <w:highlight w:val="none"/>
        </w:rPr>
        <w:t>二、质疑项目基本情况：</w:t>
      </w:r>
    </w:p>
    <w:p w14:paraId="6F5AAB35">
      <w:pPr>
        <w:pStyle w:val="25"/>
        <w:spacing w:line="400" w:lineRule="exact"/>
        <w:ind w:left="25" w:leftChars="12" w:firstLine="472" w:firstLineChars="197"/>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38DF27F5">
      <w:pPr>
        <w:pStyle w:val="25"/>
        <w:spacing w:line="400" w:lineRule="exact"/>
        <w:ind w:left="25" w:leftChars="12" w:firstLine="472" w:firstLineChars="197"/>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43172373">
      <w:pPr>
        <w:pStyle w:val="25"/>
        <w:spacing w:line="400" w:lineRule="exact"/>
        <w:ind w:left="25" w:leftChars="12" w:firstLine="472" w:firstLineChars="197"/>
        <w:rPr>
          <w:rFonts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417B4E9A">
      <w:pPr>
        <w:pStyle w:val="25"/>
        <w:spacing w:line="400" w:lineRule="exact"/>
        <w:ind w:left="25" w:leftChars="12" w:firstLine="472" w:firstLineChars="197"/>
        <w:rPr>
          <w:rFonts w:hAnsi="宋体"/>
          <w:color w:val="auto"/>
          <w:sz w:val="24"/>
          <w:szCs w:val="24"/>
          <w:highlight w:val="none"/>
        </w:rPr>
      </w:pPr>
      <w:r>
        <w:rPr>
          <w:rFonts w:hint="eastAsia" w:hAnsi="宋体"/>
          <w:color w:val="auto"/>
          <w:sz w:val="24"/>
          <w:szCs w:val="24"/>
          <w:highlight w:val="none"/>
        </w:rPr>
        <w:t>质疑事项：</w:t>
      </w:r>
    </w:p>
    <w:p w14:paraId="686B55FF">
      <w:pPr>
        <w:pStyle w:val="25"/>
        <w:spacing w:line="400" w:lineRule="exact"/>
        <w:ind w:left="25" w:leftChars="12" w:firstLine="352" w:firstLineChars="147"/>
        <w:rPr>
          <w:rFonts w:hAnsi="宋体"/>
          <w:color w:val="auto"/>
          <w:sz w:val="24"/>
          <w:szCs w:val="24"/>
          <w:highlight w:val="none"/>
        </w:rPr>
      </w:pPr>
      <w:r>
        <w:rPr>
          <w:rFonts w:hint="eastAsia" w:hAnsi="宋体"/>
          <w:color w:val="auto"/>
          <w:sz w:val="24"/>
          <w:szCs w:val="24"/>
          <w:highlight w:val="none"/>
        </w:rPr>
        <w:t>□招标文件   招标文件获取日期：</w:t>
      </w:r>
      <w:r>
        <w:rPr>
          <w:rFonts w:hint="eastAsia" w:hAnsi="宋体"/>
          <w:bCs/>
          <w:color w:val="auto"/>
          <w:sz w:val="24"/>
          <w:szCs w:val="24"/>
          <w:highlight w:val="none"/>
          <w:u w:val="single"/>
        </w:rPr>
        <w:t xml:space="preserve">                                   </w:t>
      </w:r>
    </w:p>
    <w:p w14:paraId="25AFC764">
      <w:pPr>
        <w:pStyle w:val="25"/>
        <w:spacing w:line="400" w:lineRule="exact"/>
        <w:ind w:left="25" w:leftChars="12" w:firstLine="352" w:firstLineChars="147"/>
        <w:rPr>
          <w:rFonts w:hAnsi="宋体"/>
          <w:color w:val="auto"/>
          <w:sz w:val="24"/>
          <w:szCs w:val="24"/>
          <w:highlight w:val="none"/>
        </w:rPr>
      </w:pPr>
      <w:r>
        <w:rPr>
          <w:rFonts w:hint="eastAsia" w:hAnsi="宋体"/>
          <w:color w:val="auto"/>
          <w:sz w:val="24"/>
          <w:szCs w:val="24"/>
          <w:highlight w:val="none"/>
        </w:rPr>
        <w:t xml:space="preserve">□采购过程   </w:t>
      </w:r>
    </w:p>
    <w:p w14:paraId="7A57F713">
      <w:pPr>
        <w:pStyle w:val="25"/>
        <w:spacing w:line="400" w:lineRule="exact"/>
        <w:ind w:left="25" w:leftChars="12" w:firstLine="352" w:firstLineChars="147"/>
        <w:rPr>
          <w:rFonts w:hAnsi="宋体"/>
          <w:bCs/>
          <w:color w:val="auto"/>
          <w:sz w:val="24"/>
          <w:szCs w:val="24"/>
          <w:highlight w:val="none"/>
          <w:u w:val="single"/>
        </w:rPr>
      </w:pPr>
      <w:r>
        <w:rPr>
          <w:rFonts w:hint="eastAsia" w:hAnsi="宋体"/>
          <w:color w:val="auto"/>
          <w:sz w:val="24"/>
          <w:szCs w:val="24"/>
          <w:highlight w:val="none"/>
        </w:rPr>
        <w:t xml:space="preserve">□中标结果   </w:t>
      </w:r>
    </w:p>
    <w:p w14:paraId="4C5A8C9D">
      <w:pPr>
        <w:pStyle w:val="25"/>
        <w:spacing w:line="400" w:lineRule="exact"/>
        <w:ind w:left="25" w:leftChars="12" w:firstLine="472" w:firstLineChars="196"/>
        <w:rPr>
          <w:rFonts w:hAnsi="宋体"/>
          <w:b/>
          <w:color w:val="auto"/>
          <w:sz w:val="24"/>
          <w:szCs w:val="24"/>
          <w:highlight w:val="none"/>
        </w:rPr>
      </w:pPr>
      <w:r>
        <w:rPr>
          <w:rFonts w:hint="eastAsia" w:hAnsi="宋体"/>
          <w:b/>
          <w:color w:val="auto"/>
          <w:sz w:val="24"/>
          <w:szCs w:val="24"/>
          <w:highlight w:val="none"/>
        </w:rPr>
        <w:t>三、质疑事项具体内容</w:t>
      </w:r>
    </w:p>
    <w:p w14:paraId="6E467DB2">
      <w:pPr>
        <w:pStyle w:val="25"/>
        <w:spacing w:line="400" w:lineRule="exact"/>
        <w:ind w:left="25" w:leftChars="12" w:firstLine="472" w:firstLineChars="197"/>
        <w:rPr>
          <w:rFonts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4D8B89D4">
      <w:pPr>
        <w:pStyle w:val="25"/>
        <w:spacing w:line="400" w:lineRule="exact"/>
        <w:ind w:left="25" w:leftChars="12" w:firstLine="472" w:firstLineChars="197"/>
        <w:rPr>
          <w:rFonts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695A6DAA">
      <w:pPr>
        <w:pStyle w:val="25"/>
        <w:spacing w:line="400" w:lineRule="exact"/>
        <w:ind w:left="25" w:leftChars="12" w:firstLine="472" w:firstLineChars="197"/>
        <w:rPr>
          <w:rFonts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68BEFCDA">
      <w:pPr>
        <w:pStyle w:val="25"/>
        <w:spacing w:line="400" w:lineRule="exact"/>
        <w:ind w:left="25" w:leftChars="12" w:firstLine="472" w:firstLineChars="197"/>
        <w:rPr>
          <w:rFonts w:hAnsi="宋体"/>
          <w:color w:val="auto"/>
          <w:sz w:val="24"/>
          <w:szCs w:val="24"/>
          <w:highlight w:val="none"/>
        </w:rPr>
      </w:pPr>
      <w:r>
        <w:rPr>
          <w:rFonts w:hint="eastAsia" w:hAnsi="宋体"/>
          <w:color w:val="auto"/>
          <w:sz w:val="24"/>
          <w:szCs w:val="24"/>
          <w:highlight w:val="none"/>
        </w:rPr>
        <w:t>质疑事项2</w:t>
      </w:r>
    </w:p>
    <w:p w14:paraId="34B681D7">
      <w:pPr>
        <w:pStyle w:val="25"/>
        <w:spacing w:line="400" w:lineRule="exact"/>
        <w:ind w:left="25" w:leftChars="12" w:firstLine="472" w:firstLineChars="197"/>
        <w:rPr>
          <w:rFonts w:hAnsi="宋体"/>
          <w:color w:val="auto"/>
          <w:sz w:val="24"/>
          <w:szCs w:val="24"/>
          <w:highlight w:val="none"/>
        </w:rPr>
      </w:pPr>
      <w:r>
        <w:rPr>
          <w:rFonts w:hAnsi="宋体"/>
          <w:color w:val="auto"/>
          <w:sz w:val="24"/>
          <w:szCs w:val="24"/>
          <w:highlight w:val="none"/>
        </w:rPr>
        <w:t>……</w:t>
      </w:r>
    </w:p>
    <w:p w14:paraId="089CB0BA">
      <w:pPr>
        <w:pStyle w:val="25"/>
        <w:spacing w:line="400" w:lineRule="exact"/>
        <w:ind w:left="25" w:leftChars="12" w:firstLine="472" w:firstLineChars="197"/>
        <w:rPr>
          <w:rFonts w:hAnsi="宋体"/>
          <w:color w:val="auto"/>
          <w:sz w:val="24"/>
          <w:szCs w:val="24"/>
          <w:highlight w:val="none"/>
        </w:rPr>
      </w:pPr>
      <w:r>
        <w:rPr>
          <w:rFonts w:hint="eastAsia" w:hAnsi="宋体"/>
          <w:color w:val="auto"/>
          <w:sz w:val="24"/>
          <w:szCs w:val="24"/>
          <w:highlight w:val="none"/>
        </w:rPr>
        <w:t>四、与质疑事项相关的质疑请求：</w:t>
      </w:r>
    </w:p>
    <w:p w14:paraId="5883B143">
      <w:pPr>
        <w:pStyle w:val="25"/>
        <w:spacing w:line="400" w:lineRule="exact"/>
        <w:ind w:left="25" w:leftChars="12" w:firstLine="472" w:firstLineChars="197"/>
        <w:rPr>
          <w:rFonts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415C5FB2">
      <w:pPr>
        <w:pStyle w:val="25"/>
        <w:spacing w:line="400" w:lineRule="exact"/>
        <w:ind w:left="25" w:leftChars="12" w:firstLine="352" w:firstLineChars="147"/>
        <w:rPr>
          <w:rFonts w:hAnsi="宋体"/>
          <w:color w:val="auto"/>
          <w:sz w:val="24"/>
          <w:szCs w:val="24"/>
          <w:highlight w:val="none"/>
        </w:rPr>
      </w:pPr>
    </w:p>
    <w:p w14:paraId="4E665C92">
      <w:pPr>
        <w:pStyle w:val="25"/>
        <w:spacing w:line="400" w:lineRule="exact"/>
        <w:ind w:left="25" w:leftChars="12" w:firstLine="472" w:firstLineChars="197"/>
        <w:rPr>
          <w:rFonts w:hAnsi="宋体"/>
          <w:color w:val="auto"/>
          <w:sz w:val="24"/>
          <w:szCs w:val="24"/>
          <w:highlight w:val="none"/>
        </w:rPr>
      </w:pPr>
      <w:r>
        <w:rPr>
          <w:rFonts w:hint="eastAsia" w:hAnsi="宋体"/>
          <w:color w:val="auto"/>
          <w:sz w:val="24"/>
          <w:szCs w:val="24"/>
          <w:highlight w:val="none"/>
        </w:rPr>
        <w:t>签字（签章）：                        公章：</w:t>
      </w:r>
    </w:p>
    <w:p w14:paraId="7A94D189">
      <w:pPr>
        <w:pStyle w:val="25"/>
        <w:spacing w:line="400" w:lineRule="exact"/>
        <w:ind w:left="25" w:leftChars="12" w:firstLine="352" w:firstLineChars="147"/>
        <w:rPr>
          <w:rFonts w:hAnsi="宋体"/>
          <w:color w:val="auto"/>
          <w:sz w:val="24"/>
          <w:szCs w:val="24"/>
          <w:highlight w:val="none"/>
        </w:rPr>
      </w:pPr>
    </w:p>
    <w:p w14:paraId="1851FE04">
      <w:pPr>
        <w:pStyle w:val="25"/>
        <w:spacing w:line="400" w:lineRule="exact"/>
        <w:ind w:left="25" w:leftChars="12" w:firstLine="472" w:firstLineChars="197"/>
        <w:rPr>
          <w:rFonts w:hAnsi="宋体"/>
          <w:color w:val="auto"/>
          <w:sz w:val="24"/>
          <w:szCs w:val="24"/>
          <w:highlight w:val="none"/>
        </w:rPr>
      </w:pPr>
      <w:r>
        <w:rPr>
          <w:rFonts w:hint="eastAsia" w:hAnsi="宋体"/>
          <w:color w:val="auto"/>
          <w:sz w:val="24"/>
          <w:szCs w:val="24"/>
          <w:highlight w:val="none"/>
        </w:rPr>
        <w:t>日期：</w:t>
      </w:r>
    </w:p>
    <w:p w14:paraId="13251E50">
      <w:pPr>
        <w:pStyle w:val="25"/>
        <w:snapToGrid w:val="0"/>
        <w:spacing w:line="400" w:lineRule="exact"/>
        <w:rPr>
          <w:rFonts w:hAnsi="宋体"/>
          <w:b/>
          <w:color w:val="auto"/>
          <w:sz w:val="24"/>
          <w:szCs w:val="24"/>
          <w:highlight w:val="none"/>
        </w:rPr>
      </w:pPr>
    </w:p>
    <w:p w14:paraId="140036F2">
      <w:pPr>
        <w:pStyle w:val="25"/>
        <w:snapToGrid w:val="0"/>
        <w:spacing w:line="360" w:lineRule="auto"/>
        <w:rPr>
          <w:rFonts w:hAnsi="宋体"/>
          <w:b/>
          <w:color w:val="auto"/>
          <w:sz w:val="24"/>
          <w:szCs w:val="24"/>
          <w:highlight w:val="none"/>
        </w:rPr>
      </w:pPr>
      <w:r>
        <w:rPr>
          <w:rFonts w:hint="eastAsia" w:hAnsi="宋体"/>
          <w:b/>
          <w:color w:val="auto"/>
          <w:sz w:val="24"/>
          <w:szCs w:val="24"/>
          <w:highlight w:val="none"/>
        </w:rPr>
        <w:t>说明：</w:t>
      </w:r>
    </w:p>
    <w:p w14:paraId="0D5E54F5">
      <w:pPr>
        <w:pStyle w:val="25"/>
        <w:spacing w:line="360" w:lineRule="auto"/>
        <w:ind w:left="25" w:leftChars="12" w:firstLine="354" w:firstLineChars="147"/>
        <w:rPr>
          <w:rFonts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68674E93">
      <w:pPr>
        <w:pStyle w:val="25"/>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FBA4046">
      <w:pPr>
        <w:pStyle w:val="25"/>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5538834D">
      <w:pPr>
        <w:pStyle w:val="25"/>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4.质疑函的质疑请求应与质疑事项相关。</w:t>
      </w:r>
    </w:p>
    <w:p w14:paraId="1E1D294B">
      <w:pPr>
        <w:pStyle w:val="25"/>
        <w:spacing w:line="360" w:lineRule="auto"/>
        <w:ind w:left="25" w:leftChars="12" w:firstLine="354" w:firstLineChars="147"/>
        <w:rPr>
          <w:rFonts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4359C87A">
      <w:pPr>
        <w:pStyle w:val="25"/>
        <w:snapToGrid w:val="0"/>
        <w:rPr>
          <w:rFonts w:hAnsi="宋体"/>
          <w:b/>
          <w:color w:val="auto"/>
          <w:sz w:val="24"/>
          <w:szCs w:val="24"/>
          <w:highlight w:val="none"/>
        </w:rPr>
      </w:pPr>
    </w:p>
    <w:p w14:paraId="579B57FD">
      <w:pPr>
        <w:spacing w:line="360" w:lineRule="auto"/>
        <w:jc w:val="left"/>
        <w:rPr>
          <w:rFonts w:ascii="宋体" w:hAnsi="宋体"/>
          <w:b/>
          <w:bCs/>
          <w:color w:val="auto"/>
          <w:sz w:val="32"/>
          <w:szCs w:val="32"/>
          <w:highlight w:val="none"/>
        </w:rPr>
      </w:pPr>
      <w:r>
        <w:rPr>
          <w:rFonts w:ascii="宋体" w:hAnsi="宋体"/>
          <w:color w:val="auto"/>
          <w:sz w:val="44"/>
          <w:highlight w:val="none"/>
        </w:rPr>
        <w:br w:type="page"/>
      </w:r>
      <w:r>
        <w:rPr>
          <w:rFonts w:hint="eastAsia" w:ascii="宋体" w:hAnsi="宋体"/>
          <w:b/>
          <w:color w:val="auto"/>
          <w:sz w:val="24"/>
          <w:highlight w:val="none"/>
        </w:rPr>
        <w:t>5.投诉书格式</w:t>
      </w:r>
    </w:p>
    <w:p w14:paraId="0C7ED616">
      <w:pPr>
        <w:jc w:val="center"/>
        <w:rPr>
          <w:rFonts w:ascii="宋体" w:hAnsi="宋体" w:cs="方正小标宋简体"/>
          <w:color w:val="auto"/>
          <w:sz w:val="44"/>
          <w:szCs w:val="44"/>
          <w:highlight w:val="none"/>
        </w:rPr>
      </w:pPr>
      <w:r>
        <w:rPr>
          <w:rFonts w:hint="eastAsia" w:ascii="宋体" w:hAnsi="宋体" w:cs="方正小标宋简体"/>
          <w:color w:val="auto"/>
          <w:sz w:val="44"/>
          <w:szCs w:val="44"/>
          <w:highlight w:val="none"/>
        </w:rPr>
        <w:t>投诉书</w:t>
      </w:r>
    </w:p>
    <w:p w14:paraId="00871868">
      <w:pPr>
        <w:pStyle w:val="25"/>
        <w:snapToGrid w:val="0"/>
        <w:spacing w:line="440" w:lineRule="exact"/>
        <w:ind w:firstLine="482" w:firstLineChars="200"/>
        <w:rPr>
          <w:rFonts w:hAnsi="宋体"/>
          <w:b/>
          <w:bCs/>
          <w:color w:val="auto"/>
          <w:sz w:val="24"/>
          <w:szCs w:val="24"/>
          <w:highlight w:val="none"/>
        </w:rPr>
      </w:pPr>
    </w:p>
    <w:p w14:paraId="5895666A">
      <w:pPr>
        <w:pStyle w:val="25"/>
        <w:snapToGrid w:val="0"/>
        <w:spacing w:line="440" w:lineRule="exact"/>
        <w:ind w:firstLine="482"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14:paraId="5094DDF6">
      <w:pPr>
        <w:pStyle w:val="25"/>
        <w:snapToGrid w:val="0"/>
        <w:spacing w:line="440" w:lineRule="exact"/>
        <w:ind w:firstLine="480" w:firstLineChars="200"/>
        <w:jc w:val="left"/>
        <w:rPr>
          <w:rFonts w:hAnsi="宋体"/>
          <w:bCs/>
          <w:color w:val="auto"/>
          <w:sz w:val="24"/>
          <w:szCs w:val="24"/>
          <w:highlight w:val="none"/>
          <w:u w:val="single"/>
        </w:rPr>
      </w:pPr>
      <w:r>
        <w:rPr>
          <w:rFonts w:hint="eastAsia" w:hAnsi="宋体"/>
          <w:bCs/>
          <w:color w:val="auto"/>
          <w:sz w:val="24"/>
          <w:szCs w:val="24"/>
          <w:highlight w:val="none"/>
        </w:rPr>
        <w:t>投标人：</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2461C76">
      <w:pPr>
        <w:pStyle w:val="25"/>
        <w:snapToGrid w:val="0"/>
        <w:spacing w:line="440" w:lineRule="exact"/>
        <w:ind w:firstLine="480" w:firstLineChars="200"/>
        <w:jc w:val="left"/>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71279B6">
      <w:pPr>
        <w:pStyle w:val="25"/>
        <w:snapToGrid w:val="0"/>
        <w:spacing w:line="440" w:lineRule="exact"/>
        <w:ind w:firstLine="480" w:firstLineChars="200"/>
        <w:jc w:val="left"/>
        <w:rPr>
          <w:rFonts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2A146403">
      <w:pPr>
        <w:pStyle w:val="25"/>
        <w:snapToGrid w:val="0"/>
        <w:spacing w:line="440" w:lineRule="exact"/>
        <w:ind w:firstLine="480" w:firstLineChars="200"/>
        <w:jc w:val="left"/>
        <w:rPr>
          <w:rFonts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0C6C1585">
      <w:pPr>
        <w:pStyle w:val="25"/>
        <w:snapToGrid w:val="0"/>
        <w:spacing w:line="440" w:lineRule="exact"/>
        <w:ind w:firstLine="480" w:firstLineChars="200"/>
        <w:jc w:val="left"/>
        <w:rPr>
          <w:rFonts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2AE2615E">
      <w:pPr>
        <w:pStyle w:val="25"/>
        <w:snapToGrid w:val="0"/>
        <w:spacing w:line="440" w:lineRule="exact"/>
        <w:ind w:firstLine="480" w:firstLineChars="200"/>
        <w:jc w:val="left"/>
        <w:rPr>
          <w:rFonts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7E75FA24">
      <w:pPr>
        <w:pStyle w:val="25"/>
        <w:snapToGrid w:val="0"/>
        <w:spacing w:line="440" w:lineRule="exact"/>
        <w:ind w:firstLine="480" w:firstLineChars="200"/>
        <w:jc w:val="left"/>
        <w:rPr>
          <w:rFonts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4542D49C">
      <w:pPr>
        <w:pStyle w:val="25"/>
        <w:snapToGrid w:val="0"/>
        <w:spacing w:line="440" w:lineRule="exact"/>
        <w:ind w:firstLine="480" w:firstLineChars="200"/>
        <w:jc w:val="left"/>
        <w:rPr>
          <w:rFonts w:hAnsi="宋体"/>
          <w:bCs/>
          <w:color w:val="auto"/>
          <w:sz w:val="24"/>
          <w:szCs w:val="24"/>
          <w:highlight w:val="none"/>
        </w:rPr>
      </w:pPr>
      <w:r>
        <w:rPr>
          <w:rFonts w:hint="eastAsia" w:hAnsi="宋体"/>
          <w:bCs/>
          <w:color w:val="auto"/>
          <w:sz w:val="24"/>
          <w:szCs w:val="24"/>
          <w:highlight w:val="none"/>
        </w:rPr>
        <w:t>被投诉人1：</w:t>
      </w:r>
    </w:p>
    <w:p w14:paraId="47220985">
      <w:pPr>
        <w:pStyle w:val="25"/>
        <w:snapToGrid w:val="0"/>
        <w:spacing w:line="440" w:lineRule="exact"/>
        <w:ind w:firstLine="480" w:firstLineChars="200"/>
        <w:jc w:val="left"/>
        <w:rPr>
          <w:rFonts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27CA3279">
      <w:pPr>
        <w:pStyle w:val="25"/>
        <w:snapToGrid w:val="0"/>
        <w:spacing w:line="440" w:lineRule="exact"/>
        <w:ind w:firstLine="480" w:firstLineChars="200"/>
        <w:jc w:val="left"/>
        <w:rPr>
          <w:rFonts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FCD5733">
      <w:pPr>
        <w:pStyle w:val="25"/>
        <w:snapToGrid w:val="0"/>
        <w:spacing w:line="440" w:lineRule="exact"/>
        <w:ind w:firstLine="480" w:firstLineChars="200"/>
        <w:jc w:val="left"/>
        <w:rPr>
          <w:rFonts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69CCEBAD">
      <w:pPr>
        <w:pStyle w:val="25"/>
        <w:snapToGrid w:val="0"/>
        <w:spacing w:line="440" w:lineRule="exact"/>
        <w:ind w:firstLine="480" w:firstLineChars="200"/>
        <w:jc w:val="left"/>
        <w:rPr>
          <w:rFonts w:hAnsi="宋体"/>
          <w:bCs/>
          <w:color w:val="auto"/>
          <w:sz w:val="24"/>
          <w:szCs w:val="24"/>
          <w:highlight w:val="none"/>
        </w:rPr>
      </w:pPr>
      <w:r>
        <w:rPr>
          <w:rFonts w:hint="eastAsia" w:hAnsi="宋体"/>
          <w:bCs/>
          <w:color w:val="auto"/>
          <w:sz w:val="24"/>
          <w:szCs w:val="24"/>
          <w:highlight w:val="none"/>
        </w:rPr>
        <w:t>被投诉人2：</w:t>
      </w:r>
    </w:p>
    <w:p w14:paraId="76A24EA6">
      <w:pPr>
        <w:pStyle w:val="25"/>
        <w:snapToGrid w:val="0"/>
        <w:spacing w:line="440" w:lineRule="exact"/>
        <w:ind w:firstLine="480" w:firstLineChars="200"/>
        <w:jc w:val="left"/>
        <w:rPr>
          <w:rFonts w:hAnsi="宋体"/>
          <w:bCs/>
          <w:color w:val="auto"/>
          <w:sz w:val="24"/>
          <w:szCs w:val="24"/>
          <w:highlight w:val="none"/>
        </w:rPr>
      </w:pPr>
      <w:r>
        <w:rPr>
          <w:rFonts w:hAnsi="宋体"/>
          <w:bCs/>
          <w:color w:val="auto"/>
          <w:sz w:val="24"/>
          <w:szCs w:val="24"/>
          <w:highlight w:val="none"/>
        </w:rPr>
        <w:t>……</w:t>
      </w:r>
    </w:p>
    <w:p w14:paraId="4077018B">
      <w:pPr>
        <w:pStyle w:val="25"/>
        <w:snapToGrid w:val="0"/>
        <w:spacing w:line="440" w:lineRule="exact"/>
        <w:ind w:firstLine="480" w:firstLineChars="200"/>
        <w:jc w:val="left"/>
        <w:rPr>
          <w:rFonts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474285CE">
      <w:pPr>
        <w:pStyle w:val="25"/>
        <w:snapToGrid w:val="0"/>
        <w:spacing w:line="440" w:lineRule="exact"/>
        <w:ind w:firstLine="480" w:firstLineChars="200"/>
        <w:jc w:val="left"/>
        <w:rPr>
          <w:rFonts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42C45120">
      <w:pPr>
        <w:pStyle w:val="25"/>
        <w:snapToGrid w:val="0"/>
        <w:spacing w:line="440" w:lineRule="exact"/>
        <w:ind w:firstLine="480" w:firstLineChars="200"/>
        <w:jc w:val="left"/>
        <w:rPr>
          <w:rFonts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5EE21B29">
      <w:pPr>
        <w:pStyle w:val="25"/>
        <w:snapToGrid w:val="0"/>
        <w:spacing w:line="440" w:lineRule="exact"/>
        <w:ind w:firstLine="482" w:firstLineChars="200"/>
        <w:rPr>
          <w:rFonts w:hAnsi="宋体"/>
          <w:b/>
          <w:bCs/>
          <w:color w:val="auto"/>
          <w:sz w:val="24"/>
          <w:szCs w:val="24"/>
          <w:highlight w:val="none"/>
        </w:rPr>
      </w:pPr>
      <w:r>
        <w:rPr>
          <w:rFonts w:hint="eastAsia" w:hAnsi="宋体"/>
          <w:b/>
          <w:bCs/>
          <w:color w:val="auto"/>
          <w:sz w:val="24"/>
          <w:szCs w:val="24"/>
          <w:highlight w:val="none"/>
        </w:rPr>
        <w:t>二、投诉项目基本情况：</w:t>
      </w:r>
    </w:p>
    <w:p w14:paraId="17BD1BC0">
      <w:pPr>
        <w:pStyle w:val="25"/>
        <w:spacing w:line="440" w:lineRule="exact"/>
        <w:ind w:left="25" w:leftChars="12" w:firstLine="472" w:firstLineChars="197"/>
        <w:rPr>
          <w:rFonts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07874F2B">
      <w:pPr>
        <w:pStyle w:val="25"/>
        <w:spacing w:line="440" w:lineRule="exact"/>
        <w:ind w:left="25" w:leftChars="12" w:firstLine="472" w:firstLineChars="197"/>
        <w:rPr>
          <w:rFonts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4F34AC20">
      <w:pPr>
        <w:pStyle w:val="25"/>
        <w:spacing w:line="440" w:lineRule="exact"/>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09BA0ECF">
      <w:pPr>
        <w:pStyle w:val="25"/>
        <w:spacing w:line="440" w:lineRule="exact"/>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6415BCE4">
      <w:pPr>
        <w:pStyle w:val="25"/>
        <w:spacing w:line="440" w:lineRule="exact"/>
        <w:ind w:left="25" w:leftChars="12" w:firstLine="472" w:firstLineChars="197"/>
        <w:rPr>
          <w:rFonts w:hAnsi="宋体"/>
          <w:bCs/>
          <w:color w:val="auto"/>
          <w:sz w:val="24"/>
          <w:szCs w:val="24"/>
          <w:highlight w:val="none"/>
          <w:u w:val="single"/>
        </w:rPr>
      </w:pPr>
      <w:r>
        <w:rPr>
          <w:rFonts w:hint="eastAsia" w:hAnsi="宋体"/>
          <w:bCs/>
          <w:color w:val="auto"/>
          <w:sz w:val="24"/>
          <w:szCs w:val="24"/>
          <w:highlight w:val="none"/>
        </w:rPr>
        <w:t>招标文件公告：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042D43F6">
      <w:pPr>
        <w:pStyle w:val="25"/>
        <w:spacing w:line="440" w:lineRule="exact"/>
        <w:ind w:left="25" w:leftChars="12" w:firstLine="472" w:firstLineChars="197"/>
        <w:rPr>
          <w:rFonts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4ACB27DC">
      <w:pPr>
        <w:pStyle w:val="25"/>
        <w:spacing w:line="440" w:lineRule="exact"/>
        <w:ind w:left="25" w:leftChars="12" w:firstLine="472" w:firstLineChars="196"/>
        <w:rPr>
          <w:rFonts w:hAnsi="宋体"/>
          <w:b/>
          <w:color w:val="auto"/>
          <w:sz w:val="24"/>
          <w:szCs w:val="24"/>
          <w:highlight w:val="none"/>
        </w:rPr>
      </w:pPr>
      <w:r>
        <w:rPr>
          <w:rFonts w:hint="eastAsia" w:hAnsi="宋体"/>
          <w:b/>
          <w:color w:val="auto"/>
          <w:sz w:val="24"/>
          <w:szCs w:val="24"/>
          <w:highlight w:val="none"/>
        </w:rPr>
        <w:t>三、质疑基本情况</w:t>
      </w:r>
    </w:p>
    <w:p w14:paraId="3866DDD3">
      <w:pPr>
        <w:pStyle w:val="25"/>
        <w:spacing w:line="440" w:lineRule="exact"/>
        <w:ind w:left="25" w:leftChars="12" w:firstLine="480" w:firstLineChars="200"/>
        <w:rPr>
          <w:rFonts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2BCEB898">
      <w:pPr>
        <w:pStyle w:val="25"/>
        <w:spacing w:line="440" w:lineRule="exact"/>
        <w:ind w:firstLine="241"/>
        <w:rPr>
          <w:rFonts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1A0607FA">
      <w:pPr>
        <w:pStyle w:val="25"/>
        <w:spacing w:line="440" w:lineRule="exact"/>
        <w:ind w:firstLine="241"/>
        <w:rPr>
          <w:rFonts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2DD48826">
      <w:pPr>
        <w:pStyle w:val="25"/>
        <w:spacing w:line="440" w:lineRule="exact"/>
        <w:ind w:firstLine="480" w:firstLineChars="200"/>
        <w:rPr>
          <w:rFonts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1B80A869">
      <w:pPr>
        <w:pStyle w:val="25"/>
        <w:spacing w:line="440" w:lineRule="exact"/>
        <w:ind w:left="25" w:leftChars="12" w:firstLine="472" w:firstLineChars="196"/>
        <w:rPr>
          <w:rFonts w:hAnsi="宋体"/>
          <w:b/>
          <w:color w:val="auto"/>
          <w:sz w:val="24"/>
          <w:szCs w:val="24"/>
          <w:highlight w:val="none"/>
        </w:rPr>
      </w:pPr>
      <w:r>
        <w:rPr>
          <w:rFonts w:hint="eastAsia" w:hAnsi="宋体"/>
          <w:b/>
          <w:color w:val="auto"/>
          <w:sz w:val="24"/>
          <w:szCs w:val="24"/>
          <w:highlight w:val="none"/>
        </w:rPr>
        <w:t>四、投诉事项具体内容</w:t>
      </w:r>
    </w:p>
    <w:p w14:paraId="7B9CF8A8">
      <w:pPr>
        <w:pStyle w:val="25"/>
        <w:spacing w:line="440" w:lineRule="exact"/>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4FA4C7E0">
      <w:pPr>
        <w:pStyle w:val="25"/>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453FA112">
      <w:pPr>
        <w:pStyle w:val="25"/>
        <w:spacing w:line="440" w:lineRule="exact"/>
        <w:ind w:left="25" w:leftChars="12" w:firstLine="472" w:firstLineChars="197"/>
        <w:rPr>
          <w:rFonts w:hAnsi="宋体"/>
          <w:color w:val="auto"/>
          <w:sz w:val="24"/>
          <w:szCs w:val="24"/>
          <w:highlight w:val="none"/>
        </w:rPr>
      </w:pPr>
      <w:r>
        <w:rPr>
          <w:rFonts w:hint="eastAsia" w:hAnsi="宋体"/>
          <w:bCs/>
          <w:color w:val="auto"/>
          <w:sz w:val="24"/>
          <w:szCs w:val="24"/>
          <w:highlight w:val="none"/>
          <w:u w:val="single"/>
        </w:rPr>
        <w:t xml:space="preserve">                                                                                        </w:t>
      </w:r>
    </w:p>
    <w:p w14:paraId="62B84BDF">
      <w:pPr>
        <w:pStyle w:val="25"/>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118CC231">
      <w:pPr>
        <w:pStyle w:val="25"/>
        <w:spacing w:line="440" w:lineRule="exact"/>
        <w:ind w:left="25" w:leftChars="12" w:firstLine="352" w:firstLineChars="147"/>
        <w:rPr>
          <w:rFonts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2F977FD9">
      <w:pPr>
        <w:pStyle w:val="25"/>
        <w:spacing w:line="440" w:lineRule="exact"/>
        <w:ind w:left="25" w:leftChars="12" w:firstLine="472" w:firstLineChars="197"/>
        <w:rPr>
          <w:rFonts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1CEF3E39">
      <w:pPr>
        <w:pStyle w:val="25"/>
        <w:spacing w:line="440" w:lineRule="exact"/>
        <w:ind w:left="25" w:leftChars="12" w:firstLine="472" w:firstLineChars="197"/>
        <w:rPr>
          <w:rFonts w:hAnsi="宋体"/>
          <w:bCs/>
          <w:color w:val="auto"/>
          <w:sz w:val="24"/>
          <w:szCs w:val="24"/>
          <w:highlight w:val="none"/>
        </w:rPr>
      </w:pPr>
      <w:r>
        <w:rPr>
          <w:rFonts w:hAnsi="宋体"/>
          <w:bCs/>
          <w:color w:val="auto"/>
          <w:sz w:val="24"/>
          <w:szCs w:val="24"/>
          <w:highlight w:val="none"/>
        </w:rPr>
        <w:t>……</w:t>
      </w:r>
    </w:p>
    <w:p w14:paraId="1AAF36E8">
      <w:pPr>
        <w:pStyle w:val="25"/>
        <w:spacing w:line="440" w:lineRule="exact"/>
        <w:ind w:left="25" w:leftChars="12" w:firstLine="472" w:firstLineChars="196"/>
        <w:rPr>
          <w:rFonts w:hAnsi="宋体"/>
          <w:b/>
          <w:color w:val="auto"/>
          <w:sz w:val="24"/>
          <w:szCs w:val="24"/>
          <w:highlight w:val="none"/>
        </w:rPr>
      </w:pPr>
      <w:r>
        <w:rPr>
          <w:rFonts w:hint="eastAsia" w:hAnsi="宋体"/>
          <w:b/>
          <w:color w:val="auto"/>
          <w:sz w:val="24"/>
          <w:szCs w:val="24"/>
          <w:highlight w:val="none"/>
        </w:rPr>
        <w:t>五、与投诉事项相关的投诉请求：</w:t>
      </w:r>
    </w:p>
    <w:p w14:paraId="0F99C797">
      <w:pPr>
        <w:pStyle w:val="25"/>
        <w:spacing w:line="440" w:lineRule="exact"/>
        <w:ind w:left="25" w:leftChars="12" w:firstLine="472" w:firstLineChars="197"/>
        <w:rPr>
          <w:rFonts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5755B4E8">
      <w:pPr>
        <w:pStyle w:val="25"/>
        <w:spacing w:line="440" w:lineRule="exact"/>
        <w:ind w:left="25" w:leftChars="12" w:firstLine="352" w:firstLineChars="147"/>
        <w:rPr>
          <w:rFonts w:hAnsi="宋体"/>
          <w:color w:val="auto"/>
          <w:sz w:val="24"/>
          <w:szCs w:val="24"/>
          <w:highlight w:val="none"/>
        </w:rPr>
      </w:pPr>
    </w:p>
    <w:p w14:paraId="3EDFCA64">
      <w:pPr>
        <w:pStyle w:val="25"/>
        <w:spacing w:line="440" w:lineRule="exact"/>
        <w:ind w:left="25" w:leftChars="12" w:firstLine="472" w:firstLineChars="197"/>
        <w:rPr>
          <w:rFonts w:hAnsi="宋体"/>
          <w:color w:val="auto"/>
          <w:sz w:val="24"/>
          <w:szCs w:val="24"/>
          <w:highlight w:val="none"/>
        </w:rPr>
      </w:pPr>
      <w:r>
        <w:rPr>
          <w:rFonts w:hint="eastAsia" w:hAnsi="宋体"/>
          <w:color w:val="auto"/>
          <w:sz w:val="24"/>
          <w:szCs w:val="24"/>
          <w:highlight w:val="none"/>
        </w:rPr>
        <w:t>签字（签章）：                      公章：</w:t>
      </w:r>
    </w:p>
    <w:p w14:paraId="3FB9E8BC">
      <w:pPr>
        <w:pStyle w:val="25"/>
        <w:spacing w:line="440" w:lineRule="exact"/>
        <w:ind w:left="25" w:leftChars="12" w:firstLine="352" w:firstLineChars="147"/>
        <w:rPr>
          <w:rFonts w:hAnsi="宋体"/>
          <w:color w:val="auto"/>
          <w:sz w:val="24"/>
          <w:szCs w:val="24"/>
          <w:highlight w:val="none"/>
        </w:rPr>
      </w:pPr>
    </w:p>
    <w:p w14:paraId="628DE57A">
      <w:pPr>
        <w:pStyle w:val="25"/>
        <w:spacing w:line="440" w:lineRule="exact"/>
        <w:ind w:left="25" w:leftChars="12" w:firstLine="472" w:firstLineChars="197"/>
        <w:rPr>
          <w:rFonts w:hAnsi="宋体"/>
          <w:color w:val="auto"/>
          <w:sz w:val="24"/>
          <w:szCs w:val="24"/>
          <w:highlight w:val="none"/>
        </w:rPr>
      </w:pPr>
      <w:r>
        <w:rPr>
          <w:rFonts w:hint="eastAsia" w:hAnsi="宋体"/>
          <w:color w:val="auto"/>
          <w:sz w:val="24"/>
          <w:szCs w:val="24"/>
          <w:highlight w:val="none"/>
        </w:rPr>
        <w:t>日期：</w:t>
      </w:r>
    </w:p>
    <w:p w14:paraId="7683926B">
      <w:pPr>
        <w:pStyle w:val="25"/>
        <w:spacing w:line="440" w:lineRule="exact"/>
        <w:ind w:left="25" w:leftChars="12" w:firstLine="472" w:firstLineChars="197"/>
        <w:rPr>
          <w:rFonts w:hAnsi="宋体"/>
          <w:color w:val="auto"/>
          <w:sz w:val="24"/>
          <w:szCs w:val="24"/>
          <w:highlight w:val="none"/>
        </w:rPr>
      </w:pPr>
      <w:r>
        <w:rPr>
          <w:rFonts w:hint="eastAsia" w:hAnsi="宋体"/>
          <w:bCs/>
          <w:color w:val="auto"/>
          <w:sz w:val="24"/>
          <w:szCs w:val="24"/>
          <w:highlight w:val="none"/>
        </w:rPr>
        <w:t xml:space="preserve">                                                                              </w:t>
      </w:r>
    </w:p>
    <w:p w14:paraId="1C3BAACF">
      <w:pPr>
        <w:pStyle w:val="25"/>
        <w:snapToGrid w:val="0"/>
        <w:spacing w:line="440" w:lineRule="exact"/>
        <w:rPr>
          <w:rFonts w:hAnsi="宋体"/>
          <w:b/>
          <w:color w:val="auto"/>
          <w:sz w:val="24"/>
          <w:szCs w:val="24"/>
          <w:highlight w:val="none"/>
        </w:rPr>
      </w:pPr>
      <w:r>
        <w:rPr>
          <w:rFonts w:hint="eastAsia" w:hAnsi="宋体"/>
          <w:b/>
          <w:color w:val="auto"/>
          <w:sz w:val="24"/>
          <w:szCs w:val="24"/>
          <w:highlight w:val="none"/>
        </w:rPr>
        <w:t>说明：</w:t>
      </w:r>
    </w:p>
    <w:p w14:paraId="3D2364AA">
      <w:pPr>
        <w:pStyle w:val="25"/>
        <w:spacing w:line="440" w:lineRule="exact"/>
        <w:ind w:left="25" w:leftChars="12" w:firstLine="354" w:firstLineChars="147"/>
        <w:rPr>
          <w:rFonts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0CE4E670">
      <w:pPr>
        <w:pStyle w:val="25"/>
        <w:spacing w:line="440" w:lineRule="exact"/>
        <w:ind w:left="25" w:leftChars="12" w:firstLine="354" w:firstLineChars="147"/>
        <w:rPr>
          <w:rFonts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353CF5CA">
      <w:pPr>
        <w:pStyle w:val="25"/>
        <w:spacing w:line="440" w:lineRule="exact"/>
        <w:ind w:left="25" w:leftChars="12" w:firstLine="354" w:firstLineChars="147"/>
        <w:rPr>
          <w:rFonts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6540A9AD">
      <w:pPr>
        <w:pStyle w:val="25"/>
        <w:spacing w:line="440" w:lineRule="exact"/>
        <w:ind w:left="25" w:leftChars="12" w:firstLine="354" w:firstLineChars="147"/>
        <w:rPr>
          <w:rFonts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5B23CE06">
      <w:pPr>
        <w:pStyle w:val="25"/>
        <w:spacing w:line="440" w:lineRule="exact"/>
        <w:ind w:left="25" w:leftChars="12" w:firstLine="354" w:firstLineChars="147"/>
        <w:rPr>
          <w:rFonts w:hAnsi="宋体"/>
          <w:b/>
          <w:color w:val="auto"/>
          <w:sz w:val="24"/>
          <w:szCs w:val="24"/>
          <w:highlight w:val="none"/>
        </w:rPr>
      </w:pPr>
      <w:r>
        <w:rPr>
          <w:rFonts w:hint="eastAsia" w:hAnsi="宋体"/>
          <w:b/>
          <w:color w:val="auto"/>
          <w:sz w:val="24"/>
          <w:szCs w:val="24"/>
          <w:highlight w:val="none"/>
        </w:rPr>
        <w:t>5.投诉书的投诉请求应与投诉事项相关。</w:t>
      </w:r>
    </w:p>
    <w:p w14:paraId="4807F586">
      <w:pPr>
        <w:pStyle w:val="25"/>
        <w:spacing w:line="440" w:lineRule="exact"/>
        <w:ind w:left="25" w:leftChars="12" w:firstLine="354" w:firstLineChars="147"/>
        <w:rPr>
          <w:rFonts w:hAnsi="宋体"/>
          <w:b/>
          <w:color w:val="auto"/>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sectPr>
      <w:footerReference r:id="rId15" w:type="first"/>
      <w:headerReference r:id="rId12" w:type="default"/>
      <w:footerReference r:id="rId13" w:type="default"/>
      <w:footerReference r:id="rId14" w:type="even"/>
      <w:pgSz w:w="11906" w:h="16838"/>
      <w:pgMar w:top="1440" w:right="1797" w:bottom="1440" w:left="1797"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6F71DEA-AADE-4929-BF07-07244D976FD5}"/>
  </w:font>
  <w:font w:name="黑体">
    <w:panose1 w:val="02010609060101010101"/>
    <w:charset w:val="86"/>
    <w:family w:val="auto"/>
    <w:pitch w:val="default"/>
    <w:sig w:usb0="800002BF" w:usb1="38CF7CFA" w:usb2="00000016" w:usb3="00000000" w:csb0="00040001" w:csb1="00000000"/>
    <w:embedRegular r:id="rId2" w:fontKey="{FD95667D-445E-444F-ACB3-2F222E890672}"/>
  </w:font>
  <w:font w:name="Courier New">
    <w:panose1 w:val="02070309020205020404"/>
    <w:charset w:val="01"/>
    <w:family w:val="modern"/>
    <w:pitch w:val="default"/>
    <w:sig w:usb0="E0002EFF" w:usb1="C0007843" w:usb2="00000009" w:usb3="00000000" w:csb0="400001FF" w:csb1="FFFF0000"/>
    <w:embedRegular r:id="rId3" w:fontKey="{1FFC12BB-9F67-4D41-8D2B-F6202B1B39B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4" w:fontKey="{68D629DE-17BF-44C3-8901-FFE86AB5AFE1}"/>
  </w:font>
  <w:font w:name="Cambria">
    <w:panose1 w:val="02040503050406030204"/>
    <w:charset w:val="00"/>
    <w:family w:val="roman"/>
    <w:pitch w:val="default"/>
    <w:sig w:usb0="E00006FF" w:usb1="420024FF" w:usb2="02000000" w:usb3="00000000" w:csb0="2000019F" w:csb1="00000000"/>
  </w:font>
  <w:font w:name="_x000B__x000C_">
    <w:altName w:val="Times New Roman"/>
    <w:panose1 w:val="00000000000000000000"/>
    <w:charset w:val="00"/>
    <w:family w:val="roman"/>
    <w:pitch w:val="default"/>
    <w:sig w:usb0="00000000" w:usb1="00000000" w:usb2="00000000" w:usb3="00000000" w:csb0="00040001" w:csb1="00000000"/>
  </w:font>
  <w:font w:name="Century">
    <w:panose1 w:val="02040604050505020304"/>
    <w:charset w:val="00"/>
    <w:family w:val="roman"/>
    <w:pitch w:val="default"/>
    <w:sig w:usb0="00000287" w:usb1="00000000" w:usb2="00000000" w:usb3="00000000" w:csb0="2000009F" w:csb1="DFD70000"/>
  </w:font>
  <w:font w:name="Arial Unicode MS">
    <w:panose1 w:val="020B0604020202020204"/>
    <w:charset w:val="86"/>
    <w:family w:val="swiss"/>
    <w:pitch w:val="default"/>
    <w:sig w:usb0="FFFFFFFF" w:usb1="E9FFFFFF" w:usb2="0000003F" w:usb3="00000000" w:csb0="603F01FF" w:csb1="FFFF0000"/>
    <w:embedRegular r:id="rId5" w:fontKey="{885A4FCD-6B71-44F7-B112-6068D897F3DB}"/>
  </w:font>
  <w:font w:name="Tahoma">
    <w:panose1 w:val="020B0604030504040204"/>
    <w:charset w:val="00"/>
    <w:family w:val="swiss"/>
    <w:pitch w:val="default"/>
    <w:sig w:usb0="E1002EFF" w:usb1="C000605B" w:usb2="00000029" w:usb3="00000000" w:csb0="200101FF" w:csb1="20280000"/>
  </w:font>
  <w:font w:name="MS Mincho">
    <w:panose1 w:val="02020609040205080304"/>
    <w:charset w:val="80"/>
    <w:family w:val="modern"/>
    <w:pitch w:val="default"/>
    <w:sig w:usb0="E00002FF" w:usb1="6AC7FDFB" w:usb2="08000012" w:usb3="00000000" w:csb0="4002009F" w:csb1="DFD70000"/>
    <w:embedRegular r:id="rId6" w:fontKey="{854468DD-A73F-44BD-BCD1-D9941E9859B9}"/>
  </w:font>
  <w:font w:name="Helvetica">
    <w:panose1 w:val="020B0604020202020204"/>
    <w:charset w:val="00"/>
    <w:family w:val="swiss"/>
    <w:pitch w:val="default"/>
    <w:sig w:usb0="00000000" w:usb1="00000000" w:usb2="00000000" w:usb3="00000000" w:csb0="00000000" w:csb1="00000000"/>
    <w:embedRegular r:id="rId7" w:fontKey="{A088353E-965A-4E0F-8FE6-D6F1E3872334}"/>
  </w:font>
  <w:font w:name="华文中宋">
    <w:panose1 w:val="02010600040101010101"/>
    <w:charset w:val="86"/>
    <w:family w:val="auto"/>
    <w:pitch w:val="default"/>
    <w:sig w:usb0="00000287" w:usb1="080F0000" w:usb2="00000000" w:usb3="00000000" w:csb0="0004009F" w:csb1="DFD70000"/>
    <w:embedRegular r:id="rId8" w:fontKey="{63CD4830-6C9C-4960-9AE8-4B71B4868370}"/>
  </w:font>
  <w:font w:name="微软雅黑">
    <w:panose1 w:val="020B0503020204020204"/>
    <w:charset w:val="86"/>
    <w:family w:val="auto"/>
    <w:pitch w:val="default"/>
    <w:sig w:usb0="80000287" w:usb1="2ACF3C50" w:usb2="00000016" w:usb3="00000000" w:csb0="0004001F" w:csb1="00000000"/>
    <w:embedRegular r:id="rId9" w:fontKey="{FDC6551A-8FC9-4EBA-8294-5EAD9B6F21A8}"/>
  </w:font>
  <w:font w:name="方正小标宋简体">
    <w:panose1 w:val="02000000000000000000"/>
    <w:charset w:val="86"/>
    <w:family w:val="auto"/>
    <w:pitch w:val="default"/>
    <w:sig w:usb0="A00002BF" w:usb1="184F6CFA" w:usb2="00000012" w:usb3="00000000" w:csb0="00040001" w:csb1="00000000"/>
    <w:embedRegular r:id="rId10" w:fontKey="{CD942F0C-2AF2-4691-BC89-0FDB1A08861F}"/>
  </w:font>
  <w:font w:name="WPSEMBED1">
    <w:panose1 w:val="020B0604020202020204"/>
    <w:charset w:val="86"/>
    <w:family w:val="auto"/>
    <w:pitch w:val="default"/>
    <w:sig w:usb0="FFFFFFFF" w:usb1="E9FFFFFF" w:usb2="0000003F" w:usb3="00000000" w:csb0="603F01FF" w:csb1="FFFF0000"/>
  </w:font>
  <w:font w:name="WPSEMBED2">
    <w:panose1 w:val="020206090402050803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032C9">
    <w:pPr>
      <w:pStyle w:val="31"/>
      <w:framePr w:wrap="around" w:vAnchor="text" w:hAnchor="margin" w:xAlign="center" w:y="1"/>
      <w:rPr>
        <w:rStyle w:val="50"/>
      </w:rPr>
    </w:pPr>
    <w:r>
      <w:fldChar w:fldCharType="begin"/>
    </w:r>
    <w:r>
      <w:rPr>
        <w:rStyle w:val="50"/>
      </w:rPr>
      <w:instrText xml:space="preserve">PAGE  </w:instrText>
    </w:r>
    <w:r>
      <w:fldChar w:fldCharType="end"/>
    </w:r>
  </w:p>
  <w:p w14:paraId="6343FF83">
    <w:pPr>
      <w:pStyle w:val="3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B1289">
    <w:pPr>
      <w:pStyle w:val="31"/>
      <w:ind w:right="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DAB7A">
    <w:pPr>
      <w:pStyle w:val="31"/>
      <w:ind w:right="36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CBCED">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3F9B0">
    <w:pPr>
      <w:pStyle w:val="31"/>
      <w:ind w:right="360"/>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979D8F">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6979D8F">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F0C28">
    <w:pPr>
      <w:pStyle w:val="3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F66C6">
    <w:pPr>
      <w:pStyle w:val="3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E7A9B2">
                          <w:pPr>
                            <w:pStyle w:val="3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EE7A9B2">
                    <w:pPr>
                      <w:pStyle w:val="3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8EFFA">
    <w:pPr>
      <w:pStyle w:val="31"/>
      <w:ind w:right="360"/>
      <w:jc w:val="both"/>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7A7745">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07A7745">
                    <w:pPr>
                      <w:pStyle w:val="3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93E74">
    <w:pPr>
      <w:pStyle w:val="3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5FA1D2">
                          <w:pPr>
                            <w:pStyle w:val="31"/>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5FA1D2">
                    <w:pPr>
                      <w:pStyle w:val="31"/>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6D175">
    <w:pPr>
      <w:pStyle w:val="31"/>
      <w:framePr w:wrap="around" w:vAnchor="text" w:hAnchor="margin" w:xAlign="center" w:y="1"/>
      <w:rPr>
        <w:rStyle w:val="50"/>
      </w:rPr>
    </w:pPr>
    <w:r>
      <w:fldChar w:fldCharType="begin"/>
    </w:r>
    <w:r>
      <w:rPr>
        <w:rStyle w:val="50"/>
      </w:rPr>
      <w:instrText xml:space="preserve">PAGE  </w:instrText>
    </w:r>
    <w:r>
      <w:fldChar w:fldCharType="end"/>
    </w:r>
  </w:p>
  <w:p w14:paraId="22BB13D8">
    <w:pPr>
      <w:pStyle w:val="3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7D872">
    <w:pPr>
      <w:pStyle w:val="3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0DF42">
    <w:pPr>
      <w:pStyle w:val="32"/>
      <w:pBdr>
        <w:bottom w:val="none" w:color="auto" w:sz="0" w:space="0"/>
      </w:pBdr>
      <w:tabs>
        <w:tab w:val="center" w:pos="4153"/>
        <w:tab w:val="right" w:pos="8306"/>
        <w:tab w:val="clear" w:pos="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35719">
    <w:pPr>
      <w:pStyle w:val="3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824754"/>
    <w:multiLevelType w:val="singleLevel"/>
    <w:tmpl w:val="92824754"/>
    <w:lvl w:ilvl="0" w:tentative="0">
      <w:start w:val="8"/>
      <w:numFmt w:val="decimal"/>
      <w:suff w:val="space"/>
      <w:lvlText w:val="%1."/>
      <w:lvlJc w:val="left"/>
    </w:lvl>
  </w:abstractNum>
  <w:abstractNum w:abstractNumId="1">
    <w:nsid w:val="FFFFFF7E"/>
    <w:multiLevelType w:val="singleLevel"/>
    <w:tmpl w:val="FFFFFF7E"/>
    <w:lvl w:ilvl="0" w:tentative="0">
      <w:start w:val="1"/>
      <w:numFmt w:val="decimal"/>
      <w:pStyle w:val="21"/>
      <w:lvlText w:val="%1."/>
      <w:lvlJc w:val="left"/>
      <w:pPr>
        <w:tabs>
          <w:tab w:val="left" w:pos="1200"/>
        </w:tabs>
        <w:ind w:left="1200" w:hanging="360"/>
      </w:pPr>
    </w:lvl>
  </w:abstractNum>
  <w:abstractNum w:abstractNumId="2">
    <w:nsid w:val="0A9D3FE2"/>
    <w:multiLevelType w:val="singleLevel"/>
    <w:tmpl w:val="0A9D3FE2"/>
    <w:lvl w:ilvl="0" w:tentative="0">
      <w:start w:val="5"/>
      <w:numFmt w:val="decimal"/>
      <w:suff w:val="space"/>
      <w:lvlText w:val="%1."/>
      <w:lvlJc w:val="left"/>
    </w:lvl>
  </w:abstractNum>
  <w:abstractNum w:abstractNumId="3">
    <w:nsid w:val="1F9CB027"/>
    <w:multiLevelType w:val="singleLevel"/>
    <w:tmpl w:val="1F9CB027"/>
    <w:lvl w:ilvl="0" w:tentative="0">
      <w:start w:val="2"/>
      <w:numFmt w:val="decimal"/>
      <w:suff w:val="space"/>
      <w:lvlText w:val="%1."/>
      <w:lvlJc w:val="left"/>
    </w:lvl>
  </w:abstractNum>
  <w:abstractNum w:abstractNumId="4">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8"/>
      <w:suff w:val="nothing"/>
      <w:lvlText w:val=""/>
      <w:lvlJc w:val="left"/>
      <w:pPr>
        <w:ind w:left="0" w:firstLine="0"/>
      </w:pPr>
      <w:rPr>
        <w:rFonts w:hint="eastAsia"/>
      </w:rPr>
    </w:lvl>
    <w:lvl w:ilvl="5" w:tentative="0">
      <w:start w:val="1"/>
      <w:numFmt w:val="none"/>
      <w:pStyle w:val="10"/>
      <w:suff w:val="nothing"/>
      <w:lvlText w:val=""/>
      <w:lvlJc w:val="left"/>
      <w:pPr>
        <w:ind w:left="0" w:firstLine="0"/>
      </w:pPr>
      <w:rPr>
        <w:rFonts w:hint="eastAsia"/>
      </w:rPr>
    </w:lvl>
    <w:lvl w:ilvl="6" w:tentative="0">
      <w:start w:val="1"/>
      <w:numFmt w:val="none"/>
      <w:pStyle w:val="11"/>
      <w:suff w:val="nothing"/>
      <w:lvlText w:val=""/>
      <w:lvlJc w:val="left"/>
      <w:pPr>
        <w:ind w:left="0" w:firstLine="0"/>
      </w:pPr>
      <w:rPr>
        <w:rFonts w:hint="eastAsia"/>
      </w:rPr>
    </w:lvl>
    <w:lvl w:ilvl="7" w:tentative="0">
      <w:start w:val="1"/>
      <w:numFmt w:val="none"/>
      <w:pStyle w:val="12"/>
      <w:suff w:val="nothing"/>
      <w:lvlText w:val=""/>
      <w:lvlJc w:val="left"/>
      <w:pPr>
        <w:ind w:left="0" w:firstLine="0"/>
      </w:pPr>
      <w:rPr>
        <w:rFonts w:hint="eastAsia"/>
      </w:rPr>
    </w:lvl>
    <w:lvl w:ilvl="8" w:tentative="0">
      <w:start w:val="1"/>
      <w:numFmt w:val="none"/>
      <w:pStyle w:val="13"/>
      <w:suff w:val="nothing"/>
      <w:lvlText w:val=""/>
      <w:lvlJc w:val="left"/>
      <w:pPr>
        <w:ind w:left="0" w:firstLine="0"/>
      </w:pPr>
      <w:rPr>
        <w:rFonts w:hint="eastAsia"/>
      </w:rPr>
    </w:lvl>
  </w:abstractNum>
  <w:abstractNum w:abstractNumId="5">
    <w:nsid w:val="4C601917"/>
    <w:multiLevelType w:val="singleLevel"/>
    <w:tmpl w:val="4C601917"/>
    <w:lvl w:ilvl="0" w:tentative="0">
      <w:start w:val="1"/>
      <w:numFmt w:val="decimal"/>
      <w:suff w:val="nothing"/>
      <w:lvlText w:val="（%1）"/>
      <w:lvlJc w:val="left"/>
      <w:pPr>
        <w:ind w:left="-2"/>
      </w:pPr>
    </w:lvl>
  </w:abstractNum>
  <w:abstractNum w:abstractNumId="6">
    <w:nsid w:val="5FABD14B"/>
    <w:multiLevelType w:val="singleLevel"/>
    <w:tmpl w:val="5FABD14B"/>
    <w:lvl w:ilvl="0" w:tentative="0">
      <w:start w:val="1"/>
      <w:numFmt w:val="decimal"/>
      <w:suff w:val="nothing"/>
      <w:lvlText w:val="（%1）"/>
      <w:lvlJc w:val="left"/>
    </w:lvl>
  </w:abstractNum>
  <w:abstractNum w:abstractNumId="7">
    <w:nsid w:val="763060DB"/>
    <w:multiLevelType w:val="multilevel"/>
    <w:tmpl w:val="763060DB"/>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num w:numId="1">
    <w:abstractNumId w:val="4"/>
  </w:num>
  <w:num w:numId="2">
    <w:abstractNumId w:val="1"/>
  </w:num>
  <w:num w:numId="3">
    <w:abstractNumId w:val="0"/>
  </w:num>
  <w:num w:numId="4">
    <w:abstractNumId w:val="5"/>
  </w:num>
  <w:num w:numId="5">
    <w:abstractNumId w:val="6"/>
  </w:num>
  <w:num w:numId="6">
    <w:abstractNumId w:val="3"/>
  </w:num>
  <w:num w:numId="7">
    <w:abstractNumId w:val="2"/>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EzNWM1OGFlNDQxYzRkODZlYWNlNzdhYTAzNWZmOTYifQ=="/>
  </w:docVars>
  <w:rsids>
    <w:rsidRoot w:val="00F9008B"/>
    <w:rsid w:val="0000010C"/>
    <w:rsid w:val="000004FE"/>
    <w:rsid w:val="00000C9E"/>
    <w:rsid w:val="00000FE0"/>
    <w:rsid w:val="00001068"/>
    <w:rsid w:val="0000114A"/>
    <w:rsid w:val="00001731"/>
    <w:rsid w:val="00001C2D"/>
    <w:rsid w:val="00001C55"/>
    <w:rsid w:val="00001CA8"/>
    <w:rsid w:val="00001FAE"/>
    <w:rsid w:val="00002291"/>
    <w:rsid w:val="00002DBF"/>
    <w:rsid w:val="00002EC0"/>
    <w:rsid w:val="00003224"/>
    <w:rsid w:val="000033F5"/>
    <w:rsid w:val="00003478"/>
    <w:rsid w:val="0000358C"/>
    <w:rsid w:val="0000361D"/>
    <w:rsid w:val="000036DF"/>
    <w:rsid w:val="00003BEF"/>
    <w:rsid w:val="00003C36"/>
    <w:rsid w:val="00004130"/>
    <w:rsid w:val="0000431F"/>
    <w:rsid w:val="00004634"/>
    <w:rsid w:val="00004A4A"/>
    <w:rsid w:val="00004D8B"/>
    <w:rsid w:val="000059E2"/>
    <w:rsid w:val="000061EA"/>
    <w:rsid w:val="00006AE7"/>
    <w:rsid w:val="00006B9B"/>
    <w:rsid w:val="00006BCA"/>
    <w:rsid w:val="00006C35"/>
    <w:rsid w:val="000072B1"/>
    <w:rsid w:val="00007329"/>
    <w:rsid w:val="00007E28"/>
    <w:rsid w:val="00007E84"/>
    <w:rsid w:val="00010401"/>
    <w:rsid w:val="000105A1"/>
    <w:rsid w:val="000107AD"/>
    <w:rsid w:val="00010835"/>
    <w:rsid w:val="000117D5"/>
    <w:rsid w:val="00011842"/>
    <w:rsid w:val="00012137"/>
    <w:rsid w:val="000121FF"/>
    <w:rsid w:val="00012456"/>
    <w:rsid w:val="000125B8"/>
    <w:rsid w:val="00012692"/>
    <w:rsid w:val="00012705"/>
    <w:rsid w:val="00013446"/>
    <w:rsid w:val="00013509"/>
    <w:rsid w:val="000135BC"/>
    <w:rsid w:val="000135DC"/>
    <w:rsid w:val="000136D6"/>
    <w:rsid w:val="00014085"/>
    <w:rsid w:val="00014D89"/>
    <w:rsid w:val="00014DD9"/>
    <w:rsid w:val="00014E28"/>
    <w:rsid w:val="00014EE0"/>
    <w:rsid w:val="000151E4"/>
    <w:rsid w:val="00015577"/>
    <w:rsid w:val="000156E4"/>
    <w:rsid w:val="000159A7"/>
    <w:rsid w:val="00015FB8"/>
    <w:rsid w:val="0001609F"/>
    <w:rsid w:val="0001635B"/>
    <w:rsid w:val="00016549"/>
    <w:rsid w:val="00016814"/>
    <w:rsid w:val="00016BF7"/>
    <w:rsid w:val="0001720C"/>
    <w:rsid w:val="0001767E"/>
    <w:rsid w:val="0001776D"/>
    <w:rsid w:val="00017F31"/>
    <w:rsid w:val="00020607"/>
    <w:rsid w:val="0002103A"/>
    <w:rsid w:val="000217E4"/>
    <w:rsid w:val="00021852"/>
    <w:rsid w:val="00021A12"/>
    <w:rsid w:val="000223BF"/>
    <w:rsid w:val="00022622"/>
    <w:rsid w:val="00023363"/>
    <w:rsid w:val="000235F3"/>
    <w:rsid w:val="00023644"/>
    <w:rsid w:val="00023712"/>
    <w:rsid w:val="00024E3C"/>
    <w:rsid w:val="00024EB0"/>
    <w:rsid w:val="00025604"/>
    <w:rsid w:val="00025DAF"/>
    <w:rsid w:val="0002646A"/>
    <w:rsid w:val="0002651D"/>
    <w:rsid w:val="00026CFD"/>
    <w:rsid w:val="00027C8B"/>
    <w:rsid w:val="00027CD9"/>
    <w:rsid w:val="00030242"/>
    <w:rsid w:val="00030B06"/>
    <w:rsid w:val="0003183A"/>
    <w:rsid w:val="00031CDC"/>
    <w:rsid w:val="00032461"/>
    <w:rsid w:val="0003263B"/>
    <w:rsid w:val="0003282C"/>
    <w:rsid w:val="00032F6D"/>
    <w:rsid w:val="0003304A"/>
    <w:rsid w:val="0003317E"/>
    <w:rsid w:val="00033413"/>
    <w:rsid w:val="000337F3"/>
    <w:rsid w:val="00033DDB"/>
    <w:rsid w:val="00034B24"/>
    <w:rsid w:val="00034C27"/>
    <w:rsid w:val="00034E2A"/>
    <w:rsid w:val="0003577F"/>
    <w:rsid w:val="00035B29"/>
    <w:rsid w:val="00036466"/>
    <w:rsid w:val="0003675E"/>
    <w:rsid w:val="00037F87"/>
    <w:rsid w:val="00037FA2"/>
    <w:rsid w:val="000400D0"/>
    <w:rsid w:val="00040343"/>
    <w:rsid w:val="000425AC"/>
    <w:rsid w:val="000427B8"/>
    <w:rsid w:val="00042F4A"/>
    <w:rsid w:val="00043104"/>
    <w:rsid w:val="00043AC8"/>
    <w:rsid w:val="00043BE5"/>
    <w:rsid w:val="00044003"/>
    <w:rsid w:val="00044527"/>
    <w:rsid w:val="000446BD"/>
    <w:rsid w:val="000447E8"/>
    <w:rsid w:val="00044897"/>
    <w:rsid w:val="00044ACF"/>
    <w:rsid w:val="000454F4"/>
    <w:rsid w:val="00045D1E"/>
    <w:rsid w:val="00045E69"/>
    <w:rsid w:val="00045E97"/>
    <w:rsid w:val="00045EF4"/>
    <w:rsid w:val="00046547"/>
    <w:rsid w:val="000466D7"/>
    <w:rsid w:val="00046753"/>
    <w:rsid w:val="00047254"/>
    <w:rsid w:val="00047E41"/>
    <w:rsid w:val="0005022B"/>
    <w:rsid w:val="00050450"/>
    <w:rsid w:val="00050771"/>
    <w:rsid w:val="000508C2"/>
    <w:rsid w:val="000509BA"/>
    <w:rsid w:val="000513F3"/>
    <w:rsid w:val="00051C37"/>
    <w:rsid w:val="00052287"/>
    <w:rsid w:val="000522E0"/>
    <w:rsid w:val="000532F4"/>
    <w:rsid w:val="000535A9"/>
    <w:rsid w:val="000536AE"/>
    <w:rsid w:val="00054C2F"/>
    <w:rsid w:val="00054CD5"/>
    <w:rsid w:val="00054D03"/>
    <w:rsid w:val="000550AC"/>
    <w:rsid w:val="0005584D"/>
    <w:rsid w:val="00055CC3"/>
    <w:rsid w:val="00055CEE"/>
    <w:rsid w:val="00055FB7"/>
    <w:rsid w:val="000566FA"/>
    <w:rsid w:val="00056A2B"/>
    <w:rsid w:val="00056DA8"/>
    <w:rsid w:val="00056E37"/>
    <w:rsid w:val="00056EE2"/>
    <w:rsid w:val="00056FE2"/>
    <w:rsid w:val="000570FB"/>
    <w:rsid w:val="000575B8"/>
    <w:rsid w:val="00060131"/>
    <w:rsid w:val="0006026B"/>
    <w:rsid w:val="00060293"/>
    <w:rsid w:val="00061341"/>
    <w:rsid w:val="00061AA1"/>
    <w:rsid w:val="00061BD3"/>
    <w:rsid w:val="00061BDA"/>
    <w:rsid w:val="000621FE"/>
    <w:rsid w:val="00062B90"/>
    <w:rsid w:val="00062C70"/>
    <w:rsid w:val="00062DD0"/>
    <w:rsid w:val="00062E6F"/>
    <w:rsid w:val="000630C7"/>
    <w:rsid w:val="0006400F"/>
    <w:rsid w:val="000645DD"/>
    <w:rsid w:val="00064D7E"/>
    <w:rsid w:val="00064F65"/>
    <w:rsid w:val="00064FD0"/>
    <w:rsid w:val="0006534A"/>
    <w:rsid w:val="00065A5D"/>
    <w:rsid w:val="00065BA2"/>
    <w:rsid w:val="000661CA"/>
    <w:rsid w:val="0006668D"/>
    <w:rsid w:val="00066896"/>
    <w:rsid w:val="00066A5F"/>
    <w:rsid w:val="00067002"/>
    <w:rsid w:val="00067993"/>
    <w:rsid w:val="00067B1C"/>
    <w:rsid w:val="00067CED"/>
    <w:rsid w:val="00067F66"/>
    <w:rsid w:val="0007041A"/>
    <w:rsid w:val="00070634"/>
    <w:rsid w:val="00070883"/>
    <w:rsid w:val="00070C3F"/>
    <w:rsid w:val="0007102C"/>
    <w:rsid w:val="00071D68"/>
    <w:rsid w:val="00071FCE"/>
    <w:rsid w:val="00072661"/>
    <w:rsid w:val="00072CCC"/>
    <w:rsid w:val="0007315D"/>
    <w:rsid w:val="00073549"/>
    <w:rsid w:val="0007483E"/>
    <w:rsid w:val="000751DB"/>
    <w:rsid w:val="0007542D"/>
    <w:rsid w:val="0007578F"/>
    <w:rsid w:val="00075E43"/>
    <w:rsid w:val="00076D34"/>
    <w:rsid w:val="00077706"/>
    <w:rsid w:val="00077878"/>
    <w:rsid w:val="00077C8D"/>
    <w:rsid w:val="00077E81"/>
    <w:rsid w:val="000804EF"/>
    <w:rsid w:val="00080558"/>
    <w:rsid w:val="00081230"/>
    <w:rsid w:val="000814E2"/>
    <w:rsid w:val="000818C9"/>
    <w:rsid w:val="00081CBB"/>
    <w:rsid w:val="00081D42"/>
    <w:rsid w:val="000822EF"/>
    <w:rsid w:val="0008241E"/>
    <w:rsid w:val="000826F5"/>
    <w:rsid w:val="000829B1"/>
    <w:rsid w:val="00082AAB"/>
    <w:rsid w:val="0008307D"/>
    <w:rsid w:val="000831E9"/>
    <w:rsid w:val="000833BB"/>
    <w:rsid w:val="000841BC"/>
    <w:rsid w:val="0008452D"/>
    <w:rsid w:val="0008467B"/>
    <w:rsid w:val="000850FA"/>
    <w:rsid w:val="000857A6"/>
    <w:rsid w:val="00085C12"/>
    <w:rsid w:val="00085DA0"/>
    <w:rsid w:val="00085F82"/>
    <w:rsid w:val="00086506"/>
    <w:rsid w:val="00086B6E"/>
    <w:rsid w:val="00086C2F"/>
    <w:rsid w:val="00086C64"/>
    <w:rsid w:val="000874BB"/>
    <w:rsid w:val="0008781A"/>
    <w:rsid w:val="00090951"/>
    <w:rsid w:val="00090A61"/>
    <w:rsid w:val="000918F5"/>
    <w:rsid w:val="000919B5"/>
    <w:rsid w:val="00091C1D"/>
    <w:rsid w:val="00091E08"/>
    <w:rsid w:val="00092100"/>
    <w:rsid w:val="000922D8"/>
    <w:rsid w:val="000932E7"/>
    <w:rsid w:val="0009333A"/>
    <w:rsid w:val="000933C3"/>
    <w:rsid w:val="00093459"/>
    <w:rsid w:val="00093B8B"/>
    <w:rsid w:val="000951E7"/>
    <w:rsid w:val="00095B82"/>
    <w:rsid w:val="00095FFF"/>
    <w:rsid w:val="00096098"/>
    <w:rsid w:val="000961B2"/>
    <w:rsid w:val="000969D9"/>
    <w:rsid w:val="00096F37"/>
    <w:rsid w:val="00097FE5"/>
    <w:rsid w:val="000A0354"/>
    <w:rsid w:val="000A091F"/>
    <w:rsid w:val="000A0958"/>
    <w:rsid w:val="000A0FCC"/>
    <w:rsid w:val="000A1033"/>
    <w:rsid w:val="000A118F"/>
    <w:rsid w:val="000A2712"/>
    <w:rsid w:val="000A2877"/>
    <w:rsid w:val="000A355D"/>
    <w:rsid w:val="000A35DA"/>
    <w:rsid w:val="000A371E"/>
    <w:rsid w:val="000A3DE5"/>
    <w:rsid w:val="000A4011"/>
    <w:rsid w:val="000A45D5"/>
    <w:rsid w:val="000A46CD"/>
    <w:rsid w:val="000A490E"/>
    <w:rsid w:val="000A529E"/>
    <w:rsid w:val="000A5B49"/>
    <w:rsid w:val="000A5FE5"/>
    <w:rsid w:val="000A6684"/>
    <w:rsid w:val="000A7194"/>
    <w:rsid w:val="000A7218"/>
    <w:rsid w:val="000A740A"/>
    <w:rsid w:val="000A7446"/>
    <w:rsid w:val="000A7E7F"/>
    <w:rsid w:val="000A7ECD"/>
    <w:rsid w:val="000B04DD"/>
    <w:rsid w:val="000B0F01"/>
    <w:rsid w:val="000B1346"/>
    <w:rsid w:val="000B1914"/>
    <w:rsid w:val="000B19DC"/>
    <w:rsid w:val="000B1B44"/>
    <w:rsid w:val="000B1CA2"/>
    <w:rsid w:val="000B202E"/>
    <w:rsid w:val="000B2293"/>
    <w:rsid w:val="000B24A4"/>
    <w:rsid w:val="000B255C"/>
    <w:rsid w:val="000B395E"/>
    <w:rsid w:val="000B39C3"/>
    <w:rsid w:val="000B3A00"/>
    <w:rsid w:val="000B4840"/>
    <w:rsid w:val="000B4D79"/>
    <w:rsid w:val="000B5627"/>
    <w:rsid w:val="000B5671"/>
    <w:rsid w:val="000B62E9"/>
    <w:rsid w:val="000B6BF0"/>
    <w:rsid w:val="000B6CE8"/>
    <w:rsid w:val="000B7DAF"/>
    <w:rsid w:val="000C006F"/>
    <w:rsid w:val="000C0288"/>
    <w:rsid w:val="000C0614"/>
    <w:rsid w:val="000C071C"/>
    <w:rsid w:val="000C0931"/>
    <w:rsid w:val="000C0BB4"/>
    <w:rsid w:val="000C0BEE"/>
    <w:rsid w:val="000C11BE"/>
    <w:rsid w:val="000C1CB9"/>
    <w:rsid w:val="000C2159"/>
    <w:rsid w:val="000C21BB"/>
    <w:rsid w:val="000C289B"/>
    <w:rsid w:val="000C2EB4"/>
    <w:rsid w:val="000C352F"/>
    <w:rsid w:val="000C3D46"/>
    <w:rsid w:val="000C3F01"/>
    <w:rsid w:val="000C410D"/>
    <w:rsid w:val="000C420D"/>
    <w:rsid w:val="000C4252"/>
    <w:rsid w:val="000C4773"/>
    <w:rsid w:val="000C4944"/>
    <w:rsid w:val="000C4E24"/>
    <w:rsid w:val="000C52FA"/>
    <w:rsid w:val="000C5851"/>
    <w:rsid w:val="000C5C4A"/>
    <w:rsid w:val="000C5F01"/>
    <w:rsid w:val="000C63C4"/>
    <w:rsid w:val="000C66C1"/>
    <w:rsid w:val="000C6F0B"/>
    <w:rsid w:val="000C6F32"/>
    <w:rsid w:val="000C6FEF"/>
    <w:rsid w:val="000C7324"/>
    <w:rsid w:val="000C778C"/>
    <w:rsid w:val="000C7833"/>
    <w:rsid w:val="000C7E1B"/>
    <w:rsid w:val="000C7E73"/>
    <w:rsid w:val="000D001B"/>
    <w:rsid w:val="000D0A45"/>
    <w:rsid w:val="000D136E"/>
    <w:rsid w:val="000D14AC"/>
    <w:rsid w:val="000D15BA"/>
    <w:rsid w:val="000D15BE"/>
    <w:rsid w:val="000D252B"/>
    <w:rsid w:val="000D2BCC"/>
    <w:rsid w:val="000D2C9B"/>
    <w:rsid w:val="000D2CCB"/>
    <w:rsid w:val="000D35FD"/>
    <w:rsid w:val="000D3D2D"/>
    <w:rsid w:val="000D3D99"/>
    <w:rsid w:val="000D451B"/>
    <w:rsid w:val="000D4653"/>
    <w:rsid w:val="000D4696"/>
    <w:rsid w:val="000D4817"/>
    <w:rsid w:val="000D4D0C"/>
    <w:rsid w:val="000D4FB9"/>
    <w:rsid w:val="000D54B4"/>
    <w:rsid w:val="000D584B"/>
    <w:rsid w:val="000D5EE9"/>
    <w:rsid w:val="000D5F55"/>
    <w:rsid w:val="000D6372"/>
    <w:rsid w:val="000D6979"/>
    <w:rsid w:val="000D6CE7"/>
    <w:rsid w:val="000D6E38"/>
    <w:rsid w:val="000D6E63"/>
    <w:rsid w:val="000D711C"/>
    <w:rsid w:val="000D7B6E"/>
    <w:rsid w:val="000E0644"/>
    <w:rsid w:val="000E076D"/>
    <w:rsid w:val="000E087C"/>
    <w:rsid w:val="000E187C"/>
    <w:rsid w:val="000E1B28"/>
    <w:rsid w:val="000E1E8D"/>
    <w:rsid w:val="000E1EBC"/>
    <w:rsid w:val="000E2173"/>
    <w:rsid w:val="000E220B"/>
    <w:rsid w:val="000E2266"/>
    <w:rsid w:val="000E2A50"/>
    <w:rsid w:val="000E30F2"/>
    <w:rsid w:val="000E316B"/>
    <w:rsid w:val="000E372D"/>
    <w:rsid w:val="000E3D08"/>
    <w:rsid w:val="000E4728"/>
    <w:rsid w:val="000E4D1F"/>
    <w:rsid w:val="000E5658"/>
    <w:rsid w:val="000E5698"/>
    <w:rsid w:val="000E5723"/>
    <w:rsid w:val="000E581B"/>
    <w:rsid w:val="000E64B2"/>
    <w:rsid w:val="000E65D2"/>
    <w:rsid w:val="000E6919"/>
    <w:rsid w:val="000E6B1B"/>
    <w:rsid w:val="000E6F0C"/>
    <w:rsid w:val="000E732D"/>
    <w:rsid w:val="000F07ED"/>
    <w:rsid w:val="000F0CF2"/>
    <w:rsid w:val="000F1401"/>
    <w:rsid w:val="000F1A32"/>
    <w:rsid w:val="000F1CC2"/>
    <w:rsid w:val="000F1D15"/>
    <w:rsid w:val="000F270A"/>
    <w:rsid w:val="000F2FA3"/>
    <w:rsid w:val="000F34C8"/>
    <w:rsid w:val="000F38BC"/>
    <w:rsid w:val="000F3E2A"/>
    <w:rsid w:val="000F4D26"/>
    <w:rsid w:val="000F5639"/>
    <w:rsid w:val="000F58A4"/>
    <w:rsid w:val="000F5F99"/>
    <w:rsid w:val="000F6833"/>
    <w:rsid w:val="000F6A24"/>
    <w:rsid w:val="000F7502"/>
    <w:rsid w:val="000F7616"/>
    <w:rsid w:val="000F7DE9"/>
    <w:rsid w:val="000F7F7A"/>
    <w:rsid w:val="001002F4"/>
    <w:rsid w:val="0010050C"/>
    <w:rsid w:val="001006CB"/>
    <w:rsid w:val="001011FC"/>
    <w:rsid w:val="0010165F"/>
    <w:rsid w:val="00101E7C"/>
    <w:rsid w:val="001023DC"/>
    <w:rsid w:val="00102572"/>
    <w:rsid w:val="0010274A"/>
    <w:rsid w:val="00102946"/>
    <w:rsid w:val="00102FBF"/>
    <w:rsid w:val="0010333D"/>
    <w:rsid w:val="0010372A"/>
    <w:rsid w:val="00103F41"/>
    <w:rsid w:val="00104662"/>
    <w:rsid w:val="00104F34"/>
    <w:rsid w:val="001053C5"/>
    <w:rsid w:val="001055AD"/>
    <w:rsid w:val="00105C14"/>
    <w:rsid w:val="00105C3F"/>
    <w:rsid w:val="001065A3"/>
    <w:rsid w:val="00106610"/>
    <w:rsid w:val="00106831"/>
    <w:rsid w:val="0010683E"/>
    <w:rsid w:val="0010691D"/>
    <w:rsid w:val="00106B33"/>
    <w:rsid w:val="00106E69"/>
    <w:rsid w:val="00110AC5"/>
    <w:rsid w:val="00110F0B"/>
    <w:rsid w:val="0011108B"/>
    <w:rsid w:val="00111136"/>
    <w:rsid w:val="00111164"/>
    <w:rsid w:val="001112F4"/>
    <w:rsid w:val="00111761"/>
    <w:rsid w:val="00112164"/>
    <w:rsid w:val="0011241F"/>
    <w:rsid w:val="001128BF"/>
    <w:rsid w:val="00112D09"/>
    <w:rsid w:val="00112E8F"/>
    <w:rsid w:val="00112F03"/>
    <w:rsid w:val="00112F38"/>
    <w:rsid w:val="00113821"/>
    <w:rsid w:val="00114058"/>
    <w:rsid w:val="0011449E"/>
    <w:rsid w:val="001153EF"/>
    <w:rsid w:val="00115D55"/>
    <w:rsid w:val="00115E45"/>
    <w:rsid w:val="00115F85"/>
    <w:rsid w:val="0011688E"/>
    <w:rsid w:val="00116ACD"/>
    <w:rsid w:val="00116E19"/>
    <w:rsid w:val="0011718F"/>
    <w:rsid w:val="00117B7D"/>
    <w:rsid w:val="00117EFC"/>
    <w:rsid w:val="001205A8"/>
    <w:rsid w:val="00121766"/>
    <w:rsid w:val="00121F7F"/>
    <w:rsid w:val="0012291C"/>
    <w:rsid w:val="00122A64"/>
    <w:rsid w:val="00123152"/>
    <w:rsid w:val="00123671"/>
    <w:rsid w:val="00123694"/>
    <w:rsid w:val="0012388A"/>
    <w:rsid w:val="0012388C"/>
    <w:rsid w:val="00123AFA"/>
    <w:rsid w:val="00123C8C"/>
    <w:rsid w:val="00123E8B"/>
    <w:rsid w:val="00124405"/>
    <w:rsid w:val="00124B43"/>
    <w:rsid w:val="00124DF8"/>
    <w:rsid w:val="001253EA"/>
    <w:rsid w:val="00125B99"/>
    <w:rsid w:val="00126160"/>
    <w:rsid w:val="00126AEC"/>
    <w:rsid w:val="00126DB5"/>
    <w:rsid w:val="0012711C"/>
    <w:rsid w:val="00127178"/>
    <w:rsid w:val="00127F09"/>
    <w:rsid w:val="0013002A"/>
    <w:rsid w:val="0013085D"/>
    <w:rsid w:val="0013089C"/>
    <w:rsid w:val="00130A2D"/>
    <w:rsid w:val="00130F54"/>
    <w:rsid w:val="00131888"/>
    <w:rsid w:val="00131F17"/>
    <w:rsid w:val="0013212F"/>
    <w:rsid w:val="00132284"/>
    <w:rsid w:val="001323F9"/>
    <w:rsid w:val="0013251F"/>
    <w:rsid w:val="001329C6"/>
    <w:rsid w:val="00133088"/>
    <w:rsid w:val="00133346"/>
    <w:rsid w:val="001335B1"/>
    <w:rsid w:val="00133B4E"/>
    <w:rsid w:val="0013410F"/>
    <w:rsid w:val="001346AF"/>
    <w:rsid w:val="00134990"/>
    <w:rsid w:val="001354D1"/>
    <w:rsid w:val="00135840"/>
    <w:rsid w:val="00135A0A"/>
    <w:rsid w:val="00135BB9"/>
    <w:rsid w:val="0013621D"/>
    <w:rsid w:val="00136354"/>
    <w:rsid w:val="001364E1"/>
    <w:rsid w:val="00136674"/>
    <w:rsid w:val="00136B0E"/>
    <w:rsid w:val="00136C3B"/>
    <w:rsid w:val="001376AB"/>
    <w:rsid w:val="0013777C"/>
    <w:rsid w:val="00137D5F"/>
    <w:rsid w:val="00140082"/>
    <w:rsid w:val="001400C5"/>
    <w:rsid w:val="00140175"/>
    <w:rsid w:val="00140757"/>
    <w:rsid w:val="00140D07"/>
    <w:rsid w:val="00140F3B"/>
    <w:rsid w:val="001411E1"/>
    <w:rsid w:val="00141A3A"/>
    <w:rsid w:val="00141FD4"/>
    <w:rsid w:val="001423FA"/>
    <w:rsid w:val="001427B5"/>
    <w:rsid w:val="001428CF"/>
    <w:rsid w:val="00142D0C"/>
    <w:rsid w:val="00142E3C"/>
    <w:rsid w:val="00143387"/>
    <w:rsid w:val="001439BA"/>
    <w:rsid w:val="00143B00"/>
    <w:rsid w:val="00144013"/>
    <w:rsid w:val="00144F26"/>
    <w:rsid w:val="001455C3"/>
    <w:rsid w:val="00145A17"/>
    <w:rsid w:val="00145BBE"/>
    <w:rsid w:val="001460B5"/>
    <w:rsid w:val="0014641F"/>
    <w:rsid w:val="001464A8"/>
    <w:rsid w:val="001467BB"/>
    <w:rsid w:val="00146CA8"/>
    <w:rsid w:val="00147884"/>
    <w:rsid w:val="00150827"/>
    <w:rsid w:val="00150B0D"/>
    <w:rsid w:val="00150E10"/>
    <w:rsid w:val="00151A32"/>
    <w:rsid w:val="00151B2C"/>
    <w:rsid w:val="00151E31"/>
    <w:rsid w:val="00151F9B"/>
    <w:rsid w:val="00152289"/>
    <w:rsid w:val="00152425"/>
    <w:rsid w:val="00152BAD"/>
    <w:rsid w:val="00152CE3"/>
    <w:rsid w:val="00153652"/>
    <w:rsid w:val="00153697"/>
    <w:rsid w:val="00153956"/>
    <w:rsid w:val="00153B95"/>
    <w:rsid w:val="00154146"/>
    <w:rsid w:val="00154190"/>
    <w:rsid w:val="001545EA"/>
    <w:rsid w:val="001549BA"/>
    <w:rsid w:val="00154BBF"/>
    <w:rsid w:val="00155099"/>
    <w:rsid w:val="00155C85"/>
    <w:rsid w:val="00156592"/>
    <w:rsid w:val="00156A6C"/>
    <w:rsid w:val="00156B10"/>
    <w:rsid w:val="001576FE"/>
    <w:rsid w:val="00157823"/>
    <w:rsid w:val="0015790D"/>
    <w:rsid w:val="00157C5E"/>
    <w:rsid w:val="00157DD3"/>
    <w:rsid w:val="0016015A"/>
    <w:rsid w:val="0016020E"/>
    <w:rsid w:val="00160503"/>
    <w:rsid w:val="00160BF6"/>
    <w:rsid w:val="00160D7C"/>
    <w:rsid w:val="00160E30"/>
    <w:rsid w:val="0016106D"/>
    <w:rsid w:val="001612E1"/>
    <w:rsid w:val="001614DB"/>
    <w:rsid w:val="0016194E"/>
    <w:rsid w:val="00161C44"/>
    <w:rsid w:val="0016236C"/>
    <w:rsid w:val="00162625"/>
    <w:rsid w:val="001630A8"/>
    <w:rsid w:val="00163826"/>
    <w:rsid w:val="00163943"/>
    <w:rsid w:val="00163BA1"/>
    <w:rsid w:val="00163F22"/>
    <w:rsid w:val="0016417B"/>
    <w:rsid w:val="001643A6"/>
    <w:rsid w:val="0016470E"/>
    <w:rsid w:val="001649D3"/>
    <w:rsid w:val="00164E0A"/>
    <w:rsid w:val="001652D7"/>
    <w:rsid w:val="00165A5F"/>
    <w:rsid w:val="00165C3D"/>
    <w:rsid w:val="00166223"/>
    <w:rsid w:val="0016793E"/>
    <w:rsid w:val="00167D4D"/>
    <w:rsid w:val="0017054C"/>
    <w:rsid w:val="00170635"/>
    <w:rsid w:val="0017070D"/>
    <w:rsid w:val="00170837"/>
    <w:rsid w:val="00171035"/>
    <w:rsid w:val="001713B7"/>
    <w:rsid w:val="00171ADB"/>
    <w:rsid w:val="00171E2C"/>
    <w:rsid w:val="00172029"/>
    <w:rsid w:val="001733A4"/>
    <w:rsid w:val="00173AB9"/>
    <w:rsid w:val="00173EED"/>
    <w:rsid w:val="00174368"/>
    <w:rsid w:val="001744EA"/>
    <w:rsid w:val="00174731"/>
    <w:rsid w:val="00174D82"/>
    <w:rsid w:val="00174E44"/>
    <w:rsid w:val="00175053"/>
    <w:rsid w:val="001753B7"/>
    <w:rsid w:val="001757E7"/>
    <w:rsid w:val="00175873"/>
    <w:rsid w:val="00175C59"/>
    <w:rsid w:val="001760BC"/>
    <w:rsid w:val="00176674"/>
    <w:rsid w:val="00176818"/>
    <w:rsid w:val="00176B82"/>
    <w:rsid w:val="00176E3B"/>
    <w:rsid w:val="00176ECB"/>
    <w:rsid w:val="0017752D"/>
    <w:rsid w:val="0017759F"/>
    <w:rsid w:val="00177832"/>
    <w:rsid w:val="00181178"/>
    <w:rsid w:val="0018119E"/>
    <w:rsid w:val="0018152C"/>
    <w:rsid w:val="00181DBA"/>
    <w:rsid w:val="00181EEF"/>
    <w:rsid w:val="00181F3E"/>
    <w:rsid w:val="001826C2"/>
    <w:rsid w:val="00182FE0"/>
    <w:rsid w:val="00183911"/>
    <w:rsid w:val="00184418"/>
    <w:rsid w:val="001845FB"/>
    <w:rsid w:val="001857FB"/>
    <w:rsid w:val="00185DA6"/>
    <w:rsid w:val="00185F64"/>
    <w:rsid w:val="00186096"/>
    <w:rsid w:val="001862FE"/>
    <w:rsid w:val="001864AC"/>
    <w:rsid w:val="00187317"/>
    <w:rsid w:val="0018772E"/>
    <w:rsid w:val="00187A94"/>
    <w:rsid w:val="0019029E"/>
    <w:rsid w:val="00190804"/>
    <w:rsid w:val="0019088F"/>
    <w:rsid w:val="00190C51"/>
    <w:rsid w:val="00192DAB"/>
    <w:rsid w:val="00192F00"/>
    <w:rsid w:val="00193ACC"/>
    <w:rsid w:val="00193BFE"/>
    <w:rsid w:val="00195322"/>
    <w:rsid w:val="0019560E"/>
    <w:rsid w:val="001958E3"/>
    <w:rsid w:val="00195FFA"/>
    <w:rsid w:val="0019601B"/>
    <w:rsid w:val="00196048"/>
    <w:rsid w:val="0019698B"/>
    <w:rsid w:val="00196A82"/>
    <w:rsid w:val="0019769B"/>
    <w:rsid w:val="001979F9"/>
    <w:rsid w:val="00197FFE"/>
    <w:rsid w:val="001A0D25"/>
    <w:rsid w:val="001A0E14"/>
    <w:rsid w:val="001A1570"/>
    <w:rsid w:val="001A1917"/>
    <w:rsid w:val="001A1C64"/>
    <w:rsid w:val="001A1DFB"/>
    <w:rsid w:val="001A1E7F"/>
    <w:rsid w:val="001A2918"/>
    <w:rsid w:val="001A2D02"/>
    <w:rsid w:val="001A3076"/>
    <w:rsid w:val="001A3163"/>
    <w:rsid w:val="001A31A5"/>
    <w:rsid w:val="001A389C"/>
    <w:rsid w:val="001A3B75"/>
    <w:rsid w:val="001A42A3"/>
    <w:rsid w:val="001A46FB"/>
    <w:rsid w:val="001A4EC9"/>
    <w:rsid w:val="001A5944"/>
    <w:rsid w:val="001A5FB1"/>
    <w:rsid w:val="001A618F"/>
    <w:rsid w:val="001A698A"/>
    <w:rsid w:val="001A6CCC"/>
    <w:rsid w:val="001A6E3B"/>
    <w:rsid w:val="001A70C8"/>
    <w:rsid w:val="001A71C9"/>
    <w:rsid w:val="001A7429"/>
    <w:rsid w:val="001A760C"/>
    <w:rsid w:val="001A76F0"/>
    <w:rsid w:val="001A7977"/>
    <w:rsid w:val="001A799B"/>
    <w:rsid w:val="001A7AC7"/>
    <w:rsid w:val="001A7C38"/>
    <w:rsid w:val="001B00A1"/>
    <w:rsid w:val="001B02F8"/>
    <w:rsid w:val="001B2104"/>
    <w:rsid w:val="001B2279"/>
    <w:rsid w:val="001B2729"/>
    <w:rsid w:val="001B2866"/>
    <w:rsid w:val="001B2881"/>
    <w:rsid w:val="001B2B73"/>
    <w:rsid w:val="001B3675"/>
    <w:rsid w:val="001B37C8"/>
    <w:rsid w:val="001B48BA"/>
    <w:rsid w:val="001B4B2C"/>
    <w:rsid w:val="001B4F10"/>
    <w:rsid w:val="001B5154"/>
    <w:rsid w:val="001B6E30"/>
    <w:rsid w:val="001B7C14"/>
    <w:rsid w:val="001B7C83"/>
    <w:rsid w:val="001B7F9E"/>
    <w:rsid w:val="001C0206"/>
    <w:rsid w:val="001C0246"/>
    <w:rsid w:val="001C04D4"/>
    <w:rsid w:val="001C0B34"/>
    <w:rsid w:val="001C12A3"/>
    <w:rsid w:val="001C1419"/>
    <w:rsid w:val="001C15D8"/>
    <w:rsid w:val="001C17BB"/>
    <w:rsid w:val="001C187E"/>
    <w:rsid w:val="001C1A37"/>
    <w:rsid w:val="001C1C49"/>
    <w:rsid w:val="001C286F"/>
    <w:rsid w:val="001C2B86"/>
    <w:rsid w:val="001C2F54"/>
    <w:rsid w:val="001C3308"/>
    <w:rsid w:val="001C3BBB"/>
    <w:rsid w:val="001C40D1"/>
    <w:rsid w:val="001C468A"/>
    <w:rsid w:val="001C4A38"/>
    <w:rsid w:val="001C4A9E"/>
    <w:rsid w:val="001C5001"/>
    <w:rsid w:val="001C5103"/>
    <w:rsid w:val="001C52A8"/>
    <w:rsid w:val="001C5ADF"/>
    <w:rsid w:val="001C5E8E"/>
    <w:rsid w:val="001C60ED"/>
    <w:rsid w:val="001C6120"/>
    <w:rsid w:val="001C6516"/>
    <w:rsid w:val="001C6B24"/>
    <w:rsid w:val="001C6B5C"/>
    <w:rsid w:val="001C7155"/>
    <w:rsid w:val="001C7297"/>
    <w:rsid w:val="001C7BF4"/>
    <w:rsid w:val="001C7E48"/>
    <w:rsid w:val="001D0190"/>
    <w:rsid w:val="001D0216"/>
    <w:rsid w:val="001D039B"/>
    <w:rsid w:val="001D0849"/>
    <w:rsid w:val="001D1258"/>
    <w:rsid w:val="001D1AB8"/>
    <w:rsid w:val="001D26F5"/>
    <w:rsid w:val="001D286F"/>
    <w:rsid w:val="001D2C94"/>
    <w:rsid w:val="001D33D9"/>
    <w:rsid w:val="001D36F6"/>
    <w:rsid w:val="001D4303"/>
    <w:rsid w:val="001D45E5"/>
    <w:rsid w:val="001D461A"/>
    <w:rsid w:val="001D4A9D"/>
    <w:rsid w:val="001D4AAD"/>
    <w:rsid w:val="001D4E16"/>
    <w:rsid w:val="001D5AFA"/>
    <w:rsid w:val="001D652D"/>
    <w:rsid w:val="001D72D9"/>
    <w:rsid w:val="001D784A"/>
    <w:rsid w:val="001E04A4"/>
    <w:rsid w:val="001E07C5"/>
    <w:rsid w:val="001E0B45"/>
    <w:rsid w:val="001E176D"/>
    <w:rsid w:val="001E1BCE"/>
    <w:rsid w:val="001E1E05"/>
    <w:rsid w:val="001E2086"/>
    <w:rsid w:val="001E339F"/>
    <w:rsid w:val="001E3629"/>
    <w:rsid w:val="001E3E7D"/>
    <w:rsid w:val="001E40F0"/>
    <w:rsid w:val="001E4172"/>
    <w:rsid w:val="001E4F08"/>
    <w:rsid w:val="001E5490"/>
    <w:rsid w:val="001E5730"/>
    <w:rsid w:val="001E5E2E"/>
    <w:rsid w:val="001E6352"/>
    <w:rsid w:val="001E700A"/>
    <w:rsid w:val="001E70AD"/>
    <w:rsid w:val="001E7237"/>
    <w:rsid w:val="001E7AF6"/>
    <w:rsid w:val="001F01B8"/>
    <w:rsid w:val="001F0FC3"/>
    <w:rsid w:val="001F1188"/>
    <w:rsid w:val="001F1B8D"/>
    <w:rsid w:val="001F1C50"/>
    <w:rsid w:val="001F274F"/>
    <w:rsid w:val="001F289C"/>
    <w:rsid w:val="001F2BF9"/>
    <w:rsid w:val="001F3AF2"/>
    <w:rsid w:val="001F6008"/>
    <w:rsid w:val="001F604B"/>
    <w:rsid w:val="001F641B"/>
    <w:rsid w:val="001F6D4D"/>
    <w:rsid w:val="0020125C"/>
    <w:rsid w:val="0020130D"/>
    <w:rsid w:val="00201916"/>
    <w:rsid w:val="00201D06"/>
    <w:rsid w:val="00201DF7"/>
    <w:rsid w:val="00201E9F"/>
    <w:rsid w:val="00202F25"/>
    <w:rsid w:val="002035B3"/>
    <w:rsid w:val="00203929"/>
    <w:rsid w:val="00203CD6"/>
    <w:rsid w:val="00203D01"/>
    <w:rsid w:val="00204460"/>
    <w:rsid w:val="002051EA"/>
    <w:rsid w:val="00205CBC"/>
    <w:rsid w:val="00206259"/>
    <w:rsid w:val="002074B7"/>
    <w:rsid w:val="0020758D"/>
    <w:rsid w:val="00207C7B"/>
    <w:rsid w:val="00211470"/>
    <w:rsid w:val="00211922"/>
    <w:rsid w:val="0021213A"/>
    <w:rsid w:val="0021265F"/>
    <w:rsid w:val="00213232"/>
    <w:rsid w:val="00213486"/>
    <w:rsid w:val="00213817"/>
    <w:rsid w:val="00214428"/>
    <w:rsid w:val="002145EB"/>
    <w:rsid w:val="00214F82"/>
    <w:rsid w:val="00214FE7"/>
    <w:rsid w:val="00215033"/>
    <w:rsid w:val="00215834"/>
    <w:rsid w:val="00215CC2"/>
    <w:rsid w:val="00215D95"/>
    <w:rsid w:val="00215ED8"/>
    <w:rsid w:val="00215FAF"/>
    <w:rsid w:val="00217700"/>
    <w:rsid w:val="002177E2"/>
    <w:rsid w:val="0021783B"/>
    <w:rsid w:val="00217B43"/>
    <w:rsid w:val="002205F3"/>
    <w:rsid w:val="0022085B"/>
    <w:rsid w:val="00220E53"/>
    <w:rsid w:val="0022176C"/>
    <w:rsid w:val="002225D1"/>
    <w:rsid w:val="002230FA"/>
    <w:rsid w:val="002232B9"/>
    <w:rsid w:val="00223DF2"/>
    <w:rsid w:val="002249A2"/>
    <w:rsid w:val="00224C0C"/>
    <w:rsid w:val="002256C2"/>
    <w:rsid w:val="002256D0"/>
    <w:rsid w:val="00225C8E"/>
    <w:rsid w:val="00226428"/>
    <w:rsid w:val="002265A9"/>
    <w:rsid w:val="002266CB"/>
    <w:rsid w:val="00227052"/>
    <w:rsid w:val="002272D5"/>
    <w:rsid w:val="0022738E"/>
    <w:rsid w:val="00227906"/>
    <w:rsid w:val="00227934"/>
    <w:rsid w:val="00227E21"/>
    <w:rsid w:val="0023008A"/>
    <w:rsid w:val="00231D05"/>
    <w:rsid w:val="0023241A"/>
    <w:rsid w:val="002336E2"/>
    <w:rsid w:val="00233AC2"/>
    <w:rsid w:val="00233BAF"/>
    <w:rsid w:val="00233F80"/>
    <w:rsid w:val="0023423A"/>
    <w:rsid w:val="00235420"/>
    <w:rsid w:val="00235700"/>
    <w:rsid w:val="0023788D"/>
    <w:rsid w:val="00240422"/>
    <w:rsid w:val="0024065B"/>
    <w:rsid w:val="002409A6"/>
    <w:rsid w:val="00240C63"/>
    <w:rsid w:val="00240D91"/>
    <w:rsid w:val="00240EA5"/>
    <w:rsid w:val="00241132"/>
    <w:rsid w:val="00241205"/>
    <w:rsid w:val="002418C5"/>
    <w:rsid w:val="0024261D"/>
    <w:rsid w:val="00242712"/>
    <w:rsid w:val="00242DFB"/>
    <w:rsid w:val="00243807"/>
    <w:rsid w:val="002440AC"/>
    <w:rsid w:val="00244365"/>
    <w:rsid w:val="0024459A"/>
    <w:rsid w:val="002446A3"/>
    <w:rsid w:val="00244771"/>
    <w:rsid w:val="00244903"/>
    <w:rsid w:val="00244AFB"/>
    <w:rsid w:val="002453DF"/>
    <w:rsid w:val="00245A81"/>
    <w:rsid w:val="002462A5"/>
    <w:rsid w:val="002462C1"/>
    <w:rsid w:val="00246B86"/>
    <w:rsid w:val="00247335"/>
    <w:rsid w:val="002473EF"/>
    <w:rsid w:val="002477B9"/>
    <w:rsid w:val="00247B69"/>
    <w:rsid w:val="00247CBE"/>
    <w:rsid w:val="00250A1F"/>
    <w:rsid w:val="00250ADA"/>
    <w:rsid w:val="00250F1D"/>
    <w:rsid w:val="00251FF1"/>
    <w:rsid w:val="002520BA"/>
    <w:rsid w:val="00252234"/>
    <w:rsid w:val="002528E3"/>
    <w:rsid w:val="00252944"/>
    <w:rsid w:val="00252D55"/>
    <w:rsid w:val="00252D82"/>
    <w:rsid w:val="00253006"/>
    <w:rsid w:val="00253165"/>
    <w:rsid w:val="002531EA"/>
    <w:rsid w:val="002533F5"/>
    <w:rsid w:val="00253C60"/>
    <w:rsid w:val="00253F21"/>
    <w:rsid w:val="0025429D"/>
    <w:rsid w:val="002549E9"/>
    <w:rsid w:val="00254FF6"/>
    <w:rsid w:val="00255099"/>
    <w:rsid w:val="002555C6"/>
    <w:rsid w:val="0025597E"/>
    <w:rsid w:val="00255E14"/>
    <w:rsid w:val="00255E45"/>
    <w:rsid w:val="00255FF9"/>
    <w:rsid w:val="00256C60"/>
    <w:rsid w:val="00257059"/>
    <w:rsid w:val="0025712F"/>
    <w:rsid w:val="00257395"/>
    <w:rsid w:val="00257857"/>
    <w:rsid w:val="002578DA"/>
    <w:rsid w:val="00257CBC"/>
    <w:rsid w:val="002602C2"/>
    <w:rsid w:val="002602DA"/>
    <w:rsid w:val="0026040B"/>
    <w:rsid w:val="002604F2"/>
    <w:rsid w:val="00260802"/>
    <w:rsid w:val="002609E3"/>
    <w:rsid w:val="00261223"/>
    <w:rsid w:val="002617AB"/>
    <w:rsid w:val="00261D08"/>
    <w:rsid w:val="00261DCC"/>
    <w:rsid w:val="002624D0"/>
    <w:rsid w:val="00262675"/>
    <w:rsid w:val="00263EC7"/>
    <w:rsid w:val="0026491B"/>
    <w:rsid w:val="00264A36"/>
    <w:rsid w:val="00264B06"/>
    <w:rsid w:val="00264C1B"/>
    <w:rsid w:val="002657FB"/>
    <w:rsid w:val="00265AB1"/>
    <w:rsid w:val="00265D10"/>
    <w:rsid w:val="00265E2E"/>
    <w:rsid w:val="002661AB"/>
    <w:rsid w:val="002669D2"/>
    <w:rsid w:val="0026742B"/>
    <w:rsid w:val="002674FE"/>
    <w:rsid w:val="00267E59"/>
    <w:rsid w:val="002702F6"/>
    <w:rsid w:val="00270748"/>
    <w:rsid w:val="00270CAB"/>
    <w:rsid w:val="0027114E"/>
    <w:rsid w:val="0027117F"/>
    <w:rsid w:val="002712DC"/>
    <w:rsid w:val="00271875"/>
    <w:rsid w:val="002718FF"/>
    <w:rsid w:val="00271955"/>
    <w:rsid w:val="00272278"/>
    <w:rsid w:val="00272432"/>
    <w:rsid w:val="00272633"/>
    <w:rsid w:val="00272D36"/>
    <w:rsid w:val="00272E48"/>
    <w:rsid w:val="00272FBF"/>
    <w:rsid w:val="00273A10"/>
    <w:rsid w:val="00273A58"/>
    <w:rsid w:val="00274C6E"/>
    <w:rsid w:val="00274CAB"/>
    <w:rsid w:val="00274E8A"/>
    <w:rsid w:val="002755A8"/>
    <w:rsid w:val="00275FCE"/>
    <w:rsid w:val="002766B8"/>
    <w:rsid w:val="0027680F"/>
    <w:rsid w:val="002777C0"/>
    <w:rsid w:val="0028076D"/>
    <w:rsid w:val="00281006"/>
    <w:rsid w:val="002815B1"/>
    <w:rsid w:val="00281893"/>
    <w:rsid w:val="00281C1F"/>
    <w:rsid w:val="00281EEA"/>
    <w:rsid w:val="00281F88"/>
    <w:rsid w:val="00282245"/>
    <w:rsid w:val="0028240D"/>
    <w:rsid w:val="0028288D"/>
    <w:rsid w:val="002829B7"/>
    <w:rsid w:val="00282B82"/>
    <w:rsid w:val="00282C74"/>
    <w:rsid w:val="00282E5B"/>
    <w:rsid w:val="00283995"/>
    <w:rsid w:val="00283B11"/>
    <w:rsid w:val="002841A9"/>
    <w:rsid w:val="00284313"/>
    <w:rsid w:val="00284554"/>
    <w:rsid w:val="002848AD"/>
    <w:rsid w:val="00284DE4"/>
    <w:rsid w:val="00285154"/>
    <w:rsid w:val="00285BF2"/>
    <w:rsid w:val="00285C78"/>
    <w:rsid w:val="002863CE"/>
    <w:rsid w:val="00287E20"/>
    <w:rsid w:val="0029110F"/>
    <w:rsid w:val="00291492"/>
    <w:rsid w:val="00291527"/>
    <w:rsid w:val="002916B4"/>
    <w:rsid w:val="0029199A"/>
    <w:rsid w:val="00291BBE"/>
    <w:rsid w:val="00291FEB"/>
    <w:rsid w:val="00293146"/>
    <w:rsid w:val="0029361E"/>
    <w:rsid w:val="00293D68"/>
    <w:rsid w:val="0029408A"/>
    <w:rsid w:val="00294352"/>
    <w:rsid w:val="002944A0"/>
    <w:rsid w:val="002946E4"/>
    <w:rsid w:val="0029495C"/>
    <w:rsid w:val="002957D9"/>
    <w:rsid w:val="00295B52"/>
    <w:rsid w:val="00296024"/>
    <w:rsid w:val="00296293"/>
    <w:rsid w:val="002969C7"/>
    <w:rsid w:val="00296AF7"/>
    <w:rsid w:val="00297021"/>
    <w:rsid w:val="002972F9"/>
    <w:rsid w:val="00297612"/>
    <w:rsid w:val="002977CA"/>
    <w:rsid w:val="00297ED7"/>
    <w:rsid w:val="002A0007"/>
    <w:rsid w:val="002A03AA"/>
    <w:rsid w:val="002A056D"/>
    <w:rsid w:val="002A07FE"/>
    <w:rsid w:val="002A094D"/>
    <w:rsid w:val="002A0CAF"/>
    <w:rsid w:val="002A0DDB"/>
    <w:rsid w:val="002A1565"/>
    <w:rsid w:val="002A16A9"/>
    <w:rsid w:val="002A2941"/>
    <w:rsid w:val="002A2DC4"/>
    <w:rsid w:val="002A3E69"/>
    <w:rsid w:val="002A44F9"/>
    <w:rsid w:val="002A4946"/>
    <w:rsid w:val="002A49EF"/>
    <w:rsid w:val="002A4B8B"/>
    <w:rsid w:val="002A5107"/>
    <w:rsid w:val="002A535E"/>
    <w:rsid w:val="002A5DBD"/>
    <w:rsid w:val="002A6406"/>
    <w:rsid w:val="002A6432"/>
    <w:rsid w:val="002A6CF0"/>
    <w:rsid w:val="002A6FFC"/>
    <w:rsid w:val="002A7010"/>
    <w:rsid w:val="002A70BA"/>
    <w:rsid w:val="002A7A57"/>
    <w:rsid w:val="002A7BB2"/>
    <w:rsid w:val="002A7CC1"/>
    <w:rsid w:val="002A7DCB"/>
    <w:rsid w:val="002B0685"/>
    <w:rsid w:val="002B0B53"/>
    <w:rsid w:val="002B1617"/>
    <w:rsid w:val="002B1A90"/>
    <w:rsid w:val="002B1D11"/>
    <w:rsid w:val="002B273B"/>
    <w:rsid w:val="002B2746"/>
    <w:rsid w:val="002B29AA"/>
    <w:rsid w:val="002B2A7E"/>
    <w:rsid w:val="002B2F1B"/>
    <w:rsid w:val="002B3332"/>
    <w:rsid w:val="002B34C7"/>
    <w:rsid w:val="002B351E"/>
    <w:rsid w:val="002B3F25"/>
    <w:rsid w:val="002B5AFB"/>
    <w:rsid w:val="002B6320"/>
    <w:rsid w:val="002B66AC"/>
    <w:rsid w:val="002B6852"/>
    <w:rsid w:val="002B6BB5"/>
    <w:rsid w:val="002B74EF"/>
    <w:rsid w:val="002B77E1"/>
    <w:rsid w:val="002C0656"/>
    <w:rsid w:val="002C0714"/>
    <w:rsid w:val="002C0A96"/>
    <w:rsid w:val="002C13C6"/>
    <w:rsid w:val="002C1BF4"/>
    <w:rsid w:val="002C1E0D"/>
    <w:rsid w:val="002C2266"/>
    <w:rsid w:val="002C2356"/>
    <w:rsid w:val="002C238F"/>
    <w:rsid w:val="002C276F"/>
    <w:rsid w:val="002C28EB"/>
    <w:rsid w:val="002C316C"/>
    <w:rsid w:val="002C3265"/>
    <w:rsid w:val="002C3AED"/>
    <w:rsid w:val="002C3E56"/>
    <w:rsid w:val="002C414C"/>
    <w:rsid w:val="002C49F8"/>
    <w:rsid w:val="002C4C2F"/>
    <w:rsid w:val="002C5776"/>
    <w:rsid w:val="002C5EED"/>
    <w:rsid w:val="002C66DE"/>
    <w:rsid w:val="002C7193"/>
    <w:rsid w:val="002C7645"/>
    <w:rsid w:val="002C7699"/>
    <w:rsid w:val="002C7A49"/>
    <w:rsid w:val="002D0128"/>
    <w:rsid w:val="002D0E85"/>
    <w:rsid w:val="002D0FA7"/>
    <w:rsid w:val="002D12FB"/>
    <w:rsid w:val="002D19D1"/>
    <w:rsid w:val="002D1F35"/>
    <w:rsid w:val="002D1FA3"/>
    <w:rsid w:val="002D20CD"/>
    <w:rsid w:val="002D23C6"/>
    <w:rsid w:val="002D24F0"/>
    <w:rsid w:val="002D25EB"/>
    <w:rsid w:val="002D29F3"/>
    <w:rsid w:val="002D3126"/>
    <w:rsid w:val="002D3529"/>
    <w:rsid w:val="002D3D0A"/>
    <w:rsid w:val="002D3EF0"/>
    <w:rsid w:val="002D478E"/>
    <w:rsid w:val="002D47AE"/>
    <w:rsid w:val="002D4A94"/>
    <w:rsid w:val="002D4AFE"/>
    <w:rsid w:val="002D65FF"/>
    <w:rsid w:val="002D6D10"/>
    <w:rsid w:val="002D71E2"/>
    <w:rsid w:val="002D7B6A"/>
    <w:rsid w:val="002E0026"/>
    <w:rsid w:val="002E00B3"/>
    <w:rsid w:val="002E08E8"/>
    <w:rsid w:val="002E0918"/>
    <w:rsid w:val="002E0BAA"/>
    <w:rsid w:val="002E0D96"/>
    <w:rsid w:val="002E0EA5"/>
    <w:rsid w:val="002E0F1C"/>
    <w:rsid w:val="002E1E19"/>
    <w:rsid w:val="002E1FAC"/>
    <w:rsid w:val="002E283F"/>
    <w:rsid w:val="002E2854"/>
    <w:rsid w:val="002E2E74"/>
    <w:rsid w:val="002E32D2"/>
    <w:rsid w:val="002E361B"/>
    <w:rsid w:val="002E37AB"/>
    <w:rsid w:val="002E3A80"/>
    <w:rsid w:val="002E41C7"/>
    <w:rsid w:val="002E51DF"/>
    <w:rsid w:val="002E57B9"/>
    <w:rsid w:val="002E6127"/>
    <w:rsid w:val="002E6885"/>
    <w:rsid w:val="002E72E4"/>
    <w:rsid w:val="002E739D"/>
    <w:rsid w:val="002E7697"/>
    <w:rsid w:val="002F0F36"/>
    <w:rsid w:val="002F1276"/>
    <w:rsid w:val="002F1986"/>
    <w:rsid w:val="002F1E5F"/>
    <w:rsid w:val="002F2A49"/>
    <w:rsid w:val="002F3550"/>
    <w:rsid w:val="002F3B63"/>
    <w:rsid w:val="002F3C56"/>
    <w:rsid w:val="002F4271"/>
    <w:rsid w:val="002F46B0"/>
    <w:rsid w:val="002F4B17"/>
    <w:rsid w:val="002F5150"/>
    <w:rsid w:val="002F5463"/>
    <w:rsid w:val="002F58C2"/>
    <w:rsid w:val="002F5932"/>
    <w:rsid w:val="002F5C85"/>
    <w:rsid w:val="002F603B"/>
    <w:rsid w:val="002F6201"/>
    <w:rsid w:val="002F6493"/>
    <w:rsid w:val="002F724B"/>
    <w:rsid w:val="002F72BA"/>
    <w:rsid w:val="00300267"/>
    <w:rsid w:val="003004D2"/>
    <w:rsid w:val="00300D6B"/>
    <w:rsid w:val="00301380"/>
    <w:rsid w:val="00301D6A"/>
    <w:rsid w:val="00301E89"/>
    <w:rsid w:val="00302052"/>
    <w:rsid w:val="00302142"/>
    <w:rsid w:val="00302169"/>
    <w:rsid w:val="00302581"/>
    <w:rsid w:val="00302612"/>
    <w:rsid w:val="00303254"/>
    <w:rsid w:val="003044D9"/>
    <w:rsid w:val="00304CA1"/>
    <w:rsid w:val="00304D8A"/>
    <w:rsid w:val="00305216"/>
    <w:rsid w:val="0030555B"/>
    <w:rsid w:val="003061F5"/>
    <w:rsid w:val="00306A49"/>
    <w:rsid w:val="00306D27"/>
    <w:rsid w:val="0030739C"/>
    <w:rsid w:val="00310D51"/>
    <w:rsid w:val="00311B36"/>
    <w:rsid w:val="00311C92"/>
    <w:rsid w:val="00313321"/>
    <w:rsid w:val="003133AE"/>
    <w:rsid w:val="0031371B"/>
    <w:rsid w:val="00314156"/>
    <w:rsid w:val="00314CF8"/>
    <w:rsid w:val="0031535B"/>
    <w:rsid w:val="003154DD"/>
    <w:rsid w:val="00316F76"/>
    <w:rsid w:val="003170F4"/>
    <w:rsid w:val="0032035D"/>
    <w:rsid w:val="003205E9"/>
    <w:rsid w:val="00320B28"/>
    <w:rsid w:val="0032123E"/>
    <w:rsid w:val="003216D5"/>
    <w:rsid w:val="003216FF"/>
    <w:rsid w:val="00321866"/>
    <w:rsid w:val="00321A83"/>
    <w:rsid w:val="00321C1A"/>
    <w:rsid w:val="00321F6B"/>
    <w:rsid w:val="00322389"/>
    <w:rsid w:val="003223CA"/>
    <w:rsid w:val="00322BE5"/>
    <w:rsid w:val="00322E87"/>
    <w:rsid w:val="0032312D"/>
    <w:rsid w:val="00323AA5"/>
    <w:rsid w:val="003242E4"/>
    <w:rsid w:val="0032468D"/>
    <w:rsid w:val="00324887"/>
    <w:rsid w:val="00324926"/>
    <w:rsid w:val="00324B25"/>
    <w:rsid w:val="0032522F"/>
    <w:rsid w:val="003253C4"/>
    <w:rsid w:val="0032550F"/>
    <w:rsid w:val="00325992"/>
    <w:rsid w:val="00325B74"/>
    <w:rsid w:val="0032638F"/>
    <w:rsid w:val="003263EA"/>
    <w:rsid w:val="00326B59"/>
    <w:rsid w:val="00326BD4"/>
    <w:rsid w:val="003272C6"/>
    <w:rsid w:val="00327752"/>
    <w:rsid w:val="00327C7C"/>
    <w:rsid w:val="00330009"/>
    <w:rsid w:val="003301E6"/>
    <w:rsid w:val="003310AB"/>
    <w:rsid w:val="003314D2"/>
    <w:rsid w:val="00331712"/>
    <w:rsid w:val="00331A3F"/>
    <w:rsid w:val="00332191"/>
    <w:rsid w:val="00332720"/>
    <w:rsid w:val="00332EED"/>
    <w:rsid w:val="003334A7"/>
    <w:rsid w:val="003337E8"/>
    <w:rsid w:val="00333A14"/>
    <w:rsid w:val="00333B2A"/>
    <w:rsid w:val="00333FD5"/>
    <w:rsid w:val="00334303"/>
    <w:rsid w:val="00334649"/>
    <w:rsid w:val="003350E9"/>
    <w:rsid w:val="003351BA"/>
    <w:rsid w:val="0033520F"/>
    <w:rsid w:val="0033596B"/>
    <w:rsid w:val="00335A93"/>
    <w:rsid w:val="0033650E"/>
    <w:rsid w:val="00336907"/>
    <w:rsid w:val="003369DF"/>
    <w:rsid w:val="00336AD1"/>
    <w:rsid w:val="00336C71"/>
    <w:rsid w:val="00336D96"/>
    <w:rsid w:val="00336DFC"/>
    <w:rsid w:val="00337230"/>
    <w:rsid w:val="003377D0"/>
    <w:rsid w:val="00337D75"/>
    <w:rsid w:val="00340020"/>
    <w:rsid w:val="00340AFD"/>
    <w:rsid w:val="00341162"/>
    <w:rsid w:val="00341866"/>
    <w:rsid w:val="00341DAF"/>
    <w:rsid w:val="00342181"/>
    <w:rsid w:val="00342B37"/>
    <w:rsid w:val="00343560"/>
    <w:rsid w:val="00343A20"/>
    <w:rsid w:val="0034402B"/>
    <w:rsid w:val="0034449E"/>
    <w:rsid w:val="003449F4"/>
    <w:rsid w:val="00344D46"/>
    <w:rsid w:val="00345337"/>
    <w:rsid w:val="003465A5"/>
    <w:rsid w:val="00346817"/>
    <w:rsid w:val="00347440"/>
    <w:rsid w:val="003475EA"/>
    <w:rsid w:val="00347A27"/>
    <w:rsid w:val="00347CD4"/>
    <w:rsid w:val="00347E2E"/>
    <w:rsid w:val="00350A55"/>
    <w:rsid w:val="00350DF8"/>
    <w:rsid w:val="00351A8A"/>
    <w:rsid w:val="0035266A"/>
    <w:rsid w:val="0035279C"/>
    <w:rsid w:val="003535D2"/>
    <w:rsid w:val="0035384D"/>
    <w:rsid w:val="00353C0B"/>
    <w:rsid w:val="00354472"/>
    <w:rsid w:val="00354AE4"/>
    <w:rsid w:val="00354B0A"/>
    <w:rsid w:val="0035551B"/>
    <w:rsid w:val="003555ED"/>
    <w:rsid w:val="00355911"/>
    <w:rsid w:val="00355BFC"/>
    <w:rsid w:val="0035636B"/>
    <w:rsid w:val="003564CC"/>
    <w:rsid w:val="00357424"/>
    <w:rsid w:val="00357BE9"/>
    <w:rsid w:val="003601A2"/>
    <w:rsid w:val="00361789"/>
    <w:rsid w:val="0036196D"/>
    <w:rsid w:val="00361A59"/>
    <w:rsid w:val="00362136"/>
    <w:rsid w:val="003627BD"/>
    <w:rsid w:val="00362997"/>
    <w:rsid w:val="00362C59"/>
    <w:rsid w:val="00363040"/>
    <w:rsid w:val="003630B7"/>
    <w:rsid w:val="00363786"/>
    <w:rsid w:val="003638A4"/>
    <w:rsid w:val="003639BF"/>
    <w:rsid w:val="003639CD"/>
    <w:rsid w:val="00363E41"/>
    <w:rsid w:val="00363FD2"/>
    <w:rsid w:val="00364653"/>
    <w:rsid w:val="0036572E"/>
    <w:rsid w:val="00365AAA"/>
    <w:rsid w:val="00366168"/>
    <w:rsid w:val="003663D9"/>
    <w:rsid w:val="003666BF"/>
    <w:rsid w:val="00366707"/>
    <w:rsid w:val="00366FA9"/>
    <w:rsid w:val="00367B19"/>
    <w:rsid w:val="00367E49"/>
    <w:rsid w:val="003700E6"/>
    <w:rsid w:val="0037017C"/>
    <w:rsid w:val="00370490"/>
    <w:rsid w:val="00371C86"/>
    <w:rsid w:val="0037236C"/>
    <w:rsid w:val="003729DE"/>
    <w:rsid w:val="00372EA2"/>
    <w:rsid w:val="003735D3"/>
    <w:rsid w:val="0037386D"/>
    <w:rsid w:val="00373956"/>
    <w:rsid w:val="00374153"/>
    <w:rsid w:val="00374671"/>
    <w:rsid w:val="003750E0"/>
    <w:rsid w:val="0037571C"/>
    <w:rsid w:val="00375AF1"/>
    <w:rsid w:val="00375C2F"/>
    <w:rsid w:val="00375FC5"/>
    <w:rsid w:val="003769BA"/>
    <w:rsid w:val="00377871"/>
    <w:rsid w:val="003778B2"/>
    <w:rsid w:val="00377E58"/>
    <w:rsid w:val="003805E3"/>
    <w:rsid w:val="00380618"/>
    <w:rsid w:val="0038062E"/>
    <w:rsid w:val="003806D7"/>
    <w:rsid w:val="003807F7"/>
    <w:rsid w:val="00381610"/>
    <w:rsid w:val="00381C9E"/>
    <w:rsid w:val="00381CA8"/>
    <w:rsid w:val="00382106"/>
    <w:rsid w:val="00382657"/>
    <w:rsid w:val="00382708"/>
    <w:rsid w:val="00382B82"/>
    <w:rsid w:val="003844BF"/>
    <w:rsid w:val="003854D5"/>
    <w:rsid w:val="0038552A"/>
    <w:rsid w:val="003859EA"/>
    <w:rsid w:val="0038709E"/>
    <w:rsid w:val="00387D30"/>
    <w:rsid w:val="00391753"/>
    <w:rsid w:val="00391C7F"/>
    <w:rsid w:val="00392454"/>
    <w:rsid w:val="00392C85"/>
    <w:rsid w:val="00392FD8"/>
    <w:rsid w:val="00393E11"/>
    <w:rsid w:val="00394475"/>
    <w:rsid w:val="0039517A"/>
    <w:rsid w:val="003954FE"/>
    <w:rsid w:val="00395B51"/>
    <w:rsid w:val="00396796"/>
    <w:rsid w:val="00396EC6"/>
    <w:rsid w:val="003970BA"/>
    <w:rsid w:val="0039746C"/>
    <w:rsid w:val="00397DC6"/>
    <w:rsid w:val="003A0E82"/>
    <w:rsid w:val="003A0FAC"/>
    <w:rsid w:val="003A184D"/>
    <w:rsid w:val="003A1FB7"/>
    <w:rsid w:val="003A2773"/>
    <w:rsid w:val="003A371E"/>
    <w:rsid w:val="003A3957"/>
    <w:rsid w:val="003A3E29"/>
    <w:rsid w:val="003A439B"/>
    <w:rsid w:val="003A462A"/>
    <w:rsid w:val="003A595F"/>
    <w:rsid w:val="003A5EEC"/>
    <w:rsid w:val="003A6B7A"/>
    <w:rsid w:val="003A748F"/>
    <w:rsid w:val="003A79AE"/>
    <w:rsid w:val="003A7CA3"/>
    <w:rsid w:val="003B00B6"/>
    <w:rsid w:val="003B01C4"/>
    <w:rsid w:val="003B0BB0"/>
    <w:rsid w:val="003B11EE"/>
    <w:rsid w:val="003B15F8"/>
    <w:rsid w:val="003B166F"/>
    <w:rsid w:val="003B1B60"/>
    <w:rsid w:val="003B207E"/>
    <w:rsid w:val="003B230B"/>
    <w:rsid w:val="003B23BC"/>
    <w:rsid w:val="003B28BA"/>
    <w:rsid w:val="003B28F6"/>
    <w:rsid w:val="003B2DB5"/>
    <w:rsid w:val="003B2F05"/>
    <w:rsid w:val="003B3966"/>
    <w:rsid w:val="003B39B7"/>
    <w:rsid w:val="003B4754"/>
    <w:rsid w:val="003B4EB0"/>
    <w:rsid w:val="003B5094"/>
    <w:rsid w:val="003B5F6A"/>
    <w:rsid w:val="003B6B7F"/>
    <w:rsid w:val="003B7820"/>
    <w:rsid w:val="003C01A4"/>
    <w:rsid w:val="003C0219"/>
    <w:rsid w:val="003C0941"/>
    <w:rsid w:val="003C0C12"/>
    <w:rsid w:val="003C0E6B"/>
    <w:rsid w:val="003C16EE"/>
    <w:rsid w:val="003C1C87"/>
    <w:rsid w:val="003C1D4D"/>
    <w:rsid w:val="003C2927"/>
    <w:rsid w:val="003C2C85"/>
    <w:rsid w:val="003C2F61"/>
    <w:rsid w:val="003C345E"/>
    <w:rsid w:val="003C4409"/>
    <w:rsid w:val="003C4997"/>
    <w:rsid w:val="003C4DA5"/>
    <w:rsid w:val="003C502A"/>
    <w:rsid w:val="003C5666"/>
    <w:rsid w:val="003C60CC"/>
    <w:rsid w:val="003C64F4"/>
    <w:rsid w:val="003C6D4E"/>
    <w:rsid w:val="003C724B"/>
    <w:rsid w:val="003C73DB"/>
    <w:rsid w:val="003C74FB"/>
    <w:rsid w:val="003D0185"/>
    <w:rsid w:val="003D02CB"/>
    <w:rsid w:val="003D0382"/>
    <w:rsid w:val="003D069C"/>
    <w:rsid w:val="003D18F6"/>
    <w:rsid w:val="003D191E"/>
    <w:rsid w:val="003D1A19"/>
    <w:rsid w:val="003D2027"/>
    <w:rsid w:val="003D22A5"/>
    <w:rsid w:val="003D23A4"/>
    <w:rsid w:val="003D3414"/>
    <w:rsid w:val="003D3426"/>
    <w:rsid w:val="003D3654"/>
    <w:rsid w:val="003D3721"/>
    <w:rsid w:val="003D413A"/>
    <w:rsid w:val="003D6722"/>
    <w:rsid w:val="003D7428"/>
    <w:rsid w:val="003D77F2"/>
    <w:rsid w:val="003D78CC"/>
    <w:rsid w:val="003D7D01"/>
    <w:rsid w:val="003D7ED8"/>
    <w:rsid w:val="003E0003"/>
    <w:rsid w:val="003E0099"/>
    <w:rsid w:val="003E08C7"/>
    <w:rsid w:val="003E122B"/>
    <w:rsid w:val="003E1427"/>
    <w:rsid w:val="003E1A72"/>
    <w:rsid w:val="003E27B8"/>
    <w:rsid w:val="003E2880"/>
    <w:rsid w:val="003E28FB"/>
    <w:rsid w:val="003E2A00"/>
    <w:rsid w:val="003E382C"/>
    <w:rsid w:val="003E3D00"/>
    <w:rsid w:val="003E4487"/>
    <w:rsid w:val="003E4531"/>
    <w:rsid w:val="003E46C4"/>
    <w:rsid w:val="003E4771"/>
    <w:rsid w:val="003E518F"/>
    <w:rsid w:val="003E52E3"/>
    <w:rsid w:val="003E541C"/>
    <w:rsid w:val="003E54A5"/>
    <w:rsid w:val="003E54A8"/>
    <w:rsid w:val="003E5833"/>
    <w:rsid w:val="003E5DA8"/>
    <w:rsid w:val="003E7109"/>
    <w:rsid w:val="003E7326"/>
    <w:rsid w:val="003E77DC"/>
    <w:rsid w:val="003E7BC1"/>
    <w:rsid w:val="003F0453"/>
    <w:rsid w:val="003F0C9F"/>
    <w:rsid w:val="003F144A"/>
    <w:rsid w:val="003F1B02"/>
    <w:rsid w:val="003F1EFE"/>
    <w:rsid w:val="003F2240"/>
    <w:rsid w:val="003F2460"/>
    <w:rsid w:val="003F2E7B"/>
    <w:rsid w:val="003F3CD5"/>
    <w:rsid w:val="003F4473"/>
    <w:rsid w:val="003F4CF5"/>
    <w:rsid w:val="003F4E31"/>
    <w:rsid w:val="003F51EE"/>
    <w:rsid w:val="003F56E0"/>
    <w:rsid w:val="003F574E"/>
    <w:rsid w:val="003F60D6"/>
    <w:rsid w:val="003F68E9"/>
    <w:rsid w:val="003F728C"/>
    <w:rsid w:val="003F7E15"/>
    <w:rsid w:val="003F7FDA"/>
    <w:rsid w:val="00400E65"/>
    <w:rsid w:val="004013AD"/>
    <w:rsid w:val="00401E20"/>
    <w:rsid w:val="004021C0"/>
    <w:rsid w:val="004024F9"/>
    <w:rsid w:val="004028CE"/>
    <w:rsid w:val="0040313D"/>
    <w:rsid w:val="004043FA"/>
    <w:rsid w:val="00404970"/>
    <w:rsid w:val="00405181"/>
    <w:rsid w:val="0040567F"/>
    <w:rsid w:val="00405727"/>
    <w:rsid w:val="00405873"/>
    <w:rsid w:val="00405F09"/>
    <w:rsid w:val="00406526"/>
    <w:rsid w:val="004066F4"/>
    <w:rsid w:val="00406A32"/>
    <w:rsid w:val="0040760B"/>
    <w:rsid w:val="00410117"/>
    <w:rsid w:val="00410C32"/>
    <w:rsid w:val="00411237"/>
    <w:rsid w:val="00411557"/>
    <w:rsid w:val="00411994"/>
    <w:rsid w:val="00411D74"/>
    <w:rsid w:val="00411DDE"/>
    <w:rsid w:val="00411F84"/>
    <w:rsid w:val="00412069"/>
    <w:rsid w:val="004121A1"/>
    <w:rsid w:val="00412477"/>
    <w:rsid w:val="00412570"/>
    <w:rsid w:val="004127A2"/>
    <w:rsid w:val="0041280A"/>
    <w:rsid w:val="00412A9D"/>
    <w:rsid w:val="00412CB1"/>
    <w:rsid w:val="004133A5"/>
    <w:rsid w:val="00413D45"/>
    <w:rsid w:val="00414197"/>
    <w:rsid w:val="004144D7"/>
    <w:rsid w:val="00414D68"/>
    <w:rsid w:val="00414FD9"/>
    <w:rsid w:val="00415773"/>
    <w:rsid w:val="00415CAE"/>
    <w:rsid w:val="00415EE7"/>
    <w:rsid w:val="00415FD6"/>
    <w:rsid w:val="004160FA"/>
    <w:rsid w:val="0041669E"/>
    <w:rsid w:val="00416ACA"/>
    <w:rsid w:val="00416C56"/>
    <w:rsid w:val="00417294"/>
    <w:rsid w:val="004176B8"/>
    <w:rsid w:val="00417B99"/>
    <w:rsid w:val="00417CE0"/>
    <w:rsid w:val="004209D5"/>
    <w:rsid w:val="00420FAF"/>
    <w:rsid w:val="00421184"/>
    <w:rsid w:val="004212C1"/>
    <w:rsid w:val="004214B7"/>
    <w:rsid w:val="00421510"/>
    <w:rsid w:val="00421892"/>
    <w:rsid w:val="00421FB5"/>
    <w:rsid w:val="004226ED"/>
    <w:rsid w:val="00422AF4"/>
    <w:rsid w:val="004235F4"/>
    <w:rsid w:val="004236C9"/>
    <w:rsid w:val="00423CF3"/>
    <w:rsid w:val="00423E18"/>
    <w:rsid w:val="004240C6"/>
    <w:rsid w:val="004245E4"/>
    <w:rsid w:val="00424B7C"/>
    <w:rsid w:val="0042500C"/>
    <w:rsid w:val="00425514"/>
    <w:rsid w:val="004256BD"/>
    <w:rsid w:val="00425863"/>
    <w:rsid w:val="00425D02"/>
    <w:rsid w:val="00425EDC"/>
    <w:rsid w:val="00426C3E"/>
    <w:rsid w:val="00426CF3"/>
    <w:rsid w:val="004275CD"/>
    <w:rsid w:val="00427E74"/>
    <w:rsid w:val="00427FEB"/>
    <w:rsid w:val="00427FF2"/>
    <w:rsid w:val="004305C0"/>
    <w:rsid w:val="00430B20"/>
    <w:rsid w:val="00430B6C"/>
    <w:rsid w:val="0043227C"/>
    <w:rsid w:val="004330B1"/>
    <w:rsid w:val="004335C0"/>
    <w:rsid w:val="00433B34"/>
    <w:rsid w:val="00435121"/>
    <w:rsid w:val="00435715"/>
    <w:rsid w:val="0043571B"/>
    <w:rsid w:val="00435EE0"/>
    <w:rsid w:val="00435F29"/>
    <w:rsid w:val="0043610C"/>
    <w:rsid w:val="004366FF"/>
    <w:rsid w:val="00437D83"/>
    <w:rsid w:val="004401DD"/>
    <w:rsid w:val="00440344"/>
    <w:rsid w:val="00441264"/>
    <w:rsid w:val="00441B0F"/>
    <w:rsid w:val="00441F06"/>
    <w:rsid w:val="004425C6"/>
    <w:rsid w:val="004428BA"/>
    <w:rsid w:val="00443084"/>
    <w:rsid w:val="00443D5D"/>
    <w:rsid w:val="00445CBA"/>
    <w:rsid w:val="004463CB"/>
    <w:rsid w:val="004466F7"/>
    <w:rsid w:val="00446858"/>
    <w:rsid w:val="00447304"/>
    <w:rsid w:val="004476F6"/>
    <w:rsid w:val="00447CDD"/>
    <w:rsid w:val="00450127"/>
    <w:rsid w:val="0045075F"/>
    <w:rsid w:val="004516AD"/>
    <w:rsid w:val="00451E84"/>
    <w:rsid w:val="00451EA3"/>
    <w:rsid w:val="00451F01"/>
    <w:rsid w:val="00454660"/>
    <w:rsid w:val="004546A7"/>
    <w:rsid w:val="00454831"/>
    <w:rsid w:val="004548DF"/>
    <w:rsid w:val="00456568"/>
    <w:rsid w:val="00456A94"/>
    <w:rsid w:val="00456CC0"/>
    <w:rsid w:val="00457933"/>
    <w:rsid w:val="00457C78"/>
    <w:rsid w:val="0046068D"/>
    <w:rsid w:val="00460735"/>
    <w:rsid w:val="00460AD5"/>
    <w:rsid w:val="00460EB8"/>
    <w:rsid w:val="00461090"/>
    <w:rsid w:val="00461991"/>
    <w:rsid w:val="00461ACB"/>
    <w:rsid w:val="00461C43"/>
    <w:rsid w:val="00462125"/>
    <w:rsid w:val="00463216"/>
    <w:rsid w:val="0046334D"/>
    <w:rsid w:val="00463911"/>
    <w:rsid w:val="00463C95"/>
    <w:rsid w:val="00463E1C"/>
    <w:rsid w:val="00464052"/>
    <w:rsid w:val="00465153"/>
    <w:rsid w:val="00465602"/>
    <w:rsid w:val="004656A4"/>
    <w:rsid w:val="00466A4A"/>
    <w:rsid w:val="00466AFD"/>
    <w:rsid w:val="00467035"/>
    <w:rsid w:val="004672B9"/>
    <w:rsid w:val="00470184"/>
    <w:rsid w:val="00470696"/>
    <w:rsid w:val="004713A5"/>
    <w:rsid w:val="0047162F"/>
    <w:rsid w:val="00472177"/>
    <w:rsid w:val="00472234"/>
    <w:rsid w:val="004724C9"/>
    <w:rsid w:val="00472585"/>
    <w:rsid w:val="00474130"/>
    <w:rsid w:val="00474EDD"/>
    <w:rsid w:val="00475A6C"/>
    <w:rsid w:val="004764AF"/>
    <w:rsid w:val="00476D04"/>
    <w:rsid w:val="00476F58"/>
    <w:rsid w:val="0047775E"/>
    <w:rsid w:val="00477AAE"/>
    <w:rsid w:val="00477AF6"/>
    <w:rsid w:val="00477B3B"/>
    <w:rsid w:val="00477BCB"/>
    <w:rsid w:val="004801A7"/>
    <w:rsid w:val="00480E47"/>
    <w:rsid w:val="00481666"/>
    <w:rsid w:val="0048181B"/>
    <w:rsid w:val="00481F2B"/>
    <w:rsid w:val="004820C5"/>
    <w:rsid w:val="00482198"/>
    <w:rsid w:val="004823D8"/>
    <w:rsid w:val="00482F20"/>
    <w:rsid w:val="00483196"/>
    <w:rsid w:val="0048340F"/>
    <w:rsid w:val="0048423C"/>
    <w:rsid w:val="00484449"/>
    <w:rsid w:val="004852CE"/>
    <w:rsid w:val="0048540C"/>
    <w:rsid w:val="00485F92"/>
    <w:rsid w:val="004860BD"/>
    <w:rsid w:val="004866E1"/>
    <w:rsid w:val="004867DD"/>
    <w:rsid w:val="00486C72"/>
    <w:rsid w:val="00487D3A"/>
    <w:rsid w:val="00490954"/>
    <w:rsid w:val="0049102F"/>
    <w:rsid w:val="0049277A"/>
    <w:rsid w:val="00492B38"/>
    <w:rsid w:val="00492FE4"/>
    <w:rsid w:val="00493035"/>
    <w:rsid w:val="0049330F"/>
    <w:rsid w:val="00493321"/>
    <w:rsid w:val="004936DE"/>
    <w:rsid w:val="004949B0"/>
    <w:rsid w:val="00494A50"/>
    <w:rsid w:val="0049544E"/>
    <w:rsid w:val="00495670"/>
    <w:rsid w:val="0049567B"/>
    <w:rsid w:val="0049604B"/>
    <w:rsid w:val="00496666"/>
    <w:rsid w:val="00496AC9"/>
    <w:rsid w:val="00497528"/>
    <w:rsid w:val="004A040E"/>
    <w:rsid w:val="004A042D"/>
    <w:rsid w:val="004A11E0"/>
    <w:rsid w:val="004A16DB"/>
    <w:rsid w:val="004A1953"/>
    <w:rsid w:val="004A1FC5"/>
    <w:rsid w:val="004A2158"/>
    <w:rsid w:val="004A29A5"/>
    <w:rsid w:val="004A3225"/>
    <w:rsid w:val="004A374A"/>
    <w:rsid w:val="004A395B"/>
    <w:rsid w:val="004A3C59"/>
    <w:rsid w:val="004A3FE2"/>
    <w:rsid w:val="004A4195"/>
    <w:rsid w:val="004A480D"/>
    <w:rsid w:val="004A4D76"/>
    <w:rsid w:val="004A5851"/>
    <w:rsid w:val="004A5A91"/>
    <w:rsid w:val="004A5B0F"/>
    <w:rsid w:val="004A5CF1"/>
    <w:rsid w:val="004A66E0"/>
    <w:rsid w:val="004A7AAE"/>
    <w:rsid w:val="004A7D49"/>
    <w:rsid w:val="004A7E52"/>
    <w:rsid w:val="004A7F21"/>
    <w:rsid w:val="004B08DB"/>
    <w:rsid w:val="004B1422"/>
    <w:rsid w:val="004B1DF2"/>
    <w:rsid w:val="004B24EB"/>
    <w:rsid w:val="004B29AC"/>
    <w:rsid w:val="004B3C8B"/>
    <w:rsid w:val="004B44A9"/>
    <w:rsid w:val="004B4509"/>
    <w:rsid w:val="004B452A"/>
    <w:rsid w:val="004B4871"/>
    <w:rsid w:val="004B4ADF"/>
    <w:rsid w:val="004B4C00"/>
    <w:rsid w:val="004B4E06"/>
    <w:rsid w:val="004B5493"/>
    <w:rsid w:val="004B5914"/>
    <w:rsid w:val="004B5997"/>
    <w:rsid w:val="004B6C77"/>
    <w:rsid w:val="004B6D0A"/>
    <w:rsid w:val="004B6DA4"/>
    <w:rsid w:val="004B794C"/>
    <w:rsid w:val="004B7995"/>
    <w:rsid w:val="004C02B3"/>
    <w:rsid w:val="004C098E"/>
    <w:rsid w:val="004C0BBE"/>
    <w:rsid w:val="004C0E2F"/>
    <w:rsid w:val="004C1705"/>
    <w:rsid w:val="004C222E"/>
    <w:rsid w:val="004C2561"/>
    <w:rsid w:val="004C25B4"/>
    <w:rsid w:val="004C2806"/>
    <w:rsid w:val="004C3A7A"/>
    <w:rsid w:val="004C3ADD"/>
    <w:rsid w:val="004C428E"/>
    <w:rsid w:val="004C441A"/>
    <w:rsid w:val="004C4775"/>
    <w:rsid w:val="004C483D"/>
    <w:rsid w:val="004C48A9"/>
    <w:rsid w:val="004C49B3"/>
    <w:rsid w:val="004C4D05"/>
    <w:rsid w:val="004C4FF6"/>
    <w:rsid w:val="004C590B"/>
    <w:rsid w:val="004C6017"/>
    <w:rsid w:val="004C63C7"/>
    <w:rsid w:val="004C6D39"/>
    <w:rsid w:val="004C6D98"/>
    <w:rsid w:val="004C7217"/>
    <w:rsid w:val="004C7743"/>
    <w:rsid w:val="004C77A7"/>
    <w:rsid w:val="004C7B8C"/>
    <w:rsid w:val="004D039E"/>
    <w:rsid w:val="004D04A3"/>
    <w:rsid w:val="004D0C9F"/>
    <w:rsid w:val="004D15D3"/>
    <w:rsid w:val="004D15FD"/>
    <w:rsid w:val="004D1A0A"/>
    <w:rsid w:val="004D2369"/>
    <w:rsid w:val="004D2485"/>
    <w:rsid w:val="004D25D5"/>
    <w:rsid w:val="004D3A57"/>
    <w:rsid w:val="004D47FF"/>
    <w:rsid w:val="004D4D35"/>
    <w:rsid w:val="004D518F"/>
    <w:rsid w:val="004D54D7"/>
    <w:rsid w:val="004D5BB7"/>
    <w:rsid w:val="004D6053"/>
    <w:rsid w:val="004D6FA4"/>
    <w:rsid w:val="004D7C23"/>
    <w:rsid w:val="004E01C6"/>
    <w:rsid w:val="004E0212"/>
    <w:rsid w:val="004E0ADC"/>
    <w:rsid w:val="004E0FB1"/>
    <w:rsid w:val="004E1043"/>
    <w:rsid w:val="004E1DCA"/>
    <w:rsid w:val="004E21B4"/>
    <w:rsid w:val="004E252B"/>
    <w:rsid w:val="004E2861"/>
    <w:rsid w:val="004E2A85"/>
    <w:rsid w:val="004E3F72"/>
    <w:rsid w:val="004E4A78"/>
    <w:rsid w:val="004E551E"/>
    <w:rsid w:val="004E584D"/>
    <w:rsid w:val="004E58F6"/>
    <w:rsid w:val="004E5E37"/>
    <w:rsid w:val="004E5E4C"/>
    <w:rsid w:val="004E5F79"/>
    <w:rsid w:val="004E623E"/>
    <w:rsid w:val="004E6589"/>
    <w:rsid w:val="004E6CF9"/>
    <w:rsid w:val="004E7152"/>
    <w:rsid w:val="004E734E"/>
    <w:rsid w:val="004E7EC0"/>
    <w:rsid w:val="004E7F48"/>
    <w:rsid w:val="004F014E"/>
    <w:rsid w:val="004F023B"/>
    <w:rsid w:val="004F0BC6"/>
    <w:rsid w:val="004F1123"/>
    <w:rsid w:val="004F12D3"/>
    <w:rsid w:val="004F1715"/>
    <w:rsid w:val="004F17DA"/>
    <w:rsid w:val="004F355B"/>
    <w:rsid w:val="004F367A"/>
    <w:rsid w:val="004F3BD2"/>
    <w:rsid w:val="004F4372"/>
    <w:rsid w:val="004F43E0"/>
    <w:rsid w:val="004F45EB"/>
    <w:rsid w:val="004F5079"/>
    <w:rsid w:val="004F521B"/>
    <w:rsid w:val="004F52BB"/>
    <w:rsid w:val="004F5582"/>
    <w:rsid w:val="004F56B1"/>
    <w:rsid w:val="004F59B8"/>
    <w:rsid w:val="004F62A7"/>
    <w:rsid w:val="004F62F9"/>
    <w:rsid w:val="004F66B3"/>
    <w:rsid w:val="004F6FA7"/>
    <w:rsid w:val="004F72DA"/>
    <w:rsid w:val="004F7352"/>
    <w:rsid w:val="004F7889"/>
    <w:rsid w:val="0050015C"/>
    <w:rsid w:val="00500418"/>
    <w:rsid w:val="00500CCF"/>
    <w:rsid w:val="00500E62"/>
    <w:rsid w:val="005010DE"/>
    <w:rsid w:val="0050118C"/>
    <w:rsid w:val="005011FD"/>
    <w:rsid w:val="0050164B"/>
    <w:rsid w:val="00501AA5"/>
    <w:rsid w:val="00502958"/>
    <w:rsid w:val="00502BD2"/>
    <w:rsid w:val="00502DA4"/>
    <w:rsid w:val="00503790"/>
    <w:rsid w:val="005038F3"/>
    <w:rsid w:val="00503F83"/>
    <w:rsid w:val="0050421C"/>
    <w:rsid w:val="005048FF"/>
    <w:rsid w:val="00504A9B"/>
    <w:rsid w:val="00504E9A"/>
    <w:rsid w:val="00504F83"/>
    <w:rsid w:val="005059B9"/>
    <w:rsid w:val="00505EDB"/>
    <w:rsid w:val="00505F64"/>
    <w:rsid w:val="00506DCD"/>
    <w:rsid w:val="00507325"/>
    <w:rsid w:val="00507583"/>
    <w:rsid w:val="00507C56"/>
    <w:rsid w:val="00507F13"/>
    <w:rsid w:val="005109D4"/>
    <w:rsid w:val="00510CF4"/>
    <w:rsid w:val="0051160A"/>
    <w:rsid w:val="005118BA"/>
    <w:rsid w:val="00511C28"/>
    <w:rsid w:val="00511C56"/>
    <w:rsid w:val="00512385"/>
    <w:rsid w:val="00512A4D"/>
    <w:rsid w:val="00512D87"/>
    <w:rsid w:val="00512E2E"/>
    <w:rsid w:val="005130B1"/>
    <w:rsid w:val="005130DA"/>
    <w:rsid w:val="00513DDA"/>
    <w:rsid w:val="00513E19"/>
    <w:rsid w:val="005148B4"/>
    <w:rsid w:val="00514B29"/>
    <w:rsid w:val="00514E8C"/>
    <w:rsid w:val="00514F33"/>
    <w:rsid w:val="005152B1"/>
    <w:rsid w:val="005152F0"/>
    <w:rsid w:val="0051532D"/>
    <w:rsid w:val="00515856"/>
    <w:rsid w:val="005163E6"/>
    <w:rsid w:val="00516D23"/>
    <w:rsid w:val="005172EC"/>
    <w:rsid w:val="0051740D"/>
    <w:rsid w:val="005178CE"/>
    <w:rsid w:val="00521356"/>
    <w:rsid w:val="00521CAB"/>
    <w:rsid w:val="00521DFB"/>
    <w:rsid w:val="005224EF"/>
    <w:rsid w:val="00522654"/>
    <w:rsid w:val="00522726"/>
    <w:rsid w:val="00522835"/>
    <w:rsid w:val="0052293D"/>
    <w:rsid w:val="00522AF4"/>
    <w:rsid w:val="00523499"/>
    <w:rsid w:val="00523BC7"/>
    <w:rsid w:val="00523C08"/>
    <w:rsid w:val="00523C10"/>
    <w:rsid w:val="00523E23"/>
    <w:rsid w:val="005245D5"/>
    <w:rsid w:val="005247FE"/>
    <w:rsid w:val="00524889"/>
    <w:rsid w:val="0052575D"/>
    <w:rsid w:val="005259FC"/>
    <w:rsid w:val="00525A53"/>
    <w:rsid w:val="005260F1"/>
    <w:rsid w:val="00526569"/>
    <w:rsid w:val="00526726"/>
    <w:rsid w:val="00526F91"/>
    <w:rsid w:val="00527256"/>
    <w:rsid w:val="00527934"/>
    <w:rsid w:val="00527B57"/>
    <w:rsid w:val="00527C8D"/>
    <w:rsid w:val="00527C9C"/>
    <w:rsid w:val="00530AC4"/>
    <w:rsid w:val="00531F7B"/>
    <w:rsid w:val="00532064"/>
    <w:rsid w:val="0053268A"/>
    <w:rsid w:val="0053309E"/>
    <w:rsid w:val="00533169"/>
    <w:rsid w:val="00533194"/>
    <w:rsid w:val="005332C8"/>
    <w:rsid w:val="00534021"/>
    <w:rsid w:val="0053464E"/>
    <w:rsid w:val="00534CBD"/>
    <w:rsid w:val="005352C8"/>
    <w:rsid w:val="005354C1"/>
    <w:rsid w:val="00535F99"/>
    <w:rsid w:val="005361DE"/>
    <w:rsid w:val="00536356"/>
    <w:rsid w:val="00536CBB"/>
    <w:rsid w:val="00536DDD"/>
    <w:rsid w:val="00537033"/>
    <w:rsid w:val="00540A37"/>
    <w:rsid w:val="00540B49"/>
    <w:rsid w:val="005418DB"/>
    <w:rsid w:val="005418EF"/>
    <w:rsid w:val="0054230B"/>
    <w:rsid w:val="0054277A"/>
    <w:rsid w:val="005434EA"/>
    <w:rsid w:val="00544ABA"/>
    <w:rsid w:val="00545D55"/>
    <w:rsid w:val="005461AB"/>
    <w:rsid w:val="00546C6A"/>
    <w:rsid w:val="00546FBA"/>
    <w:rsid w:val="00547F04"/>
    <w:rsid w:val="00550924"/>
    <w:rsid w:val="00550D63"/>
    <w:rsid w:val="00550EF1"/>
    <w:rsid w:val="00551075"/>
    <w:rsid w:val="005513C8"/>
    <w:rsid w:val="0055236E"/>
    <w:rsid w:val="0055352C"/>
    <w:rsid w:val="005538A6"/>
    <w:rsid w:val="00554F94"/>
    <w:rsid w:val="00555161"/>
    <w:rsid w:val="00555A59"/>
    <w:rsid w:val="00555DE6"/>
    <w:rsid w:val="00555EB3"/>
    <w:rsid w:val="005567F6"/>
    <w:rsid w:val="00556E29"/>
    <w:rsid w:val="00557474"/>
    <w:rsid w:val="005575EA"/>
    <w:rsid w:val="00557DAA"/>
    <w:rsid w:val="00557DAD"/>
    <w:rsid w:val="00561138"/>
    <w:rsid w:val="00561699"/>
    <w:rsid w:val="0056194F"/>
    <w:rsid w:val="005619E1"/>
    <w:rsid w:val="00562629"/>
    <w:rsid w:val="005628FE"/>
    <w:rsid w:val="0056364B"/>
    <w:rsid w:val="00563D49"/>
    <w:rsid w:val="00564191"/>
    <w:rsid w:val="00564557"/>
    <w:rsid w:val="0056458C"/>
    <w:rsid w:val="00564628"/>
    <w:rsid w:val="005648B9"/>
    <w:rsid w:val="00564A3C"/>
    <w:rsid w:val="00564F82"/>
    <w:rsid w:val="00564FF6"/>
    <w:rsid w:val="005653AF"/>
    <w:rsid w:val="00565501"/>
    <w:rsid w:val="0056556E"/>
    <w:rsid w:val="00565755"/>
    <w:rsid w:val="0056601E"/>
    <w:rsid w:val="00566406"/>
    <w:rsid w:val="005664A6"/>
    <w:rsid w:val="00566538"/>
    <w:rsid w:val="0056725A"/>
    <w:rsid w:val="0056741F"/>
    <w:rsid w:val="00567647"/>
    <w:rsid w:val="0056781B"/>
    <w:rsid w:val="00567BE2"/>
    <w:rsid w:val="00570102"/>
    <w:rsid w:val="00570505"/>
    <w:rsid w:val="005712E6"/>
    <w:rsid w:val="00572942"/>
    <w:rsid w:val="005730DB"/>
    <w:rsid w:val="00573251"/>
    <w:rsid w:val="005733A8"/>
    <w:rsid w:val="005734F9"/>
    <w:rsid w:val="00573B5B"/>
    <w:rsid w:val="00573F55"/>
    <w:rsid w:val="00574070"/>
    <w:rsid w:val="00575148"/>
    <w:rsid w:val="0057540E"/>
    <w:rsid w:val="005757B6"/>
    <w:rsid w:val="005761E2"/>
    <w:rsid w:val="0058000F"/>
    <w:rsid w:val="00580557"/>
    <w:rsid w:val="0058074F"/>
    <w:rsid w:val="00580A76"/>
    <w:rsid w:val="00580B54"/>
    <w:rsid w:val="00581042"/>
    <w:rsid w:val="00581703"/>
    <w:rsid w:val="00581B15"/>
    <w:rsid w:val="005821DD"/>
    <w:rsid w:val="00583908"/>
    <w:rsid w:val="00583C9C"/>
    <w:rsid w:val="00584757"/>
    <w:rsid w:val="00584E21"/>
    <w:rsid w:val="0058608B"/>
    <w:rsid w:val="005863C1"/>
    <w:rsid w:val="0058654D"/>
    <w:rsid w:val="00586786"/>
    <w:rsid w:val="00587729"/>
    <w:rsid w:val="00587886"/>
    <w:rsid w:val="00587A66"/>
    <w:rsid w:val="00590147"/>
    <w:rsid w:val="00590BD1"/>
    <w:rsid w:val="00590D26"/>
    <w:rsid w:val="00591276"/>
    <w:rsid w:val="00591490"/>
    <w:rsid w:val="0059151A"/>
    <w:rsid w:val="005916C9"/>
    <w:rsid w:val="00591C7E"/>
    <w:rsid w:val="00591DCF"/>
    <w:rsid w:val="005929B4"/>
    <w:rsid w:val="00592A3C"/>
    <w:rsid w:val="0059367F"/>
    <w:rsid w:val="00593720"/>
    <w:rsid w:val="00593909"/>
    <w:rsid w:val="00593A71"/>
    <w:rsid w:val="005941E1"/>
    <w:rsid w:val="005943E2"/>
    <w:rsid w:val="005946E1"/>
    <w:rsid w:val="00594B8A"/>
    <w:rsid w:val="00595009"/>
    <w:rsid w:val="005954B7"/>
    <w:rsid w:val="00595A05"/>
    <w:rsid w:val="00595F17"/>
    <w:rsid w:val="00595F3D"/>
    <w:rsid w:val="00595F89"/>
    <w:rsid w:val="005960C7"/>
    <w:rsid w:val="005963FB"/>
    <w:rsid w:val="00596873"/>
    <w:rsid w:val="00596BB3"/>
    <w:rsid w:val="00596BD4"/>
    <w:rsid w:val="00596FA8"/>
    <w:rsid w:val="005971A7"/>
    <w:rsid w:val="00597310"/>
    <w:rsid w:val="005977AB"/>
    <w:rsid w:val="005A01C5"/>
    <w:rsid w:val="005A0532"/>
    <w:rsid w:val="005A071C"/>
    <w:rsid w:val="005A07E7"/>
    <w:rsid w:val="005A0A57"/>
    <w:rsid w:val="005A0B9F"/>
    <w:rsid w:val="005A0DBB"/>
    <w:rsid w:val="005A0EBD"/>
    <w:rsid w:val="005A1270"/>
    <w:rsid w:val="005A1295"/>
    <w:rsid w:val="005A1FBF"/>
    <w:rsid w:val="005A1FD5"/>
    <w:rsid w:val="005A29B1"/>
    <w:rsid w:val="005A2EBF"/>
    <w:rsid w:val="005A3750"/>
    <w:rsid w:val="005A380B"/>
    <w:rsid w:val="005A4890"/>
    <w:rsid w:val="005A49D4"/>
    <w:rsid w:val="005A4D7C"/>
    <w:rsid w:val="005A51C9"/>
    <w:rsid w:val="005A5A96"/>
    <w:rsid w:val="005A5D7F"/>
    <w:rsid w:val="005A5DC0"/>
    <w:rsid w:val="005A65C3"/>
    <w:rsid w:val="005A6B6D"/>
    <w:rsid w:val="005A6ED5"/>
    <w:rsid w:val="005A6F0E"/>
    <w:rsid w:val="005A6F57"/>
    <w:rsid w:val="005A7235"/>
    <w:rsid w:val="005A795B"/>
    <w:rsid w:val="005A7BAF"/>
    <w:rsid w:val="005B05FA"/>
    <w:rsid w:val="005B0652"/>
    <w:rsid w:val="005B1213"/>
    <w:rsid w:val="005B1B55"/>
    <w:rsid w:val="005B1DBD"/>
    <w:rsid w:val="005B26B0"/>
    <w:rsid w:val="005B3EBD"/>
    <w:rsid w:val="005B3F0C"/>
    <w:rsid w:val="005B48E8"/>
    <w:rsid w:val="005B564F"/>
    <w:rsid w:val="005B56D9"/>
    <w:rsid w:val="005B5BA3"/>
    <w:rsid w:val="005B5E62"/>
    <w:rsid w:val="005B6DBE"/>
    <w:rsid w:val="005B7E97"/>
    <w:rsid w:val="005B7F46"/>
    <w:rsid w:val="005C059E"/>
    <w:rsid w:val="005C06C6"/>
    <w:rsid w:val="005C07D2"/>
    <w:rsid w:val="005C09A7"/>
    <w:rsid w:val="005C0EA8"/>
    <w:rsid w:val="005C102D"/>
    <w:rsid w:val="005C132C"/>
    <w:rsid w:val="005C17FB"/>
    <w:rsid w:val="005C1833"/>
    <w:rsid w:val="005C1838"/>
    <w:rsid w:val="005C18C2"/>
    <w:rsid w:val="005C2063"/>
    <w:rsid w:val="005C244F"/>
    <w:rsid w:val="005C2767"/>
    <w:rsid w:val="005C2922"/>
    <w:rsid w:val="005C2C01"/>
    <w:rsid w:val="005C2F60"/>
    <w:rsid w:val="005C323D"/>
    <w:rsid w:val="005C3772"/>
    <w:rsid w:val="005C39C3"/>
    <w:rsid w:val="005C4229"/>
    <w:rsid w:val="005C4580"/>
    <w:rsid w:val="005C5065"/>
    <w:rsid w:val="005C52F3"/>
    <w:rsid w:val="005C564C"/>
    <w:rsid w:val="005C6234"/>
    <w:rsid w:val="005C64DC"/>
    <w:rsid w:val="005C6605"/>
    <w:rsid w:val="005C6CCB"/>
    <w:rsid w:val="005C71A0"/>
    <w:rsid w:val="005C7802"/>
    <w:rsid w:val="005C7B50"/>
    <w:rsid w:val="005D029E"/>
    <w:rsid w:val="005D0427"/>
    <w:rsid w:val="005D0776"/>
    <w:rsid w:val="005D07AE"/>
    <w:rsid w:val="005D08FD"/>
    <w:rsid w:val="005D0C83"/>
    <w:rsid w:val="005D113B"/>
    <w:rsid w:val="005D1732"/>
    <w:rsid w:val="005D2D9A"/>
    <w:rsid w:val="005D3A6E"/>
    <w:rsid w:val="005D3B21"/>
    <w:rsid w:val="005D4019"/>
    <w:rsid w:val="005D41DC"/>
    <w:rsid w:val="005D460F"/>
    <w:rsid w:val="005D4DC5"/>
    <w:rsid w:val="005D5442"/>
    <w:rsid w:val="005D5C22"/>
    <w:rsid w:val="005D5E6C"/>
    <w:rsid w:val="005D63A7"/>
    <w:rsid w:val="005D63A9"/>
    <w:rsid w:val="005D65AF"/>
    <w:rsid w:val="005D65D5"/>
    <w:rsid w:val="005D6C56"/>
    <w:rsid w:val="005D6CED"/>
    <w:rsid w:val="005D6D9F"/>
    <w:rsid w:val="005D6F49"/>
    <w:rsid w:val="005D7E8A"/>
    <w:rsid w:val="005E06EF"/>
    <w:rsid w:val="005E06FA"/>
    <w:rsid w:val="005E0E04"/>
    <w:rsid w:val="005E11A5"/>
    <w:rsid w:val="005E13D4"/>
    <w:rsid w:val="005E1435"/>
    <w:rsid w:val="005E1EC6"/>
    <w:rsid w:val="005E21F3"/>
    <w:rsid w:val="005E235C"/>
    <w:rsid w:val="005E3078"/>
    <w:rsid w:val="005E34C0"/>
    <w:rsid w:val="005E45F3"/>
    <w:rsid w:val="005E49CA"/>
    <w:rsid w:val="005E5384"/>
    <w:rsid w:val="005E5427"/>
    <w:rsid w:val="005E5428"/>
    <w:rsid w:val="005E5A7C"/>
    <w:rsid w:val="005E5C33"/>
    <w:rsid w:val="005E5DE2"/>
    <w:rsid w:val="005E6976"/>
    <w:rsid w:val="005E703B"/>
    <w:rsid w:val="005E721A"/>
    <w:rsid w:val="005E74EC"/>
    <w:rsid w:val="005E7917"/>
    <w:rsid w:val="005E7AB6"/>
    <w:rsid w:val="005E7B1E"/>
    <w:rsid w:val="005E7CBC"/>
    <w:rsid w:val="005E7DB0"/>
    <w:rsid w:val="005E7E51"/>
    <w:rsid w:val="005F0A62"/>
    <w:rsid w:val="005F0FA8"/>
    <w:rsid w:val="005F1C5D"/>
    <w:rsid w:val="005F2317"/>
    <w:rsid w:val="005F2550"/>
    <w:rsid w:val="005F2B2D"/>
    <w:rsid w:val="005F2FD5"/>
    <w:rsid w:val="005F340A"/>
    <w:rsid w:val="005F359B"/>
    <w:rsid w:val="005F3869"/>
    <w:rsid w:val="005F3AE8"/>
    <w:rsid w:val="005F3B09"/>
    <w:rsid w:val="005F3B47"/>
    <w:rsid w:val="005F47C1"/>
    <w:rsid w:val="005F4926"/>
    <w:rsid w:val="005F4B6F"/>
    <w:rsid w:val="005F5009"/>
    <w:rsid w:val="005F5054"/>
    <w:rsid w:val="005F530F"/>
    <w:rsid w:val="005F5D2A"/>
    <w:rsid w:val="005F65D9"/>
    <w:rsid w:val="005F6768"/>
    <w:rsid w:val="005F69CF"/>
    <w:rsid w:val="005F6E39"/>
    <w:rsid w:val="005F6E58"/>
    <w:rsid w:val="005F7031"/>
    <w:rsid w:val="005F704C"/>
    <w:rsid w:val="005F7A22"/>
    <w:rsid w:val="005F7B9D"/>
    <w:rsid w:val="00600501"/>
    <w:rsid w:val="00600B0C"/>
    <w:rsid w:val="00602DFA"/>
    <w:rsid w:val="006031D1"/>
    <w:rsid w:val="006033BF"/>
    <w:rsid w:val="00603702"/>
    <w:rsid w:val="00603B4B"/>
    <w:rsid w:val="00603F20"/>
    <w:rsid w:val="006046A9"/>
    <w:rsid w:val="0060471B"/>
    <w:rsid w:val="00604F37"/>
    <w:rsid w:val="0060508A"/>
    <w:rsid w:val="006055AF"/>
    <w:rsid w:val="00605942"/>
    <w:rsid w:val="00605C9F"/>
    <w:rsid w:val="006068E8"/>
    <w:rsid w:val="00606ADB"/>
    <w:rsid w:val="006072DE"/>
    <w:rsid w:val="006075F4"/>
    <w:rsid w:val="006078A8"/>
    <w:rsid w:val="00607BAD"/>
    <w:rsid w:val="00607EC7"/>
    <w:rsid w:val="006102BC"/>
    <w:rsid w:val="0061048A"/>
    <w:rsid w:val="00610AE7"/>
    <w:rsid w:val="00611178"/>
    <w:rsid w:val="0061148D"/>
    <w:rsid w:val="00611D01"/>
    <w:rsid w:val="006122EC"/>
    <w:rsid w:val="006124B3"/>
    <w:rsid w:val="00612611"/>
    <w:rsid w:val="0061279A"/>
    <w:rsid w:val="00612A10"/>
    <w:rsid w:val="00613009"/>
    <w:rsid w:val="006132EA"/>
    <w:rsid w:val="00613481"/>
    <w:rsid w:val="00613CA5"/>
    <w:rsid w:val="0061401C"/>
    <w:rsid w:val="0061420B"/>
    <w:rsid w:val="00614A59"/>
    <w:rsid w:val="00614ACF"/>
    <w:rsid w:val="00614BD4"/>
    <w:rsid w:val="00614D33"/>
    <w:rsid w:val="00614E7E"/>
    <w:rsid w:val="0061537D"/>
    <w:rsid w:val="0061537F"/>
    <w:rsid w:val="006156D7"/>
    <w:rsid w:val="00615CF1"/>
    <w:rsid w:val="00615DEA"/>
    <w:rsid w:val="006165A4"/>
    <w:rsid w:val="00616A60"/>
    <w:rsid w:val="00616D0C"/>
    <w:rsid w:val="00616EE6"/>
    <w:rsid w:val="006171FB"/>
    <w:rsid w:val="00617283"/>
    <w:rsid w:val="00617A2A"/>
    <w:rsid w:val="006206F3"/>
    <w:rsid w:val="006207F4"/>
    <w:rsid w:val="00620C67"/>
    <w:rsid w:val="00621646"/>
    <w:rsid w:val="00621803"/>
    <w:rsid w:val="00621A34"/>
    <w:rsid w:val="006220F1"/>
    <w:rsid w:val="0062275E"/>
    <w:rsid w:val="00623E46"/>
    <w:rsid w:val="00624604"/>
    <w:rsid w:val="00624D2C"/>
    <w:rsid w:val="00624F7F"/>
    <w:rsid w:val="00625142"/>
    <w:rsid w:val="00625145"/>
    <w:rsid w:val="00626768"/>
    <w:rsid w:val="00626F9D"/>
    <w:rsid w:val="00627402"/>
    <w:rsid w:val="00627403"/>
    <w:rsid w:val="00627474"/>
    <w:rsid w:val="00627CEA"/>
    <w:rsid w:val="00627E37"/>
    <w:rsid w:val="00630480"/>
    <w:rsid w:val="0063058E"/>
    <w:rsid w:val="006305F8"/>
    <w:rsid w:val="0063197B"/>
    <w:rsid w:val="006319D0"/>
    <w:rsid w:val="00631DA7"/>
    <w:rsid w:val="006327BB"/>
    <w:rsid w:val="0063290C"/>
    <w:rsid w:val="00632B9C"/>
    <w:rsid w:val="00632F18"/>
    <w:rsid w:val="006332D7"/>
    <w:rsid w:val="0063333D"/>
    <w:rsid w:val="006337A6"/>
    <w:rsid w:val="006340FC"/>
    <w:rsid w:val="00634225"/>
    <w:rsid w:val="00635003"/>
    <w:rsid w:val="0063506A"/>
    <w:rsid w:val="006351CE"/>
    <w:rsid w:val="006352FD"/>
    <w:rsid w:val="00635B15"/>
    <w:rsid w:val="00636037"/>
    <w:rsid w:val="006362E1"/>
    <w:rsid w:val="006367DA"/>
    <w:rsid w:val="00636F62"/>
    <w:rsid w:val="006370E1"/>
    <w:rsid w:val="006372E4"/>
    <w:rsid w:val="00637382"/>
    <w:rsid w:val="006375B2"/>
    <w:rsid w:val="006375BB"/>
    <w:rsid w:val="006409EE"/>
    <w:rsid w:val="00640BF7"/>
    <w:rsid w:val="00640FFF"/>
    <w:rsid w:val="00641088"/>
    <w:rsid w:val="00641761"/>
    <w:rsid w:val="006419AF"/>
    <w:rsid w:val="006425FC"/>
    <w:rsid w:val="00642631"/>
    <w:rsid w:val="00642DF5"/>
    <w:rsid w:val="0064304A"/>
    <w:rsid w:val="0064380B"/>
    <w:rsid w:val="00643A4F"/>
    <w:rsid w:val="00643FF5"/>
    <w:rsid w:val="006441FD"/>
    <w:rsid w:val="00644E5A"/>
    <w:rsid w:val="00644F2C"/>
    <w:rsid w:val="00645065"/>
    <w:rsid w:val="006450DD"/>
    <w:rsid w:val="00645141"/>
    <w:rsid w:val="00645AEE"/>
    <w:rsid w:val="00646428"/>
    <w:rsid w:val="00646AFD"/>
    <w:rsid w:val="0064707F"/>
    <w:rsid w:val="006471E8"/>
    <w:rsid w:val="00647E90"/>
    <w:rsid w:val="00647FA3"/>
    <w:rsid w:val="006500F7"/>
    <w:rsid w:val="006506EC"/>
    <w:rsid w:val="00650769"/>
    <w:rsid w:val="0065106D"/>
    <w:rsid w:val="006516B7"/>
    <w:rsid w:val="006518E4"/>
    <w:rsid w:val="006519F4"/>
    <w:rsid w:val="00651FB8"/>
    <w:rsid w:val="0065203F"/>
    <w:rsid w:val="006520D5"/>
    <w:rsid w:val="0065239B"/>
    <w:rsid w:val="00652BA0"/>
    <w:rsid w:val="00653045"/>
    <w:rsid w:val="00653A25"/>
    <w:rsid w:val="00653D93"/>
    <w:rsid w:val="00653FDA"/>
    <w:rsid w:val="006541A0"/>
    <w:rsid w:val="00654E99"/>
    <w:rsid w:val="00655104"/>
    <w:rsid w:val="0065548F"/>
    <w:rsid w:val="00655633"/>
    <w:rsid w:val="006559BB"/>
    <w:rsid w:val="00655D93"/>
    <w:rsid w:val="00655E86"/>
    <w:rsid w:val="00656614"/>
    <w:rsid w:val="00656C4D"/>
    <w:rsid w:val="006577CD"/>
    <w:rsid w:val="00657CCC"/>
    <w:rsid w:val="00660162"/>
    <w:rsid w:val="0066036D"/>
    <w:rsid w:val="006604FA"/>
    <w:rsid w:val="00660879"/>
    <w:rsid w:val="00660B3F"/>
    <w:rsid w:val="006610B1"/>
    <w:rsid w:val="00661639"/>
    <w:rsid w:val="00661655"/>
    <w:rsid w:val="0066174D"/>
    <w:rsid w:val="00661E36"/>
    <w:rsid w:val="0066288A"/>
    <w:rsid w:val="00662EEF"/>
    <w:rsid w:val="0066318A"/>
    <w:rsid w:val="006631D3"/>
    <w:rsid w:val="00663D0F"/>
    <w:rsid w:val="00664525"/>
    <w:rsid w:val="0066465B"/>
    <w:rsid w:val="00664C81"/>
    <w:rsid w:val="0066521A"/>
    <w:rsid w:val="0066540C"/>
    <w:rsid w:val="00665EAE"/>
    <w:rsid w:val="006661EA"/>
    <w:rsid w:val="00666909"/>
    <w:rsid w:val="00666EBC"/>
    <w:rsid w:val="00667189"/>
    <w:rsid w:val="0066749E"/>
    <w:rsid w:val="00667CCB"/>
    <w:rsid w:val="00667EFD"/>
    <w:rsid w:val="00670475"/>
    <w:rsid w:val="00670B8C"/>
    <w:rsid w:val="00670C4A"/>
    <w:rsid w:val="006712FE"/>
    <w:rsid w:val="00671F3E"/>
    <w:rsid w:val="00672482"/>
    <w:rsid w:val="00672A18"/>
    <w:rsid w:val="006735D0"/>
    <w:rsid w:val="006739E9"/>
    <w:rsid w:val="00674D52"/>
    <w:rsid w:val="00674F93"/>
    <w:rsid w:val="0067546F"/>
    <w:rsid w:val="00676287"/>
    <w:rsid w:val="00676CE4"/>
    <w:rsid w:val="00676EC2"/>
    <w:rsid w:val="00676F61"/>
    <w:rsid w:val="00676FA5"/>
    <w:rsid w:val="006771A4"/>
    <w:rsid w:val="006771AD"/>
    <w:rsid w:val="006774A8"/>
    <w:rsid w:val="00677572"/>
    <w:rsid w:val="006778B4"/>
    <w:rsid w:val="00681156"/>
    <w:rsid w:val="00681229"/>
    <w:rsid w:val="00681514"/>
    <w:rsid w:val="00681581"/>
    <w:rsid w:val="0068185E"/>
    <w:rsid w:val="00681BE5"/>
    <w:rsid w:val="00681E30"/>
    <w:rsid w:val="0068379B"/>
    <w:rsid w:val="00683D98"/>
    <w:rsid w:val="00683D99"/>
    <w:rsid w:val="00684079"/>
    <w:rsid w:val="006848EE"/>
    <w:rsid w:val="0068629B"/>
    <w:rsid w:val="00686425"/>
    <w:rsid w:val="00686C12"/>
    <w:rsid w:val="00686D75"/>
    <w:rsid w:val="0068736A"/>
    <w:rsid w:val="00687D17"/>
    <w:rsid w:val="00690024"/>
    <w:rsid w:val="006903A4"/>
    <w:rsid w:val="00690CAA"/>
    <w:rsid w:val="00690EFB"/>
    <w:rsid w:val="0069137B"/>
    <w:rsid w:val="006913EC"/>
    <w:rsid w:val="006914B7"/>
    <w:rsid w:val="00691742"/>
    <w:rsid w:val="00691DEE"/>
    <w:rsid w:val="00692242"/>
    <w:rsid w:val="0069236E"/>
    <w:rsid w:val="00692704"/>
    <w:rsid w:val="00692E67"/>
    <w:rsid w:val="00693ACF"/>
    <w:rsid w:val="00693EE5"/>
    <w:rsid w:val="006944C5"/>
    <w:rsid w:val="00694B8D"/>
    <w:rsid w:val="0069532F"/>
    <w:rsid w:val="0069561C"/>
    <w:rsid w:val="00695634"/>
    <w:rsid w:val="0069600D"/>
    <w:rsid w:val="006963AE"/>
    <w:rsid w:val="00696455"/>
    <w:rsid w:val="00697053"/>
    <w:rsid w:val="006A066A"/>
    <w:rsid w:val="006A06CA"/>
    <w:rsid w:val="006A083E"/>
    <w:rsid w:val="006A0FFD"/>
    <w:rsid w:val="006A1170"/>
    <w:rsid w:val="006A11E8"/>
    <w:rsid w:val="006A14A3"/>
    <w:rsid w:val="006A159D"/>
    <w:rsid w:val="006A18BF"/>
    <w:rsid w:val="006A1F58"/>
    <w:rsid w:val="006A242E"/>
    <w:rsid w:val="006A26AB"/>
    <w:rsid w:val="006A298D"/>
    <w:rsid w:val="006A2F80"/>
    <w:rsid w:val="006A3A48"/>
    <w:rsid w:val="006A3FD6"/>
    <w:rsid w:val="006A4076"/>
    <w:rsid w:val="006A436F"/>
    <w:rsid w:val="006A4E5B"/>
    <w:rsid w:val="006A59D8"/>
    <w:rsid w:val="006A6B7B"/>
    <w:rsid w:val="006A78F8"/>
    <w:rsid w:val="006A7C26"/>
    <w:rsid w:val="006A7E27"/>
    <w:rsid w:val="006B010E"/>
    <w:rsid w:val="006B03CA"/>
    <w:rsid w:val="006B091F"/>
    <w:rsid w:val="006B0CAF"/>
    <w:rsid w:val="006B0ED0"/>
    <w:rsid w:val="006B0EED"/>
    <w:rsid w:val="006B147E"/>
    <w:rsid w:val="006B1DF6"/>
    <w:rsid w:val="006B233F"/>
    <w:rsid w:val="006B275E"/>
    <w:rsid w:val="006B28EA"/>
    <w:rsid w:val="006B2DA3"/>
    <w:rsid w:val="006B2FBB"/>
    <w:rsid w:val="006B378A"/>
    <w:rsid w:val="006B3BD5"/>
    <w:rsid w:val="006B4185"/>
    <w:rsid w:val="006B4224"/>
    <w:rsid w:val="006B4493"/>
    <w:rsid w:val="006B4B62"/>
    <w:rsid w:val="006B53DC"/>
    <w:rsid w:val="006B5423"/>
    <w:rsid w:val="006B5787"/>
    <w:rsid w:val="006B5855"/>
    <w:rsid w:val="006B5AB2"/>
    <w:rsid w:val="006B5C67"/>
    <w:rsid w:val="006B6B5D"/>
    <w:rsid w:val="006B6BF6"/>
    <w:rsid w:val="006B6C0D"/>
    <w:rsid w:val="006B7657"/>
    <w:rsid w:val="006B7EB7"/>
    <w:rsid w:val="006C166D"/>
    <w:rsid w:val="006C1818"/>
    <w:rsid w:val="006C1C4F"/>
    <w:rsid w:val="006C1F8B"/>
    <w:rsid w:val="006C2721"/>
    <w:rsid w:val="006C2BE5"/>
    <w:rsid w:val="006C377A"/>
    <w:rsid w:val="006C3868"/>
    <w:rsid w:val="006C38FF"/>
    <w:rsid w:val="006C3E6E"/>
    <w:rsid w:val="006C3EEA"/>
    <w:rsid w:val="006C3F92"/>
    <w:rsid w:val="006C3FCA"/>
    <w:rsid w:val="006C43A6"/>
    <w:rsid w:val="006C4A4A"/>
    <w:rsid w:val="006C4E89"/>
    <w:rsid w:val="006C53EB"/>
    <w:rsid w:val="006C5434"/>
    <w:rsid w:val="006C5D29"/>
    <w:rsid w:val="006C650D"/>
    <w:rsid w:val="006C69A5"/>
    <w:rsid w:val="006C7740"/>
    <w:rsid w:val="006D0389"/>
    <w:rsid w:val="006D0848"/>
    <w:rsid w:val="006D0BA5"/>
    <w:rsid w:val="006D0C15"/>
    <w:rsid w:val="006D0D8B"/>
    <w:rsid w:val="006D0FBF"/>
    <w:rsid w:val="006D10DC"/>
    <w:rsid w:val="006D1586"/>
    <w:rsid w:val="006D19C1"/>
    <w:rsid w:val="006D2827"/>
    <w:rsid w:val="006D2848"/>
    <w:rsid w:val="006D2B19"/>
    <w:rsid w:val="006D2EC9"/>
    <w:rsid w:val="006D3A05"/>
    <w:rsid w:val="006D3B62"/>
    <w:rsid w:val="006D3FDF"/>
    <w:rsid w:val="006D4527"/>
    <w:rsid w:val="006D4B05"/>
    <w:rsid w:val="006D4F86"/>
    <w:rsid w:val="006D5F98"/>
    <w:rsid w:val="006D6665"/>
    <w:rsid w:val="006D7098"/>
    <w:rsid w:val="006D740E"/>
    <w:rsid w:val="006D7F72"/>
    <w:rsid w:val="006E00B7"/>
    <w:rsid w:val="006E0E5B"/>
    <w:rsid w:val="006E2562"/>
    <w:rsid w:val="006E3023"/>
    <w:rsid w:val="006E3369"/>
    <w:rsid w:val="006E3D12"/>
    <w:rsid w:val="006E449C"/>
    <w:rsid w:val="006E4726"/>
    <w:rsid w:val="006E4E72"/>
    <w:rsid w:val="006E50D0"/>
    <w:rsid w:val="006E593B"/>
    <w:rsid w:val="006E663E"/>
    <w:rsid w:val="006E6EDF"/>
    <w:rsid w:val="006E7BA5"/>
    <w:rsid w:val="006F01E8"/>
    <w:rsid w:val="006F02D7"/>
    <w:rsid w:val="006F03EC"/>
    <w:rsid w:val="006F059F"/>
    <w:rsid w:val="006F07EC"/>
    <w:rsid w:val="006F0EBB"/>
    <w:rsid w:val="006F1E96"/>
    <w:rsid w:val="006F2D24"/>
    <w:rsid w:val="006F352A"/>
    <w:rsid w:val="006F37F7"/>
    <w:rsid w:val="006F3909"/>
    <w:rsid w:val="006F4036"/>
    <w:rsid w:val="006F428E"/>
    <w:rsid w:val="006F48E1"/>
    <w:rsid w:val="006F4FA0"/>
    <w:rsid w:val="006F5096"/>
    <w:rsid w:val="006F5160"/>
    <w:rsid w:val="006F5374"/>
    <w:rsid w:val="006F57D7"/>
    <w:rsid w:val="006F5C15"/>
    <w:rsid w:val="006F60DF"/>
    <w:rsid w:val="006F64DE"/>
    <w:rsid w:val="006F6766"/>
    <w:rsid w:val="006F68C1"/>
    <w:rsid w:val="006F6CE2"/>
    <w:rsid w:val="006F6E10"/>
    <w:rsid w:val="0070080D"/>
    <w:rsid w:val="007014F8"/>
    <w:rsid w:val="0070150D"/>
    <w:rsid w:val="007016D2"/>
    <w:rsid w:val="007018D8"/>
    <w:rsid w:val="00701979"/>
    <w:rsid w:val="00701C6E"/>
    <w:rsid w:val="007029E8"/>
    <w:rsid w:val="00703107"/>
    <w:rsid w:val="00703138"/>
    <w:rsid w:val="00703277"/>
    <w:rsid w:val="0070356D"/>
    <w:rsid w:val="00703981"/>
    <w:rsid w:val="00703CDF"/>
    <w:rsid w:val="00703D7E"/>
    <w:rsid w:val="0070495F"/>
    <w:rsid w:val="00704B6E"/>
    <w:rsid w:val="00704F73"/>
    <w:rsid w:val="0070508D"/>
    <w:rsid w:val="0070542E"/>
    <w:rsid w:val="0070604A"/>
    <w:rsid w:val="007060D4"/>
    <w:rsid w:val="0070624C"/>
    <w:rsid w:val="00706451"/>
    <w:rsid w:val="00707E0F"/>
    <w:rsid w:val="00710041"/>
    <w:rsid w:val="0071068A"/>
    <w:rsid w:val="00710E19"/>
    <w:rsid w:val="00710E52"/>
    <w:rsid w:val="00711472"/>
    <w:rsid w:val="0071154B"/>
    <w:rsid w:val="0071174F"/>
    <w:rsid w:val="0071196A"/>
    <w:rsid w:val="00711B11"/>
    <w:rsid w:val="007131BE"/>
    <w:rsid w:val="007131CF"/>
    <w:rsid w:val="007133C0"/>
    <w:rsid w:val="00713613"/>
    <w:rsid w:val="007137C6"/>
    <w:rsid w:val="007138FC"/>
    <w:rsid w:val="0071393D"/>
    <w:rsid w:val="00713E79"/>
    <w:rsid w:val="00714245"/>
    <w:rsid w:val="0071466C"/>
    <w:rsid w:val="00714A14"/>
    <w:rsid w:val="00715441"/>
    <w:rsid w:val="00715739"/>
    <w:rsid w:val="0071576C"/>
    <w:rsid w:val="00715C94"/>
    <w:rsid w:val="007165F0"/>
    <w:rsid w:val="00716A09"/>
    <w:rsid w:val="007170DB"/>
    <w:rsid w:val="00717880"/>
    <w:rsid w:val="00717CA8"/>
    <w:rsid w:val="007205E7"/>
    <w:rsid w:val="007209C4"/>
    <w:rsid w:val="00720A9F"/>
    <w:rsid w:val="00721E9E"/>
    <w:rsid w:val="007227FE"/>
    <w:rsid w:val="007233C3"/>
    <w:rsid w:val="00723C95"/>
    <w:rsid w:val="007244E7"/>
    <w:rsid w:val="0072505F"/>
    <w:rsid w:val="00725B00"/>
    <w:rsid w:val="0072680C"/>
    <w:rsid w:val="00726B3D"/>
    <w:rsid w:val="00726C64"/>
    <w:rsid w:val="007310B7"/>
    <w:rsid w:val="00731237"/>
    <w:rsid w:val="00731A22"/>
    <w:rsid w:val="0073207E"/>
    <w:rsid w:val="00732523"/>
    <w:rsid w:val="0073254B"/>
    <w:rsid w:val="00732664"/>
    <w:rsid w:val="00732BA7"/>
    <w:rsid w:val="007333EA"/>
    <w:rsid w:val="00733601"/>
    <w:rsid w:val="00733A57"/>
    <w:rsid w:val="00733F36"/>
    <w:rsid w:val="007340CE"/>
    <w:rsid w:val="00734781"/>
    <w:rsid w:val="007349FC"/>
    <w:rsid w:val="00734B6F"/>
    <w:rsid w:val="0073507B"/>
    <w:rsid w:val="007351A5"/>
    <w:rsid w:val="00735293"/>
    <w:rsid w:val="00735376"/>
    <w:rsid w:val="007363EA"/>
    <w:rsid w:val="00736506"/>
    <w:rsid w:val="00736A02"/>
    <w:rsid w:val="00736E06"/>
    <w:rsid w:val="00736E37"/>
    <w:rsid w:val="00737286"/>
    <w:rsid w:val="007373DB"/>
    <w:rsid w:val="00737847"/>
    <w:rsid w:val="00737F27"/>
    <w:rsid w:val="00737FD3"/>
    <w:rsid w:val="00740240"/>
    <w:rsid w:val="007407DB"/>
    <w:rsid w:val="00740BFC"/>
    <w:rsid w:val="00740F76"/>
    <w:rsid w:val="00741037"/>
    <w:rsid w:val="007422B3"/>
    <w:rsid w:val="007424BF"/>
    <w:rsid w:val="0074295D"/>
    <w:rsid w:val="0074354B"/>
    <w:rsid w:val="007435EF"/>
    <w:rsid w:val="007435F1"/>
    <w:rsid w:val="00743BC1"/>
    <w:rsid w:val="00743DDD"/>
    <w:rsid w:val="00744625"/>
    <w:rsid w:val="007446BB"/>
    <w:rsid w:val="00744AF1"/>
    <w:rsid w:val="00745882"/>
    <w:rsid w:val="00745A04"/>
    <w:rsid w:val="00745A0F"/>
    <w:rsid w:val="00745DFD"/>
    <w:rsid w:val="00746197"/>
    <w:rsid w:val="0074689C"/>
    <w:rsid w:val="00746B3F"/>
    <w:rsid w:val="00747117"/>
    <w:rsid w:val="007479C2"/>
    <w:rsid w:val="00747B0D"/>
    <w:rsid w:val="00751452"/>
    <w:rsid w:val="007521A5"/>
    <w:rsid w:val="00752E99"/>
    <w:rsid w:val="00753959"/>
    <w:rsid w:val="00753DD6"/>
    <w:rsid w:val="00754A4A"/>
    <w:rsid w:val="00755F9F"/>
    <w:rsid w:val="007566FB"/>
    <w:rsid w:val="007567A8"/>
    <w:rsid w:val="00756D6A"/>
    <w:rsid w:val="00757EE2"/>
    <w:rsid w:val="0076043F"/>
    <w:rsid w:val="00760F66"/>
    <w:rsid w:val="007611F8"/>
    <w:rsid w:val="00761200"/>
    <w:rsid w:val="00761931"/>
    <w:rsid w:val="00761B43"/>
    <w:rsid w:val="00761BD1"/>
    <w:rsid w:val="007627BA"/>
    <w:rsid w:val="0076291E"/>
    <w:rsid w:val="00762C76"/>
    <w:rsid w:val="00762D81"/>
    <w:rsid w:val="0076317B"/>
    <w:rsid w:val="007643D5"/>
    <w:rsid w:val="00765366"/>
    <w:rsid w:val="00765914"/>
    <w:rsid w:val="00765AC2"/>
    <w:rsid w:val="0076614D"/>
    <w:rsid w:val="0076624C"/>
    <w:rsid w:val="0076627D"/>
    <w:rsid w:val="00766304"/>
    <w:rsid w:val="00767A28"/>
    <w:rsid w:val="00767DD2"/>
    <w:rsid w:val="00770264"/>
    <w:rsid w:val="0077082B"/>
    <w:rsid w:val="00770E60"/>
    <w:rsid w:val="00771324"/>
    <w:rsid w:val="00771C8F"/>
    <w:rsid w:val="0077266E"/>
    <w:rsid w:val="0077292E"/>
    <w:rsid w:val="007737D4"/>
    <w:rsid w:val="007737D8"/>
    <w:rsid w:val="0077391C"/>
    <w:rsid w:val="00773D24"/>
    <w:rsid w:val="00774576"/>
    <w:rsid w:val="007745DA"/>
    <w:rsid w:val="0077508A"/>
    <w:rsid w:val="00775475"/>
    <w:rsid w:val="00775567"/>
    <w:rsid w:val="00775E0D"/>
    <w:rsid w:val="00776343"/>
    <w:rsid w:val="00776416"/>
    <w:rsid w:val="00776C7B"/>
    <w:rsid w:val="00776CEF"/>
    <w:rsid w:val="007774AE"/>
    <w:rsid w:val="00777E7E"/>
    <w:rsid w:val="00777EFA"/>
    <w:rsid w:val="007804DD"/>
    <w:rsid w:val="00780EC1"/>
    <w:rsid w:val="00780F3B"/>
    <w:rsid w:val="0078115B"/>
    <w:rsid w:val="007816EE"/>
    <w:rsid w:val="00782071"/>
    <w:rsid w:val="00782783"/>
    <w:rsid w:val="00782946"/>
    <w:rsid w:val="00782ECD"/>
    <w:rsid w:val="00782F44"/>
    <w:rsid w:val="0078363B"/>
    <w:rsid w:val="00783CCF"/>
    <w:rsid w:val="00783F5B"/>
    <w:rsid w:val="00784609"/>
    <w:rsid w:val="00784720"/>
    <w:rsid w:val="0078481D"/>
    <w:rsid w:val="007859FC"/>
    <w:rsid w:val="00785F1E"/>
    <w:rsid w:val="00785F4C"/>
    <w:rsid w:val="0078609C"/>
    <w:rsid w:val="00786355"/>
    <w:rsid w:val="00787370"/>
    <w:rsid w:val="007874AE"/>
    <w:rsid w:val="0078750B"/>
    <w:rsid w:val="00787F5E"/>
    <w:rsid w:val="0079024D"/>
    <w:rsid w:val="00790380"/>
    <w:rsid w:val="00791069"/>
    <w:rsid w:val="007911B8"/>
    <w:rsid w:val="00791DAE"/>
    <w:rsid w:val="00791E17"/>
    <w:rsid w:val="007930E8"/>
    <w:rsid w:val="00793A57"/>
    <w:rsid w:val="00793A9C"/>
    <w:rsid w:val="00793F28"/>
    <w:rsid w:val="007944D2"/>
    <w:rsid w:val="00794B19"/>
    <w:rsid w:val="00794FFA"/>
    <w:rsid w:val="00795B8D"/>
    <w:rsid w:val="00795E34"/>
    <w:rsid w:val="00795F0E"/>
    <w:rsid w:val="00796495"/>
    <w:rsid w:val="00796ABF"/>
    <w:rsid w:val="00796C1F"/>
    <w:rsid w:val="00797063"/>
    <w:rsid w:val="00797D8F"/>
    <w:rsid w:val="007A0C00"/>
    <w:rsid w:val="007A0E15"/>
    <w:rsid w:val="007A176E"/>
    <w:rsid w:val="007A19BF"/>
    <w:rsid w:val="007A2A69"/>
    <w:rsid w:val="007A2CF1"/>
    <w:rsid w:val="007A384E"/>
    <w:rsid w:val="007A41B5"/>
    <w:rsid w:val="007A4486"/>
    <w:rsid w:val="007A4682"/>
    <w:rsid w:val="007A5879"/>
    <w:rsid w:val="007A58A8"/>
    <w:rsid w:val="007A5BDC"/>
    <w:rsid w:val="007A629D"/>
    <w:rsid w:val="007A6610"/>
    <w:rsid w:val="007A6D51"/>
    <w:rsid w:val="007A6DD3"/>
    <w:rsid w:val="007A6FF3"/>
    <w:rsid w:val="007A7169"/>
    <w:rsid w:val="007A71DC"/>
    <w:rsid w:val="007A7A04"/>
    <w:rsid w:val="007B04FF"/>
    <w:rsid w:val="007B0976"/>
    <w:rsid w:val="007B0CAC"/>
    <w:rsid w:val="007B15F3"/>
    <w:rsid w:val="007B1701"/>
    <w:rsid w:val="007B1C32"/>
    <w:rsid w:val="007B1DBB"/>
    <w:rsid w:val="007B2319"/>
    <w:rsid w:val="007B2FBF"/>
    <w:rsid w:val="007B3E13"/>
    <w:rsid w:val="007B4044"/>
    <w:rsid w:val="007B4046"/>
    <w:rsid w:val="007B414F"/>
    <w:rsid w:val="007B4300"/>
    <w:rsid w:val="007B565C"/>
    <w:rsid w:val="007B595F"/>
    <w:rsid w:val="007B5B7E"/>
    <w:rsid w:val="007B5D75"/>
    <w:rsid w:val="007B6D5E"/>
    <w:rsid w:val="007B7115"/>
    <w:rsid w:val="007B736B"/>
    <w:rsid w:val="007C012E"/>
    <w:rsid w:val="007C055A"/>
    <w:rsid w:val="007C0853"/>
    <w:rsid w:val="007C0C90"/>
    <w:rsid w:val="007C0E07"/>
    <w:rsid w:val="007C0E86"/>
    <w:rsid w:val="007C192C"/>
    <w:rsid w:val="007C249E"/>
    <w:rsid w:val="007C26CF"/>
    <w:rsid w:val="007C271B"/>
    <w:rsid w:val="007C2C14"/>
    <w:rsid w:val="007C3393"/>
    <w:rsid w:val="007C3A55"/>
    <w:rsid w:val="007C404B"/>
    <w:rsid w:val="007C4166"/>
    <w:rsid w:val="007C44E1"/>
    <w:rsid w:val="007C48DD"/>
    <w:rsid w:val="007C4A05"/>
    <w:rsid w:val="007C5711"/>
    <w:rsid w:val="007C57B9"/>
    <w:rsid w:val="007C6325"/>
    <w:rsid w:val="007C73A3"/>
    <w:rsid w:val="007C7975"/>
    <w:rsid w:val="007C7EF5"/>
    <w:rsid w:val="007D06AC"/>
    <w:rsid w:val="007D0741"/>
    <w:rsid w:val="007D0997"/>
    <w:rsid w:val="007D0A53"/>
    <w:rsid w:val="007D0FFC"/>
    <w:rsid w:val="007D1013"/>
    <w:rsid w:val="007D19EC"/>
    <w:rsid w:val="007D2608"/>
    <w:rsid w:val="007D30C3"/>
    <w:rsid w:val="007D35AC"/>
    <w:rsid w:val="007D36B1"/>
    <w:rsid w:val="007D36D7"/>
    <w:rsid w:val="007D3BA1"/>
    <w:rsid w:val="007D3EC8"/>
    <w:rsid w:val="007D40AC"/>
    <w:rsid w:val="007D4317"/>
    <w:rsid w:val="007D4C12"/>
    <w:rsid w:val="007D57E0"/>
    <w:rsid w:val="007D5946"/>
    <w:rsid w:val="007D5962"/>
    <w:rsid w:val="007D5A2B"/>
    <w:rsid w:val="007D6213"/>
    <w:rsid w:val="007D63B2"/>
    <w:rsid w:val="007D651D"/>
    <w:rsid w:val="007D71B7"/>
    <w:rsid w:val="007D7C66"/>
    <w:rsid w:val="007D7CF3"/>
    <w:rsid w:val="007E0274"/>
    <w:rsid w:val="007E02A7"/>
    <w:rsid w:val="007E0415"/>
    <w:rsid w:val="007E0991"/>
    <w:rsid w:val="007E0AFE"/>
    <w:rsid w:val="007E0B2C"/>
    <w:rsid w:val="007E0BD1"/>
    <w:rsid w:val="007E107F"/>
    <w:rsid w:val="007E1307"/>
    <w:rsid w:val="007E258B"/>
    <w:rsid w:val="007E2FD7"/>
    <w:rsid w:val="007E310B"/>
    <w:rsid w:val="007E38DA"/>
    <w:rsid w:val="007E3D65"/>
    <w:rsid w:val="007E3EE2"/>
    <w:rsid w:val="007E47E7"/>
    <w:rsid w:val="007E4A68"/>
    <w:rsid w:val="007E4A98"/>
    <w:rsid w:val="007E4EB6"/>
    <w:rsid w:val="007E5DD7"/>
    <w:rsid w:val="007E6FB9"/>
    <w:rsid w:val="007E7139"/>
    <w:rsid w:val="007E7366"/>
    <w:rsid w:val="007E7EA1"/>
    <w:rsid w:val="007E7EA4"/>
    <w:rsid w:val="007F03CE"/>
    <w:rsid w:val="007F04D3"/>
    <w:rsid w:val="007F137D"/>
    <w:rsid w:val="007F17B5"/>
    <w:rsid w:val="007F245F"/>
    <w:rsid w:val="007F2D8D"/>
    <w:rsid w:val="007F2EBF"/>
    <w:rsid w:val="007F3044"/>
    <w:rsid w:val="007F3249"/>
    <w:rsid w:val="007F3704"/>
    <w:rsid w:val="007F3A21"/>
    <w:rsid w:val="007F4657"/>
    <w:rsid w:val="007F5609"/>
    <w:rsid w:val="007F5625"/>
    <w:rsid w:val="007F568A"/>
    <w:rsid w:val="007F59F7"/>
    <w:rsid w:val="007F5E21"/>
    <w:rsid w:val="007F6413"/>
    <w:rsid w:val="007F6761"/>
    <w:rsid w:val="007F676E"/>
    <w:rsid w:val="007F6B11"/>
    <w:rsid w:val="007F6E2B"/>
    <w:rsid w:val="007F7D12"/>
    <w:rsid w:val="007F7F02"/>
    <w:rsid w:val="00800258"/>
    <w:rsid w:val="00800C97"/>
    <w:rsid w:val="0080153D"/>
    <w:rsid w:val="0080220F"/>
    <w:rsid w:val="008026A7"/>
    <w:rsid w:val="00802735"/>
    <w:rsid w:val="008028C2"/>
    <w:rsid w:val="00802DDB"/>
    <w:rsid w:val="0080379D"/>
    <w:rsid w:val="008037D8"/>
    <w:rsid w:val="00803B7E"/>
    <w:rsid w:val="00803DA6"/>
    <w:rsid w:val="008040D9"/>
    <w:rsid w:val="0080436E"/>
    <w:rsid w:val="00804937"/>
    <w:rsid w:val="00804E1E"/>
    <w:rsid w:val="00804E43"/>
    <w:rsid w:val="008050F5"/>
    <w:rsid w:val="0080519C"/>
    <w:rsid w:val="0080553F"/>
    <w:rsid w:val="00805E48"/>
    <w:rsid w:val="00807316"/>
    <w:rsid w:val="00807ADD"/>
    <w:rsid w:val="00810BC2"/>
    <w:rsid w:val="00811683"/>
    <w:rsid w:val="00811AFF"/>
    <w:rsid w:val="00812373"/>
    <w:rsid w:val="00812D30"/>
    <w:rsid w:val="00812F1B"/>
    <w:rsid w:val="00813F3A"/>
    <w:rsid w:val="008140E8"/>
    <w:rsid w:val="008148D4"/>
    <w:rsid w:val="0081491F"/>
    <w:rsid w:val="00814941"/>
    <w:rsid w:val="00814A65"/>
    <w:rsid w:val="00814BD9"/>
    <w:rsid w:val="008158AC"/>
    <w:rsid w:val="00816805"/>
    <w:rsid w:val="00816BE8"/>
    <w:rsid w:val="00816CD5"/>
    <w:rsid w:val="00816DBD"/>
    <w:rsid w:val="00816FE2"/>
    <w:rsid w:val="00817062"/>
    <w:rsid w:val="00817749"/>
    <w:rsid w:val="00817991"/>
    <w:rsid w:val="00817F0A"/>
    <w:rsid w:val="00817F58"/>
    <w:rsid w:val="008203C5"/>
    <w:rsid w:val="0082046A"/>
    <w:rsid w:val="00820B20"/>
    <w:rsid w:val="00820B84"/>
    <w:rsid w:val="0082199B"/>
    <w:rsid w:val="00821C2A"/>
    <w:rsid w:val="008227B7"/>
    <w:rsid w:val="00822F5F"/>
    <w:rsid w:val="008243A8"/>
    <w:rsid w:val="00824925"/>
    <w:rsid w:val="00824C8B"/>
    <w:rsid w:val="008252E8"/>
    <w:rsid w:val="00825BA8"/>
    <w:rsid w:val="00825C14"/>
    <w:rsid w:val="0082641D"/>
    <w:rsid w:val="008267CA"/>
    <w:rsid w:val="00826E45"/>
    <w:rsid w:val="008270EE"/>
    <w:rsid w:val="0082722B"/>
    <w:rsid w:val="0082745B"/>
    <w:rsid w:val="00827C1B"/>
    <w:rsid w:val="0083016B"/>
    <w:rsid w:val="008301F1"/>
    <w:rsid w:val="00830C0E"/>
    <w:rsid w:val="008313E0"/>
    <w:rsid w:val="008317EC"/>
    <w:rsid w:val="0083195D"/>
    <w:rsid w:val="00831B7B"/>
    <w:rsid w:val="00831D90"/>
    <w:rsid w:val="008324F3"/>
    <w:rsid w:val="00832691"/>
    <w:rsid w:val="0083296B"/>
    <w:rsid w:val="00832B8A"/>
    <w:rsid w:val="00833547"/>
    <w:rsid w:val="00833735"/>
    <w:rsid w:val="00833852"/>
    <w:rsid w:val="00833AB9"/>
    <w:rsid w:val="00833B62"/>
    <w:rsid w:val="00834820"/>
    <w:rsid w:val="00834C82"/>
    <w:rsid w:val="00834DB6"/>
    <w:rsid w:val="00834F93"/>
    <w:rsid w:val="00835F6D"/>
    <w:rsid w:val="008375DA"/>
    <w:rsid w:val="00840C4A"/>
    <w:rsid w:val="008411B9"/>
    <w:rsid w:val="0084122F"/>
    <w:rsid w:val="00841573"/>
    <w:rsid w:val="00841D08"/>
    <w:rsid w:val="00842D43"/>
    <w:rsid w:val="00842F64"/>
    <w:rsid w:val="0084323E"/>
    <w:rsid w:val="00843D50"/>
    <w:rsid w:val="008441D9"/>
    <w:rsid w:val="0084464E"/>
    <w:rsid w:val="008455E6"/>
    <w:rsid w:val="008458BF"/>
    <w:rsid w:val="00846262"/>
    <w:rsid w:val="00846370"/>
    <w:rsid w:val="008463E8"/>
    <w:rsid w:val="00847665"/>
    <w:rsid w:val="00847BC5"/>
    <w:rsid w:val="00847F11"/>
    <w:rsid w:val="00850010"/>
    <w:rsid w:val="008503F4"/>
    <w:rsid w:val="008504A0"/>
    <w:rsid w:val="00850AC1"/>
    <w:rsid w:val="00850C2A"/>
    <w:rsid w:val="00850DFA"/>
    <w:rsid w:val="00851331"/>
    <w:rsid w:val="008516D1"/>
    <w:rsid w:val="00852003"/>
    <w:rsid w:val="0085212C"/>
    <w:rsid w:val="00852988"/>
    <w:rsid w:val="00852F9E"/>
    <w:rsid w:val="00854053"/>
    <w:rsid w:val="008543AC"/>
    <w:rsid w:val="008548B8"/>
    <w:rsid w:val="00854965"/>
    <w:rsid w:val="00855298"/>
    <w:rsid w:val="008554D1"/>
    <w:rsid w:val="008558E0"/>
    <w:rsid w:val="008569E0"/>
    <w:rsid w:val="00857AF7"/>
    <w:rsid w:val="00857BE5"/>
    <w:rsid w:val="00860109"/>
    <w:rsid w:val="008601BD"/>
    <w:rsid w:val="00860359"/>
    <w:rsid w:val="00860E43"/>
    <w:rsid w:val="00861252"/>
    <w:rsid w:val="0086171A"/>
    <w:rsid w:val="0086226C"/>
    <w:rsid w:val="00863237"/>
    <w:rsid w:val="0086334A"/>
    <w:rsid w:val="00863C07"/>
    <w:rsid w:val="008640B7"/>
    <w:rsid w:val="0086430C"/>
    <w:rsid w:val="008644A4"/>
    <w:rsid w:val="00864A6C"/>
    <w:rsid w:val="00864BB1"/>
    <w:rsid w:val="00864DF7"/>
    <w:rsid w:val="00865278"/>
    <w:rsid w:val="008654F9"/>
    <w:rsid w:val="008658C0"/>
    <w:rsid w:val="008660F7"/>
    <w:rsid w:val="00866388"/>
    <w:rsid w:val="0086644B"/>
    <w:rsid w:val="00866FE3"/>
    <w:rsid w:val="0086722D"/>
    <w:rsid w:val="00867AD8"/>
    <w:rsid w:val="00867D56"/>
    <w:rsid w:val="00867D70"/>
    <w:rsid w:val="00870646"/>
    <w:rsid w:val="008706C3"/>
    <w:rsid w:val="00870BAA"/>
    <w:rsid w:val="00870BF0"/>
    <w:rsid w:val="00870D91"/>
    <w:rsid w:val="008716D1"/>
    <w:rsid w:val="008716ED"/>
    <w:rsid w:val="008718AD"/>
    <w:rsid w:val="0087193F"/>
    <w:rsid w:val="008724E6"/>
    <w:rsid w:val="008728C8"/>
    <w:rsid w:val="00873205"/>
    <w:rsid w:val="008735E8"/>
    <w:rsid w:val="0087377E"/>
    <w:rsid w:val="00874594"/>
    <w:rsid w:val="00874776"/>
    <w:rsid w:val="0087487C"/>
    <w:rsid w:val="00874A07"/>
    <w:rsid w:val="00874B75"/>
    <w:rsid w:val="00875007"/>
    <w:rsid w:val="008750DB"/>
    <w:rsid w:val="008751B4"/>
    <w:rsid w:val="0087527F"/>
    <w:rsid w:val="008754B5"/>
    <w:rsid w:val="00875AF3"/>
    <w:rsid w:val="008765E9"/>
    <w:rsid w:val="00876605"/>
    <w:rsid w:val="00876B13"/>
    <w:rsid w:val="00880017"/>
    <w:rsid w:val="00880305"/>
    <w:rsid w:val="0088088A"/>
    <w:rsid w:val="00880A3F"/>
    <w:rsid w:val="00880EE2"/>
    <w:rsid w:val="008813BC"/>
    <w:rsid w:val="00881732"/>
    <w:rsid w:val="008818A2"/>
    <w:rsid w:val="00881FF9"/>
    <w:rsid w:val="0088213D"/>
    <w:rsid w:val="008821C6"/>
    <w:rsid w:val="0088243D"/>
    <w:rsid w:val="0088251A"/>
    <w:rsid w:val="00882D28"/>
    <w:rsid w:val="00883A67"/>
    <w:rsid w:val="008848E9"/>
    <w:rsid w:val="00884FD8"/>
    <w:rsid w:val="00885244"/>
    <w:rsid w:val="008857C7"/>
    <w:rsid w:val="008858B3"/>
    <w:rsid w:val="00885BF6"/>
    <w:rsid w:val="008866CF"/>
    <w:rsid w:val="00886782"/>
    <w:rsid w:val="008869A1"/>
    <w:rsid w:val="00886B3F"/>
    <w:rsid w:val="0088727A"/>
    <w:rsid w:val="0089015D"/>
    <w:rsid w:val="0089021A"/>
    <w:rsid w:val="0089022E"/>
    <w:rsid w:val="00890475"/>
    <w:rsid w:val="00890A7C"/>
    <w:rsid w:val="00890D11"/>
    <w:rsid w:val="008910EE"/>
    <w:rsid w:val="00891A26"/>
    <w:rsid w:val="008923F8"/>
    <w:rsid w:val="008928F1"/>
    <w:rsid w:val="00892BBF"/>
    <w:rsid w:val="00892DB5"/>
    <w:rsid w:val="00893F27"/>
    <w:rsid w:val="008942BD"/>
    <w:rsid w:val="00894624"/>
    <w:rsid w:val="0089478A"/>
    <w:rsid w:val="0089480A"/>
    <w:rsid w:val="00894EFF"/>
    <w:rsid w:val="00894FE5"/>
    <w:rsid w:val="00895658"/>
    <w:rsid w:val="008956DA"/>
    <w:rsid w:val="0089590B"/>
    <w:rsid w:val="00895BA9"/>
    <w:rsid w:val="00895D79"/>
    <w:rsid w:val="0089601B"/>
    <w:rsid w:val="008963B7"/>
    <w:rsid w:val="0089647F"/>
    <w:rsid w:val="0089655D"/>
    <w:rsid w:val="00896784"/>
    <w:rsid w:val="00896C56"/>
    <w:rsid w:val="00897051"/>
    <w:rsid w:val="00897824"/>
    <w:rsid w:val="00897BCB"/>
    <w:rsid w:val="00897C07"/>
    <w:rsid w:val="00897DBA"/>
    <w:rsid w:val="008A02FA"/>
    <w:rsid w:val="008A04FA"/>
    <w:rsid w:val="008A06A8"/>
    <w:rsid w:val="008A1A43"/>
    <w:rsid w:val="008A1AAC"/>
    <w:rsid w:val="008A20CA"/>
    <w:rsid w:val="008A239B"/>
    <w:rsid w:val="008A2505"/>
    <w:rsid w:val="008A2956"/>
    <w:rsid w:val="008A2EA1"/>
    <w:rsid w:val="008A2EF6"/>
    <w:rsid w:val="008A3480"/>
    <w:rsid w:val="008A3642"/>
    <w:rsid w:val="008A4F3C"/>
    <w:rsid w:val="008A51AD"/>
    <w:rsid w:val="008A53BA"/>
    <w:rsid w:val="008A551D"/>
    <w:rsid w:val="008A56BA"/>
    <w:rsid w:val="008A570A"/>
    <w:rsid w:val="008A58E4"/>
    <w:rsid w:val="008A58E7"/>
    <w:rsid w:val="008A5C1D"/>
    <w:rsid w:val="008A615A"/>
    <w:rsid w:val="008A6357"/>
    <w:rsid w:val="008A650C"/>
    <w:rsid w:val="008A6A36"/>
    <w:rsid w:val="008A6CB9"/>
    <w:rsid w:val="008A6DC1"/>
    <w:rsid w:val="008A7083"/>
    <w:rsid w:val="008A7100"/>
    <w:rsid w:val="008A7139"/>
    <w:rsid w:val="008A776D"/>
    <w:rsid w:val="008A7C74"/>
    <w:rsid w:val="008B03BD"/>
    <w:rsid w:val="008B04C0"/>
    <w:rsid w:val="008B0882"/>
    <w:rsid w:val="008B09E1"/>
    <w:rsid w:val="008B0A83"/>
    <w:rsid w:val="008B0DCF"/>
    <w:rsid w:val="008B0E93"/>
    <w:rsid w:val="008B0F8D"/>
    <w:rsid w:val="008B15B2"/>
    <w:rsid w:val="008B198D"/>
    <w:rsid w:val="008B23A8"/>
    <w:rsid w:val="008B29A4"/>
    <w:rsid w:val="008B2BB4"/>
    <w:rsid w:val="008B2C30"/>
    <w:rsid w:val="008B3C2B"/>
    <w:rsid w:val="008B4679"/>
    <w:rsid w:val="008B4D00"/>
    <w:rsid w:val="008B4D13"/>
    <w:rsid w:val="008B4E78"/>
    <w:rsid w:val="008B4FE2"/>
    <w:rsid w:val="008B61A1"/>
    <w:rsid w:val="008B66D8"/>
    <w:rsid w:val="008B66EE"/>
    <w:rsid w:val="008B6793"/>
    <w:rsid w:val="008B6E87"/>
    <w:rsid w:val="008B75C2"/>
    <w:rsid w:val="008B787A"/>
    <w:rsid w:val="008C0A89"/>
    <w:rsid w:val="008C0AA9"/>
    <w:rsid w:val="008C0E71"/>
    <w:rsid w:val="008C1852"/>
    <w:rsid w:val="008C2CFF"/>
    <w:rsid w:val="008C2E1E"/>
    <w:rsid w:val="008C2E22"/>
    <w:rsid w:val="008C2ED2"/>
    <w:rsid w:val="008C3160"/>
    <w:rsid w:val="008C3612"/>
    <w:rsid w:val="008C3D4D"/>
    <w:rsid w:val="008C4026"/>
    <w:rsid w:val="008C417E"/>
    <w:rsid w:val="008C4E31"/>
    <w:rsid w:val="008C5B51"/>
    <w:rsid w:val="008C5F0A"/>
    <w:rsid w:val="008C6105"/>
    <w:rsid w:val="008C6124"/>
    <w:rsid w:val="008C6334"/>
    <w:rsid w:val="008C66BD"/>
    <w:rsid w:val="008C6968"/>
    <w:rsid w:val="008C742A"/>
    <w:rsid w:val="008C74C7"/>
    <w:rsid w:val="008C7714"/>
    <w:rsid w:val="008C7F4F"/>
    <w:rsid w:val="008D00F3"/>
    <w:rsid w:val="008D0241"/>
    <w:rsid w:val="008D0B34"/>
    <w:rsid w:val="008D0F27"/>
    <w:rsid w:val="008D11F0"/>
    <w:rsid w:val="008D1549"/>
    <w:rsid w:val="008D15A2"/>
    <w:rsid w:val="008D18CD"/>
    <w:rsid w:val="008D1F86"/>
    <w:rsid w:val="008D20E0"/>
    <w:rsid w:val="008D2B6E"/>
    <w:rsid w:val="008D2D2F"/>
    <w:rsid w:val="008D335C"/>
    <w:rsid w:val="008D35B7"/>
    <w:rsid w:val="008D36BE"/>
    <w:rsid w:val="008D4007"/>
    <w:rsid w:val="008D436A"/>
    <w:rsid w:val="008D48A7"/>
    <w:rsid w:val="008D4C72"/>
    <w:rsid w:val="008D4CF8"/>
    <w:rsid w:val="008D5246"/>
    <w:rsid w:val="008D5291"/>
    <w:rsid w:val="008D5368"/>
    <w:rsid w:val="008D561B"/>
    <w:rsid w:val="008D582B"/>
    <w:rsid w:val="008D5CF9"/>
    <w:rsid w:val="008D5D0A"/>
    <w:rsid w:val="008D6199"/>
    <w:rsid w:val="008D64B9"/>
    <w:rsid w:val="008D6794"/>
    <w:rsid w:val="008D719C"/>
    <w:rsid w:val="008D7F65"/>
    <w:rsid w:val="008E0178"/>
    <w:rsid w:val="008E02F8"/>
    <w:rsid w:val="008E12AF"/>
    <w:rsid w:val="008E1342"/>
    <w:rsid w:val="008E1DC9"/>
    <w:rsid w:val="008E211C"/>
    <w:rsid w:val="008E28EC"/>
    <w:rsid w:val="008E2BB3"/>
    <w:rsid w:val="008E2BC5"/>
    <w:rsid w:val="008E2C79"/>
    <w:rsid w:val="008E3176"/>
    <w:rsid w:val="008E3564"/>
    <w:rsid w:val="008E3A0B"/>
    <w:rsid w:val="008E3A90"/>
    <w:rsid w:val="008E3AAB"/>
    <w:rsid w:val="008E3F34"/>
    <w:rsid w:val="008E4043"/>
    <w:rsid w:val="008E4520"/>
    <w:rsid w:val="008E54E8"/>
    <w:rsid w:val="008E5740"/>
    <w:rsid w:val="008E5868"/>
    <w:rsid w:val="008E5ADB"/>
    <w:rsid w:val="008E5DC8"/>
    <w:rsid w:val="008E6465"/>
    <w:rsid w:val="008E6C57"/>
    <w:rsid w:val="008E7082"/>
    <w:rsid w:val="008E72AF"/>
    <w:rsid w:val="008F0952"/>
    <w:rsid w:val="008F1154"/>
    <w:rsid w:val="008F1B84"/>
    <w:rsid w:val="008F1B9D"/>
    <w:rsid w:val="008F1DB6"/>
    <w:rsid w:val="008F2566"/>
    <w:rsid w:val="008F337C"/>
    <w:rsid w:val="008F39C0"/>
    <w:rsid w:val="008F39E4"/>
    <w:rsid w:val="008F51F0"/>
    <w:rsid w:val="008F57CD"/>
    <w:rsid w:val="008F5960"/>
    <w:rsid w:val="008F5CD0"/>
    <w:rsid w:val="008F629A"/>
    <w:rsid w:val="008F62B4"/>
    <w:rsid w:val="008F667F"/>
    <w:rsid w:val="008F683B"/>
    <w:rsid w:val="008F6A9B"/>
    <w:rsid w:val="008F6F03"/>
    <w:rsid w:val="008F7603"/>
    <w:rsid w:val="008F769D"/>
    <w:rsid w:val="008F76B7"/>
    <w:rsid w:val="008F76DC"/>
    <w:rsid w:val="008F7D2F"/>
    <w:rsid w:val="008F7E68"/>
    <w:rsid w:val="009013C5"/>
    <w:rsid w:val="0090147B"/>
    <w:rsid w:val="00901649"/>
    <w:rsid w:val="00901C99"/>
    <w:rsid w:val="00901CBA"/>
    <w:rsid w:val="00901DC6"/>
    <w:rsid w:val="009021DC"/>
    <w:rsid w:val="00902EFD"/>
    <w:rsid w:val="00903026"/>
    <w:rsid w:val="0090357B"/>
    <w:rsid w:val="00903832"/>
    <w:rsid w:val="009042D0"/>
    <w:rsid w:val="009044BE"/>
    <w:rsid w:val="009048EB"/>
    <w:rsid w:val="00904913"/>
    <w:rsid w:val="00904C15"/>
    <w:rsid w:val="009050B3"/>
    <w:rsid w:val="00905298"/>
    <w:rsid w:val="00905945"/>
    <w:rsid w:val="00905FEB"/>
    <w:rsid w:val="00906164"/>
    <w:rsid w:val="00906252"/>
    <w:rsid w:val="0090672E"/>
    <w:rsid w:val="00906A4F"/>
    <w:rsid w:val="00906BD6"/>
    <w:rsid w:val="00907074"/>
    <w:rsid w:val="0090721F"/>
    <w:rsid w:val="009073C7"/>
    <w:rsid w:val="009078BA"/>
    <w:rsid w:val="009079C7"/>
    <w:rsid w:val="009079F7"/>
    <w:rsid w:val="00907A80"/>
    <w:rsid w:val="00907B44"/>
    <w:rsid w:val="00907C33"/>
    <w:rsid w:val="009108D2"/>
    <w:rsid w:val="00910C20"/>
    <w:rsid w:val="00910FE1"/>
    <w:rsid w:val="0091106A"/>
    <w:rsid w:val="00911C09"/>
    <w:rsid w:val="00911D1C"/>
    <w:rsid w:val="00912F38"/>
    <w:rsid w:val="00913139"/>
    <w:rsid w:val="0091340D"/>
    <w:rsid w:val="00913C58"/>
    <w:rsid w:val="009140B4"/>
    <w:rsid w:val="00914174"/>
    <w:rsid w:val="0091428A"/>
    <w:rsid w:val="00914733"/>
    <w:rsid w:val="0091495E"/>
    <w:rsid w:val="00914AA5"/>
    <w:rsid w:val="00914EAF"/>
    <w:rsid w:val="00915428"/>
    <w:rsid w:val="009162DD"/>
    <w:rsid w:val="009163E7"/>
    <w:rsid w:val="0091670A"/>
    <w:rsid w:val="0091671A"/>
    <w:rsid w:val="009169F6"/>
    <w:rsid w:val="0091719D"/>
    <w:rsid w:val="00917903"/>
    <w:rsid w:val="00917BEA"/>
    <w:rsid w:val="00920189"/>
    <w:rsid w:val="00920203"/>
    <w:rsid w:val="00920997"/>
    <w:rsid w:val="00920B1E"/>
    <w:rsid w:val="00920DD5"/>
    <w:rsid w:val="00921161"/>
    <w:rsid w:val="00922492"/>
    <w:rsid w:val="009224EB"/>
    <w:rsid w:val="0092272F"/>
    <w:rsid w:val="00922BE2"/>
    <w:rsid w:val="00922EDE"/>
    <w:rsid w:val="009237D9"/>
    <w:rsid w:val="0092406C"/>
    <w:rsid w:val="00924096"/>
    <w:rsid w:val="009243BC"/>
    <w:rsid w:val="009244D5"/>
    <w:rsid w:val="0092523A"/>
    <w:rsid w:val="009252F1"/>
    <w:rsid w:val="00925588"/>
    <w:rsid w:val="00925733"/>
    <w:rsid w:val="00925AF5"/>
    <w:rsid w:val="00926268"/>
    <w:rsid w:val="009264A2"/>
    <w:rsid w:val="0092715D"/>
    <w:rsid w:val="00927299"/>
    <w:rsid w:val="00930632"/>
    <w:rsid w:val="009310BC"/>
    <w:rsid w:val="00931D3F"/>
    <w:rsid w:val="009324C4"/>
    <w:rsid w:val="00932671"/>
    <w:rsid w:val="00932A7A"/>
    <w:rsid w:val="00932D26"/>
    <w:rsid w:val="009330BF"/>
    <w:rsid w:val="00933817"/>
    <w:rsid w:val="00933BB0"/>
    <w:rsid w:val="00933C96"/>
    <w:rsid w:val="009340EB"/>
    <w:rsid w:val="00934510"/>
    <w:rsid w:val="0093476C"/>
    <w:rsid w:val="0093496B"/>
    <w:rsid w:val="00935A1E"/>
    <w:rsid w:val="00935AA3"/>
    <w:rsid w:val="00935B7C"/>
    <w:rsid w:val="00935E3A"/>
    <w:rsid w:val="00936005"/>
    <w:rsid w:val="0093607C"/>
    <w:rsid w:val="00940008"/>
    <w:rsid w:val="00940FFA"/>
    <w:rsid w:val="00941010"/>
    <w:rsid w:val="00941503"/>
    <w:rsid w:val="0094187D"/>
    <w:rsid w:val="00941F53"/>
    <w:rsid w:val="009423ED"/>
    <w:rsid w:val="00942C90"/>
    <w:rsid w:val="00942F29"/>
    <w:rsid w:val="00942FB6"/>
    <w:rsid w:val="009430E1"/>
    <w:rsid w:val="009434EB"/>
    <w:rsid w:val="00943EA6"/>
    <w:rsid w:val="009443F2"/>
    <w:rsid w:val="009448F2"/>
    <w:rsid w:val="00944EBA"/>
    <w:rsid w:val="009451E0"/>
    <w:rsid w:val="0094524B"/>
    <w:rsid w:val="009456E3"/>
    <w:rsid w:val="00945759"/>
    <w:rsid w:val="00945925"/>
    <w:rsid w:val="009466E9"/>
    <w:rsid w:val="00946CB3"/>
    <w:rsid w:val="00946D20"/>
    <w:rsid w:val="00946E51"/>
    <w:rsid w:val="009473F4"/>
    <w:rsid w:val="0094767D"/>
    <w:rsid w:val="00950231"/>
    <w:rsid w:val="00950794"/>
    <w:rsid w:val="009507AA"/>
    <w:rsid w:val="009509EF"/>
    <w:rsid w:val="009515CA"/>
    <w:rsid w:val="00951691"/>
    <w:rsid w:val="00951FCE"/>
    <w:rsid w:val="009521CC"/>
    <w:rsid w:val="0095226C"/>
    <w:rsid w:val="0095269B"/>
    <w:rsid w:val="00952C05"/>
    <w:rsid w:val="00952D52"/>
    <w:rsid w:val="009540B7"/>
    <w:rsid w:val="009543D0"/>
    <w:rsid w:val="00954AF9"/>
    <w:rsid w:val="00954DAE"/>
    <w:rsid w:val="0095540B"/>
    <w:rsid w:val="00955410"/>
    <w:rsid w:val="009558EE"/>
    <w:rsid w:val="009559D5"/>
    <w:rsid w:val="00955C17"/>
    <w:rsid w:val="00955FFA"/>
    <w:rsid w:val="00956170"/>
    <w:rsid w:val="009561F8"/>
    <w:rsid w:val="00956BA1"/>
    <w:rsid w:val="00956D42"/>
    <w:rsid w:val="00956F0F"/>
    <w:rsid w:val="0095727F"/>
    <w:rsid w:val="009572AF"/>
    <w:rsid w:val="00957E41"/>
    <w:rsid w:val="0096016E"/>
    <w:rsid w:val="0096023A"/>
    <w:rsid w:val="009607AB"/>
    <w:rsid w:val="00961154"/>
    <w:rsid w:val="009615DB"/>
    <w:rsid w:val="00962683"/>
    <w:rsid w:val="00962ADC"/>
    <w:rsid w:val="00962E23"/>
    <w:rsid w:val="0096487C"/>
    <w:rsid w:val="00964BC2"/>
    <w:rsid w:val="00964D4A"/>
    <w:rsid w:val="00964EAE"/>
    <w:rsid w:val="00965023"/>
    <w:rsid w:val="009650B7"/>
    <w:rsid w:val="0096515D"/>
    <w:rsid w:val="0096554B"/>
    <w:rsid w:val="00965841"/>
    <w:rsid w:val="00966623"/>
    <w:rsid w:val="009678DB"/>
    <w:rsid w:val="00970728"/>
    <w:rsid w:val="009707C9"/>
    <w:rsid w:val="00971303"/>
    <w:rsid w:val="00971E0B"/>
    <w:rsid w:val="00972101"/>
    <w:rsid w:val="00972285"/>
    <w:rsid w:val="00972FB5"/>
    <w:rsid w:val="00973607"/>
    <w:rsid w:val="009736FE"/>
    <w:rsid w:val="00973B96"/>
    <w:rsid w:val="00973E3C"/>
    <w:rsid w:val="00974428"/>
    <w:rsid w:val="00974763"/>
    <w:rsid w:val="009757CA"/>
    <w:rsid w:val="00976E76"/>
    <w:rsid w:val="00977A14"/>
    <w:rsid w:val="00977E9B"/>
    <w:rsid w:val="009807BF"/>
    <w:rsid w:val="009809CE"/>
    <w:rsid w:val="0098131F"/>
    <w:rsid w:val="00981479"/>
    <w:rsid w:val="00981F74"/>
    <w:rsid w:val="0098237C"/>
    <w:rsid w:val="009829B3"/>
    <w:rsid w:val="00982C31"/>
    <w:rsid w:val="00982D45"/>
    <w:rsid w:val="00983165"/>
    <w:rsid w:val="00983343"/>
    <w:rsid w:val="009833C4"/>
    <w:rsid w:val="009834E0"/>
    <w:rsid w:val="009838FF"/>
    <w:rsid w:val="00984149"/>
    <w:rsid w:val="00984788"/>
    <w:rsid w:val="00984909"/>
    <w:rsid w:val="00984D41"/>
    <w:rsid w:val="00984FF3"/>
    <w:rsid w:val="00984FF9"/>
    <w:rsid w:val="009850C5"/>
    <w:rsid w:val="0098516C"/>
    <w:rsid w:val="00986326"/>
    <w:rsid w:val="00986849"/>
    <w:rsid w:val="00986BB7"/>
    <w:rsid w:val="00986D4B"/>
    <w:rsid w:val="00986F6D"/>
    <w:rsid w:val="0098727C"/>
    <w:rsid w:val="00987708"/>
    <w:rsid w:val="00987DF0"/>
    <w:rsid w:val="00987E2E"/>
    <w:rsid w:val="0099008B"/>
    <w:rsid w:val="00990387"/>
    <w:rsid w:val="0099177B"/>
    <w:rsid w:val="00991B8C"/>
    <w:rsid w:val="0099367E"/>
    <w:rsid w:val="00993FE4"/>
    <w:rsid w:val="0099425E"/>
    <w:rsid w:val="00994CDC"/>
    <w:rsid w:val="009969CD"/>
    <w:rsid w:val="0099770A"/>
    <w:rsid w:val="00997769"/>
    <w:rsid w:val="00997A2E"/>
    <w:rsid w:val="009A048E"/>
    <w:rsid w:val="009A106A"/>
    <w:rsid w:val="009A119F"/>
    <w:rsid w:val="009A1609"/>
    <w:rsid w:val="009A16A3"/>
    <w:rsid w:val="009A1A7E"/>
    <w:rsid w:val="009A3480"/>
    <w:rsid w:val="009A3DB8"/>
    <w:rsid w:val="009A43B3"/>
    <w:rsid w:val="009A464D"/>
    <w:rsid w:val="009A496F"/>
    <w:rsid w:val="009A4B78"/>
    <w:rsid w:val="009A4D73"/>
    <w:rsid w:val="009A4E41"/>
    <w:rsid w:val="009A5297"/>
    <w:rsid w:val="009A5851"/>
    <w:rsid w:val="009A5C0C"/>
    <w:rsid w:val="009A5D40"/>
    <w:rsid w:val="009A5E10"/>
    <w:rsid w:val="009A6665"/>
    <w:rsid w:val="009A743F"/>
    <w:rsid w:val="009A74F7"/>
    <w:rsid w:val="009B00F2"/>
    <w:rsid w:val="009B0E67"/>
    <w:rsid w:val="009B0FB2"/>
    <w:rsid w:val="009B1113"/>
    <w:rsid w:val="009B1C34"/>
    <w:rsid w:val="009B1D22"/>
    <w:rsid w:val="009B1E86"/>
    <w:rsid w:val="009B27C4"/>
    <w:rsid w:val="009B2BE6"/>
    <w:rsid w:val="009B2D92"/>
    <w:rsid w:val="009B31DE"/>
    <w:rsid w:val="009B3250"/>
    <w:rsid w:val="009B35A6"/>
    <w:rsid w:val="009B42A4"/>
    <w:rsid w:val="009B42D2"/>
    <w:rsid w:val="009B44D0"/>
    <w:rsid w:val="009B4A06"/>
    <w:rsid w:val="009B60EA"/>
    <w:rsid w:val="009B70C8"/>
    <w:rsid w:val="009B737C"/>
    <w:rsid w:val="009B742E"/>
    <w:rsid w:val="009B7B8F"/>
    <w:rsid w:val="009C0AC6"/>
    <w:rsid w:val="009C11B2"/>
    <w:rsid w:val="009C1456"/>
    <w:rsid w:val="009C164F"/>
    <w:rsid w:val="009C1C30"/>
    <w:rsid w:val="009C22DD"/>
    <w:rsid w:val="009C29D5"/>
    <w:rsid w:val="009C30A0"/>
    <w:rsid w:val="009C359E"/>
    <w:rsid w:val="009C37FE"/>
    <w:rsid w:val="009C4082"/>
    <w:rsid w:val="009C4A38"/>
    <w:rsid w:val="009C4A72"/>
    <w:rsid w:val="009C4AD8"/>
    <w:rsid w:val="009C4B10"/>
    <w:rsid w:val="009C4D3D"/>
    <w:rsid w:val="009C55E2"/>
    <w:rsid w:val="009C5A4E"/>
    <w:rsid w:val="009C5EE5"/>
    <w:rsid w:val="009C6105"/>
    <w:rsid w:val="009C61E3"/>
    <w:rsid w:val="009C699C"/>
    <w:rsid w:val="009C6B56"/>
    <w:rsid w:val="009C7DB8"/>
    <w:rsid w:val="009C7FF0"/>
    <w:rsid w:val="009D010D"/>
    <w:rsid w:val="009D0244"/>
    <w:rsid w:val="009D0F71"/>
    <w:rsid w:val="009D111C"/>
    <w:rsid w:val="009D17A0"/>
    <w:rsid w:val="009D1F7A"/>
    <w:rsid w:val="009D2873"/>
    <w:rsid w:val="009D2942"/>
    <w:rsid w:val="009D2BB8"/>
    <w:rsid w:val="009D3A1A"/>
    <w:rsid w:val="009D426A"/>
    <w:rsid w:val="009D5BDB"/>
    <w:rsid w:val="009D6B03"/>
    <w:rsid w:val="009D6B3D"/>
    <w:rsid w:val="009D7422"/>
    <w:rsid w:val="009D78E7"/>
    <w:rsid w:val="009E0189"/>
    <w:rsid w:val="009E0742"/>
    <w:rsid w:val="009E0B29"/>
    <w:rsid w:val="009E1291"/>
    <w:rsid w:val="009E12BC"/>
    <w:rsid w:val="009E139D"/>
    <w:rsid w:val="009E224D"/>
    <w:rsid w:val="009E26D5"/>
    <w:rsid w:val="009E2A07"/>
    <w:rsid w:val="009E3398"/>
    <w:rsid w:val="009E3577"/>
    <w:rsid w:val="009E37A5"/>
    <w:rsid w:val="009E395B"/>
    <w:rsid w:val="009E3D2B"/>
    <w:rsid w:val="009E3DC2"/>
    <w:rsid w:val="009E3E84"/>
    <w:rsid w:val="009E4053"/>
    <w:rsid w:val="009E4097"/>
    <w:rsid w:val="009E4664"/>
    <w:rsid w:val="009E4D8E"/>
    <w:rsid w:val="009E4E90"/>
    <w:rsid w:val="009E4EB7"/>
    <w:rsid w:val="009E57C1"/>
    <w:rsid w:val="009E624A"/>
    <w:rsid w:val="009E6B32"/>
    <w:rsid w:val="009E7039"/>
    <w:rsid w:val="009E70F3"/>
    <w:rsid w:val="009E7E98"/>
    <w:rsid w:val="009F00EE"/>
    <w:rsid w:val="009F0827"/>
    <w:rsid w:val="009F0BED"/>
    <w:rsid w:val="009F1673"/>
    <w:rsid w:val="009F3255"/>
    <w:rsid w:val="009F341D"/>
    <w:rsid w:val="009F34AA"/>
    <w:rsid w:val="009F3DCE"/>
    <w:rsid w:val="009F44FF"/>
    <w:rsid w:val="009F46E8"/>
    <w:rsid w:val="009F472D"/>
    <w:rsid w:val="009F4CF0"/>
    <w:rsid w:val="009F4E88"/>
    <w:rsid w:val="009F50D1"/>
    <w:rsid w:val="009F573B"/>
    <w:rsid w:val="009F5918"/>
    <w:rsid w:val="009F596D"/>
    <w:rsid w:val="009F6A91"/>
    <w:rsid w:val="009F71A6"/>
    <w:rsid w:val="009F71AA"/>
    <w:rsid w:val="009F754A"/>
    <w:rsid w:val="009F791F"/>
    <w:rsid w:val="009F7F86"/>
    <w:rsid w:val="00A0034D"/>
    <w:rsid w:val="00A00BFB"/>
    <w:rsid w:val="00A00DCF"/>
    <w:rsid w:val="00A0126C"/>
    <w:rsid w:val="00A012DA"/>
    <w:rsid w:val="00A0187E"/>
    <w:rsid w:val="00A02644"/>
    <w:rsid w:val="00A026F0"/>
    <w:rsid w:val="00A02F2D"/>
    <w:rsid w:val="00A02F61"/>
    <w:rsid w:val="00A03169"/>
    <w:rsid w:val="00A03529"/>
    <w:rsid w:val="00A03E0E"/>
    <w:rsid w:val="00A040D1"/>
    <w:rsid w:val="00A044B7"/>
    <w:rsid w:val="00A04A0A"/>
    <w:rsid w:val="00A050A8"/>
    <w:rsid w:val="00A056A3"/>
    <w:rsid w:val="00A059AF"/>
    <w:rsid w:val="00A05B51"/>
    <w:rsid w:val="00A06286"/>
    <w:rsid w:val="00A06318"/>
    <w:rsid w:val="00A063BC"/>
    <w:rsid w:val="00A068E1"/>
    <w:rsid w:val="00A06A80"/>
    <w:rsid w:val="00A06D8A"/>
    <w:rsid w:val="00A0711F"/>
    <w:rsid w:val="00A07B0B"/>
    <w:rsid w:val="00A102A0"/>
    <w:rsid w:val="00A10860"/>
    <w:rsid w:val="00A10A1C"/>
    <w:rsid w:val="00A114FA"/>
    <w:rsid w:val="00A11AF3"/>
    <w:rsid w:val="00A12ACF"/>
    <w:rsid w:val="00A12B42"/>
    <w:rsid w:val="00A12BD4"/>
    <w:rsid w:val="00A12C09"/>
    <w:rsid w:val="00A13084"/>
    <w:rsid w:val="00A1327F"/>
    <w:rsid w:val="00A13817"/>
    <w:rsid w:val="00A138D3"/>
    <w:rsid w:val="00A13E0F"/>
    <w:rsid w:val="00A144B7"/>
    <w:rsid w:val="00A149B4"/>
    <w:rsid w:val="00A152D3"/>
    <w:rsid w:val="00A15F4F"/>
    <w:rsid w:val="00A160AB"/>
    <w:rsid w:val="00A16745"/>
    <w:rsid w:val="00A16747"/>
    <w:rsid w:val="00A17E93"/>
    <w:rsid w:val="00A20013"/>
    <w:rsid w:val="00A2056F"/>
    <w:rsid w:val="00A20582"/>
    <w:rsid w:val="00A20C65"/>
    <w:rsid w:val="00A21767"/>
    <w:rsid w:val="00A21FD5"/>
    <w:rsid w:val="00A22751"/>
    <w:rsid w:val="00A22940"/>
    <w:rsid w:val="00A23102"/>
    <w:rsid w:val="00A233D8"/>
    <w:rsid w:val="00A2343F"/>
    <w:rsid w:val="00A23505"/>
    <w:rsid w:val="00A23BCD"/>
    <w:rsid w:val="00A2428B"/>
    <w:rsid w:val="00A247E5"/>
    <w:rsid w:val="00A248BD"/>
    <w:rsid w:val="00A24D81"/>
    <w:rsid w:val="00A24EA5"/>
    <w:rsid w:val="00A25173"/>
    <w:rsid w:val="00A252F0"/>
    <w:rsid w:val="00A259F2"/>
    <w:rsid w:val="00A26463"/>
    <w:rsid w:val="00A2660E"/>
    <w:rsid w:val="00A26916"/>
    <w:rsid w:val="00A26B47"/>
    <w:rsid w:val="00A26FF1"/>
    <w:rsid w:val="00A2704C"/>
    <w:rsid w:val="00A27547"/>
    <w:rsid w:val="00A2770B"/>
    <w:rsid w:val="00A2772D"/>
    <w:rsid w:val="00A27806"/>
    <w:rsid w:val="00A3068C"/>
    <w:rsid w:val="00A3127F"/>
    <w:rsid w:val="00A315BC"/>
    <w:rsid w:val="00A31922"/>
    <w:rsid w:val="00A31BCC"/>
    <w:rsid w:val="00A31C70"/>
    <w:rsid w:val="00A31C87"/>
    <w:rsid w:val="00A325BB"/>
    <w:rsid w:val="00A3297A"/>
    <w:rsid w:val="00A32A58"/>
    <w:rsid w:val="00A32EEC"/>
    <w:rsid w:val="00A336C5"/>
    <w:rsid w:val="00A339D9"/>
    <w:rsid w:val="00A33BD6"/>
    <w:rsid w:val="00A3510A"/>
    <w:rsid w:val="00A3515F"/>
    <w:rsid w:val="00A35751"/>
    <w:rsid w:val="00A3577F"/>
    <w:rsid w:val="00A35BBC"/>
    <w:rsid w:val="00A35DAB"/>
    <w:rsid w:val="00A36724"/>
    <w:rsid w:val="00A367AF"/>
    <w:rsid w:val="00A36C13"/>
    <w:rsid w:val="00A377C2"/>
    <w:rsid w:val="00A37A31"/>
    <w:rsid w:val="00A40B1F"/>
    <w:rsid w:val="00A40B4D"/>
    <w:rsid w:val="00A411E2"/>
    <w:rsid w:val="00A41373"/>
    <w:rsid w:val="00A41638"/>
    <w:rsid w:val="00A41B15"/>
    <w:rsid w:val="00A4224E"/>
    <w:rsid w:val="00A4229F"/>
    <w:rsid w:val="00A428A9"/>
    <w:rsid w:val="00A42ACA"/>
    <w:rsid w:val="00A4327C"/>
    <w:rsid w:val="00A43496"/>
    <w:rsid w:val="00A43665"/>
    <w:rsid w:val="00A43AAB"/>
    <w:rsid w:val="00A43AFE"/>
    <w:rsid w:val="00A441CC"/>
    <w:rsid w:val="00A447E3"/>
    <w:rsid w:val="00A44AAD"/>
    <w:rsid w:val="00A44D3B"/>
    <w:rsid w:val="00A45241"/>
    <w:rsid w:val="00A45280"/>
    <w:rsid w:val="00A452B8"/>
    <w:rsid w:val="00A45BF7"/>
    <w:rsid w:val="00A463B5"/>
    <w:rsid w:val="00A463BA"/>
    <w:rsid w:val="00A46675"/>
    <w:rsid w:val="00A46A5F"/>
    <w:rsid w:val="00A471A3"/>
    <w:rsid w:val="00A47597"/>
    <w:rsid w:val="00A47E44"/>
    <w:rsid w:val="00A47F91"/>
    <w:rsid w:val="00A507D7"/>
    <w:rsid w:val="00A50A5C"/>
    <w:rsid w:val="00A50BE2"/>
    <w:rsid w:val="00A50CC6"/>
    <w:rsid w:val="00A50E40"/>
    <w:rsid w:val="00A51462"/>
    <w:rsid w:val="00A51946"/>
    <w:rsid w:val="00A51FF7"/>
    <w:rsid w:val="00A52079"/>
    <w:rsid w:val="00A52143"/>
    <w:rsid w:val="00A521E9"/>
    <w:rsid w:val="00A5298E"/>
    <w:rsid w:val="00A52B3E"/>
    <w:rsid w:val="00A5313B"/>
    <w:rsid w:val="00A5320E"/>
    <w:rsid w:val="00A53F7B"/>
    <w:rsid w:val="00A54090"/>
    <w:rsid w:val="00A541F3"/>
    <w:rsid w:val="00A54282"/>
    <w:rsid w:val="00A549D3"/>
    <w:rsid w:val="00A54DF0"/>
    <w:rsid w:val="00A573DF"/>
    <w:rsid w:val="00A57E98"/>
    <w:rsid w:val="00A60017"/>
    <w:rsid w:val="00A60849"/>
    <w:rsid w:val="00A60AC3"/>
    <w:rsid w:val="00A6105B"/>
    <w:rsid w:val="00A611BA"/>
    <w:rsid w:val="00A61355"/>
    <w:rsid w:val="00A61668"/>
    <w:rsid w:val="00A621D3"/>
    <w:rsid w:val="00A628F8"/>
    <w:rsid w:val="00A62B7A"/>
    <w:rsid w:val="00A631A1"/>
    <w:rsid w:val="00A632EA"/>
    <w:rsid w:val="00A6339D"/>
    <w:rsid w:val="00A634BE"/>
    <w:rsid w:val="00A63AD7"/>
    <w:rsid w:val="00A63BFD"/>
    <w:rsid w:val="00A63E61"/>
    <w:rsid w:val="00A6491F"/>
    <w:rsid w:val="00A64A9E"/>
    <w:rsid w:val="00A64C72"/>
    <w:rsid w:val="00A64D1A"/>
    <w:rsid w:val="00A65320"/>
    <w:rsid w:val="00A65BA5"/>
    <w:rsid w:val="00A66354"/>
    <w:rsid w:val="00A6694A"/>
    <w:rsid w:val="00A66E37"/>
    <w:rsid w:val="00A66ECF"/>
    <w:rsid w:val="00A67681"/>
    <w:rsid w:val="00A676D6"/>
    <w:rsid w:val="00A67E38"/>
    <w:rsid w:val="00A703E4"/>
    <w:rsid w:val="00A704C9"/>
    <w:rsid w:val="00A70DC6"/>
    <w:rsid w:val="00A71080"/>
    <w:rsid w:val="00A71986"/>
    <w:rsid w:val="00A71E3D"/>
    <w:rsid w:val="00A71E73"/>
    <w:rsid w:val="00A7269F"/>
    <w:rsid w:val="00A72740"/>
    <w:rsid w:val="00A73A64"/>
    <w:rsid w:val="00A742AD"/>
    <w:rsid w:val="00A746D7"/>
    <w:rsid w:val="00A74AB2"/>
    <w:rsid w:val="00A75A27"/>
    <w:rsid w:val="00A75A46"/>
    <w:rsid w:val="00A75B36"/>
    <w:rsid w:val="00A75DD8"/>
    <w:rsid w:val="00A7623B"/>
    <w:rsid w:val="00A7660A"/>
    <w:rsid w:val="00A7663A"/>
    <w:rsid w:val="00A7696B"/>
    <w:rsid w:val="00A769D4"/>
    <w:rsid w:val="00A8008F"/>
    <w:rsid w:val="00A804C7"/>
    <w:rsid w:val="00A80857"/>
    <w:rsid w:val="00A80A39"/>
    <w:rsid w:val="00A80DF0"/>
    <w:rsid w:val="00A80E64"/>
    <w:rsid w:val="00A81A16"/>
    <w:rsid w:val="00A823A7"/>
    <w:rsid w:val="00A824D4"/>
    <w:rsid w:val="00A825C8"/>
    <w:rsid w:val="00A82742"/>
    <w:rsid w:val="00A82A29"/>
    <w:rsid w:val="00A82E80"/>
    <w:rsid w:val="00A83558"/>
    <w:rsid w:val="00A83984"/>
    <w:rsid w:val="00A83A1E"/>
    <w:rsid w:val="00A84198"/>
    <w:rsid w:val="00A841AB"/>
    <w:rsid w:val="00A84F03"/>
    <w:rsid w:val="00A84FFD"/>
    <w:rsid w:val="00A86104"/>
    <w:rsid w:val="00A8655A"/>
    <w:rsid w:val="00A87203"/>
    <w:rsid w:val="00A87744"/>
    <w:rsid w:val="00A87AE6"/>
    <w:rsid w:val="00A87B09"/>
    <w:rsid w:val="00A87C22"/>
    <w:rsid w:val="00A90590"/>
    <w:rsid w:val="00A90A97"/>
    <w:rsid w:val="00A90CB4"/>
    <w:rsid w:val="00A910DA"/>
    <w:rsid w:val="00A920E1"/>
    <w:rsid w:val="00A92998"/>
    <w:rsid w:val="00A933AE"/>
    <w:rsid w:val="00A93863"/>
    <w:rsid w:val="00A93928"/>
    <w:rsid w:val="00A93F73"/>
    <w:rsid w:val="00A9415E"/>
    <w:rsid w:val="00A9423F"/>
    <w:rsid w:val="00A94EBD"/>
    <w:rsid w:val="00A9510D"/>
    <w:rsid w:val="00A95580"/>
    <w:rsid w:val="00A956AC"/>
    <w:rsid w:val="00A95D2A"/>
    <w:rsid w:val="00A961D6"/>
    <w:rsid w:val="00A96214"/>
    <w:rsid w:val="00A967E8"/>
    <w:rsid w:val="00A97F4B"/>
    <w:rsid w:val="00AA04C5"/>
    <w:rsid w:val="00AA10B1"/>
    <w:rsid w:val="00AA2803"/>
    <w:rsid w:val="00AA2BF2"/>
    <w:rsid w:val="00AA2D68"/>
    <w:rsid w:val="00AA2D6F"/>
    <w:rsid w:val="00AA2E92"/>
    <w:rsid w:val="00AA38F1"/>
    <w:rsid w:val="00AA3987"/>
    <w:rsid w:val="00AA3B68"/>
    <w:rsid w:val="00AA3E79"/>
    <w:rsid w:val="00AA4FB4"/>
    <w:rsid w:val="00AA54BE"/>
    <w:rsid w:val="00AA5C0B"/>
    <w:rsid w:val="00AA5E3B"/>
    <w:rsid w:val="00AA63AD"/>
    <w:rsid w:val="00AA65B4"/>
    <w:rsid w:val="00AA6A75"/>
    <w:rsid w:val="00AA745E"/>
    <w:rsid w:val="00AA7EEC"/>
    <w:rsid w:val="00AB04AB"/>
    <w:rsid w:val="00AB0733"/>
    <w:rsid w:val="00AB09D2"/>
    <w:rsid w:val="00AB0B64"/>
    <w:rsid w:val="00AB0C30"/>
    <w:rsid w:val="00AB176B"/>
    <w:rsid w:val="00AB2C5F"/>
    <w:rsid w:val="00AB37E6"/>
    <w:rsid w:val="00AB3DBA"/>
    <w:rsid w:val="00AB431C"/>
    <w:rsid w:val="00AB470E"/>
    <w:rsid w:val="00AB4C80"/>
    <w:rsid w:val="00AB506B"/>
    <w:rsid w:val="00AB5467"/>
    <w:rsid w:val="00AB5883"/>
    <w:rsid w:val="00AB5A7E"/>
    <w:rsid w:val="00AB7538"/>
    <w:rsid w:val="00AB77F3"/>
    <w:rsid w:val="00AC0256"/>
    <w:rsid w:val="00AC0AAD"/>
    <w:rsid w:val="00AC1231"/>
    <w:rsid w:val="00AC1992"/>
    <w:rsid w:val="00AC1E14"/>
    <w:rsid w:val="00AC2CFA"/>
    <w:rsid w:val="00AC3263"/>
    <w:rsid w:val="00AC337E"/>
    <w:rsid w:val="00AC3E12"/>
    <w:rsid w:val="00AC406E"/>
    <w:rsid w:val="00AC40B2"/>
    <w:rsid w:val="00AC417C"/>
    <w:rsid w:val="00AC430C"/>
    <w:rsid w:val="00AC4951"/>
    <w:rsid w:val="00AC49C9"/>
    <w:rsid w:val="00AC4A6B"/>
    <w:rsid w:val="00AC5C19"/>
    <w:rsid w:val="00AC60F0"/>
    <w:rsid w:val="00AC63C7"/>
    <w:rsid w:val="00AC6657"/>
    <w:rsid w:val="00AC6D7A"/>
    <w:rsid w:val="00AC7363"/>
    <w:rsid w:val="00AC7401"/>
    <w:rsid w:val="00AC7901"/>
    <w:rsid w:val="00AC79F3"/>
    <w:rsid w:val="00AC7FDD"/>
    <w:rsid w:val="00AD0949"/>
    <w:rsid w:val="00AD0F1D"/>
    <w:rsid w:val="00AD1179"/>
    <w:rsid w:val="00AD1359"/>
    <w:rsid w:val="00AD19F0"/>
    <w:rsid w:val="00AD1FCE"/>
    <w:rsid w:val="00AD26E1"/>
    <w:rsid w:val="00AD29CC"/>
    <w:rsid w:val="00AD3268"/>
    <w:rsid w:val="00AD3652"/>
    <w:rsid w:val="00AD3DE2"/>
    <w:rsid w:val="00AD412C"/>
    <w:rsid w:val="00AD4261"/>
    <w:rsid w:val="00AD46F5"/>
    <w:rsid w:val="00AD51A3"/>
    <w:rsid w:val="00AD575F"/>
    <w:rsid w:val="00AD598B"/>
    <w:rsid w:val="00AD7154"/>
    <w:rsid w:val="00AD797D"/>
    <w:rsid w:val="00AD7E02"/>
    <w:rsid w:val="00AE0034"/>
    <w:rsid w:val="00AE0483"/>
    <w:rsid w:val="00AE08DD"/>
    <w:rsid w:val="00AE13BD"/>
    <w:rsid w:val="00AE1ABF"/>
    <w:rsid w:val="00AE1AF9"/>
    <w:rsid w:val="00AE1E60"/>
    <w:rsid w:val="00AE2068"/>
    <w:rsid w:val="00AE2258"/>
    <w:rsid w:val="00AE277E"/>
    <w:rsid w:val="00AE2A36"/>
    <w:rsid w:val="00AE2BC6"/>
    <w:rsid w:val="00AE3251"/>
    <w:rsid w:val="00AE33DA"/>
    <w:rsid w:val="00AE3FE0"/>
    <w:rsid w:val="00AE5058"/>
    <w:rsid w:val="00AE51CD"/>
    <w:rsid w:val="00AE5471"/>
    <w:rsid w:val="00AE54AA"/>
    <w:rsid w:val="00AE60E4"/>
    <w:rsid w:val="00AE6872"/>
    <w:rsid w:val="00AE6C58"/>
    <w:rsid w:val="00AE72C4"/>
    <w:rsid w:val="00AE7F05"/>
    <w:rsid w:val="00AE7F38"/>
    <w:rsid w:val="00AF054D"/>
    <w:rsid w:val="00AF0939"/>
    <w:rsid w:val="00AF0981"/>
    <w:rsid w:val="00AF0F9C"/>
    <w:rsid w:val="00AF10F0"/>
    <w:rsid w:val="00AF1406"/>
    <w:rsid w:val="00AF18E2"/>
    <w:rsid w:val="00AF24E7"/>
    <w:rsid w:val="00AF272B"/>
    <w:rsid w:val="00AF291B"/>
    <w:rsid w:val="00AF2DAA"/>
    <w:rsid w:val="00AF2EBD"/>
    <w:rsid w:val="00AF33AE"/>
    <w:rsid w:val="00AF3CDC"/>
    <w:rsid w:val="00AF4146"/>
    <w:rsid w:val="00AF44B1"/>
    <w:rsid w:val="00AF467B"/>
    <w:rsid w:val="00AF5800"/>
    <w:rsid w:val="00AF6986"/>
    <w:rsid w:val="00AF69FE"/>
    <w:rsid w:val="00AF6A77"/>
    <w:rsid w:val="00AF6D1B"/>
    <w:rsid w:val="00AF73ED"/>
    <w:rsid w:val="00AF7D69"/>
    <w:rsid w:val="00AF7ED2"/>
    <w:rsid w:val="00B004D8"/>
    <w:rsid w:val="00B00830"/>
    <w:rsid w:val="00B00CC5"/>
    <w:rsid w:val="00B016D2"/>
    <w:rsid w:val="00B02091"/>
    <w:rsid w:val="00B0250E"/>
    <w:rsid w:val="00B02B43"/>
    <w:rsid w:val="00B03697"/>
    <w:rsid w:val="00B03D36"/>
    <w:rsid w:val="00B04540"/>
    <w:rsid w:val="00B046F1"/>
    <w:rsid w:val="00B05116"/>
    <w:rsid w:val="00B051A7"/>
    <w:rsid w:val="00B05F1A"/>
    <w:rsid w:val="00B07B33"/>
    <w:rsid w:val="00B07FA2"/>
    <w:rsid w:val="00B100CF"/>
    <w:rsid w:val="00B1031B"/>
    <w:rsid w:val="00B1074F"/>
    <w:rsid w:val="00B10E82"/>
    <w:rsid w:val="00B111A6"/>
    <w:rsid w:val="00B115E5"/>
    <w:rsid w:val="00B118EE"/>
    <w:rsid w:val="00B11B03"/>
    <w:rsid w:val="00B11C5B"/>
    <w:rsid w:val="00B121CD"/>
    <w:rsid w:val="00B12343"/>
    <w:rsid w:val="00B12529"/>
    <w:rsid w:val="00B128C5"/>
    <w:rsid w:val="00B12B11"/>
    <w:rsid w:val="00B12C94"/>
    <w:rsid w:val="00B135AB"/>
    <w:rsid w:val="00B13797"/>
    <w:rsid w:val="00B137BF"/>
    <w:rsid w:val="00B13A1B"/>
    <w:rsid w:val="00B13A76"/>
    <w:rsid w:val="00B142D9"/>
    <w:rsid w:val="00B145D5"/>
    <w:rsid w:val="00B14BC4"/>
    <w:rsid w:val="00B158A3"/>
    <w:rsid w:val="00B15B25"/>
    <w:rsid w:val="00B15C36"/>
    <w:rsid w:val="00B15EA0"/>
    <w:rsid w:val="00B16069"/>
    <w:rsid w:val="00B1745A"/>
    <w:rsid w:val="00B17785"/>
    <w:rsid w:val="00B17A4E"/>
    <w:rsid w:val="00B17B30"/>
    <w:rsid w:val="00B17C2F"/>
    <w:rsid w:val="00B2153E"/>
    <w:rsid w:val="00B218CB"/>
    <w:rsid w:val="00B21FA7"/>
    <w:rsid w:val="00B22022"/>
    <w:rsid w:val="00B225E4"/>
    <w:rsid w:val="00B23223"/>
    <w:rsid w:val="00B23F7A"/>
    <w:rsid w:val="00B240B1"/>
    <w:rsid w:val="00B24208"/>
    <w:rsid w:val="00B24374"/>
    <w:rsid w:val="00B24728"/>
    <w:rsid w:val="00B248A9"/>
    <w:rsid w:val="00B2490A"/>
    <w:rsid w:val="00B24BE3"/>
    <w:rsid w:val="00B24D28"/>
    <w:rsid w:val="00B24F1C"/>
    <w:rsid w:val="00B25D76"/>
    <w:rsid w:val="00B27032"/>
    <w:rsid w:val="00B27085"/>
    <w:rsid w:val="00B27583"/>
    <w:rsid w:val="00B30003"/>
    <w:rsid w:val="00B3015C"/>
    <w:rsid w:val="00B30642"/>
    <w:rsid w:val="00B31201"/>
    <w:rsid w:val="00B312B9"/>
    <w:rsid w:val="00B31B4B"/>
    <w:rsid w:val="00B31E36"/>
    <w:rsid w:val="00B32E26"/>
    <w:rsid w:val="00B336AA"/>
    <w:rsid w:val="00B338B7"/>
    <w:rsid w:val="00B34061"/>
    <w:rsid w:val="00B34376"/>
    <w:rsid w:val="00B3440A"/>
    <w:rsid w:val="00B34441"/>
    <w:rsid w:val="00B35533"/>
    <w:rsid w:val="00B35534"/>
    <w:rsid w:val="00B358E7"/>
    <w:rsid w:val="00B35A87"/>
    <w:rsid w:val="00B35AFD"/>
    <w:rsid w:val="00B35F9A"/>
    <w:rsid w:val="00B3609C"/>
    <w:rsid w:val="00B36236"/>
    <w:rsid w:val="00B3662E"/>
    <w:rsid w:val="00B36645"/>
    <w:rsid w:val="00B366D2"/>
    <w:rsid w:val="00B366FA"/>
    <w:rsid w:val="00B36E86"/>
    <w:rsid w:val="00B379BA"/>
    <w:rsid w:val="00B40B30"/>
    <w:rsid w:val="00B40E47"/>
    <w:rsid w:val="00B412FD"/>
    <w:rsid w:val="00B41E1C"/>
    <w:rsid w:val="00B422BE"/>
    <w:rsid w:val="00B4241D"/>
    <w:rsid w:val="00B426BB"/>
    <w:rsid w:val="00B42EB9"/>
    <w:rsid w:val="00B436F0"/>
    <w:rsid w:val="00B441FE"/>
    <w:rsid w:val="00B44821"/>
    <w:rsid w:val="00B44AD3"/>
    <w:rsid w:val="00B450EB"/>
    <w:rsid w:val="00B45152"/>
    <w:rsid w:val="00B454DD"/>
    <w:rsid w:val="00B45E54"/>
    <w:rsid w:val="00B45EE3"/>
    <w:rsid w:val="00B460B8"/>
    <w:rsid w:val="00B464E4"/>
    <w:rsid w:val="00B4689A"/>
    <w:rsid w:val="00B46D5F"/>
    <w:rsid w:val="00B46E7B"/>
    <w:rsid w:val="00B47DC5"/>
    <w:rsid w:val="00B5029D"/>
    <w:rsid w:val="00B50395"/>
    <w:rsid w:val="00B505B3"/>
    <w:rsid w:val="00B50882"/>
    <w:rsid w:val="00B50A74"/>
    <w:rsid w:val="00B5199C"/>
    <w:rsid w:val="00B520A0"/>
    <w:rsid w:val="00B5257E"/>
    <w:rsid w:val="00B525CE"/>
    <w:rsid w:val="00B5265F"/>
    <w:rsid w:val="00B52CFD"/>
    <w:rsid w:val="00B545A8"/>
    <w:rsid w:val="00B56527"/>
    <w:rsid w:val="00B56706"/>
    <w:rsid w:val="00B57019"/>
    <w:rsid w:val="00B576DA"/>
    <w:rsid w:val="00B57710"/>
    <w:rsid w:val="00B601C9"/>
    <w:rsid w:val="00B60D04"/>
    <w:rsid w:val="00B6158F"/>
    <w:rsid w:val="00B61EE8"/>
    <w:rsid w:val="00B633A3"/>
    <w:rsid w:val="00B63533"/>
    <w:rsid w:val="00B63BDB"/>
    <w:rsid w:val="00B64A0E"/>
    <w:rsid w:val="00B64DDF"/>
    <w:rsid w:val="00B6601E"/>
    <w:rsid w:val="00B663AA"/>
    <w:rsid w:val="00B66DD5"/>
    <w:rsid w:val="00B67722"/>
    <w:rsid w:val="00B67B97"/>
    <w:rsid w:val="00B67F01"/>
    <w:rsid w:val="00B70329"/>
    <w:rsid w:val="00B711AB"/>
    <w:rsid w:val="00B714F0"/>
    <w:rsid w:val="00B71A40"/>
    <w:rsid w:val="00B71C8C"/>
    <w:rsid w:val="00B71CB4"/>
    <w:rsid w:val="00B71FD7"/>
    <w:rsid w:val="00B725E7"/>
    <w:rsid w:val="00B72C07"/>
    <w:rsid w:val="00B72DF7"/>
    <w:rsid w:val="00B72F42"/>
    <w:rsid w:val="00B73E44"/>
    <w:rsid w:val="00B74290"/>
    <w:rsid w:val="00B74510"/>
    <w:rsid w:val="00B74715"/>
    <w:rsid w:val="00B74BD4"/>
    <w:rsid w:val="00B74BF7"/>
    <w:rsid w:val="00B760FD"/>
    <w:rsid w:val="00B76185"/>
    <w:rsid w:val="00B76BCD"/>
    <w:rsid w:val="00B779E6"/>
    <w:rsid w:val="00B77B75"/>
    <w:rsid w:val="00B804E2"/>
    <w:rsid w:val="00B811B2"/>
    <w:rsid w:val="00B81BA3"/>
    <w:rsid w:val="00B82213"/>
    <w:rsid w:val="00B8276E"/>
    <w:rsid w:val="00B82912"/>
    <w:rsid w:val="00B839A9"/>
    <w:rsid w:val="00B83A62"/>
    <w:rsid w:val="00B83B59"/>
    <w:rsid w:val="00B84252"/>
    <w:rsid w:val="00B8468F"/>
    <w:rsid w:val="00B849F1"/>
    <w:rsid w:val="00B84FC6"/>
    <w:rsid w:val="00B857F5"/>
    <w:rsid w:val="00B86D6C"/>
    <w:rsid w:val="00B86EB5"/>
    <w:rsid w:val="00B86F47"/>
    <w:rsid w:val="00B874B4"/>
    <w:rsid w:val="00B8787A"/>
    <w:rsid w:val="00B87887"/>
    <w:rsid w:val="00B90123"/>
    <w:rsid w:val="00B90196"/>
    <w:rsid w:val="00B911C1"/>
    <w:rsid w:val="00B91374"/>
    <w:rsid w:val="00B916D4"/>
    <w:rsid w:val="00B9216A"/>
    <w:rsid w:val="00B922C3"/>
    <w:rsid w:val="00B9272E"/>
    <w:rsid w:val="00B927A7"/>
    <w:rsid w:val="00B92B9E"/>
    <w:rsid w:val="00B93315"/>
    <w:rsid w:val="00B93519"/>
    <w:rsid w:val="00B9372A"/>
    <w:rsid w:val="00B9425C"/>
    <w:rsid w:val="00B94AAF"/>
    <w:rsid w:val="00B953FF"/>
    <w:rsid w:val="00B9622D"/>
    <w:rsid w:val="00B96263"/>
    <w:rsid w:val="00B968A5"/>
    <w:rsid w:val="00B972CD"/>
    <w:rsid w:val="00B979CE"/>
    <w:rsid w:val="00B97D02"/>
    <w:rsid w:val="00BA0304"/>
    <w:rsid w:val="00BA0557"/>
    <w:rsid w:val="00BA19C4"/>
    <w:rsid w:val="00BA3038"/>
    <w:rsid w:val="00BA370A"/>
    <w:rsid w:val="00BA48BC"/>
    <w:rsid w:val="00BA4A29"/>
    <w:rsid w:val="00BA4BE7"/>
    <w:rsid w:val="00BA4E11"/>
    <w:rsid w:val="00BA5F20"/>
    <w:rsid w:val="00BA5F44"/>
    <w:rsid w:val="00BA68D9"/>
    <w:rsid w:val="00BA695F"/>
    <w:rsid w:val="00BA6FD8"/>
    <w:rsid w:val="00BA7172"/>
    <w:rsid w:val="00BA7B01"/>
    <w:rsid w:val="00BB02D7"/>
    <w:rsid w:val="00BB0D9F"/>
    <w:rsid w:val="00BB0DEE"/>
    <w:rsid w:val="00BB0F93"/>
    <w:rsid w:val="00BB1031"/>
    <w:rsid w:val="00BB1B33"/>
    <w:rsid w:val="00BB23D8"/>
    <w:rsid w:val="00BB2480"/>
    <w:rsid w:val="00BB27FD"/>
    <w:rsid w:val="00BB2C4E"/>
    <w:rsid w:val="00BB2E29"/>
    <w:rsid w:val="00BB2F74"/>
    <w:rsid w:val="00BB3206"/>
    <w:rsid w:val="00BB3277"/>
    <w:rsid w:val="00BB32C2"/>
    <w:rsid w:val="00BB39BF"/>
    <w:rsid w:val="00BB3B0D"/>
    <w:rsid w:val="00BB524C"/>
    <w:rsid w:val="00BB5DAB"/>
    <w:rsid w:val="00BB6195"/>
    <w:rsid w:val="00BB61A3"/>
    <w:rsid w:val="00BB67EA"/>
    <w:rsid w:val="00BB707E"/>
    <w:rsid w:val="00BB7568"/>
    <w:rsid w:val="00BB79FC"/>
    <w:rsid w:val="00BC007C"/>
    <w:rsid w:val="00BC0986"/>
    <w:rsid w:val="00BC0AB2"/>
    <w:rsid w:val="00BC1308"/>
    <w:rsid w:val="00BC1BF4"/>
    <w:rsid w:val="00BC2600"/>
    <w:rsid w:val="00BC2F24"/>
    <w:rsid w:val="00BC33BE"/>
    <w:rsid w:val="00BC3A47"/>
    <w:rsid w:val="00BC3EEB"/>
    <w:rsid w:val="00BC4780"/>
    <w:rsid w:val="00BC4FFE"/>
    <w:rsid w:val="00BC52C8"/>
    <w:rsid w:val="00BC5485"/>
    <w:rsid w:val="00BC549C"/>
    <w:rsid w:val="00BC570E"/>
    <w:rsid w:val="00BC5A6C"/>
    <w:rsid w:val="00BC5AF6"/>
    <w:rsid w:val="00BC5B4B"/>
    <w:rsid w:val="00BC5E93"/>
    <w:rsid w:val="00BC5EDB"/>
    <w:rsid w:val="00BC69A2"/>
    <w:rsid w:val="00BC6ED6"/>
    <w:rsid w:val="00BC6F03"/>
    <w:rsid w:val="00BC6FA1"/>
    <w:rsid w:val="00BC7487"/>
    <w:rsid w:val="00BD015D"/>
    <w:rsid w:val="00BD0570"/>
    <w:rsid w:val="00BD0853"/>
    <w:rsid w:val="00BD0CDB"/>
    <w:rsid w:val="00BD112D"/>
    <w:rsid w:val="00BD214E"/>
    <w:rsid w:val="00BD2395"/>
    <w:rsid w:val="00BD25B8"/>
    <w:rsid w:val="00BD2842"/>
    <w:rsid w:val="00BD3120"/>
    <w:rsid w:val="00BD3354"/>
    <w:rsid w:val="00BD384E"/>
    <w:rsid w:val="00BD3E76"/>
    <w:rsid w:val="00BD3EE2"/>
    <w:rsid w:val="00BD3FCF"/>
    <w:rsid w:val="00BD42D2"/>
    <w:rsid w:val="00BD47D7"/>
    <w:rsid w:val="00BD4EFB"/>
    <w:rsid w:val="00BD5076"/>
    <w:rsid w:val="00BD5551"/>
    <w:rsid w:val="00BD6509"/>
    <w:rsid w:val="00BD65BF"/>
    <w:rsid w:val="00BD6D43"/>
    <w:rsid w:val="00BD7090"/>
    <w:rsid w:val="00BD7490"/>
    <w:rsid w:val="00BD767F"/>
    <w:rsid w:val="00BD7DA0"/>
    <w:rsid w:val="00BE0211"/>
    <w:rsid w:val="00BE096B"/>
    <w:rsid w:val="00BE09C3"/>
    <w:rsid w:val="00BE0C27"/>
    <w:rsid w:val="00BE0F9B"/>
    <w:rsid w:val="00BE15BB"/>
    <w:rsid w:val="00BE198F"/>
    <w:rsid w:val="00BE34DC"/>
    <w:rsid w:val="00BE4875"/>
    <w:rsid w:val="00BE4C87"/>
    <w:rsid w:val="00BE4CCF"/>
    <w:rsid w:val="00BE5964"/>
    <w:rsid w:val="00BE660B"/>
    <w:rsid w:val="00BE6AFE"/>
    <w:rsid w:val="00BE6BBE"/>
    <w:rsid w:val="00BE7021"/>
    <w:rsid w:val="00BE7300"/>
    <w:rsid w:val="00BE76F7"/>
    <w:rsid w:val="00BE784F"/>
    <w:rsid w:val="00BE79C6"/>
    <w:rsid w:val="00BF0238"/>
    <w:rsid w:val="00BF0717"/>
    <w:rsid w:val="00BF11C8"/>
    <w:rsid w:val="00BF1750"/>
    <w:rsid w:val="00BF178E"/>
    <w:rsid w:val="00BF189F"/>
    <w:rsid w:val="00BF1B44"/>
    <w:rsid w:val="00BF1D88"/>
    <w:rsid w:val="00BF1F01"/>
    <w:rsid w:val="00BF1FC2"/>
    <w:rsid w:val="00BF23CC"/>
    <w:rsid w:val="00BF243F"/>
    <w:rsid w:val="00BF2708"/>
    <w:rsid w:val="00BF3284"/>
    <w:rsid w:val="00BF4C2B"/>
    <w:rsid w:val="00BF507A"/>
    <w:rsid w:val="00BF51EE"/>
    <w:rsid w:val="00BF53F1"/>
    <w:rsid w:val="00BF5717"/>
    <w:rsid w:val="00BF5B9D"/>
    <w:rsid w:val="00BF5C45"/>
    <w:rsid w:val="00BF5FA3"/>
    <w:rsid w:val="00BF62F2"/>
    <w:rsid w:val="00BF63A5"/>
    <w:rsid w:val="00BF72A7"/>
    <w:rsid w:val="00BF7558"/>
    <w:rsid w:val="00BF7DD2"/>
    <w:rsid w:val="00C0111E"/>
    <w:rsid w:val="00C02676"/>
    <w:rsid w:val="00C029AB"/>
    <w:rsid w:val="00C02D74"/>
    <w:rsid w:val="00C03BD5"/>
    <w:rsid w:val="00C03C8B"/>
    <w:rsid w:val="00C03F3C"/>
    <w:rsid w:val="00C0425C"/>
    <w:rsid w:val="00C049BE"/>
    <w:rsid w:val="00C04A71"/>
    <w:rsid w:val="00C04DF0"/>
    <w:rsid w:val="00C05A4C"/>
    <w:rsid w:val="00C05A67"/>
    <w:rsid w:val="00C0632D"/>
    <w:rsid w:val="00C0641F"/>
    <w:rsid w:val="00C06C9A"/>
    <w:rsid w:val="00C06E6F"/>
    <w:rsid w:val="00C075DB"/>
    <w:rsid w:val="00C07EBA"/>
    <w:rsid w:val="00C07FBC"/>
    <w:rsid w:val="00C100E2"/>
    <w:rsid w:val="00C100E7"/>
    <w:rsid w:val="00C11113"/>
    <w:rsid w:val="00C11687"/>
    <w:rsid w:val="00C11E28"/>
    <w:rsid w:val="00C11F66"/>
    <w:rsid w:val="00C1225B"/>
    <w:rsid w:val="00C122F9"/>
    <w:rsid w:val="00C1253A"/>
    <w:rsid w:val="00C128C9"/>
    <w:rsid w:val="00C12CF3"/>
    <w:rsid w:val="00C12F88"/>
    <w:rsid w:val="00C131A8"/>
    <w:rsid w:val="00C1322D"/>
    <w:rsid w:val="00C135A3"/>
    <w:rsid w:val="00C14149"/>
    <w:rsid w:val="00C1477A"/>
    <w:rsid w:val="00C14A62"/>
    <w:rsid w:val="00C158EB"/>
    <w:rsid w:val="00C159B1"/>
    <w:rsid w:val="00C15D51"/>
    <w:rsid w:val="00C161F5"/>
    <w:rsid w:val="00C16C92"/>
    <w:rsid w:val="00C16ED6"/>
    <w:rsid w:val="00C1706B"/>
    <w:rsid w:val="00C171D9"/>
    <w:rsid w:val="00C17D51"/>
    <w:rsid w:val="00C17DB7"/>
    <w:rsid w:val="00C17E48"/>
    <w:rsid w:val="00C17F0B"/>
    <w:rsid w:val="00C201E7"/>
    <w:rsid w:val="00C20506"/>
    <w:rsid w:val="00C20AA2"/>
    <w:rsid w:val="00C20B91"/>
    <w:rsid w:val="00C21155"/>
    <w:rsid w:val="00C2146C"/>
    <w:rsid w:val="00C214D7"/>
    <w:rsid w:val="00C21561"/>
    <w:rsid w:val="00C217EE"/>
    <w:rsid w:val="00C22641"/>
    <w:rsid w:val="00C22784"/>
    <w:rsid w:val="00C22FAA"/>
    <w:rsid w:val="00C23A4C"/>
    <w:rsid w:val="00C2419D"/>
    <w:rsid w:val="00C243A4"/>
    <w:rsid w:val="00C24416"/>
    <w:rsid w:val="00C248DB"/>
    <w:rsid w:val="00C26170"/>
    <w:rsid w:val="00C26B5A"/>
    <w:rsid w:val="00C26BB1"/>
    <w:rsid w:val="00C26D52"/>
    <w:rsid w:val="00C303E4"/>
    <w:rsid w:val="00C30775"/>
    <w:rsid w:val="00C30B8D"/>
    <w:rsid w:val="00C30DBE"/>
    <w:rsid w:val="00C3134E"/>
    <w:rsid w:val="00C315D8"/>
    <w:rsid w:val="00C31C4A"/>
    <w:rsid w:val="00C31D2D"/>
    <w:rsid w:val="00C3209A"/>
    <w:rsid w:val="00C32639"/>
    <w:rsid w:val="00C32808"/>
    <w:rsid w:val="00C32AD2"/>
    <w:rsid w:val="00C33114"/>
    <w:rsid w:val="00C3415E"/>
    <w:rsid w:val="00C34193"/>
    <w:rsid w:val="00C347FD"/>
    <w:rsid w:val="00C34DAE"/>
    <w:rsid w:val="00C34E1E"/>
    <w:rsid w:val="00C34E5A"/>
    <w:rsid w:val="00C34F46"/>
    <w:rsid w:val="00C35553"/>
    <w:rsid w:val="00C35D9C"/>
    <w:rsid w:val="00C36219"/>
    <w:rsid w:val="00C36656"/>
    <w:rsid w:val="00C3698E"/>
    <w:rsid w:val="00C36CCA"/>
    <w:rsid w:val="00C36E1C"/>
    <w:rsid w:val="00C36F42"/>
    <w:rsid w:val="00C3718A"/>
    <w:rsid w:val="00C379C5"/>
    <w:rsid w:val="00C37EEE"/>
    <w:rsid w:val="00C40453"/>
    <w:rsid w:val="00C404A7"/>
    <w:rsid w:val="00C40E71"/>
    <w:rsid w:val="00C4132F"/>
    <w:rsid w:val="00C41879"/>
    <w:rsid w:val="00C41A7C"/>
    <w:rsid w:val="00C41C3E"/>
    <w:rsid w:val="00C42CEF"/>
    <w:rsid w:val="00C42D55"/>
    <w:rsid w:val="00C43080"/>
    <w:rsid w:val="00C4370E"/>
    <w:rsid w:val="00C43823"/>
    <w:rsid w:val="00C4384B"/>
    <w:rsid w:val="00C4393C"/>
    <w:rsid w:val="00C43F2D"/>
    <w:rsid w:val="00C44068"/>
    <w:rsid w:val="00C442AE"/>
    <w:rsid w:val="00C44C2B"/>
    <w:rsid w:val="00C4518B"/>
    <w:rsid w:val="00C45780"/>
    <w:rsid w:val="00C458D6"/>
    <w:rsid w:val="00C45919"/>
    <w:rsid w:val="00C4655A"/>
    <w:rsid w:val="00C466BF"/>
    <w:rsid w:val="00C47385"/>
    <w:rsid w:val="00C47555"/>
    <w:rsid w:val="00C476AC"/>
    <w:rsid w:val="00C47E67"/>
    <w:rsid w:val="00C47FD9"/>
    <w:rsid w:val="00C50C1A"/>
    <w:rsid w:val="00C50E1E"/>
    <w:rsid w:val="00C51132"/>
    <w:rsid w:val="00C51508"/>
    <w:rsid w:val="00C51D73"/>
    <w:rsid w:val="00C52A05"/>
    <w:rsid w:val="00C52E97"/>
    <w:rsid w:val="00C52EAF"/>
    <w:rsid w:val="00C52FBA"/>
    <w:rsid w:val="00C53189"/>
    <w:rsid w:val="00C534E5"/>
    <w:rsid w:val="00C534F4"/>
    <w:rsid w:val="00C5375B"/>
    <w:rsid w:val="00C53AD3"/>
    <w:rsid w:val="00C53B15"/>
    <w:rsid w:val="00C53DA9"/>
    <w:rsid w:val="00C53EF7"/>
    <w:rsid w:val="00C54280"/>
    <w:rsid w:val="00C54929"/>
    <w:rsid w:val="00C550B6"/>
    <w:rsid w:val="00C556B1"/>
    <w:rsid w:val="00C55A05"/>
    <w:rsid w:val="00C55F8D"/>
    <w:rsid w:val="00C56101"/>
    <w:rsid w:val="00C565F2"/>
    <w:rsid w:val="00C567E3"/>
    <w:rsid w:val="00C56C45"/>
    <w:rsid w:val="00C573CC"/>
    <w:rsid w:val="00C57B81"/>
    <w:rsid w:val="00C57FB9"/>
    <w:rsid w:val="00C60373"/>
    <w:rsid w:val="00C6077B"/>
    <w:rsid w:val="00C60950"/>
    <w:rsid w:val="00C60DD1"/>
    <w:rsid w:val="00C61565"/>
    <w:rsid w:val="00C61574"/>
    <w:rsid w:val="00C615B4"/>
    <w:rsid w:val="00C6184A"/>
    <w:rsid w:val="00C61AC6"/>
    <w:rsid w:val="00C61ACF"/>
    <w:rsid w:val="00C6211D"/>
    <w:rsid w:val="00C62B32"/>
    <w:rsid w:val="00C63DED"/>
    <w:rsid w:val="00C63E88"/>
    <w:rsid w:val="00C6436D"/>
    <w:rsid w:val="00C64F97"/>
    <w:rsid w:val="00C65585"/>
    <w:rsid w:val="00C656EB"/>
    <w:rsid w:val="00C65DF4"/>
    <w:rsid w:val="00C667F0"/>
    <w:rsid w:val="00C66AC8"/>
    <w:rsid w:val="00C66D98"/>
    <w:rsid w:val="00C67842"/>
    <w:rsid w:val="00C67B49"/>
    <w:rsid w:val="00C711F5"/>
    <w:rsid w:val="00C713A1"/>
    <w:rsid w:val="00C71828"/>
    <w:rsid w:val="00C72105"/>
    <w:rsid w:val="00C74520"/>
    <w:rsid w:val="00C74954"/>
    <w:rsid w:val="00C75765"/>
    <w:rsid w:val="00C76028"/>
    <w:rsid w:val="00C76184"/>
    <w:rsid w:val="00C76462"/>
    <w:rsid w:val="00C7673D"/>
    <w:rsid w:val="00C76A80"/>
    <w:rsid w:val="00C76C27"/>
    <w:rsid w:val="00C76E09"/>
    <w:rsid w:val="00C76F07"/>
    <w:rsid w:val="00C77B55"/>
    <w:rsid w:val="00C77EF6"/>
    <w:rsid w:val="00C80B4B"/>
    <w:rsid w:val="00C80D63"/>
    <w:rsid w:val="00C80E85"/>
    <w:rsid w:val="00C8129D"/>
    <w:rsid w:val="00C812D5"/>
    <w:rsid w:val="00C81536"/>
    <w:rsid w:val="00C81BEA"/>
    <w:rsid w:val="00C81DF5"/>
    <w:rsid w:val="00C82188"/>
    <w:rsid w:val="00C8242B"/>
    <w:rsid w:val="00C82A50"/>
    <w:rsid w:val="00C83240"/>
    <w:rsid w:val="00C83381"/>
    <w:rsid w:val="00C83607"/>
    <w:rsid w:val="00C83768"/>
    <w:rsid w:val="00C83B18"/>
    <w:rsid w:val="00C840C3"/>
    <w:rsid w:val="00C841B4"/>
    <w:rsid w:val="00C84266"/>
    <w:rsid w:val="00C8466F"/>
    <w:rsid w:val="00C8489E"/>
    <w:rsid w:val="00C849E0"/>
    <w:rsid w:val="00C84B74"/>
    <w:rsid w:val="00C8512A"/>
    <w:rsid w:val="00C85378"/>
    <w:rsid w:val="00C85970"/>
    <w:rsid w:val="00C85E9B"/>
    <w:rsid w:val="00C874C8"/>
    <w:rsid w:val="00C90165"/>
    <w:rsid w:val="00C902DA"/>
    <w:rsid w:val="00C90733"/>
    <w:rsid w:val="00C921C4"/>
    <w:rsid w:val="00C9235F"/>
    <w:rsid w:val="00C9257F"/>
    <w:rsid w:val="00C9319C"/>
    <w:rsid w:val="00C9330C"/>
    <w:rsid w:val="00C934F6"/>
    <w:rsid w:val="00C93874"/>
    <w:rsid w:val="00C93A4C"/>
    <w:rsid w:val="00C944EB"/>
    <w:rsid w:val="00C94FD2"/>
    <w:rsid w:val="00C95341"/>
    <w:rsid w:val="00C95B76"/>
    <w:rsid w:val="00C964C3"/>
    <w:rsid w:val="00C964D6"/>
    <w:rsid w:val="00C96635"/>
    <w:rsid w:val="00C966B7"/>
    <w:rsid w:val="00C969DB"/>
    <w:rsid w:val="00C96A6E"/>
    <w:rsid w:val="00C97A4A"/>
    <w:rsid w:val="00C97B56"/>
    <w:rsid w:val="00C97DC9"/>
    <w:rsid w:val="00C97EE3"/>
    <w:rsid w:val="00CA042A"/>
    <w:rsid w:val="00CA12BA"/>
    <w:rsid w:val="00CA165C"/>
    <w:rsid w:val="00CA1C0D"/>
    <w:rsid w:val="00CA1DAE"/>
    <w:rsid w:val="00CA1E62"/>
    <w:rsid w:val="00CA2267"/>
    <w:rsid w:val="00CA38AD"/>
    <w:rsid w:val="00CA3EEE"/>
    <w:rsid w:val="00CA5098"/>
    <w:rsid w:val="00CA5503"/>
    <w:rsid w:val="00CA612D"/>
    <w:rsid w:val="00CA66C3"/>
    <w:rsid w:val="00CA6CAD"/>
    <w:rsid w:val="00CA70A8"/>
    <w:rsid w:val="00CA70D0"/>
    <w:rsid w:val="00CA74A4"/>
    <w:rsid w:val="00CA74BB"/>
    <w:rsid w:val="00CA7683"/>
    <w:rsid w:val="00CA77AE"/>
    <w:rsid w:val="00CA7EA1"/>
    <w:rsid w:val="00CA7EEB"/>
    <w:rsid w:val="00CB009B"/>
    <w:rsid w:val="00CB0231"/>
    <w:rsid w:val="00CB0838"/>
    <w:rsid w:val="00CB092E"/>
    <w:rsid w:val="00CB1AFD"/>
    <w:rsid w:val="00CB1EB3"/>
    <w:rsid w:val="00CB2126"/>
    <w:rsid w:val="00CB2308"/>
    <w:rsid w:val="00CB24AD"/>
    <w:rsid w:val="00CB2C59"/>
    <w:rsid w:val="00CB2D9C"/>
    <w:rsid w:val="00CB34AB"/>
    <w:rsid w:val="00CB3529"/>
    <w:rsid w:val="00CB38A9"/>
    <w:rsid w:val="00CB4728"/>
    <w:rsid w:val="00CB59E7"/>
    <w:rsid w:val="00CB5D27"/>
    <w:rsid w:val="00CB5E4A"/>
    <w:rsid w:val="00CB6FCA"/>
    <w:rsid w:val="00CB724D"/>
    <w:rsid w:val="00CB73EA"/>
    <w:rsid w:val="00CB76E3"/>
    <w:rsid w:val="00CB7D4E"/>
    <w:rsid w:val="00CB7F1F"/>
    <w:rsid w:val="00CC002B"/>
    <w:rsid w:val="00CC07E5"/>
    <w:rsid w:val="00CC09F0"/>
    <w:rsid w:val="00CC0C11"/>
    <w:rsid w:val="00CC1F52"/>
    <w:rsid w:val="00CC233F"/>
    <w:rsid w:val="00CC27FD"/>
    <w:rsid w:val="00CC29A4"/>
    <w:rsid w:val="00CC2B29"/>
    <w:rsid w:val="00CC31E8"/>
    <w:rsid w:val="00CC3AB9"/>
    <w:rsid w:val="00CC3C9E"/>
    <w:rsid w:val="00CC45E0"/>
    <w:rsid w:val="00CC4BBE"/>
    <w:rsid w:val="00CC4BC3"/>
    <w:rsid w:val="00CC50C7"/>
    <w:rsid w:val="00CC55AC"/>
    <w:rsid w:val="00CC5859"/>
    <w:rsid w:val="00CC66CB"/>
    <w:rsid w:val="00CC6D1C"/>
    <w:rsid w:val="00CC71DD"/>
    <w:rsid w:val="00CC71F3"/>
    <w:rsid w:val="00CC72C0"/>
    <w:rsid w:val="00CC757D"/>
    <w:rsid w:val="00CC782C"/>
    <w:rsid w:val="00CC7C74"/>
    <w:rsid w:val="00CD009C"/>
    <w:rsid w:val="00CD00DB"/>
    <w:rsid w:val="00CD0119"/>
    <w:rsid w:val="00CD07FD"/>
    <w:rsid w:val="00CD0866"/>
    <w:rsid w:val="00CD1169"/>
    <w:rsid w:val="00CD15F1"/>
    <w:rsid w:val="00CD16C7"/>
    <w:rsid w:val="00CD1A40"/>
    <w:rsid w:val="00CD1B33"/>
    <w:rsid w:val="00CD25F3"/>
    <w:rsid w:val="00CD27FF"/>
    <w:rsid w:val="00CD2875"/>
    <w:rsid w:val="00CD2DF3"/>
    <w:rsid w:val="00CD305C"/>
    <w:rsid w:val="00CD3A6D"/>
    <w:rsid w:val="00CD3E5A"/>
    <w:rsid w:val="00CD3E63"/>
    <w:rsid w:val="00CD40A3"/>
    <w:rsid w:val="00CD457E"/>
    <w:rsid w:val="00CD4CD3"/>
    <w:rsid w:val="00CD589F"/>
    <w:rsid w:val="00CD60C9"/>
    <w:rsid w:val="00CD6345"/>
    <w:rsid w:val="00CD6835"/>
    <w:rsid w:val="00CD6BBB"/>
    <w:rsid w:val="00CD6DF7"/>
    <w:rsid w:val="00CD7241"/>
    <w:rsid w:val="00CD7482"/>
    <w:rsid w:val="00CE0439"/>
    <w:rsid w:val="00CE05BD"/>
    <w:rsid w:val="00CE07C1"/>
    <w:rsid w:val="00CE1567"/>
    <w:rsid w:val="00CE1859"/>
    <w:rsid w:val="00CE186F"/>
    <w:rsid w:val="00CE20E3"/>
    <w:rsid w:val="00CE273A"/>
    <w:rsid w:val="00CE29F9"/>
    <w:rsid w:val="00CE321C"/>
    <w:rsid w:val="00CE32E8"/>
    <w:rsid w:val="00CE353C"/>
    <w:rsid w:val="00CE3700"/>
    <w:rsid w:val="00CE3B69"/>
    <w:rsid w:val="00CE4559"/>
    <w:rsid w:val="00CE4B49"/>
    <w:rsid w:val="00CE5118"/>
    <w:rsid w:val="00CE5487"/>
    <w:rsid w:val="00CE59B5"/>
    <w:rsid w:val="00CE59DB"/>
    <w:rsid w:val="00CE5D3A"/>
    <w:rsid w:val="00CE5E60"/>
    <w:rsid w:val="00CE67D8"/>
    <w:rsid w:val="00CE68EA"/>
    <w:rsid w:val="00CE7381"/>
    <w:rsid w:val="00CE7447"/>
    <w:rsid w:val="00CE74CE"/>
    <w:rsid w:val="00CE7510"/>
    <w:rsid w:val="00CF0829"/>
    <w:rsid w:val="00CF0E74"/>
    <w:rsid w:val="00CF1833"/>
    <w:rsid w:val="00CF1AEA"/>
    <w:rsid w:val="00CF2091"/>
    <w:rsid w:val="00CF21F6"/>
    <w:rsid w:val="00CF2278"/>
    <w:rsid w:val="00CF2C62"/>
    <w:rsid w:val="00CF2F66"/>
    <w:rsid w:val="00CF337B"/>
    <w:rsid w:val="00CF3576"/>
    <w:rsid w:val="00CF3FE7"/>
    <w:rsid w:val="00CF4416"/>
    <w:rsid w:val="00CF4D71"/>
    <w:rsid w:val="00CF5762"/>
    <w:rsid w:val="00CF65B4"/>
    <w:rsid w:val="00CF6806"/>
    <w:rsid w:val="00CF69B0"/>
    <w:rsid w:val="00CF6C05"/>
    <w:rsid w:val="00CF709F"/>
    <w:rsid w:val="00CF7485"/>
    <w:rsid w:val="00CF7E56"/>
    <w:rsid w:val="00D01744"/>
    <w:rsid w:val="00D01C03"/>
    <w:rsid w:val="00D025CE"/>
    <w:rsid w:val="00D026A3"/>
    <w:rsid w:val="00D02A0F"/>
    <w:rsid w:val="00D02CA6"/>
    <w:rsid w:val="00D02DF3"/>
    <w:rsid w:val="00D03181"/>
    <w:rsid w:val="00D037DC"/>
    <w:rsid w:val="00D0383B"/>
    <w:rsid w:val="00D03A8A"/>
    <w:rsid w:val="00D03DA5"/>
    <w:rsid w:val="00D03F27"/>
    <w:rsid w:val="00D043EE"/>
    <w:rsid w:val="00D0470D"/>
    <w:rsid w:val="00D05249"/>
    <w:rsid w:val="00D055CA"/>
    <w:rsid w:val="00D059FC"/>
    <w:rsid w:val="00D05DEF"/>
    <w:rsid w:val="00D06861"/>
    <w:rsid w:val="00D0688A"/>
    <w:rsid w:val="00D06F22"/>
    <w:rsid w:val="00D07A9C"/>
    <w:rsid w:val="00D07B44"/>
    <w:rsid w:val="00D10076"/>
    <w:rsid w:val="00D1033B"/>
    <w:rsid w:val="00D10477"/>
    <w:rsid w:val="00D107E2"/>
    <w:rsid w:val="00D11D76"/>
    <w:rsid w:val="00D121F5"/>
    <w:rsid w:val="00D126E4"/>
    <w:rsid w:val="00D131BF"/>
    <w:rsid w:val="00D13A90"/>
    <w:rsid w:val="00D140E6"/>
    <w:rsid w:val="00D14C7E"/>
    <w:rsid w:val="00D158EF"/>
    <w:rsid w:val="00D15C14"/>
    <w:rsid w:val="00D15E74"/>
    <w:rsid w:val="00D15FAA"/>
    <w:rsid w:val="00D16ECB"/>
    <w:rsid w:val="00D16EEE"/>
    <w:rsid w:val="00D17167"/>
    <w:rsid w:val="00D17BA5"/>
    <w:rsid w:val="00D2058D"/>
    <w:rsid w:val="00D2176E"/>
    <w:rsid w:val="00D2182A"/>
    <w:rsid w:val="00D218BC"/>
    <w:rsid w:val="00D2193D"/>
    <w:rsid w:val="00D22105"/>
    <w:rsid w:val="00D2211C"/>
    <w:rsid w:val="00D22B55"/>
    <w:rsid w:val="00D22C81"/>
    <w:rsid w:val="00D23055"/>
    <w:rsid w:val="00D230AD"/>
    <w:rsid w:val="00D2320E"/>
    <w:rsid w:val="00D2327A"/>
    <w:rsid w:val="00D251AB"/>
    <w:rsid w:val="00D25240"/>
    <w:rsid w:val="00D25AC6"/>
    <w:rsid w:val="00D25BF1"/>
    <w:rsid w:val="00D261D3"/>
    <w:rsid w:val="00D27086"/>
    <w:rsid w:val="00D319DF"/>
    <w:rsid w:val="00D31C02"/>
    <w:rsid w:val="00D3225E"/>
    <w:rsid w:val="00D324BC"/>
    <w:rsid w:val="00D32B9F"/>
    <w:rsid w:val="00D331A5"/>
    <w:rsid w:val="00D33565"/>
    <w:rsid w:val="00D33761"/>
    <w:rsid w:val="00D33762"/>
    <w:rsid w:val="00D34BD1"/>
    <w:rsid w:val="00D35177"/>
    <w:rsid w:val="00D3550F"/>
    <w:rsid w:val="00D356E1"/>
    <w:rsid w:val="00D40609"/>
    <w:rsid w:val="00D40983"/>
    <w:rsid w:val="00D40B3B"/>
    <w:rsid w:val="00D41188"/>
    <w:rsid w:val="00D417D3"/>
    <w:rsid w:val="00D418D5"/>
    <w:rsid w:val="00D41DB1"/>
    <w:rsid w:val="00D4276D"/>
    <w:rsid w:val="00D42798"/>
    <w:rsid w:val="00D42970"/>
    <w:rsid w:val="00D43468"/>
    <w:rsid w:val="00D437D1"/>
    <w:rsid w:val="00D43AED"/>
    <w:rsid w:val="00D44916"/>
    <w:rsid w:val="00D45AE4"/>
    <w:rsid w:val="00D45CA4"/>
    <w:rsid w:val="00D45EA7"/>
    <w:rsid w:val="00D45F22"/>
    <w:rsid w:val="00D47178"/>
    <w:rsid w:val="00D4752E"/>
    <w:rsid w:val="00D47842"/>
    <w:rsid w:val="00D47BEF"/>
    <w:rsid w:val="00D47D43"/>
    <w:rsid w:val="00D50826"/>
    <w:rsid w:val="00D51675"/>
    <w:rsid w:val="00D51F73"/>
    <w:rsid w:val="00D52827"/>
    <w:rsid w:val="00D529BE"/>
    <w:rsid w:val="00D52CF6"/>
    <w:rsid w:val="00D53430"/>
    <w:rsid w:val="00D53D3E"/>
    <w:rsid w:val="00D546B3"/>
    <w:rsid w:val="00D547E0"/>
    <w:rsid w:val="00D54992"/>
    <w:rsid w:val="00D55291"/>
    <w:rsid w:val="00D55C48"/>
    <w:rsid w:val="00D55E47"/>
    <w:rsid w:val="00D56392"/>
    <w:rsid w:val="00D56997"/>
    <w:rsid w:val="00D56BF7"/>
    <w:rsid w:val="00D570E6"/>
    <w:rsid w:val="00D5730F"/>
    <w:rsid w:val="00D57678"/>
    <w:rsid w:val="00D5774F"/>
    <w:rsid w:val="00D60809"/>
    <w:rsid w:val="00D60D7F"/>
    <w:rsid w:val="00D61066"/>
    <w:rsid w:val="00D61C9C"/>
    <w:rsid w:val="00D61E7B"/>
    <w:rsid w:val="00D62111"/>
    <w:rsid w:val="00D62229"/>
    <w:rsid w:val="00D625B8"/>
    <w:rsid w:val="00D626F8"/>
    <w:rsid w:val="00D636DC"/>
    <w:rsid w:val="00D63F4C"/>
    <w:rsid w:val="00D64613"/>
    <w:rsid w:val="00D64702"/>
    <w:rsid w:val="00D649DC"/>
    <w:rsid w:val="00D65A6A"/>
    <w:rsid w:val="00D66BFD"/>
    <w:rsid w:val="00D66C91"/>
    <w:rsid w:val="00D674EE"/>
    <w:rsid w:val="00D67535"/>
    <w:rsid w:val="00D67BC9"/>
    <w:rsid w:val="00D67DBC"/>
    <w:rsid w:val="00D704D9"/>
    <w:rsid w:val="00D70612"/>
    <w:rsid w:val="00D70934"/>
    <w:rsid w:val="00D70BD2"/>
    <w:rsid w:val="00D713F2"/>
    <w:rsid w:val="00D721B1"/>
    <w:rsid w:val="00D72705"/>
    <w:rsid w:val="00D72FF0"/>
    <w:rsid w:val="00D738BF"/>
    <w:rsid w:val="00D73B93"/>
    <w:rsid w:val="00D73C95"/>
    <w:rsid w:val="00D7400F"/>
    <w:rsid w:val="00D745C1"/>
    <w:rsid w:val="00D74784"/>
    <w:rsid w:val="00D756F6"/>
    <w:rsid w:val="00D75731"/>
    <w:rsid w:val="00D75B45"/>
    <w:rsid w:val="00D75B5C"/>
    <w:rsid w:val="00D75F8C"/>
    <w:rsid w:val="00D76050"/>
    <w:rsid w:val="00D76210"/>
    <w:rsid w:val="00D76309"/>
    <w:rsid w:val="00D76423"/>
    <w:rsid w:val="00D767BF"/>
    <w:rsid w:val="00D77278"/>
    <w:rsid w:val="00D772F9"/>
    <w:rsid w:val="00D775B5"/>
    <w:rsid w:val="00D77961"/>
    <w:rsid w:val="00D77A47"/>
    <w:rsid w:val="00D77B20"/>
    <w:rsid w:val="00D77B3B"/>
    <w:rsid w:val="00D8007C"/>
    <w:rsid w:val="00D8079F"/>
    <w:rsid w:val="00D8103B"/>
    <w:rsid w:val="00D8111B"/>
    <w:rsid w:val="00D81242"/>
    <w:rsid w:val="00D812D2"/>
    <w:rsid w:val="00D82C80"/>
    <w:rsid w:val="00D82D02"/>
    <w:rsid w:val="00D82D0F"/>
    <w:rsid w:val="00D83A5A"/>
    <w:rsid w:val="00D84157"/>
    <w:rsid w:val="00D84AB8"/>
    <w:rsid w:val="00D84BD7"/>
    <w:rsid w:val="00D84DCA"/>
    <w:rsid w:val="00D85114"/>
    <w:rsid w:val="00D857BC"/>
    <w:rsid w:val="00D85CC6"/>
    <w:rsid w:val="00D86A92"/>
    <w:rsid w:val="00D871B6"/>
    <w:rsid w:val="00D875E1"/>
    <w:rsid w:val="00D90275"/>
    <w:rsid w:val="00D902F5"/>
    <w:rsid w:val="00D9075D"/>
    <w:rsid w:val="00D90959"/>
    <w:rsid w:val="00D91410"/>
    <w:rsid w:val="00D91438"/>
    <w:rsid w:val="00D91594"/>
    <w:rsid w:val="00D91ABE"/>
    <w:rsid w:val="00D91DFB"/>
    <w:rsid w:val="00D921DA"/>
    <w:rsid w:val="00D92A4A"/>
    <w:rsid w:val="00D92C2F"/>
    <w:rsid w:val="00D92F7F"/>
    <w:rsid w:val="00D930AC"/>
    <w:rsid w:val="00D9459D"/>
    <w:rsid w:val="00D94730"/>
    <w:rsid w:val="00D94858"/>
    <w:rsid w:val="00D9487D"/>
    <w:rsid w:val="00D94972"/>
    <w:rsid w:val="00D954A1"/>
    <w:rsid w:val="00D95519"/>
    <w:rsid w:val="00D95744"/>
    <w:rsid w:val="00D958FC"/>
    <w:rsid w:val="00D959AE"/>
    <w:rsid w:val="00D95DC2"/>
    <w:rsid w:val="00D96678"/>
    <w:rsid w:val="00D9673A"/>
    <w:rsid w:val="00D96C73"/>
    <w:rsid w:val="00D96D46"/>
    <w:rsid w:val="00D97C27"/>
    <w:rsid w:val="00DA032C"/>
    <w:rsid w:val="00DA0526"/>
    <w:rsid w:val="00DA0639"/>
    <w:rsid w:val="00DA0B8C"/>
    <w:rsid w:val="00DA0CF7"/>
    <w:rsid w:val="00DA0E96"/>
    <w:rsid w:val="00DA1203"/>
    <w:rsid w:val="00DA14A0"/>
    <w:rsid w:val="00DA15AC"/>
    <w:rsid w:val="00DA18DA"/>
    <w:rsid w:val="00DA1F0C"/>
    <w:rsid w:val="00DA2B06"/>
    <w:rsid w:val="00DA2B20"/>
    <w:rsid w:val="00DA3565"/>
    <w:rsid w:val="00DA3A5B"/>
    <w:rsid w:val="00DA3D0B"/>
    <w:rsid w:val="00DA3F51"/>
    <w:rsid w:val="00DA45A0"/>
    <w:rsid w:val="00DA45DB"/>
    <w:rsid w:val="00DA48D9"/>
    <w:rsid w:val="00DA49F8"/>
    <w:rsid w:val="00DA4AAE"/>
    <w:rsid w:val="00DA5572"/>
    <w:rsid w:val="00DA5D5D"/>
    <w:rsid w:val="00DA651D"/>
    <w:rsid w:val="00DA6A15"/>
    <w:rsid w:val="00DA6B3A"/>
    <w:rsid w:val="00DA6CC2"/>
    <w:rsid w:val="00DA7029"/>
    <w:rsid w:val="00DA77A0"/>
    <w:rsid w:val="00DA7E8A"/>
    <w:rsid w:val="00DB09A2"/>
    <w:rsid w:val="00DB103D"/>
    <w:rsid w:val="00DB1448"/>
    <w:rsid w:val="00DB1907"/>
    <w:rsid w:val="00DB1998"/>
    <w:rsid w:val="00DB1FC4"/>
    <w:rsid w:val="00DB21F0"/>
    <w:rsid w:val="00DB2C5F"/>
    <w:rsid w:val="00DB3A58"/>
    <w:rsid w:val="00DB3BDF"/>
    <w:rsid w:val="00DB3C58"/>
    <w:rsid w:val="00DB3D46"/>
    <w:rsid w:val="00DB401C"/>
    <w:rsid w:val="00DB46C8"/>
    <w:rsid w:val="00DB4D0A"/>
    <w:rsid w:val="00DB52F0"/>
    <w:rsid w:val="00DB540E"/>
    <w:rsid w:val="00DB5A63"/>
    <w:rsid w:val="00DB5AC0"/>
    <w:rsid w:val="00DB6166"/>
    <w:rsid w:val="00DB6520"/>
    <w:rsid w:val="00DB656B"/>
    <w:rsid w:val="00DB6803"/>
    <w:rsid w:val="00DB691E"/>
    <w:rsid w:val="00DB6C99"/>
    <w:rsid w:val="00DB75A3"/>
    <w:rsid w:val="00DC02F5"/>
    <w:rsid w:val="00DC0574"/>
    <w:rsid w:val="00DC0C65"/>
    <w:rsid w:val="00DC10E5"/>
    <w:rsid w:val="00DC16BF"/>
    <w:rsid w:val="00DC16E1"/>
    <w:rsid w:val="00DC16FC"/>
    <w:rsid w:val="00DC1881"/>
    <w:rsid w:val="00DC1ED7"/>
    <w:rsid w:val="00DC294E"/>
    <w:rsid w:val="00DC3A6F"/>
    <w:rsid w:val="00DC3D1C"/>
    <w:rsid w:val="00DC43E1"/>
    <w:rsid w:val="00DC5199"/>
    <w:rsid w:val="00DC5A32"/>
    <w:rsid w:val="00DC5E4E"/>
    <w:rsid w:val="00DC651B"/>
    <w:rsid w:val="00DC662F"/>
    <w:rsid w:val="00DC6961"/>
    <w:rsid w:val="00DC6E78"/>
    <w:rsid w:val="00DC707F"/>
    <w:rsid w:val="00DC729A"/>
    <w:rsid w:val="00DC73B1"/>
    <w:rsid w:val="00DC7519"/>
    <w:rsid w:val="00DC7630"/>
    <w:rsid w:val="00DC7EB5"/>
    <w:rsid w:val="00DD04AC"/>
    <w:rsid w:val="00DD04DD"/>
    <w:rsid w:val="00DD0891"/>
    <w:rsid w:val="00DD0B35"/>
    <w:rsid w:val="00DD0C4D"/>
    <w:rsid w:val="00DD0F9F"/>
    <w:rsid w:val="00DD11A7"/>
    <w:rsid w:val="00DD1298"/>
    <w:rsid w:val="00DD2300"/>
    <w:rsid w:val="00DD2309"/>
    <w:rsid w:val="00DD28B3"/>
    <w:rsid w:val="00DD2DE3"/>
    <w:rsid w:val="00DD2DE8"/>
    <w:rsid w:val="00DD316F"/>
    <w:rsid w:val="00DD357C"/>
    <w:rsid w:val="00DD37CA"/>
    <w:rsid w:val="00DD3D55"/>
    <w:rsid w:val="00DD3DF7"/>
    <w:rsid w:val="00DD4AE2"/>
    <w:rsid w:val="00DD4BFA"/>
    <w:rsid w:val="00DD51F8"/>
    <w:rsid w:val="00DD6388"/>
    <w:rsid w:val="00DD6C53"/>
    <w:rsid w:val="00DD7198"/>
    <w:rsid w:val="00DD72C7"/>
    <w:rsid w:val="00DD7752"/>
    <w:rsid w:val="00DD7CB6"/>
    <w:rsid w:val="00DE0077"/>
    <w:rsid w:val="00DE0137"/>
    <w:rsid w:val="00DE01BA"/>
    <w:rsid w:val="00DE061F"/>
    <w:rsid w:val="00DE0DCF"/>
    <w:rsid w:val="00DE137B"/>
    <w:rsid w:val="00DE19D9"/>
    <w:rsid w:val="00DE1DC6"/>
    <w:rsid w:val="00DE1F77"/>
    <w:rsid w:val="00DE21C6"/>
    <w:rsid w:val="00DE22AA"/>
    <w:rsid w:val="00DE288F"/>
    <w:rsid w:val="00DE2C45"/>
    <w:rsid w:val="00DE2D49"/>
    <w:rsid w:val="00DE2ED5"/>
    <w:rsid w:val="00DE2F4E"/>
    <w:rsid w:val="00DE3A2F"/>
    <w:rsid w:val="00DE3E66"/>
    <w:rsid w:val="00DE3F75"/>
    <w:rsid w:val="00DE41FC"/>
    <w:rsid w:val="00DE45F5"/>
    <w:rsid w:val="00DE4AAD"/>
    <w:rsid w:val="00DE4C0C"/>
    <w:rsid w:val="00DE4FC8"/>
    <w:rsid w:val="00DE53B5"/>
    <w:rsid w:val="00DE5A50"/>
    <w:rsid w:val="00DE60C5"/>
    <w:rsid w:val="00DE7323"/>
    <w:rsid w:val="00DE75F0"/>
    <w:rsid w:val="00DE77CB"/>
    <w:rsid w:val="00DE7EBA"/>
    <w:rsid w:val="00DF04BD"/>
    <w:rsid w:val="00DF050A"/>
    <w:rsid w:val="00DF068D"/>
    <w:rsid w:val="00DF0D3A"/>
    <w:rsid w:val="00DF140A"/>
    <w:rsid w:val="00DF1A9A"/>
    <w:rsid w:val="00DF1C2D"/>
    <w:rsid w:val="00DF1F8A"/>
    <w:rsid w:val="00DF2209"/>
    <w:rsid w:val="00DF248E"/>
    <w:rsid w:val="00DF2715"/>
    <w:rsid w:val="00DF3577"/>
    <w:rsid w:val="00DF4063"/>
    <w:rsid w:val="00DF5F13"/>
    <w:rsid w:val="00DF63DD"/>
    <w:rsid w:val="00DF6B62"/>
    <w:rsid w:val="00DF7BD0"/>
    <w:rsid w:val="00DF7BDF"/>
    <w:rsid w:val="00E00303"/>
    <w:rsid w:val="00E00A62"/>
    <w:rsid w:val="00E010A0"/>
    <w:rsid w:val="00E0125E"/>
    <w:rsid w:val="00E01668"/>
    <w:rsid w:val="00E0173A"/>
    <w:rsid w:val="00E01849"/>
    <w:rsid w:val="00E020D1"/>
    <w:rsid w:val="00E02B64"/>
    <w:rsid w:val="00E02EAD"/>
    <w:rsid w:val="00E03453"/>
    <w:rsid w:val="00E03D3F"/>
    <w:rsid w:val="00E03DED"/>
    <w:rsid w:val="00E0437C"/>
    <w:rsid w:val="00E0452C"/>
    <w:rsid w:val="00E04D61"/>
    <w:rsid w:val="00E0504C"/>
    <w:rsid w:val="00E05074"/>
    <w:rsid w:val="00E050C6"/>
    <w:rsid w:val="00E052DA"/>
    <w:rsid w:val="00E05489"/>
    <w:rsid w:val="00E05741"/>
    <w:rsid w:val="00E05F7F"/>
    <w:rsid w:val="00E06549"/>
    <w:rsid w:val="00E06930"/>
    <w:rsid w:val="00E06971"/>
    <w:rsid w:val="00E07D90"/>
    <w:rsid w:val="00E105B3"/>
    <w:rsid w:val="00E10846"/>
    <w:rsid w:val="00E10883"/>
    <w:rsid w:val="00E108F4"/>
    <w:rsid w:val="00E10D4E"/>
    <w:rsid w:val="00E1100C"/>
    <w:rsid w:val="00E11489"/>
    <w:rsid w:val="00E11711"/>
    <w:rsid w:val="00E11E63"/>
    <w:rsid w:val="00E11F94"/>
    <w:rsid w:val="00E12696"/>
    <w:rsid w:val="00E1310D"/>
    <w:rsid w:val="00E13359"/>
    <w:rsid w:val="00E138BF"/>
    <w:rsid w:val="00E14EFA"/>
    <w:rsid w:val="00E151B9"/>
    <w:rsid w:val="00E158C4"/>
    <w:rsid w:val="00E15CC4"/>
    <w:rsid w:val="00E15FE6"/>
    <w:rsid w:val="00E161E6"/>
    <w:rsid w:val="00E16486"/>
    <w:rsid w:val="00E167C9"/>
    <w:rsid w:val="00E1698C"/>
    <w:rsid w:val="00E16BDB"/>
    <w:rsid w:val="00E172BE"/>
    <w:rsid w:val="00E17CF7"/>
    <w:rsid w:val="00E205D6"/>
    <w:rsid w:val="00E209AB"/>
    <w:rsid w:val="00E216EC"/>
    <w:rsid w:val="00E2189A"/>
    <w:rsid w:val="00E21A60"/>
    <w:rsid w:val="00E22B5A"/>
    <w:rsid w:val="00E22B68"/>
    <w:rsid w:val="00E231C9"/>
    <w:rsid w:val="00E23EBF"/>
    <w:rsid w:val="00E23FD5"/>
    <w:rsid w:val="00E24669"/>
    <w:rsid w:val="00E24A70"/>
    <w:rsid w:val="00E24C48"/>
    <w:rsid w:val="00E24EE4"/>
    <w:rsid w:val="00E25981"/>
    <w:rsid w:val="00E25D53"/>
    <w:rsid w:val="00E26056"/>
    <w:rsid w:val="00E26141"/>
    <w:rsid w:val="00E266F5"/>
    <w:rsid w:val="00E2673E"/>
    <w:rsid w:val="00E270D3"/>
    <w:rsid w:val="00E27FC7"/>
    <w:rsid w:val="00E3050B"/>
    <w:rsid w:val="00E30626"/>
    <w:rsid w:val="00E30700"/>
    <w:rsid w:val="00E31115"/>
    <w:rsid w:val="00E31360"/>
    <w:rsid w:val="00E317BC"/>
    <w:rsid w:val="00E31D28"/>
    <w:rsid w:val="00E32425"/>
    <w:rsid w:val="00E3252C"/>
    <w:rsid w:val="00E325FF"/>
    <w:rsid w:val="00E32CB8"/>
    <w:rsid w:val="00E32F67"/>
    <w:rsid w:val="00E3440F"/>
    <w:rsid w:val="00E34F3A"/>
    <w:rsid w:val="00E35F99"/>
    <w:rsid w:val="00E35F9A"/>
    <w:rsid w:val="00E3637F"/>
    <w:rsid w:val="00E364B6"/>
    <w:rsid w:val="00E36723"/>
    <w:rsid w:val="00E3713C"/>
    <w:rsid w:val="00E3767B"/>
    <w:rsid w:val="00E37E1C"/>
    <w:rsid w:val="00E40079"/>
    <w:rsid w:val="00E40126"/>
    <w:rsid w:val="00E4013B"/>
    <w:rsid w:val="00E40C85"/>
    <w:rsid w:val="00E40CBF"/>
    <w:rsid w:val="00E40E7D"/>
    <w:rsid w:val="00E40EE4"/>
    <w:rsid w:val="00E413C6"/>
    <w:rsid w:val="00E420D5"/>
    <w:rsid w:val="00E42517"/>
    <w:rsid w:val="00E42948"/>
    <w:rsid w:val="00E42D55"/>
    <w:rsid w:val="00E42FFE"/>
    <w:rsid w:val="00E4316E"/>
    <w:rsid w:val="00E435AB"/>
    <w:rsid w:val="00E44275"/>
    <w:rsid w:val="00E44705"/>
    <w:rsid w:val="00E44777"/>
    <w:rsid w:val="00E44F67"/>
    <w:rsid w:val="00E4535F"/>
    <w:rsid w:val="00E455E3"/>
    <w:rsid w:val="00E466BC"/>
    <w:rsid w:val="00E4686A"/>
    <w:rsid w:val="00E479FD"/>
    <w:rsid w:val="00E47A76"/>
    <w:rsid w:val="00E504D6"/>
    <w:rsid w:val="00E50B6F"/>
    <w:rsid w:val="00E50EBE"/>
    <w:rsid w:val="00E50F69"/>
    <w:rsid w:val="00E50FC6"/>
    <w:rsid w:val="00E52372"/>
    <w:rsid w:val="00E5272D"/>
    <w:rsid w:val="00E52786"/>
    <w:rsid w:val="00E52F05"/>
    <w:rsid w:val="00E540CA"/>
    <w:rsid w:val="00E54C83"/>
    <w:rsid w:val="00E55460"/>
    <w:rsid w:val="00E55B28"/>
    <w:rsid w:val="00E56D4A"/>
    <w:rsid w:val="00E57119"/>
    <w:rsid w:val="00E5719E"/>
    <w:rsid w:val="00E57D7B"/>
    <w:rsid w:val="00E57F4B"/>
    <w:rsid w:val="00E602E5"/>
    <w:rsid w:val="00E602F8"/>
    <w:rsid w:val="00E60465"/>
    <w:rsid w:val="00E6085B"/>
    <w:rsid w:val="00E60FBA"/>
    <w:rsid w:val="00E60FBF"/>
    <w:rsid w:val="00E611AE"/>
    <w:rsid w:val="00E616F9"/>
    <w:rsid w:val="00E61852"/>
    <w:rsid w:val="00E61A0C"/>
    <w:rsid w:val="00E61D22"/>
    <w:rsid w:val="00E61D96"/>
    <w:rsid w:val="00E61E4B"/>
    <w:rsid w:val="00E61E57"/>
    <w:rsid w:val="00E62F6E"/>
    <w:rsid w:val="00E63DA2"/>
    <w:rsid w:val="00E641E8"/>
    <w:rsid w:val="00E642AF"/>
    <w:rsid w:val="00E644C6"/>
    <w:rsid w:val="00E64555"/>
    <w:rsid w:val="00E64595"/>
    <w:rsid w:val="00E646BB"/>
    <w:rsid w:val="00E64B83"/>
    <w:rsid w:val="00E64D24"/>
    <w:rsid w:val="00E64FAF"/>
    <w:rsid w:val="00E653A6"/>
    <w:rsid w:val="00E6549C"/>
    <w:rsid w:val="00E654B9"/>
    <w:rsid w:val="00E6589D"/>
    <w:rsid w:val="00E65E8C"/>
    <w:rsid w:val="00E665E7"/>
    <w:rsid w:val="00E6661C"/>
    <w:rsid w:val="00E6694C"/>
    <w:rsid w:val="00E66C96"/>
    <w:rsid w:val="00E70130"/>
    <w:rsid w:val="00E706DE"/>
    <w:rsid w:val="00E71063"/>
    <w:rsid w:val="00E715FC"/>
    <w:rsid w:val="00E71A45"/>
    <w:rsid w:val="00E71C21"/>
    <w:rsid w:val="00E72F23"/>
    <w:rsid w:val="00E730FC"/>
    <w:rsid w:val="00E73481"/>
    <w:rsid w:val="00E7385A"/>
    <w:rsid w:val="00E7391F"/>
    <w:rsid w:val="00E73CE6"/>
    <w:rsid w:val="00E745BD"/>
    <w:rsid w:val="00E74780"/>
    <w:rsid w:val="00E74956"/>
    <w:rsid w:val="00E752F7"/>
    <w:rsid w:val="00E75848"/>
    <w:rsid w:val="00E759D4"/>
    <w:rsid w:val="00E76A3C"/>
    <w:rsid w:val="00E76F9B"/>
    <w:rsid w:val="00E771FC"/>
    <w:rsid w:val="00E77392"/>
    <w:rsid w:val="00E773E5"/>
    <w:rsid w:val="00E77BDD"/>
    <w:rsid w:val="00E806D3"/>
    <w:rsid w:val="00E8104D"/>
    <w:rsid w:val="00E81C34"/>
    <w:rsid w:val="00E81D83"/>
    <w:rsid w:val="00E81D89"/>
    <w:rsid w:val="00E821BB"/>
    <w:rsid w:val="00E822E9"/>
    <w:rsid w:val="00E826FE"/>
    <w:rsid w:val="00E8275E"/>
    <w:rsid w:val="00E827AF"/>
    <w:rsid w:val="00E82DE9"/>
    <w:rsid w:val="00E83253"/>
    <w:rsid w:val="00E83714"/>
    <w:rsid w:val="00E83831"/>
    <w:rsid w:val="00E844AB"/>
    <w:rsid w:val="00E84C97"/>
    <w:rsid w:val="00E85005"/>
    <w:rsid w:val="00E85296"/>
    <w:rsid w:val="00E8533B"/>
    <w:rsid w:val="00E85E4E"/>
    <w:rsid w:val="00E86327"/>
    <w:rsid w:val="00E86DF0"/>
    <w:rsid w:val="00E87BD2"/>
    <w:rsid w:val="00E87CDC"/>
    <w:rsid w:val="00E90B33"/>
    <w:rsid w:val="00E90C7C"/>
    <w:rsid w:val="00E910E4"/>
    <w:rsid w:val="00E911E0"/>
    <w:rsid w:val="00E92115"/>
    <w:rsid w:val="00E93407"/>
    <w:rsid w:val="00E940A8"/>
    <w:rsid w:val="00E94307"/>
    <w:rsid w:val="00E947E8"/>
    <w:rsid w:val="00E94B0F"/>
    <w:rsid w:val="00E9503F"/>
    <w:rsid w:val="00E956F3"/>
    <w:rsid w:val="00E95AA7"/>
    <w:rsid w:val="00E96E68"/>
    <w:rsid w:val="00E97013"/>
    <w:rsid w:val="00E9729E"/>
    <w:rsid w:val="00E97EA1"/>
    <w:rsid w:val="00EA0BBE"/>
    <w:rsid w:val="00EA18B9"/>
    <w:rsid w:val="00EA1FBC"/>
    <w:rsid w:val="00EA20A1"/>
    <w:rsid w:val="00EA212B"/>
    <w:rsid w:val="00EA24B5"/>
    <w:rsid w:val="00EA2AAA"/>
    <w:rsid w:val="00EA2D44"/>
    <w:rsid w:val="00EA3A1D"/>
    <w:rsid w:val="00EA3CD7"/>
    <w:rsid w:val="00EA3E2D"/>
    <w:rsid w:val="00EA4010"/>
    <w:rsid w:val="00EA429D"/>
    <w:rsid w:val="00EA43AF"/>
    <w:rsid w:val="00EA4523"/>
    <w:rsid w:val="00EA4676"/>
    <w:rsid w:val="00EA47FB"/>
    <w:rsid w:val="00EA4C7C"/>
    <w:rsid w:val="00EA4D4C"/>
    <w:rsid w:val="00EA4E68"/>
    <w:rsid w:val="00EA554F"/>
    <w:rsid w:val="00EA6250"/>
    <w:rsid w:val="00EA66A4"/>
    <w:rsid w:val="00EA6819"/>
    <w:rsid w:val="00EA6A1E"/>
    <w:rsid w:val="00EA6CAC"/>
    <w:rsid w:val="00EA6E16"/>
    <w:rsid w:val="00EA75BD"/>
    <w:rsid w:val="00EA7A52"/>
    <w:rsid w:val="00EA7C47"/>
    <w:rsid w:val="00EB0F0F"/>
    <w:rsid w:val="00EB12A5"/>
    <w:rsid w:val="00EB1DA6"/>
    <w:rsid w:val="00EB24D8"/>
    <w:rsid w:val="00EB277B"/>
    <w:rsid w:val="00EB2F20"/>
    <w:rsid w:val="00EB2F35"/>
    <w:rsid w:val="00EB31DB"/>
    <w:rsid w:val="00EB3422"/>
    <w:rsid w:val="00EB3A31"/>
    <w:rsid w:val="00EB4EAF"/>
    <w:rsid w:val="00EB548E"/>
    <w:rsid w:val="00EB5C41"/>
    <w:rsid w:val="00EB5F5A"/>
    <w:rsid w:val="00EB656C"/>
    <w:rsid w:val="00EB657E"/>
    <w:rsid w:val="00EB695E"/>
    <w:rsid w:val="00EB69D1"/>
    <w:rsid w:val="00EB69D4"/>
    <w:rsid w:val="00EB6FE9"/>
    <w:rsid w:val="00EB72FF"/>
    <w:rsid w:val="00EB756F"/>
    <w:rsid w:val="00EB79C8"/>
    <w:rsid w:val="00EB7E3F"/>
    <w:rsid w:val="00EB7E78"/>
    <w:rsid w:val="00EC0301"/>
    <w:rsid w:val="00EC08B5"/>
    <w:rsid w:val="00EC09C6"/>
    <w:rsid w:val="00EC0D5B"/>
    <w:rsid w:val="00EC0EA5"/>
    <w:rsid w:val="00EC1056"/>
    <w:rsid w:val="00EC1470"/>
    <w:rsid w:val="00EC1646"/>
    <w:rsid w:val="00EC20AA"/>
    <w:rsid w:val="00EC222E"/>
    <w:rsid w:val="00EC2716"/>
    <w:rsid w:val="00EC2DBB"/>
    <w:rsid w:val="00EC358E"/>
    <w:rsid w:val="00EC3FD2"/>
    <w:rsid w:val="00EC4095"/>
    <w:rsid w:val="00EC43B5"/>
    <w:rsid w:val="00EC4537"/>
    <w:rsid w:val="00EC4960"/>
    <w:rsid w:val="00EC4AE3"/>
    <w:rsid w:val="00EC5414"/>
    <w:rsid w:val="00EC54EE"/>
    <w:rsid w:val="00EC59B2"/>
    <w:rsid w:val="00EC5A3B"/>
    <w:rsid w:val="00EC6424"/>
    <w:rsid w:val="00EC786C"/>
    <w:rsid w:val="00EC7ADD"/>
    <w:rsid w:val="00EC7C26"/>
    <w:rsid w:val="00ED04FE"/>
    <w:rsid w:val="00ED0DD0"/>
    <w:rsid w:val="00ED1122"/>
    <w:rsid w:val="00ED1989"/>
    <w:rsid w:val="00ED28F2"/>
    <w:rsid w:val="00ED2F3E"/>
    <w:rsid w:val="00ED3145"/>
    <w:rsid w:val="00ED3309"/>
    <w:rsid w:val="00ED33DE"/>
    <w:rsid w:val="00ED356E"/>
    <w:rsid w:val="00ED3792"/>
    <w:rsid w:val="00ED3BDA"/>
    <w:rsid w:val="00ED5A3B"/>
    <w:rsid w:val="00ED5C30"/>
    <w:rsid w:val="00ED5D3A"/>
    <w:rsid w:val="00ED5E02"/>
    <w:rsid w:val="00ED5EED"/>
    <w:rsid w:val="00ED612A"/>
    <w:rsid w:val="00ED6B1C"/>
    <w:rsid w:val="00ED6CF7"/>
    <w:rsid w:val="00ED6F33"/>
    <w:rsid w:val="00ED70A5"/>
    <w:rsid w:val="00ED7716"/>
    <w:rsid w:val="00ED7737"/>
    <w:rsid w:val="00ED7747"/>
    <w:rsid w:val="00ED7CF4"/>
    <w:rsid w:val="00ED7FA2"/>
    <w:rsid w:val="00EE0786"/>
    <w:rsid w:val="00EE0DA5"/>
    <w:rsid w:val="00EE1B0E"/>
    <w:rsid w:val="00EE22FB"/>
    <w:rsid w:val="00EE2407"/>
    <w:rsid w:val="00EE26AE"/>
    <w:rsid w:val="00EE29C8"/>
    <w:rsid w:val="00EE2A54"/>
    <w:rsid w:val="00EE2FC2"/>
    <w:rsid w:val="00EE3B6B"/>
    <w:rsid w:val="00EE3B88"/>
    <w:rsid w:val="00EE4B75"/>
    <w:rsid w:val="00EE4D34"/>
    <w:rsid w:val="00EE4DBD"/>
    <w:rsid w:val="00EE4F4C"/>
    <w:rsid w:val="00EE6AC6"/>
    <w:rsid w:val="00EE6E26"/>
    <w:rsid w:val="00EE703A"/>
    <w:rsid w:val="00EE784F"/>
    <w:rsid w:val="00EE7A1D"/>
    <w:rsid w:val="00EE7DBD"/>
    <w:rsid w:val="00EF0500"/>
    <w:rsid w:val="00EF0808"/>
    <w:rsid w:val="00EF1002"/>
    <w:rsid w:val="00EF143F"/>
    <w:rsid w:val="00EF1D3B"/>
    <w:rsid w:val="00EF1D77"/>
    <w:rsid w:val="00EF23D8"/>
    <w:rsid w:val="00EF2A5A"/>
    <w:rsid w:val="00EF2A87"/>
    <w:rsid w:val="00EF3A74"/>
    <w:rsid w:val="00EF3AE9"/>
    <w:rsid w:val="00EF3EA5"/>
    <w:rsid w:val="00EF49FB"/>
    <w:rsid w:val="00EF55D6"/>
    <w:rsid w:val="00EF644D"/>
    <w:rsid w:val="00EF6BAD"/>
    <w:rsid w:val="00EF6D29"/>
    <w:rsid w:val="00EF6E79"/>
    <w:rsid w:val="00EF7138"/>
    <w:rsid w:val="00EF7E0B"/>
    <w:rsid w:val="00F00881"/>
    <w:rsid w:val="00F00917"/>
    <w:rsid w:val="00F00B65"/>
    <w:rsid w:val="00F00B9C"/>
    <w:rsid w:val="00F010BB"/>
    <w:rsid w:val="00F012C1"/>
    <w:rsid w:val="00F0175F"/>
    <w:rsid w:val="00F01A41"/>
    <w:rsid w:val="00F03280"/>
    <w:rsid w:val="00F0362A"/>
    <w:rsid w:val="00F0385C"/>
    <w:rsid w:val="00F03ABE"/>
    <w:rsid w:val="00F03B69"/>
    <w:rsid w:val="00F04345"/>
    <w:rsid w:val="00F047A4"/>
    <w:rsid w:val="00F04F52"/>
    <w:rsid w:val="00F0510F"/>
    <w:rsid w:val="00F0563F"/>
    <w:rsid w:val="00F05973"/>
    <w:rsid w:val="00F064EF"/>
    <w:rsid w:val="00F06558"/>
    <w:rsid w:val="00F06F42"/>
    <w:rsid w:val="00F07122"/>
    <w:rsid w:val="00F074C9"/>
    <w:rsid w:val="00F07588"/>
    <w:rsid w:val="00F07C82"/>
    <w:rsid w:val="00F07F5E"/>
    <w:rsid w:val="00F1001E"/>
    <w:rsid w:val="00F1055F"/>
    <w:rsid w:val="00F106BB"/>
    <w:rsid w:val="00F10BA6"/>
    <w:rsid w:val="00F11027"/>
    <w:rsid w:val="00F111BA"/>
    <w:rsid w:val="00F1155D"/>
    <w:rsid w:val="00F116DD"/>
    <w:rsid w:val="00F11D9F"/>
    <w:rsid w:val="00F11E31"/>
    <w:rsid w:val="00F12C53"/>
    <w:rsid w:val="00F1360C"/>
    <w:rsid w:val="00F13AA1"/>
    <w:rsid w:val="00F13F2A"/>
    <w:rsid w:val="00F14D9E"/>
    <w:rsid w:val="00F15097"/>
    <w:rsid w:val="00F152D4"/>
    <w:rsid w:val="00F153F8"/>
    <w:rsid w:val="00F15671"/>
    <w:rsid w:val="00F1643E"/>
    <w:rsid w:val="00F16695"/>
    <w:rsid w:val="00F17159"/>
    <w:rsid w:val="00F1733F"/>
    <w:rsid w:val="00F202E3"/>
    <w:rsid w:val="00F20C6E"/>
    <w:rsid w:val="00F20D6C"/>
    <w:rsid w:val="00F20F03"/>
    <w:rsid w:val="00F2255F"/>
    <w:rsid w:val="00F225CF"/>
    <w:rsid w:val="00F22882"/>
    <w:rsid w:val="00F22985"/>
    <w:rsid w:val="00F22AEF"/>
    <w:rsid w:val="00F22F7A"/>
    <w:rsid w:val="00F233C8"/>
    <w:rsid w:val="00F2343C"/>
    <w:rsid w:val="00F23CFC"/>
    <w:rsid w:val="00F24076"/>
    <w:rsid w:val="00F240CB"/>
    <w:rsid w:val="00F2492F"/>
    <w:rsid w:val="00F2500D"/>
    <w:rsid w:val="00F251B2"/>
    <w:rsid w:val="00F25939"/>
    <w:rsid w:val="00F2596D"/>
    <w:rsid w:val="00F25CAA"/>
    <w:rsid w:val="00F26AD6"/>
    <w:rsid w:val="00F2711C"/>
    <w:rsid w:val="00F2720E"/>
    <w:rsid w:val="00F27253"/>
    <w:rsid w:val="00F277E8"/>
    <w:rsid w:val="00F27B04"/>
    <w:rsid w:val="00F27E3D"/>
    <w:rsid w:val="00F27EB2"/>
    <w:rsid w:val="00F301D0"/>
    <w:rsid w:val="00F3069F"/>
    <w:rsid w:val="00F30A02"/>
    <w:rsid w:val="00F30C3F"/>
    <w:rsid w:val="00F30C60"/>
    <w:rsid w:val="00F30F38"/>
    <w:rsid w:val="00F311D1"/>
    <w:rsid w:val="00F3158A"/>
    <w:rsid w:val="00F318DB"/>
    <w:rsid w:val="00F3199C"/>
    <w:rsid w:val="00F31F7D"/>
    <w:rsid w:val="00F31FB9"/>
    <w:rsid w:val="00F32087"/>
    <w:rsid w:val="00F326F6"/>
    <w:rsid w:val="00F32AFF"/>
    <w:rsid w:val="00F32D67"/>
    <w:rsid w:val="00F33825"/>
    <w:rsid w:val="00F33A8B"/>
    <w:rsid w:val="00F33D3B"/>
    <w:rsid w:val="00F34A96"/>
    <w:rsid w:val="00F34EBF"/>
    <w:rsid w:val="00F34F05"/>
    <w:rsid w:val="00F356D5"/>
    <w:rsid w:val="00F359A5"/>
    <w:rsid w:val="00F361AE"/>
    <w:rsid w:val="00F36240"/>
    <w:rsid w:val="00F363EB"/>
    <w:rsid w:val="00F365DE"/>
    <w:rsid w:val="00F366DA"/>
    <w:rsid w:val="00F367CF"/>
    <w:rsid w:val="00F36D37"/>
    <w:rsid w:val="00F3719A"/>
    <w:rsid w:val="00F379BF"/>
    <w:rsid w:val="00F37EA7"/>
    <w:rsid w:val="00F40805"/>
    <w:rsid w:val="00F40B93"/>
    <w:rsid w:val="00F40C5E"/>
    <w:rsid w:val="00F40E3E"/>
    <w:rsid w:val="00F4163A"/>
    <w:rsid w:val="00F41873"/>
    <w:rsid w:val="00F419C3"/>
    <w:rsid w:val="00F41D91"/>
    <w:rsid w:val="00F41E2B"/>
    <w:rsid w:val="00F423BE"/>
    <w:rsid w:val="00F424A5"/>
    <w:rsid w:val="00F425EF"/>
    <w:rsid w:val="00F428AC"/>
    <w:rsid w:val="00F42AAD"/>
    <w:rsid w:val="00F42EE3"/>
    <w:rsid w:val="00F43149"/>
    <w:rsid w:val="00F43660"/>
    <w:rsid w:val="00F43B91"/>
    <w:rsid w:val="00F44542"/>
    <w:rsid w:val="00F448DD"/>
    <w:rsid w:val="00F44D6A"/>
    <w:rsid w:val="00F44DB8"/>
    <w:rsid w:val="00F45760"/>
    <w:rsid w:val="00F45925"/>
    <w:rsid w:val="00F4618D"/>
    <w:rsid w:val="00F46BA6"/>
    <w:rsid w:val="00F46C97"/>
    <w:rsid w:val="00F4703E"/>
    <w:rsid w:val="00F4775F"/>
    <w:rsid w:val="00F50781"/>
    <w:rsid w:val="00F50CA3"/>
    <w:rsid w:val="00F517ED"/>
    <w:rsid w:val="00F51F3F"/>
    <w:rsid w:val="00F528B5"/>
    <w:rsid w:val="00F528E7"/>
    <w:rsid w:val="00F52C8A"/>
    <w:rsid w:val="00F5352D"/>
    <w:rsid w:val="00F53615"/>
    <w:rsid w:val="00F53A91"/>
    <w:rsid w:val="00F54004"/>
    <w:rsid w:val="00F54466"/>
    <w:rsid w:val="00F54783"/>
    <w:rsid w:val="00F547E9"/>
    <w:rsid w:val="00F5494E"/>
    <w:rsid w:val="00F54ABE"/>
    <w:rsid w:val="00F55804"/>
    <w:rsid w:val="00F559A2"/>
    <w:rsid w:val="00F55F1A"/>
    <w:rsid w:val="00F56310"/>
    <w:rsid w:val="00F5684C"/>
    <w:rsid w:val="00F57210"/>
    <w:rsid w:val="00F577FC"/>
    <w:rsid w:val="00F602F0"/>
    <w:rsid w:val="00F60C90"/>
    <w:rsid w:val="00F619EE"/>
    <w:rsid w:val="00F61CF5"/>
    <w:rsid w:val="00F61FF9"/>
    <w:rsid w:val="00F62069"/>
    <w:rsid w:val="00F62159"/>
    <w:rsid w:val="00F62A7C"/>
    <w:rsid w:val="00F62B93"/>
    <w:rsid w:val="00F633E5"/>
    <w:rsid w:val="00F63C89"/>
    <w:rsid w:val="00F647EC"/>
    <w:rsid w:val="00F64FAB"/>
    <w:rsid w:val="00F65AC8"/>
    <w:rsid w:val="00F65CEA"/>
    <w:rsid w:val="00F65F15"/>
    <w:rsid w:val="00F66443"/>
    <w:rsid w:val="00F675EA"/>
    <w:rsid w:val="00F7073B"/>
    <w:rsid w:val="00F7074A"/>
    <w:rsid w:val="00F7086A"/>
    <w:rsid w:val="00F70AD6"/>
    <w:rsid w:val="00F70EE8"/>
    <w:rsid w:val="00F71687"/>
    <w:rsid w:val="00F71708"/>
    <w:rsid w:val="00F717C1"/>
    <w:rsid w:val="00F71AAE"/>
    <w:rsid w:val="00F71CDB"/>
    <w:rsid w:val="00F720CC"/>
    <w:rsid w:val="00F725D3"/>
    <w:rsid w:val="00F7281E"/>
    <w:rsid w:val="00F72C1A"/>
    <w:rsid w:val="00F72C3D"/>
    <w:rsid w:val="00F737AB"/>
    <w:rsid w:val="00F74216"/>
    <w:rsid w:val="00F74BB1"/>
    <w:rsid w:val="00F74F0F"/>
    <w:rsid w:val="00F75731"/>
    <w:rsid w:val="00F75841"/>
    <w:rsid w:val="00F76333"/>
    <w:rsid w:val="00F770C6"/>
    <w:rsid w:val="00F77100"/>
    <w:rsid w:val="00F8090F"/>
    <w:rsid w:val="00F80A8A"/>
    <w:rsid w:val="00F8139A"/>
    <w:rsid w:val="00F82AAE"/>
    <w:rsid w:val="00F834BE"/>
    <w:rsid w:val="00F838A9"/>
    <w:rsid w:val="00F849E3"/>
    <w:rsid w:val="00F84B4E"/>
    <w:rsid w:val="00F84C44"/>
    <w:rsid w:val="00F84F30"/>
    <w:rsid w:val="00F851B7"/>
    <w:rsid w:val="00F8566C"/>
    <w:rsid w:val="00F858D4"/>
    <w:rsid w:val="00F85C65"/>
    <w:rsid w:val="00F860EB"/>
    <w:rsid w:val="00F868B6"/>
    <w:rsid w:val="00F86968"/>
    <w:rsid w:val="00F86E42"/>
    <w:rsid w:val="00F876E6"/>
    <w:rsid w:val="00F87825"/>
    <w:rsid w:val="00F87838"/>
    <w:rsid w:val="00F879E8"/>
    <w:rsid w:val="00F87FCE"/>
    <w:rsid w:val="00F9008B"/>
    <w:rsid w:val="00F909C7"/>
    <w:rsid w:val="00F91669"/>
    <w:rsid w:val="00F916DE"/>
    <w:rsid w:val="00F9184F"/>
    <w:rsid w:val="00F91943"/>
    <w:rsid w:val="00F9231D"/>
    <w:rsid w:val="00F92A66"/>
    <w:rsid w:val="00F931CF"/>
    <w:rsid w:val="00F93A31"/>
    <w:rsid w:val="00F93D6E"/>
    <w:rsid w:val="00F9423D"/>
    <w:rsid w:val="00F942C2"/>
    <w:rsid w:val="00F94609"/>
    <w:rsid w:val="00F94F16"/>
    <w:rsid w:val="00F95182"/>
    <w:rsid w:val="00F957D2"/>
    <w:rsid w:val="00F95D94"/>
    <w:rsid w:val="00F96F86"/>
    <w:rsid w:val="00FA02B8"/>
    <w:rsid w:val="00FA0980"/>
    <w:rsid w:val="00FA0A06"/>
    <w:rsid w:val="00FA1028"/>
    <w:rsid w:val="00FA157E"/>
    <w:rsid w:val="00FA181F"/>
    <w:rsid w:val="00FA1B75"/>
    <w:rsid w:val="00FA1BEF"/>
    <w:rsid w:val="00FA1C1F"/>
    <w:rsid w:val="00FA1E82"/>
    <w:rsid w:val="00FA2137"/>
    <w:rsid w:val="00FA272D"/>
    <w:rsid w:val="00FA338D"/>
    <w:rsid w:val="00FA34A2"/>
    <w:rsid w:val="00FA3742"/>
    <w:rsid w:val="00FA3837"/>
    <w:rsid w:val="00FA39FC"/>
    <w:rsid w:val="00FA44B4"/>
    <w:rsid w:val="00FA4538"/>
    <w:rsid w:val="00FA4998"/>
    <w:rsid w:val="00FA4DC2"/>
    <w:rsid w:val="00FA57D1"/>
    <w:rsid w:val="00FA67E3"/>
    <w:rsid w:val="00FA7157"/>
    <w:rsid w:val="00FA73A6"/>
    <w:rsid w:val="00FA7698"/>
    <w:rsid w:val="00FA78C2"/>
    <w:rsid w:val="00FA792D"/>
    <w:rsid w:val="00FA7A2D"/>
    <w:rsid w:val="00FA7B4F"/>
    <w:rsid w:val="00FA7DA6"/>
    <w:rsid w:val="00FB02F8"/>
    <w:rsid w:val="00FB06E7"/>
    <w:rsid w:val="00FB0822"/>
    <w:rsid w:val="00FB0AC3"/>
    <w:rsid w:val="00FB1093"/>
    <w:rsid w:val="00FB13A0"/>
    <w:rsid w:val="00FB2142"/>
    <w:rsid w:val="00FB227E"/>
    <w:rsid w:val="00FB24E5"/>
    <w:rsid w:val="00FB25DA"/>
    <w:rsid w:val="00FB267D"/>
    <w:rsid w:val="00FB2A18"/>
    <w:rsid w:val="00FB2BF4"/>
    <w:rsid w:val="00FB2C8D"/>
    <w:rsid w:val="00FB2DC6"/>
    <w:rsid w:val="00FB4267"/>
    <w:rsid w:val="00FB59D4"/>
    <w:rsid w:val="00FB5E81"/>
    <w:rsid w:val="00FB6E6C"/>
    <w:rsid w:val="00FB71B0"/>
    <w:rsid w:val="00FB7ABA"/>
    <w:rsid w:val="00FB7C21"/>
    <w:rsid w:val="00FB7C46"/>
    <w:rsid w:val="00FB7CD8"/>
    <w:rsid w:val="00FC04E0"/>
    <w:rsid w:val="00FC06CE"/>
    <w:rsid w:val="00FC0D98"/>
    <w:rsid w:val="00FC0E2F"/>
    <w:rsid w:val="00FC1042"/>
    <w:rsid w:val="00FC11C6"/>
    <w:rsid w:val="00FC17D8"/>
    <w:rsid w:val="00FC279A"/>
    <w:rsid w:val="00FC324D"/>
    <w:rsid w:val="00FC39A1"/>
    <w:rsid w:val="00FC3BC3"/>
    <w:rsid w:val="00FC3E47"/>
    <w:rsid w:val="00FC4B53"/>
    <w:rsid w:val="00FC4BAE"/>
    <w:rsid w:val="00FC4F75"/>
    <w:rsid w:val="00FC5160"/>
    <w:rsid w:val="00FC5A36"/>
    <w:rsid w:val="00FC6353"/>
    <w:rsid w:val="00FC69CF"/>
    <w:rsid w:val="00FC6B0B"/>
    <w:rsid w:val="00FC6B54"/>
    <w:rsid w:val="00FC713B"/>
    <w:rsid w:val="00FC7862"/>
    <w:rsid w:val="00FC79D5"/>
    <w:rsid w:val="00FC7B35"/>
    <w:rsid w:val="00FC7B53"/>
    <w:rsid w:val="00FC7BD8"/>
    <w:rsid w:val="00FD0177"/>
    <w:rsid w:val="00FD0AE7"/>
    <w:rsid w:val="00FD0B44"/>
    <w:rsid w:val="00FD0F70"/>
    <w:rsid w:val="00FD2315"/>
    <w:rsid w:val="00FD29A7"/>
    <w:rsid w:val="00FD2B15"/>
    <w:rsid w:val="00FD3092"/>
    <w:rsid w:val="00FD3D48"/>
    <w:rsid w:val="00FD412E"/>
    <w:rsid w:val="00FD420F"/>
    <w:rsid w:val="00FD4339"/>
    <w:rsid w:val="00FD4B0C"/>
    <w:rsid w:val="00FD4DD8"/>
    <w:rsid w:val="00FD4F2F"/>
    <w:rsid w:val="00FD51F7"/>
    <w:rsid w:val="00FD5258"/>
    <w:rsid w:val="00FD5602"/>
    <w:rsid w:val="00FD5661"/>
    <w:rsid w:val="00FD5A2A"/>
    <w:rsid w:val="00FD5AE2"/>
    <w:rsid w:val="00FD62B4"/>
    <w:rsid w:val="00FD7142"/>
    <w:rsid w:val="00FD750F"/>
    <w:rsid w:val="00FE011C"/>
    <w:rsid w:val="00FE0458"/>
    <w:rsid w:val="00FE07DC"/>
    <w:rsid w:val="00FE08FB"/>
    <w:rsid w:val="00FE1116"/>
    <w:rsid w:val="00FE1A73"/>
    <w:rsid w:val="00FE2075"/>
    <w:rsid w:val="00FE2080"/>
    <w:rsid w:val="00FE27B9"/>
    <w:rsid w:val="00FE2E37"/>
    <w:rsid w:val="00FE30EF"/>
    <w:rsid w:val="00FE3640"/>
    <w:rsid w:val="00FE36B6"/>
    <w:rsid w:val="00FE3780"/>
    <w:rsid w:val="00FE3954"/>
    <w:rsid w:val="00FE3AE5"/>
    <w:rsid w:val="00FE3CF7"/>
    <w:rsid w:val="00FE4071"/>
    <w:rsid w:val="00FE42E3"/>
    <w:rsid w:val="00FE4ECD"/>
    <w:rsid w:val="00FE52B7"/>
    <w:rsid w:val="00FE53C5"/>
    <w:rsid w:val="00FE56A8"/>
    <w:rsid w:val="00FE5807"/>
    <w:rsid w:val="00FE5C39"/>
    <w:rsid w:val="00FE5C57"/>
    <w:rsid w:val="00FE5DFF"/>
    <w:rsid w:val="00FE624E"/>
    <w:rsid w:val="00FE6415"/>
    <w:rsid w:val="00FE69E7"/>
    <w:rsid w:val="00FE6BB8"/>
    <w:rsid w:val="00FE6E76"/>
    <w:rsid w:val="00FF027B"/>
    <w:rsid w:val="00FF1174"/>
    <w:rsid w:val="00FF165A"/>
    <w:rsid w:val="00FF1B72"/>
    <w:rsid w:val="00FF1CF1"/>
    <w:rsid w:val="00FF1F4C"/>
    <w:rsid w:val="00FF1F90"/>
    <w:rsid w:val="00FF228F"/>
    <w:rsid w:val="00FF35DC"/>
    <w:rsid w:val="00FF3A6A"/>
    <w:rsid w:val="00FF3C7A"/>
    <w:rsid w:val="00FF3E09"/>
    <w:rsid w:val="00FF411C"/>
    <w:rsid w:val="00FF44C6"/>
    <w:rsid w:val="00FF4B2E"/>
    <w:rsid w:val="00FF4E4B"/>
    <w:rsid w:val="00FF4E4E"/>
    <w:rsid w:val="00FF5049"/>
    <w:rsid w:val="00FF519C"/>
    <w:rsid w:val="00FF5D1F"/>
    <w:rsid w:val="00FF5F95"/>
    <w:rsid w:val="00FF6126"/>
    <w:rsid w:val="00FF61F5"/>
    <w:rsid w:val="00FF62AA"/>
    <w:rsid w:val="00FF64D7"/>
    <w:rsid w:val="00FF6B6C"/>
    <w:rsid w:val="00FF6DD4"/>
    <w:rsid w:val="00FF7350"/>
    <w:rsid w:val="014128C6"/>
    <w:rsid w:val="016F49B1"/>
    <w:rsid w:val="017B11E4"/>
    <w:rsid w:val="017E0CD4"/>
    <w:rsid w:val="018F4C90"/>
    <w:rsid w:val="01AA2C10"/>
    <w:rsid w:val="01DB050D"/>
    <w:rsid w:val="01EF2040"/>
    <w:rsid w:val="020C6C9F"/>
    <w:rsid w:val="02246FB2"/>
    <w:rsid w:val="02255B63"/>
    <w:rsid w:val="022573A2"/>
    <w:rsid w:val="023B6BC5"/>
    <w:rsid w:val="024D7DA1"/>
    <w:rsid w:val="026F2E09"/>
    <w:rsid w:val="0293330D"/>
    <w:rsid w:val="02FA1F25"/>
    <w:rsid w:val="030B47EA"/>
    <w:rsid w:val="030C1DEF"/>
    <w:rsid w:val="030D2310"/>
    <w:rsid w:val="03147368"/>
    <w:rsid w:val="03227B77"/>
    <w:rsid w:val="03374F36"/>
    <w:rsid w:val="035C6DF3"/>
    <w:rsid w:val="035D3297"/>
    <w:rsid w:val="03724869"/>
    <w:rsid w:val="037738D8"/>
    <w:rsid w:val="03B978B9"/>
    <w:rsid w:val="03C25222"/>
    <w:rsid w:val="03D472D2"/>
    <w:rsid w:val="03D65C81"/>
    <w:rsid w:val="03F6739B"/>
    <w:rsid w:val="04090D29"/>
    <w:rsid w:val="041E5D1C"/>
    <w:rsid w:val="04272850"/>
    <w:rsid w:val="044A30F0"/>
    <w:rsid w:val="044C50BA"/>
    <w:rsid w:val="048D643D"/>
    <w:rsid w:val="04D16A79"/>
    <w:rsid w:val="04D97615"/>
    <w:rsid w:val="04F56AB0"/>
    <w:rsid w:val="05214467"/>
    <w:rsid w:val="0539563E"/>
    <w:rsid w:val="055976D3"/>
    <w:rsid w:val="057E74F5"/>
    <w:rsid w:val="05A625A8"/>
    <w:rsid w:val="05AB1E3E"/>
    <w:rsid w:val="05AB5E10"/>
    <w:rsid w:val="05C2302C"/>
    <w:rsid w:val="05D76C05"/>
    <w:rsid w:val="061B11E8"/>
    <w:rsid w:val="064029FC"/>
    <w:rsid w:val="066A3D0B"/>
    <w:rsid w:val="068955F4"/>
    <w:rsid w:val="06976AC0"/>
    <w:rsid w:val="06BC6682"/>
    <w:rsid w:val="06C72ADD"/>
    <w:rsid w:val="06D9648C"/>
    <w:rsid w:val="06EB43A9"/>
    <w:rsid w:val="070B06C3"/>
    <w:rsid w:val="07511F51"/>
    <w:rsid w:val="075F0692"/>
    <w:rsid w:val="0785600D"/>
    <w:rsid w:val="07AA1705"/>
    <w:rsid w:val="07BA0D1B"/>
    <w:rsid w:val="07DB054A"/>
    <w:rsid w:val="07E55C9F"/>
    <w:rsid w:val="07EF0236"/>
    <w:rsid w:val="080B3AEC"/>
    <w:rsid w:val="083C58F9"/>
    <w:rsid w:val="083D2AF4"/>
    <w:rsid w:val="0869448C"/>
    <w:rsid w:val="0880037B"/>
    <w:rsid w:val="088017D6"/>
    <w:rsid w:val="08886DB2"/>
    <w:rsid w:val="08AE4F18"/>
    <w:rsid w:val="08C445AC"/>
    <w:rsid w:val="08CE33BE"/>
    <w:rsid w:val="08EB6C4F"/>
    <w:rsid w:val="08F024B8"/>
    <w:rsid w:val="08F53B23"/>
    <w:rsid w:val="092946D8"/>
    <w:rsid w:val="097A4BD0"/>
    <w:rsid w:val="098470A4"/>
    <w:rsid w:val="098B21E0"/>
    <w:rsid w:val="09B250A8"/>
    <w:rsid w:val="09C710AA"/>
    <w:rsid w:val="09C916A6"/>
    <w:rsid w:val="0A053C89"/>
    <w:rsid w:val="0A070656"/>
    <w:rsid w:val="0A0F2E11"/>
    <w:rsid w:val="0A1D11B2"/>
    <w:rsid w:val="0A3E54A5"/>
    <w:rsid w:val="0A4028E3"/>
    <w:rsid w:val="0A7D4828"/>
    <w:rsid w:val="0A913ED8"/>
    <w:rsid w:val="0A96708F"/>
    <w:rsid w:val="0AA04C2B"/>
    <w:rsid w:val="0AC260D6"/>
    <w:rsid w:val="0AFC590A"/>
    <w:rsid w:val="0AFD0EBC"/>
    <w:rsid w:val="0B1F610F"/>
    <w:rsid w:val="0B24171E"/>
    <w:rsid w:val="0B4906CC"/>
    <w:rsid w:val="0B521208"/>
    <w:rsid w:val="0B534BE9"/>
    <w:rsid w:val="0B5663DB"/>
    <w:rsid w:val="0B5C3243"/>
    <w:rsid w:val="0B5E59FA"/>
    <w:rsid w:val="0B635234"/>
    <w:rsid w:val="0B9A5DC5"/>
    <w:rsid w:val="0BAD28E2"/>
    <w:rsid w:val="0BAD59A4"/>
    <w:rsid w:val="0BE11EB3"/>
    <w:rsid w:val="0BF05890"/>
    <w:rsid w:val="0BF4146C"/>
    <w:rsid w:val="0BF70001"/>
    <w:rsid w:val="0C087B18"/>
    <w:rsid w:val="0C2A7A8F"/>
    <w:rsid w:val="0C357211"/>
    <w:rsid w:val="0C41697E"/>
    <w:rsid w:val="0C426638"/>
    <w:rsid w:val="0C466B45"/>
    <w:rsid w:val="0C6A75D7"/>
    <w:rsid w:val="0C721436"/>
    <w:rsid w:val="0CB67671"/>
    <w:rsid w:val="0CC872A8"/>
    <w:rsid w:val="0D02135F"/>
    <w:rsid w:val="0D03783B"/>
    <w:rsid w:val="0D137EF4"/>
    <w:rsid w:val="0D3507F1"/>
    <w:rsid w:val="0D584403"/>
    <w:rsid w:val="0D7A7B8E"/>
    <w:rsid w:val="0D8A7E08"/>
    <w:rsid w:val="0DB47CE4"/>
    <w:rsid w:val="0DCC3FC5"/>
    <w:rsid w:val="0DDF122E"/>
    <w:rsid w:val="0DEE7765"/>
    <w:rsid w:val="0E0662D9"/>
    <w:rsid w:val="0E084B5B"/>
    <w:rsid w:val="0E43752E"/>
    <w:rsid w:val="0E7771D7"/>
    <w:rsid w:val="0E7843B7"/>
    <w:rsid w:val="0E884F40"/>
    <w:rsid w:val="0EB14497"/>
    <w:rsid w:val="0EB71400"/>
    <w:rsid w:val="0EBE07A7"/>
    <w:rsid w:val="0ECD6FA8"/>
    <w:rsid w:val="0F103D8E"/>
    <w:rsid w:val="0F1756A9"/>
    <w:rsid w:val="0F1A2751"/>
    <w:rsid w:val="0F204221"/>
    <w:rsid w:val="0F2B5D1F"/>
    <w:rsid w:val="0F3D2689"/>
    <w:rsid w:val="0F491ED6"/>
    <w:rsid w:val="0F824741"/>
    <w:rsid w:val="0FCF5883"/>
    <w:rsid w:val="0FCF68E2"/>
    <w:rsid w:val="0FD50865"/>
    <w:rsid w:val="100D7DF3"/>
    <w:rsid w:val="101C0A97"/>
    <w:rsid w:val="101D0F84"/>
    <w:rsid w:val="105E23FD"/>
    <w:rsid w:val="1079472D"/>
    <w:rsid w:val="10855BDB"/>
    <w:rsid w:val="10B62239"/>
    <w:rsid w:val="10BB0E1D"/>
    <w:rsid w:val="10D43D2C"/>
    <w:rsid w:val="10DB57FB"/>
    <w:rsid w:val="10F67974"/>
    <w:rsid w:val="112B6C8D"/>
    <w:rsid w:val="1150256E"/>
    <w:rsid w:val="116C28F7"/>
    <w:rsid w:val="11861F2C"/>
    <w:rsid w:val="119A575A"/>
    <w:rsid w:val="11BB40A7"/>
    <w:rsid w:val="11D907FE"/>
    <w:rsid w:val="12535865"/>
    <w:rsid w:val="12685FCD"/>
    <w:rsid w:val="12B02CB8"/>
    <w:rsid w:val="12B91B6C"/>
    <w:rsid w:val="12E532CD"/>
    <w:rsid w:val="12E56A72"/>
    <w:rsid w:val="12F6236B"/>
    <w:rsid w:val="13205B39"/>
    <w:rsid w:val="132203AB"/>
    <w:rsid w:val="13292AB3"/>
    <w:rsid w:val="132C0D92"/>
    <w:rsid w:val="133100F1"/>
    <w:rsid w:val="13777D41"/>
    <w:rsid w:val="13B10A95"/>
    <w:rsid w:val="13E873A9"/>
    <w:rsid w:val="13EF0479"/>
    <w:rsid w:val="14117786"/>
    <w:rsid w:val="144B66AC"/>
    <w:rsid w:val="146F2C7A"/>
    <w:rsid w:val="1481490C"/>
    <w:rsid w:val="148937C0"/>
    <w:rsid w:val="14997EA7"/>
    <w:rsid w:val="149E4992"/>
    <w:rsid w:val="14CD18FF"/>
    <w:rsid w:val="14CD2610"/>
    <w:rsid w:val="15003A82"/>
    <w:rsid w:val="150177FB"/>
    <w:rsid w:val="15140B70"/>
    <w:rsid w:val="158C3FC8"/>
    <w:rsid w:val="15A970CE"/>
    <w:rsid w:val="15AE2A3B"/>
    <w:rsid w:val="15B3071C"/>
    <w:rsid w:val="15CA2DC6"/>
    <w:rsid w:val="15D46CBD"/>
    <w:rsid w:val="15F1161D"/>
    <w:rsid w:val="15F91FB1"/>
    <w:rsid w:val="162D34C0"/>
    <w:rsid w:val="16354F20"/>
    <w:rsid w:val="166954FA"/>
    <w:rsid w:val="167375F7"/>
    <w:rsid w:val="167F2A48"/>
    <w:rsid w:val="16890823"/>
    <w:rsid w:val="168D53F9"/>
    <w:rsid w:val="169A6955"/>
    <w:rsid w:val="16D50F3F"/>
    <w:rsid w:val="170E5D26"/>
    <w:rsid w:val="17173305"/>
    <w:rsid w:val="172D2B29"/>
    <w:rsid w:val="17344CE1"/>
    <w:rsid w:val="17694B12"/>
    <w:rsid w:val="176A78D9"/>
    <w:rsid w:val="177E4106"/>
    <w:rsid w:val="177E6054"/>
    <w:rsid w:val="17831D4C"/>
    <w:rsid w:val="17BE59A2"/>
    <w:rsid w:val="17C57205"/>
    <w:rsid w:val="17D805C9"/>
    <w:rsid w:val="180359FB"/>
    <w:rsid w:val="18090EA0"/>
    <w:rsid w:val="18127562"/>
    <w:rsid w:val="18185849"/>
    <w:rsid w:val="18304A10"/>
    <w:rsid w:val="183D6D9C"/>
    <w:rsid w:val="18417CC9"/>
    <w:rsid w:val="18546DAA"/>
    <w:rsid w:val="185B0C20"/>
    <w:rsid w:val="18931241"/>
    <w:rsid w:val="18950986"/>
    <w:rsid w:val="18C13529"/>
    <w:rsid w:val="18C6144B"/>
    <w:rsid w:val="18C63393"/>
    <w:rsid w:val="18E1003E"/>
    <w:rsid w:val="191429F7"/>
    <w:rsid w:val="19224B74"/>
    <w:rsid w:val="19307018"/>
    <w:rsid w:val="19543820"/>
    <w:rsid w:val="19694A2E"/>
    <w:rsid w:val="19961A38"/>
    <w:rsid w:val="19B53B35"/>
    <w:rsid w:val="19BA0960"/>
    <w:rsid w:val="19E33AAD"/>
    <w:rsid w:val="19F722A7"/>
    <w:rsid w:val="1A097918"/>
    <w:rsid w:val="1A1878A2"/>
    <w:rsid w:val="1A3424A5"/>
    <w:rsid w:val="1A3976E8"/>
    <w:rsid w:val="1A442DE9"/>
    <w:rsid w:val="1A483C01"/>
    <w:rsid w:val="1A6A1ABA"/>
    <w:rsid w:val="1AA21950"/>
    <w:rsid w:val="1AA475E6"/>
    <w:rsid w:val="1ACB7D24"/>
    <w:rsid w:val="1AFB2E83"/>
    <w:rsid w:val="1B0F4108"/>
    <w:rsid w:val="1B4D5548"/>
    <w:rsid w:val="1B5E1503"/>
    <w:rsid w:val="1B627548"/>
    <w:rsid w:val="1B7800E9"/>
    <w:rsid w:val="1BAC42EC"/>
    <w:rsid w:val="1BAE1743"/>
    <w:rsid w:val="1BBE1501"/>
    <w:rsid w:val="1BC305D3"/>
    <w:rsid w:val="1BD16B26"/>
    <w:rsid w:val="1BDD2D6F"/>
    <w:rsid w:val="1BDD598C"/>
    <w:rsid w:val="1BEA548C"/>
    <w:rsid w:val="1BF34341"/>
    <w:rsid w:val="1BFA6E4C"/>
    <w:rsid w:val="1C060BE5"/>
    <w:rsid w:val="1C422423"/>
    <w:rsid w:val="1C56667E"/>
    <w:rsid w:val="1CCE5190"/>
    <w:rsid w:val="1CD55680"/>
    <w:rsid w:val="1D006167"/>
    <w:rsid w:val="1D152095"/>
    <w:rsid w:val="1D156539"/>
    <w:rsid w:val="1D2C4C89"/>
    <w:rsid w:val="1D321E13"/>
    <w:rsid w:val="1D460656"/>
    <w:rsid w:val="1D7B69ED"/>
    <w:rsid w:val="1D7F73FC"/>
    <w:rsid w:val="1D8862F2"/>
    <w:rsid w:val="1DAD49C3"/>
    <w:rsid w:val="1DBC044E"/>
    <w:rsid w:val="1DE87135"/>
    <w:rsid w:val="1DF952B2"/>
    <w:rsid w:val="1E225656"/>
    <w:rsid w:val="1E311151"/>
    <w:rsid w:val="1E4C73B0"/>
    <w:rsid w:val="1E5E181A"/>
    <w:rsid w:val="1EBF050A"/>
    <w:rsid w:val="1EC65D3D"/>
    <w:rsid w:val="1ED35C11"/>
    <w:rsid w:val="1EDF5B19"/>
    <w:rsid w:val="1EF06916"/>
    <w:rsid w:val="1F0C52DF"/>
    <w:rsid w:val="1F1B56D7"/>
    <w:rsid w:val="1F1C3BAF"/>
    <w:rsid w:val="1F4849CA"/>
    <w:rsid w:val="1F485539"/>
    <w:rsid w:val="1F4E341E"/>
    <w:rsid w:val="1F521020"/>
    <w:rsid w:val="1F61475A"/>
    <w:rsid w:val="1F873477"/>
    <w:rsid w:val="1FF561AE"/>
    <w:rsid w:val="20126D60"/>
    <w:rsid w:val="20371F97"/>
    <w:rsid w:val="205A4AEA"/>
    <w:rsid w:val="207215AC"/>
    <w:rsid w:val="207318E2"/>
    <w:rsid w:val="20863CB7"/>
    <w:rsid w:val="209459C7"/>
    <w:rsid w:val="20B00655"/>
    <w:rsid w:val="20D063B2"/>
    <w:rsid w:val="20DD736E"/>
    <w:rsid w:val="212537C2"/>
    <w:rsid w:val="21455F84"/>
    <w:rsid w:val="2175726C"/>
    <w:rsid w:val="2181419D"/>
    <w:rsid w:val="21894E00"/>
    <w:rsid w:val="218D48F0"/>
    <w:rsid w:val="219F75A7"/>
    <w:rsid w:val="21AC1326"/>
    <w:rsid w:val="21AD5DC4"/>
    <w:rsid w:val="21DE339D"/>
    <w:rsid w:val="21FD6859"/>
    <w:rsid w:val="221072CF"/>
    <w:rsid w:val="2215060D"/>
    <w:rsid w:val="221A0D83"/>
    <w:rsid w:val="221F7512"/>
    <w:rsid w:val="222B52F7"/>
    <w:rsid w:val="222C7407"/>
    <w:rsid w:val="222D5A00"/>
    <w:rsid w:val="225D0766"/>
    <w:rsid w:val="22A763E9"/>
    <w:rsid w:val="22BF694C"/>
    <w:rsid w:val="22C04D77"/>
    <w:rsid w:val="22CA56D0"/>
    <w:rsid w:val="22EB4746"/>
    <w:rsid w:val="231B5F2B"/>
    <w:rsid w:val="23531B69"/>
    <w:rsid w:val="23902475"/>
    <w:rsid w:val="23B21F13"/>
    <w:rsid w:val="24057C45"/>
    <w:rsid w:val="24143F61"/>
    <w:rsid w:val="2417512A"/>
    <w:rsid w:val="24482D50"/>
    <w:rsid w:val="2449417A"/>
    <w:rsid w:val="2455546D"/>
    <w:rsid w:val="247E195A"/>
    <w:rsid w:val="2485441B"/>
    <w:rsid w:val="24977600"/>
    <w:rsid w:val="24A22091"/>
    <w:rsid w:val="24A63846"/>
    <w:rsid w:val="24A92672"/>
    <w:rsid w:val="24B831E2"/>
    <w:rsid w:val="24F5112A"/>
    <w:rsid w:val="24FD2F26"/>
    <w:rsid w:val="250B120F"/>
    <w:rsid w:val="2519649B"/>
    <w:rsid w:val="251B79D6"/>
    <w:rsid w:val="252B4F23"/>
    <w:rsid w:val="252C7220"/>
    <w:rsid w:val="254554E2"/>
    <w:rsid w:val="255D282B"/>
    <w:rsid w:val="25695620"/>
    <w:rsid w:val="25965D3D"/>
    <w:rsid w:val="259C77F7"/>
    <w:rsid w:val="25AA25BE"/>
    <w:rsid w:val="25D26FAB"/>
    <w:rsid w:val="25E84A06"/>
    <w:rsid w:val="26200761"/>
    <w:rsid w:val="263638FE"/>
    <w:rsid w:val="263E08AF"/>
    <w:rsid w:val="264439EB"/>
    <w:rsid w:val="265A0165"/>
    <w:rsid w:val="26797B39"/>
    <w:rsid w:val="268F110A"/>
    <w:rsid w:val="26A50560"/>
    <w:rsid w:val="26D30A40"/>
    <w:rsid w:val="270F55EE"/>
    <w:rsid w:val="271A050D"/>
    <w:rsid w:val="272F1A96"/>
    <w:rsid w:val="27A53CFB"/>
    <w:rsid w:val="27B47996"/>
    <w:rsid w:val="27C941A8"/>
    <w:rsid w:val="27D12D6B"/>
    <w:rsid w:val="27EB2370"/>
    <w:rsid w:val="27F31225"/>
    <w:rsid w:val="27F52753"/>
    <w:rsid w:val="28052FFD"/>
    <w:rsid w:val="282F4953"/>
    <w:rsid w:val="2833676A"/>
    <w:rsid w:val="28924D64"/>
    <w:rsid w:val="28A67E87"/>
    <w:rsid w:val="28CB21A2"/>
    <w:rsid w:val="28D1578B"/>
    <w:rsid w:val="28D26D06"/>
    <w:rsid w:val="28D7292A"/>
    <w:rsid w:val="28DA7202"/>
    <w:rsid w:val="28DD5C80"/>
    <w:rsid w:val="2907142C"/>
    <w:rsid w:val="290872A8"/>
    <w:rsid w:val="29294ABA"/>
    <w:rsid w:val="29386F92"/>
    <w:rsid w:val="29671ECA"/>
    <w:rsid w:val="296C1E29"/>
    <w:rsid w:val="2971320F"/>
    <w:rsid w:val="297233E2"/>
    <w:rsid w:val="297B0CF7"/>
    <w:rsid w:val="29934A6D"/>
    <w:rsid w:val="29A44ECD"/>
    <w:rsid w:val="2A0810B4"/>
    <w:rsid w:val="2A24108C"/>
    <w:rsid w:val="2A255B62"/>
    <w:rsid w:val="2A2F79E5"/>
    <w:rsid w:val="2A7F5B65"/>
    <w:rsid w:val="2A8D0971"/>
    <w:rsid w:val="2A9652F5"/>
    <w:rsid w:val="2AB95178"/>
    <w:rsid w:val="2AC03F6C"/>
    <w:rsid w:val="2ACB6489"/>
    <w:rsid w:val="2AFB05C0"/>
    <w:rsid w:val="2B822DA1"/>
    <w:rsid w:val="2BB94533"/>
    <w:rsid w:val="2BC979D2"/>
    <w:rsid w:val="2C0E4F9D"/>
    <w:rsid w:val="2C251293"/>
    <w:rsid w:val="2C2F0537"/>
    <w:rsid w:val="2C371AF7"/>
    <w:rsid w:val="2C477A30"/>
    <w:rsid w:val="2C59571C"/>
    <w:rsid w:val="2C732934"/>
    <w:rsid w:val="2C8965FC"/>
    <w:rsid w:val="2C945F93"/>
    <w:rsid w:val="2CC55886"/>
    <w:rsid w:val="2CC6515A"/>
    <w:rsid w:val="2CCD64E8"/>
    <w:rsid w:val="2CD258AD"/>
    <w:rsid w:val="2CE5595A"/>
    <w:rsid w:val="2CFE6608"/>
    <w:rsid w:val="2D045C82"/>
    <w:rsid w:val="2D0D40EC"/>
    <w:rsid w:val="2D113AF9"/>
    <w:rsid w:val="2D146660"/>
    <w:rsid w:val="2D205A56"/>
    <w:rsid w:val="2DA771E4"/>
    <w:rsid w:val="2DB30D51"/>
    <w:rsid w:val="2DC25921"/>
    <w:rsid w:val="2DC618E8"/>
    <w:rsid w:val="2DD61DB7"/>
    <w:rsid w:val="2E3157DB"/>
    <w:rsid w:val="2E5073D1"/>
    <w:rsid w:val="2E5A6DB7"/>
    <w:rsid w:val="2E8E1CA7"/>
    <w:rsid w:val="2E944473"/>
    <w:rsid w:val="2EA133AF"/>
    <w:rsid w:val="2EBA06F2"/>
    <w:rsid w:val="2EDD2DD9"/>
    <w:rsid w:val="2EF20488"/>
    <w:rsid w:val="2F490AA6"/>
    <w:rsid w:val="2F6F40CB"/>
    <w:rsid w:val="2F723467"/>
    <w:rsid w:val="2F8512FC"/>
    <w:rsid w:val="2F887405"/>
    <w:rsid w:val="2F922149"/>
    <w:rsid w:val="2F9C44B5"/>
    <w:rsid w:val="2FB019CD"/>
    <w:rsid w:val="2FD31399"/>
    <w:rsid w:val="2FE37DD1"/>
    <w:rsid w:val="2FF50882"/>
    <w:rsid w:val="30432B69"/>
    <w:rsid w:val="304E7043"/>
    <w:rsid w:val="3061354E"/>
    <w:rsid w:val="306835D0"/>
    <w:rsid w:val="307750E9"/>
    <w:rsid w:val="307C3CA7"/>
    <w:rsid w:val="30847806"/>
    <w:rsid w:val="30E81B43"/>
    <w:rsid w:val="30EF0E8C"/>
    <w:rsid w:val="311346E6"/>
    <w:rsid w:val="312564F4"/>
    <w:rsid w:val="314804F6"/>
    <w:rsid w:val="314B43D3"/>
    <w:rsid w:val="314B4E4B"/>
    <w:rsid w:val="317D39F7"/>
    <w:rsid w:val="31A67308"/>
    <w:rsid w:val="31BD5A98"/>
    <w:rsid w:val="31BE36F0"/>
    <w:rsid w:val="31CF685F"/>
    <w:rsid w:val="31F23206"/>
    <w:rsid w:val="32153FA4"/>
    <w:rsid w:val="32363B53"/>
    <w:rsid w:val="324908A1"/>
    <w:rsid w:val="326C2F6E"/>
    <w:rsid w:val="32A0292F"/>
    <w:rsid w:val="32A02B99"/>
    <w:rsid w:val="32DA76EB"/>
    <w:rsid w:val="32F82838"/>
    <w:rsid w:val="330940F8"/>
    <w:rsid w:val="330C763F"/>
    <w:rsid w:val="330F2BAA"/>
    <w:rsid w:val="33150BE9"/>
    <w:rsid w:val="333E743A"/>
    <w:rsid w:val="337D5F7B"/>
    <w:rsid w:val="3382354D"/>
    <w:rsid w:val="33850FBD"/>
    <w:rsid w:val="33CA57E8"/>
    <w:rsid w:val="33D414D0"/>
    <w:rsid w:val="33EF4F96"/>
    <w:rsid w:val="33F85DA9"/>
    <w:rsid w:val="3411197D"/>
    <w:rsid w:val="34120A9D"/>
    <w:rsid w:val="341A2B06"/>
    <w:rsid w:val="34390BDE"/>
    <w:rsid w:val="344D7F0F"/>
    <w:rsid w:val="34603E67"/>
    <w:rsid w:val="34654B7D"/>
    <w:rsid w:val="347A3DD5"/>
    <w:rsid w:val="349D16D0"/>
    <w:rsid w:val="34CF0006"/>
    <w:rsid w:val="35084ABD"/>
    <w:rsid w:val="353335A8"/>
    <w:rsid w:val="353A29EE"/>
    <w:rsid w:val="35A95DF7"/>
    <w:rsid w:val="35CD358A"/>
    <w:rsid w:val="361F1B39"/>
    <w:rsid w:val="36232DB0"/>
    <w:rsid w:val="36593CC8"/>
    <w:rsid w:val="36614E86"/>
    <w:rsid w:val="366A124C"/>
    <w:rsid w:val="36A04C6E"/>
    <w:rsid w:val="36E25286"/>
    <w:rsid w:val="372B4B9D"/>
    <w:rsid w:val="375C0747"/>
    <w:rsid w:val="378C7D89"/>
    <w:rsid w:val="37A10C9D"/>
    <w:rsid w:val="37CE1DBA"/>
    <w:rsid w:val="37FA1570"/>
    <w:rsid w:val="37FB1374"/>
    <w:rsid w:val="380644C8"/>
    <w:rsid w:val="380838EA"/>
    <w:rsid w:val="38200A5B"/>
    <w:rsid w:val="384A1595"/>
    <w:rsid w:val="385F359C"/>
    <w:rsid w:val="38655621"/>
    <w:rsid w:val="38CE24E0"/>
    <w:rsid w:val="38DD3F57"/>
    <w:rsid w:val="39096AFA"/>
    <w:rsid w:val="39165948"/>
    <w:rsid w:val="391A0D07"/>
    <w:rsid w:val="39663FE6"/>
    <w:rsid w:val="396B1735"/>
    <w:rsid w:val="397E236D"/>
    <w:rsid w:val="399052E6"/>
    <w:rsid w:val="39A20CFD"/>
    <w:rsid w:val="39AE2B46"/>
    <w:rsid w:val="39B77EFC"/>
    <w:rsid w:val="39C11183"/>
    <w:rsid w:val="39D25676"/>
    <w:rsid w:val="3A5B06D4"/>
    <w:rsid w:val="3A632C8B"/>
    <w:rsid w:val="3A671E02"/>
    <w:rsid w:val="3A7372A6"/>
    <w:rsid w:val="3A7D77A0"/>
    <w:rsid w:val="3A86047D"/>
    <w:rsid w:val="3A896405"/>
    <w:rsid w:val="3AD46C94"/>
    <w:rsid w:val="3AD849D6"/>
    <w:rsid w:val="3AFA4A24"/>
    <w:rsid w:val="3B0357CB"/>
    <w:rsid w:val="3B8E5B75"/>
    <w:rsid w:val="3BA80B19"/>
    <w:rsid w:val="3BB32D4D"/>
    <w:rsid w:val="3BBC42F8"/>
    <w:rsid w:val="3C0C4C37"/>
    <w:rsid w:val="3C0F408C"/>
    <w:rsid w:val="3C2105FF"/>
    <w:rsid w:val="3C333E8E"/>
    <w:rsid w:val="3C4240EC"/>
    <w:rsid w:val="3C597D99"/>
    <w:rsid w:val="3C6D2B66"/>
    <w:rsid w:val="3C8477F8"/>
    <w:rsid w:val="3CC33464"/>
    <w:rsid w:val="3CC63283"/>
    <w:rsid w:val="3CD640C1"/>
    <w:rsid w:val="3CD850DD"/>
    <w:rsid w:val="3CF33D49"/>
    <w:rsid w:val="3CFE2A5D"/>
    <w:rsid w:val="3D0D46DF"/>
    <w:rsid w:val="3D145A6E"/>
    <w:rsid w:val="3D1C46F7"/>
    <w:rsid w:val="3D1E6F53"/>
    <w:rsid w:val="3D4E71D1"/>
    <w:rsid w:val="3D4F5D4C"/>
    <w:rsid w:val="3D5F4A2C"/>
    <w:rsid w:val="3D6F051E"/>
    <w:rsid w:val="3D711B40"/>
    <w:rsid w:val="3D7626A7"/>
    <w:rsid w:val="3DA00B4F"/>
    <w:rsid w:val="3DAE3153"/>
    <w:rsid w:val="3DC456E6"/>
    <w:rsid w:val="3E247F32"/>
    <w:rsid w:val="3E371A14"/>
    <w:rsid w:val="3E38578C"/>
    <w:rsid w:val="3E5325C6"/>
    <w:rsid w:val="3E800AA6"/>
    <w:rsid w:val="3EAD7F28"/>
    <w:rsid w:val="3EBC6985"/>
    <w:rsid w:val="3EC31574"/>
    <w:rsid w:val="3ECC7B2A"/>
    <w:rsid w:val="3EFB2C58"/>
    <w:rsid w:val="3F3A1FEB"/>
    <w:rsid w:val="3F7F5645"/>
    <w:rsid w:val="3F8C0042"/>
    <w:rsid w:val="3F8C7E62"/>
    <w:rsid w:val="3F9609BC"/>
    <w:rsid w:val="3F980BD8"/>
    <w:rsid w:val="3FA24278"/>
    <w:rsid w:val="3FAA57D9"/>
    <w:rsid w:val="3FB83028"/>
    <w:rsid w:val="3FBA2C93"/>
    <w:rsid w:val="3FC11EA2"/>
    <w:rsid w:val="3FC515DA"/>
    <w:rsid w:val="3FD0514B"/>
    <w:rsid w:val="3FE10956"/>
    <w:rsid w:val="3FEA3154"/>
    <w:rsid w:val="3FF34060"/>
    <w:rsid w:val="4004001B"/>
    <w:rsid w:val="40050695"/>
    <w:rsid w:val="401A5D2E"/>
    <w:rsid w:val="402B1887"/>
    <w:rsid w:val="40344B26"/>
    <w:rsid w:val="40465665"/>
    <w:rsid w:val="407D1B7C"/>
    <w:rsid w:val="40896772"/>
    <w:rsid w:val="40A67243"/>
    <w:rsid w:val="40CF0629"/>
    <w:rsid w:val="40EB11DB"/>
    <w:rsid w:val="41231EBB"/>
    <w:rsid w:val="415B1EBD"/>
    <w:rsid w:val="4185152C"/>
    <w:rsid w:val="419011CB"/>
    <w:rsid w:val="41A76EB0"/>
    <w:rsid w:val="41AF3FB7"/>
    <w:rsid w:val="41C23CEA"/>
    <w:rsid w:val="41C31810"/>
    <w:rsid w:val="41C50319"/>
    <w:rsid w:val="41DC3706"/>
    <w:rsid w:val="41E974C9"/>
    <w:rsid w:val="41EE0F83"/>
    <w:rsid w:val="41F83A29"/>
    <w:rsid w:val="42062B20"/>
    <w:rsid w:val="421844E9"/>
    <w:rsid w:val="421B20EB"/>
    <w:rsid w:val="42253D73"/>
    <w:rsid w:val="422C7D41"/>
    <w:rsid w:val="42426BD9"/>
    <w:rsid w:val="42575CC9"/>
    <w:rsid w:val="42680529"/>
    <w:rsid w:val="429C7054"/>
    <w:rsid w:val="42A47894"/>
    <w:rsid w:val="42AF1F29"/>
    <w:rsid w:val="42D756EC"/>
    <w:rsid w:val="42E46CA6"/>
    <w:rsid w:val="42F04887"/>
    <w:rsid w:val="43243239"/>
    <w:rsid w:val="43345AE2"/>
    <w:rsid w:val="435F4115"/>
    <w:rsid w:val="436E64A1"/>
    <w:rsid w:val="438F3E03"/>
    <w:rsid w:val="439B1194"/>
    <w:rsid w:val="43CD6303"/>
    <w:rsid w:val="441445A5"/>
    <w:rsid w:val="4427077C"/>
    <w:rsid w:val="44462500"/>
    <w:rsid w:val="446C618F"/>
    <w:rsid w:val="44753296"/>
    <w:rsid w:val="447B4624"/>
    <w:rsid w:val="44823C05"/>
    <w:rsid w:val="448B2671"/>
    <w:rsid w:val="44A0379F"/>
    <w:rsid w:val="44AE2ADC"/>
    <w:rsid w:val="44AE67A8"/>
    <w:rsid w:val="44B064EE"/>
    <w:rsid w:val="44D2693A"/>
    <w:rsid w:val="44E4602A"/>
    <w:rsid w:val="44EC7D5C"/>
    <w:rsid w:val="45064F6D"/>
    <w:rsid w:val="45387EF6"/>
    <w:rsid w:val="45395EBB"/>
    <w:rsid w:val="4569334C"/>
    <w:rsid w:val="4585575A"/>
    <w:rsid w:val="45942A5B"/>
    <w:rsid w:val="459D5EEC"/>
    <w:rsid w:val="45B118F3"/>
    <w:rsid w:val="45B80788"/>
    <w:rsid w:val="45BF3C67"/>
    <w:rsid w:val="45C5672E"/>
    <w:rsid w:val="45CF30C1"/>
    <w:rsid w:val="45D068B0"/>
    <w:rsid w:val="45F4468E"/>
    <w:rsid w:val="46044E69"/>
    <w:rsid w:val="460C5E7C"/>
    <w:rsid w:val="461A0599"/>
    <w:rsid w:val="465E2322"/>
    <w:rsid w:val="46607F75"/>
    <w:rsid w:val="466323BF"/>
    <w:rsid w:val="46682F10"/>
    <w:rsid w:val="46690DB0"/>
    <w:rsid w:val="46792F65"/>
    <w:rsid w:val="468516F8"/>
    <w:rsid w:val="46B900DE"/>
    <w:rsid w:val="46B92F53"/>
    <w:rsid w:val="46EF364D"/>
    <w:rsid w:val="46F25071"/>
    <w:rsid w:val="46FA4677"/>
    <w:rsid w:val="46FF41B9"/>
    <w:rsid w:val="471D6670"/>
    <w:rsid w:val="47445614"/>
    <w:rsid w:val="47503B46"/>
    <w:rsid w:val="47727F60"/>
    <w:rsid w:val="477C004C"/>
    <w:rsid w:val="477E06B3"/>
    <w:rsid w:val="47C36A0E"/>
    <w:rsid w:val="47D31AAF"/>
    <w:rsid w:val="47E9061B"/>
    <w:rsid w:val="48005CE6"/>
    <w:rsid w:val="48010A05"/>
    <w:rsid w:val="48382F58"/>
    <w:rsid w:val="484245C7"/>
    <w:rsid w:val="48462647"/>
    <w:rsid w:val="484C6A03"/>
    <w:rsid w:val="4853240D"/>
    <w:rsid w:val="488D7CFE"/>
    <w:rsid w:val="48A405ED"/>
    <w:rsid w:val="48A74D45"/>
    <w:rsid w:val="48AB6EB4"/>
    <w:rsid w:val="48B3438D"/>
    <w:rsid w:val="48C4659A"/>
    <w:rsid w:val="48D10CB7"/>
    <w:rsid w:val="48D2515B"/>
    <w:rsid w:val="48DA72A1"/>
    <w:rsid w:val="49015BAE"/>
    <w:rsid w:val="49323FD7"/>
    <w:rsid w:val="49642D26"/>
    <w:rsid w:val="496833C9"/>
    <w:rsid w:val="4989333F"/>
    <w:rsid w:val="49937B91"/>
    <w:rsid w:val="49AC70F5"/>
    <w:rsid w:val="49B20E92"/>
    <w:rsid w:val="49EA44CB"/>
    <w:rsid w:val="49F800C5"/>
    <w:rsid w:val="4A1C2405"/>
    <w:rsid w:val="4A670609"/>
    <w:rsid w:val="4A6D2197"/>
    <w:rsid w:val="4A804742"/>
    <w:rsid w:val="4A9A5C89"/>
    <w:rsid w:val="4ADA4329"/>
    <w:rsid w:val="4ADC3072"/>
    <w:rsid w:val="4ADD0383"/>
    <w:rsid w:val="4B044035"/>
    <w:rsid w:val="4B1F3F5B"/>
    <w:rsid w:val="4C12409B"/>
    <w:rsid w:val="4C82131A"/>
    <w:rsid w:val="4C8F5B1B"/>
    <w:rsid w:val="4CA311D2"/>
    <w:rsid w:val="4CB63E44"/>
    <w:rsid w:val="4CDD3922"/>
    <w:rsid w:val="4D027D3E"/>
    <w:rsid w:val="4D0356E8"/>
    <w:rsid w:val="4D331F40"/>
    <w:rsid w:val="4D332876"/>
    <w:rsid w:val="4D447CA9"/>
    <w:rsid w:val="4D5601C7"/>
    <w:rsid w:val="4D583754"/>
    <w:rsid w:val="4D64174A"/>
    <w:rsid w:val="4DA93FB0"/>
    <w:rsid w:val="4DDA6243"/>
    <w:rsid w:val="4E066C4A"/>
    <w:rsid w:val="4E157897"/>
    <w:rsid w:val="4E4168DE"/>
    <w:rsid w:val="4E4607D2"/>
    <w:rsid w:val="4E604FB7"/>
    <w:rsid w:val="4E673416"/>
    <w:rsid w:val="4E816CDB"/>
    <w:rsid w:val="4E9E163B"/>
    <w:rsid w:val="4EA531E0"/>
    <w:rsid w:val="4EAA13F2"/>
    <w:rsid w:val="4EAC5711"/>
    <w:rsid w:val="4F013008"/>
    <w:rsid w:val="4F127A55"/>
    <w:rsid w:val="4F5403F3"/>
    <w:rsid w:val="4F624A33"/>
    <w:rsid w:val="4F672375"/>
    <w:rsid w:val="4F9667B6"/>
    <w:rsid w:val="4FB851EC"/>
    <w:rsid w:val="4FEB4B27"/>
    <w:rsid w:val="4FFC45D8"/>
    <w:rsid w:val="4FFC486B"/>
    <w:rsid w:val="503A1296"/>
    <w:rsid w:val="504A7CCC"/>
    <w:rsid w:val="504D1936"/>
    <w:rsid w:val="507C3BFE"/>
    <w:rsid w:val="50AC1958"/>
    <w:rsid w:val="50E517A3"/>
    <w:rsid w:val="511043D6"/>
    <w:rsid w:val="51874608"/>
    <w:rsid w:val="519C13D2"/>
    <w:rsid w:val="51B2004B"/>
    <w:rsid w:val="51D04143"/>
    <w:rsid w:val="524043B3"/>
    <w:rsid w:val="5248629B"/>
    <w:rsid w:val="525C7843"/>
    <w:rsid w:val="527D03E3"/>
    <w:rsid w:val="52940E77"/>
    <w:rsid w:val="52B96E77"/>
    <w:rsid w:val="52D63A99"/>
    <w:rsid w:val="52FE08FA"/>
    <w:rsid w:val="530E47E1"/>
    <w:rsid w:val="530F2B07"/>
    <w:rsid w:val="534053B7"/>
    <w:rsid w:val="535624E4"/>
    <w:rsid w:val="536148FF"/>
    <w:rsid w:val="53846DCF"/>
    <w:rsid w:val="53B4545D"/>
    <w:rsid w:val="53DE2C27"/>
    <w:rsid w:val="53F0262A"/>
    <w:rsid w:val="53FC1D13"/>
    <w:rsid w:val="54104D89"/>
    <w:rsid w:val="541A5920"/>
    <w:rsid w:val="5439290F"/>
    <w:rsid w:val="54556AEA"/>
    <w:rsid w:val="546D7F23"/>
    <w:rsid w:val="54795467"/>
    <w:rsid w:val="549E4143"/>
    <w:rsid w:val="54A40045"/>
    <w:rsid w:val="54A84FC1"/>
    <w:rsid w:val="55131A57"/>
    <w:rsid w:val="55453A38"/>
    <w:rsid w:val="554A5B42"/>
    <w:rsid w:val="554B6C82"/>
    <w:rsid w:val="555D2D80"/>
    <w:rsid w:val="55622629"/>
    <w:rsid w:val="556B3D1F"/>
    <w:rsid w:val="559519EA"/>
    <w:rsid w:val="55967510"/>
    <w:rsid w:val="55B654BC"/>
    <w:rsid w:val="55DA5821"/>
    <w:rsid w:val="55EE2EA8"/>
    <w:rsid w:val="56013D8D"/>
    <w:rsid w:val="56040275"/>
    <w:rsid w:val="56236067"/>
    <w:rsid w:val="56513437"/>
    <w:rsid w:val="568B4CF7"/>
    <w:rsid w:val="56BC6B02"/>
    <w:rsid w:val="56F7203C"/>
    <w:rsid w:val="57181575"/>
    <w:rsid w:val="571C0D58"/>
    <w:rsid w:val="571E759F"/>
    <w:rsid w:val="572544BF"/>
    <w:rsid w:val="574216FD"/>
    <w:rsid w:val="57610E41"/>
    <w:rsid w:val="576433D3"/>
    <w:rsid w:val="577D71D5"/>
    <w:rsid w:val="5791616B"/>
    <w:rsid w:val="57B24890"/>
    <w:rsid w:val="57B412F9"/>
    <w:rsid w:val="57D416E6"/>
    <w:rsid w:val="57E12539"/>
    <w:rsid w:val="57F30C49"/>
    <w:rsid w:val="5800136B"/>
    <w:rsid w:val="58733B38"/>
    <w:rsid w:val="587B2698"/>
    <w:rsid w:val="588A20AC"/>
    <w:rsid w:val="588A79CE"/>
    <w:rsid w:val="58947E47"/>
    <w:rsid w:val="58AA0900"/>
    <w:rsid w:val="58D228D1"/>
    <w:rsid w:val="59352B9C"/>
    <w:rsid w:val="593D62C5"/>
    <w:rsid w:val="59402547"/>
    <w:rsid w:val="59684D1F"/>
    <w:rsid w:val="59861649"/>
    <w:rsid w:val="599C1D38"/>
    <w:rsid w:val="59A85EF4"/>
    <w:rsid w:val="59B0010F"/>
    <w:rsid w:val="59D0390B"/>
    <w:rsid w:val="5A10470C"/>
    <w:rsid w:val="5A1A3B06"/>
    <w:rsid w:val="5A3A2DDD"/>
    <w:rsid w:val="5A490FF5"/>
    <w:rsid w:val="5A736072"/>
    <w:rsid w:val="5A8418D2"/>
    <w:rsid w:val="5AB87F28"/>
    <w:rsid w:val="5AC8016B"/>
    <w:rsid w:val="5B3C2907"/>
    <w:rsid w:val="5B411CCC"/>
    <w:rsid w:val="5B4D28BD"/>
    <w:rsid w:val="5B6360E6"/>
    <w:rsid w:val="5B85605C"/>
    <w:rsid w:val="5BA74225"/>
    <w:rsid w:val="5BCF006B"/>
    <w:rsid w:val="5BEF2E0C"/>
    <w:rsid w:val="5BEF797A"/>
    <w:rsid w:val="5BF918A2"/>
    <w:rsid w:val="5C0129F0"/>
    <w:rsid w:val="5C225659"/>
    <w:rsid w:val="5C553C81"/>
    <w:rsid w:val="5C70230F"/>
    <w:rsid w:val="5C9B540C"/>
    <w:rsid w:val="5CA97B29"/>
    <w:rsid w:val="5CB838D5"/>
    <w:rsid w:val="5CC81CE2"/>
    <w:rsid w:val="5CC826D1"/>
    <w:rsid w:val="5CDF16D3"/>
    <w:rsid w:val="5CEB255D"/>
    <w:rsid w:val="5CFB09C9"/>
    <w:rsid w:val="5D1A6C78"/>
    <w:rsid w:val="5D3F048D"/>
    <w:rsid w:val="5D700646"/>
    <w:rsid w:val="5D867E6A"/>
    <w:rsid w:val="5DB2752A"/>
    <w:rsid w:val="5DB70023"/>
    <w:rsid w:val="5DC015CE"/>
    <w:rsid w:val="5DCC143E"/>
    <w:rsid w:val="5DD07906"/>
    <w:rsid w:val="5DF66D9E"/>
    <w:rsid w:val="5DFC47E6"/>
    <w:rsid w:val="5E27699E"/>
    <w:rsid w:val="5E323B4E"/>
    <w:rsid w:val="5E3D49CC"/>
    <w:rsid w:val="5E3F6CEC"/>
    <w:rsid w:val="5E5B30A5"/>
    <w:rsid w:val="5E6301AB"/>
    <w:rsid w:val="5F0B404D"/>
    <w:rsid w:val="5F220B74"/>
    <w:rsid w:val="5F3062DF"/>
    <w:rsid w:val="5F4C7DD5"/>
    <w:rsid w:val="5F5D1CEF"/>
    <w:rsid w:val="5F9F1447"/>
    <w:rsid w:val="5FBE3F60"/>
    <w:rsid w:val="5FD55C76"/>
    <w:rsid w:val="5FEA2932"/>
    <w:rsid w:val="600D03CE"/>
    <w:rsid w:val="602045A6"/>
    <w:rsid w:val="60275934"/>
    <w:rsid w:val="603C6FD2"/>
    <w:rsid w:val="604851FE"/>
    <w:rsid w:val="604E7E28"/>
    <w:rsid w:val="605A5953"/>
    <w:rsid w:val="608E59B3"/>
    <w:rsid w:val="60E6575A"/>
    <w:rsid w:val="60F24908"/>
    <w:rsid w:val="61233F61"/>
    <w:rsid w:val="616C7377"/>
    <w:rsid w:val="6186668A"/>
    <w:rsid w:val="618B6270"/>
    <w:rsid w:val="619157C6"/>
    <w:rsid w:val="61EC09ED"/>
    <w:rsid w:val="61EF2482"/>
    <w:rsid w:val="62053A53"/>
    <w:rsid w:val="62093465"/>
    <w:rsid w:val="62285994"/>
    <w:rsid w:val="622C604C"/>
    <w:rsid w:val="62315204"/>
    <w:rsid w:val="62774225"/>
    <w:rsid w:val="62791D4B"/>
    <w:rsid w:val="627E61E2"/>
    <w:rsid w:val="62887952"/>
    <w:rsid w:val="629959E1"/>
    <w:rsid w:val="62A80882"/>
    <w:rsid w:val="62B8336A"/>
    <w:rsid w:val="62C21944"/>
    <w:rsid w:val="63356EA3"/>
    <w:rsid w:val="634A36E8"/>
    <w:rsid w:val="634E3757"/>
    <w:rsid w:val="63534C92"/>
    <w:rsid w:val="63656CDE"/>
    <w:rsid w:val="639F3A33"/>
    <w:rsid w:val="63B62357"/>
    <w:rsid w:val="63C17E4E"/>
    <w:rsid w:val="63DA2B13"/>
    <w:rsid w:val="64337579"/>
    <w:rsid w:val="64441196"/>
    <w:rsid w:val="647C5B23"/>
    <w:rsid w:val="648C045C"/>
    <w:rsid w:val="64B57E33"/>
    <w:rsid w:val="64C7287D"/>
    <w:rsid w:val="64E96014"/>
    <w:rsid w:val="64F079D1"/>
    <w:rsid w:val="64F8789F"/>
    <w:rsid w:val="65091B75"/>
    <w:rsid w:val="650A529E"/>
    <w:rsid w:val="658D2E1A"/>
    <w:rsid w:val="659924AE"/>
    <w:rsid w:val="65AF7D19"/>
    <w:rsid w:val="65B37C6A"/>
    <w:rsid w:val="65BC6440"/>
    <w:rsid w:val="65C36E7F"/>
    <w:rsid w:val="65C377A8"/>
    <w:rsid w:val="65D21A26"/>
    <w:rsid w:val="65D77607"/>
    <w:rsid w:val="65E16A5E"/>
    <w:rsid w:val="65F8381D"/>
    <w:rsid w:val="65FF0419"/>
    <w:rsid w:val="662D28C7"/>
    <w:rsid w:val="66304E17"/>
    <w:rsid w:val="663B7430"/>
    <w:rsid w:val="666A657B"/>
    <w:rsid w:val="666E6ABD"/>
    <w:rsid w:val="668A09CB"/>
    <w:rsid w:val="66910A64"/>
    <w:rsid w:val="66BB10BA"/>
    <w:rsid w:val="66DC1490"/>
    <w:rsid w:val="66F70D57"/>
    <w:rsid w:val="66F9789B"/>
    <w:rsid w:val="67041E9C"/>
    <w:rsid w:val="672A0BC3"/>
    <w:rsid w:val="67432D2D"/>
    <w:rsid w:val="67612BDF"/>
    <w:rsid w:val="67747E39"/>
    <w:rsid w:val="67B6770E"/>
    <w:rsid w:val="67D550D7"/>
    <w:rsid w:val="67D839B8"/>
    <w:rsid w:val="67DC3695"/>
    <w:rsid w:val="67F51E74"/>
    <w:rsid w:val="681704B2"/>
    <w:rsid w:val="684E2CEF"/>
    <w:rsid w:val="685D46EF"/>
    <w:rsid w:val="68630BBB"/>
    <w:rsid w:val="687775B2"/>
    <w:rsid w:val="6886673A"/>
    <w:rsid w:val="68A20E6E"/>
    <w:rsid w:val="68A67612"/>
    <w:rsid w:val="68C308A3"/>
    <w:rsid w:val="68CF4DBB"/>
    <w:rsid w:val="68E62D90"/>
    <w:rsid w:val="68F72570"/>
    <w:rsid w:val="69004F74"/>
    <w:rsid w:val="695C0685"/>
    <w:rsid w:val="698711F2"/>
    <w:rsid w:val="699F29DF"/>
    <w:rsid w:val="69AF0748"/>
    <w:rsid w:val="69CA7330"/>
    <w:rsid w:val="6A1B14A7"/>
    <w:rsid w:val="6A8607DE"/>
    <w:rsid w:val="6AE5012B"/>
    <w:rsid w:val="6B2036AC"/>
    <w:rsid w:val="6B241A17"/>
    <w:rsid w:val="6B526E64"/>
    <w:rsid w:val="6B621784"/>
    <w:rsid w:val="6B7636D8"/>
    <w:rsid w:val="6BB769F5"/>
    <w:rsid w:val="6BC56001"/>
    <w:rsid w:val="6BFB5F36"/>
    <w:rsid w:val="6C0340C7"/>
    <w:rsid w:val="6C1763DF"/>
    <w:rsid w:val="6C243C35"/>
    <w:rsid w:val="6C6B6BA9"/>
    <w:rsid w:val="6C711CE5"/>
    <w:rsid w:val="6C7A0129"/>
    <w:rsid w:val="6C8E2897"/>
    <w:rsid w:val="6CA236F0"/>
    <w:rsid w:val="6CBC38D4"/>
    <w:rsid w:val="6CFC0D94"/>
    <w:rsid w:val="6D12241C"/>
    <w:rsid w:val="6D1A4D4E"/>
    <w:rsid w:val="6D205184"/>
    <w:rsid w:val="6D3E42BD"/>
    <w:rsid w:val="6D635AD2"/>
    <w:rsid w:val="6DAE0672"/>
    <w:rsid w:val="6DAF4A8A"/>
    <w:rsid w:val="6DC66B43"/>
    <w:rsid w:val="6DE01975"/>
    <w:rsid w:val="6DE44E65"/>
    <w:rsid w:val="6DF130DE"/>
    <w:rsid w:val="6E0B0643"/>
    <w:rsid w:val="6E1148C4"/>
    <w:rsid w:val="6E307078"/>
    <w:rsid w:val="6E874588"/>
    <w:rsid w:val="6E8827BD"/>
    <w:rsid w:val="6E891096"/>
    <w:rsid w:val="6E8C1058"/>
    <w:rsid w:val="6E914282"/>
    <w:rsid w:val="6E9C0F6F"/>
    <w:rsid w:val="6EA22AE8"/>
    <w:rsid w:val="6EAB5982"/>
    <w:rsid w:val="6EBD617B"/>
    <w:rsid w:val="6EC151A6"/>
    <w:rsid w:val="6EDA6DA8"/>
    <w:rsid w:val="6EFC4430"/>
    <w:rsid w:val="6EFC61DE"/>
    <w:rsid w:val="6EFC7F8C"/>
    <w:rsid w:val="6F0B6421"/>
    <w:rsid w:val="6F0E4EC3"/>
    <w:rsid w:val="6F237781"/>
    <w:rsid w:val="6F35389E"/>
    <w:rsid w:val="6F4A0AC3"/>
    <w:rsid w:val="6F592FEF"/>
    <w:rsid w:val="6F665B7C"/>
    <w:rsid w:val="6F6873CF"/>
    <w:rsid w:val="6F7E2012"/>
    <w:rsid w:val="6F802AE9"/>
    <w:rsid w:val="6FCA008A"/>
    <w:rsid w:val="6FE94D6B"/>
    <w:rsid w:val="6FF43B88"/>
    <w:rsid w:val="701D57EA"/>
    <w:rsid w:val="70343755"/>
    <w:rsid w:val="70437B92"/>
    <w:rsid w:val="70557737"/>
    <w:rsid w:val="706B17D2"/>
    <w:rsid w:val="70AB3A18"/>
    <w:rsid w:val="71023109"/>
    <w:rsid w:val="71165463"/>
    <w:rsid w:val="713A2FED"/>
    <w:rsid w:val="715776FB"/>
    <w:rsid w:val="715B4955"/>
    <w:rsid w:val="71662034"/>
    <w:rsid w:val="716F0EE9"/>
    <w:rsid w:val="71AD7318"/>
    <w:rsid w:val="71B95585"/>
    <w:rsid w:val="71C37A53"/>
    <w:rsid w:val="71EA67C2"/>
    <w:rsid w:val="71F4290C"/>
    <w:rsid w:val="71F96A05"/>
    <w:rsid w:val="722C0B88"/>
    <w:rsid w:val="723B0DCB"/>
    <w:rsid w:val="723C2249"/>
    <w:rsid w:val="72553376"/>
    <w:rsid w:val="725620A9"/>
    <w:rsid w:val="7258372B"/>
    <w:rsid w:val="72661331"/>
    <w:rsid w:val="726D70E7"/>
    <w:rsid w:val="72A33D23"/>
    <w:rsid w:val="72A63D8F"/>
    <w:rsid w:val="72B34074"/>
    <w:rsid w:val="72ED2879"/>
    <w:rsid w:val="7354396B"/>
    <w:rsid w:val="736B1B84"/>
    <w:rsid w:val="73935C8F"/>
    <w:rsid w:val="73AE50E8"/>
    <w:rsid w:val="73CC2623"/>
    <w:rsid w:val="73E159A2"/>
    <w:rsid w:val="73E45F39"/>
    <w:rsid w:val="7433664C"/>
    <w:rsid w:val="7439758C"/>
    <w:rsid w:val="744E128A"/>
    <w:rsid w:val="74533190"/>
    <w:rsid w:val="746068B0"/>
    <w:rsid w:val="746C7962"/>
    <w:rsid w:val="746F6209"/>
    <w:rsid w:val="74745056"/>
    <w:rsid w:val="747D74F0"/>
    <w:rsid w:val="747E376B"/>
    <w:rsid w:val="7487479C"/>
    <w:rsid w:val="748A0CDC"/>
    <w:rsid w:val="749E7403"/>
    <w:rsid w:val="74C31ECB"/>
    <w:rsid w:val="74C55BC9"/>
    <w:rsid w:val="74C76DD9"/>
    <w:rsid w:val="74D161D0"/>
    <w:rsid w:val="74DF72FD"/>
    <w:rsid w:val="74E02903"/>
    <w:rsid w:val="74EF031B"/>
    <w:rsid w:val="75120509"/>
    <w:rsid w:val="753C2048"/>
    <w:rsid w:val="754C58BE"/>
    <w:rsid w:val="75562C62"/>
    <w:rsid w:val="756C7973"/>
    <w:rsid w:val="756E14B8"/>
    <w:rsid w:val="756E2766"/>
    <w:rsid w:val="757329BF"/>
    <w:rsid w:val="75942919"/>
    <w:rsid w:val="75CA4035"/>
    <w:rsid w:val="75DA7409"/>
    <w:rsid w:val="75FE0A8D"/>
    <w:rsid w:val="75FF74B3"/>
    <w:rsid w:val="760627EA"/>
    <w:rsid w:val="76072D30"/>
    <w:rsid w:val="76235D60"/>
    <w:rsid w:val="76432944"/>
    <w:rsid w:val="764B4A40"/>
    <w:rsid w:val="76570024"/>
    <w:rsid w:val="76741EFF"/>
    <w:rsid w:val="767F3633"/>
    <w:rsid w:val="76CB3D9D"/>
    <w:rsid w:val="770F2826"/>
    <w:rsid w:val="77137762"/>
    <w:rsid w:val="772E591C"/>
    <w:rsid w:val="774E334F"/>
    <w:rsid w:val="77514BED"/>
    <w:rsid w:val="779F05D7"/>
    <w:rsid w:val="77AA57AB"/>
    <w:rsid w:val="77B853B0"/>
    <w:rsid w:val="77C975EC"/>
    <w:rsid w:val="77CD2E56"/>
    <w:rsid w:val="78025729"/>
    <w:rsid w:val="78095E6D"/>
    <w:rsid w:val="782533F8"/>
    <w:rsid w:val="782F6799"/>
    <w:rsid w:val="785717B2"/>
    <w:rsid w:val="785C79B0"/>
    <w:rsid w:val="786555D6"/>
    <w:rsid w:val="78861CB8"/>
    <w:rsid w:val="788F1E71"/>
    <w:rsid w:val="78985D43"/>
    <w:rsid w:val="78B96EEE"/>
    <w:rsid w:val="79020895"/>
    <w:rsid w:val="7915336D"/>
    <w:rsid w:val="791B3704"/>
    <w:rsid w:val="79525E57"/>
    <w:rsid w:val="79764F6E"/>
    <w:rsid w:val="797D6080"/>
    <w:rsid w:val="79985388"/>
    <w:rsid w:val="79CD0628"/>
    <w:rsid w:val="79DF61E4"/>
    <w:rsid w:val="79FB1692"/>
    <w:rsid w:val="7A0B2C16"/>
    <w:rsid w:val="7A252A8D"/>
    <w:rsid w:val="7A462FDC"/>
    <w:rsid w:val="7A5E7371"/>
    <w:rsid w:val="7A986238"/>
    <w:rsid w:val="7AA47652"/>
    <w:rsid w:val="7AA867A5"/>
    <w:rsid w:val="7AAA36FF"/>
    <w:rsid w:val="7AAA4D40"/>
    <w:rsid w:val="7AB23BF5"/>
    <w:rsid w:val="7AC1208A"/>
    <w:rsid w:val="7B1D3764"/>
    <w:rsid w:val="7B9A3006"/>
    <w:rsid w:val="7B9B0392"/>
    <w:rsid w:val="7BAD6BCB"/>
    <w:rsid w:val="7BC26EAA"/>
    <w:rsid w:val="7BE973F8"/>
    <w:rsid w:val="7BFA3AA5"/>
    <w:rsid w:val="7C0140BA"/>
    <w:rsid w:val="7C1032C9"/>
    <w:rsid w:val="7C2648D1"/>
    <w:rsid w:val="7C3B495F"/>
    <w:rsid w:val="7C4B3694"/>
    <w:rsid w:val="7C9C4E59"/>
    <w:rsid w:val="7CA53A11"/>
    <w:rsid w:val="7CB65C1E"/>
    <w:rsid w:val="7CEF7382"/>
    <w:rsid w:val="7CFA00E7"/>
    <w:rsid w:val="7D0F3580"/>
    <w:rsid w:val="7D3E28A7"/>
    <w:rsid w:val="7D5F17F9"/>
    <w:rsid w:val="7D6F0591"/>
    <w:rsid w:val="7DD30A52"/>
    <w:rsid w:val="7DF64494"/>
    <w:rsid w:val="7E182EF8"/>
    <w:rsid w:val="7E2F1D63"/>
    <w:rsid w:val="7E4E00D8"/>
    <w:rsid w:val="7E527BC8"/>
    <w:rsid w:val="7E6E42D6"/>
    <w:rsid w:val="7EC66735"/>
    <w:rsid w:val="7ED319DB"/>
    <w:rsid w:val="7ED445E9"/>
    <w:rsid w:val="7EDA5BEA"/>
    <w:rsid w:val="7F2442D3"/>
    <w:rsid w:val="7FBB38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58"/>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59"/>
    <w:qFormat/>
    <w:uiPriority w:val="0"/>
    <w:pPr>
      <w:keepNext/>
      <w:keepLines/>
      <w:spacing w:before="260" w:after="260" w:line="416" w:lineRule="auto"/>
      <w:outlineLvl w:val="1"/>
    </w:pPr>
    <w:rPr>
      <w:rFonts w:ascii="Arial" w:hAnsi="Arial" w:eastAsia="黑体"/>
      <w:b/>
      <w:bCs/>
      <w:kern w:val="0"/>
      <w:sz w:val="32"/>
      <w:szCs w:val="32"/>
    </w:rPr>
  </w:style>
  <w:style w:type="paragraph" w:styleId="7">
    <w:name w:val="heading 3"/>
    <w:basedOn w:val="1"/>
    <w:next w:val="1"/>
    <w:link w:val="60"/>
    <w:qFormat/>
    <w:uiPriority w:val="0"/>
    <w:pPr>
      <w:keepNext/>
      <w:keepLines/>
      <w:spacing w:before="260" w:after="260" w:line="416" w:lineRule="auto"/>
      <w:outlineLvl w:val="2"/>
    </w:pPr>
    <w:rPr>
      <w:b/>
      <w:bCs/>
      <w:kern w:val="0"/>
      <w:sz w:val="32"/>
      <w:szCs w:val="32"/>
    </w:rPr>
  </w:style>
  <w:style w:type="paragraph" w:styleId="8">
    <w:name w:val="heading 5"/>
    <w:basedOn w:val="1"/>
    <w:next w:val="9"/>
    <w:link w:val="61"/>
    <w:qFormat/>
    <w:uiPriority w:val="0"/>
    <w:pPr>
      <w:keepNext/>
      <w:keepLines/>
      <w:numPr>
        <w:ilvl w:val="4"/>
        <w:numId w:val="1"/>
      </w:numPr>
      <w:spacing w:before="280" w:after="290" w:line="376" w:lineRule="auto"/>
      <w:outlineLvl w:val="4"/>
    </w:pPr>
    <w:rPr>
      <w:b/>
      <w:sz w:val="28"/>
    </w:rPr>
  </w:style>
  <w:style w:type="paragraph" w:styleId="10">
    <w:name w:val="heading 6"/>
    <w:basedOn w:val="1"/>
    <w:next w:val="9"/>
    <w:link w:val="62"/>
    <w:qFormat/>
    <w:uiPriority w:val="0"/>
    <w:pPr>
      <w:keepNext/>
      <w:keepLines/>
      <w:numPr>
        <w:ilvl w:val="5"/>
        <w:numId w:val="1"/>
      </w:numPr>
      <w:spacing w:before="240" w:after="64" w:line="320" w:lineRule="auto"/>
      <w:outlineLvl w:val="5"/>
    </w:pPr>
    <w:rPr>
      <w:rFonts w:ascii="Arial" w:hAnsi="Arial" w:eastAsia="黑体"/>
      <w:b/>
      <w:sz w:val="24"/>
    </w:rPr>
  </w:style>
  <w:style w:type="paragraph" w:styleId="11">
    <w:name w:val="heading 7"/>
    <w:basedOn w:val="1"/>
    <w:next w:val="9"/>
    <w:link w:val="63"/>
    <w:qFormat/>
    <w:uiPriority w:val="0"/>
    <w:pPr>
      <w:keepNext/>
      <w:keepLines/>
      <w:numPr>
        <w:ilvl w:val="6"/>
        <w:numId w:val="1"/>
      </w:numPr>
      <w:spacing w:before="240" w:after="64" w:line="320" w:lineRule="auto"/>
      <w:outlineLvl w:val="6"/>
    </w:pPr>
    <w:rPr>
      <w:b/>
      <w:sz w:val="24"/>
    </w:rPr>
  </w:style>
  <w:style w:type="paragraph" w:styleId="12">
    <w:name w:val="heading 8"/>
    <w:basedOn w:val="1"/>
    <w:next w:val="9"/>
    <w:link w:val="64"/>
    <w:qFormat/>
    <w:uiPriority w:val="0"/>
    <w:pPr>
      <w:keepNext/>
      <w:keepLines/>
      <w:numPr>
        <w:ilvl w:val="7"/>
        <w:numId w:val="1"/>
      </w:numPr>
      <w:spacing w:before="240" w:after="64" w:line="320" w:lineRule="auto"/>
      <w:outlineLvl w:val="7"/>
    </w:pPr>
    <w:rPr>
      <w:rFonts w:ascii="Arial" w:hAnsi="Arial" w:eastAsia="黑体"/>
      <w:sz w:val="24"/>
    </w:rPr>
  </w:style>
  <w:style w:type="paragraph" w:styleId="13">
    <w:name w:val="heading 9"/>
    <w:basedOn w:val="1"/>
    <w:next w:val="9"/>
    <w:link w:val="65"/>
    <w:qFormat/>
    <w:uiPriority w:val="0"/>
    <w:pPr>
      <w:keepNext/>
      <w:keepLines/>
      <w:numPr>
        <w:ilvl w:val="8"/>
        <w:numId w:val="1"/>
      </w:numPr>
      <w:spacing w:before="240" w:after="64" w:line="320" w:lineRule="auto"/>
      <w:outlineLvl w:val="8"/>
    </w:pPr>
    <w:rPr>
      <w:rFonts w:ascii="Arial" w:hAnsi="Arial" w:eastAsia="黑体"/>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spacing w:after="120"/>
      <w:ind w:left="420" w:leftChars="200" w:firstLine="420" w:firstLineChars="200"/>
    </w:pPr>
    <w:rPr>
      <w:rFonts w:ascii="Times New Roman" w:eastAsia="宋体"/>
      <w:kern w:val="2"/>
      <w:sz w:val="21"/>
      <w:szCs w:val="24"/>
    </w:rPr>
  </w:style>
  <w:style w:type="paragraph" w:styleId="3">
    <w:name w:val="Body Text Indent"/>
    <w:basedOn w:val="1"/>
    <w:next w:val="4"/>
    <w:link w:val="71"/>
    <w:qFormat/>
    <w:uiPriority w:val="0"/>
    <w:pPr>
      <w:ind w:firstLine="830" w:firstLineChars="352"/>
    </w:pPr>
    <w:rPr>
      <w:rFonts w:ascii="仿宋_GB2312" w:eastAsia="仿宋_GB2312"/>
      <w:kern w:val="0"/>
      <w:sz w:val="32"/>
      <w:szCs w:val="20"/>
    </w:rPr>
  </w:style>
  <w:style w:type="paragraph" w:customStyle="1" w:styleId="4">
    <w:name w:val="标准正文 Char Char Char Char"/>
    <w:basedOn w:val="1"/>
    <w:next w:val="1"/>
    <w:qFormat/>
    <w:uiPriority w:val="0"/>
    <w:pPr>
      <w:spacing w:after="60"/>
      <w:ind w:firstLine="482"/>
    </w:pPr>
    <w:rPr>
      <w:kern w:val="0"/>
      <w:sz w:val="20"/>
      <w:szCs w:val="20"/>
    </w:rPr>
  </w:style>
  <w:style w:type="paragraph" w:styleId="9">
    <w:name w:val="Normal Indent"/>
    <w:basedOn w:val="1"/>
    <w:qFormat/>
    <w:uiPriority w:val="0"/>
    <w:pPr>
      <w:ind w:firstLine="420"/>
    </w:pPr>
    <w:rPr>
      <w:szCs w:val="20"/>
    </w:rPr>
  </w:style>
  <w:style w:type="paragraph" w:styleId="14">
    <w:name w:val="toc 7"/>
    <w:basedOn w:val="1"/>
    <w:next w:val="1"/>
    <w:unhideWhenUsed/>
    <w:qFormat/>
    <w:uiPriority w:val="39"/>
    <w:pPr>
      <w:ind w:left="2520" w:leftChars="1200"/>
    </w:pPr>
    <w:rPr>
      <w:rFonts w:ascii="Calibri" w:hAnsi="Calibri"/>
      <w:szCs w:val="22"/>
    </w:rPr>
  </w:style>
  <w:style w:type="paragraph" w:styleId="15">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6">
    <w:name w:val="caption"/>
    <w:basedOn w:val="1"/>
    <w:next w:val="1"/>
    <w:qFormat/>
    <w:uiPriority w:val="0"/>
    <w:pPr>
      <w:spacing w:before="152" w:after="160"/>
    </w:pPr>
    <w:rPr>
      <w:rFonts w:ascii="Arial" w:hAnsi="Arial" w:eastAsia="黑体" w:cs="Arial"/>
      <w:sz w:val="20"/>
      <w:szCs w:val="20"/>
    </w:rPr>
  </w:style>
  <w:style w:type="paragraph" w:styleId="17">
    <w:name w:val="Document Map"/>
    <w:basedOn w:val="1"/>
    <w:link w:val="66"/>
    <w:unhideWhenUsed/>
    <w:qFormat/>
    <w:uiPriority w:val="0"/>
    <w:pPr>
      <w:shd w:val="clear" w:color="auto" w:fill="000080"/>
    </w:pPr>
    <w:rPr>
      <w:rFonts w:hint="eastAsia" w:ascii="宋体" w:hAnsi="宋体"/>
      <w:kern w:val="0"/>
      <w:sz w:val="20"/>
      <w:szCs w:val="20"/>
    </w:rPr>
  </w:style>
  <w:style w:type="paragraph" w:styleId="18">
    <w:name w:val="annotation text"/>
    <w:basedOn w:val="1"/>
    <w:link w:val="67"/>
    <w:unhideWhenUsed/>
    <w:qFormat/>
    <w:uiPriority w:val="0"/>
    <w:pPr>
      <w:jc w:val="left"/>
    </w:pPr>
  </w:style>
  <w:style w:type="paragraph" w:styleId="19">
    <w:name w:val="Body Text 3"/>
    <w:basedOn w:val="1"/>
    <w:link w:val="68"/>
    <w:qFormat/>
    <w:uiPriority w:val="0"/>
    <w:pPr>
      <w:spacing w:line="500" w:lineRule="exact"/>
    </w:pPr>
    <w:rPr>
      <w:b/>
      <w:bCs/>
      <w:kern w:val="0"/>
      <w:sz w:val="24"/>
    </w:rPr>
  </w:style>
  <w:style w:type="paragraph" w:styleId="20">
    <w:name w:val="Body Text"/>
    <w:basedOn w:val="1"/>
    <w:link w:val="69"/>
    <w:qFormat/>
    <w:uiPriority w:val="99"/>
    <w:pPr>
      <w:spacing w:line="380" w:lineRule="exact"/>
    </w:pPr>
    <w:rPr>
      <w:kern w:val="0"/>
      <w:sz w:val="24"/>
    </w:rPr>
  </w:style>
  <w:style w:type="paragraph" w:styleId="21">
    <w:name w:val="List Number 3"/>
    <w:basedOn w:val="1"/>
    <w:qFormat/>
    <w:uiPriority w:val="0"/>
    <w:pPr>
      <w:numPr>
        <w:ilvl w:val="0"/>
        <w:numId w:val="2"/>
      </w:numPr>
    </w:pPr>
  </w:style>
  <w:style w:type="paragraph" w:styleId="22">
    <w:name w:val="List 2"/>
    <w:basedOn w:val="1"/>
    <w:qFormat/>
    <w:uiPriority w:val="0"/>
    <w:pPr>
      <w:ind w:left="100" w:leftChars="200" w:hanging="200" w:hangingChars="200"/>
    </w:pPr>
    <w:rPr>
      <w:sz w:val="28"/>
    </w:rPr>
  </w:style>
  <w:style w:type="paragraph" w:styleId="23">
    <w:name w:val="toc 5"/>
    <w:basedOn w:val="1"/>
    <w:next w:val="1"/>
    <w:unhideWhenUsed/>
    <w:qFormat/>
    <w:uiPriority w:val="39"/>
    <w:pPr>
      <w:ind w:left="1680" w:leftChars="800"/>
    </w:pPr>
    <w:rPr>
      <w:rFonts w:ascii="Calibri" w:hAnsi="Calibri"/>
      <w:szCs w:val="22"/>
    </w:rPr>
  </w:style>
  <w:style w:type="paragraph" w:styleId="24">
    <w:name w:val="toc 3"/>
    <w:basedOn w:val="1"/>
    <w:next w:val="1"/>
    <w:unhideWhenUsed/>
    <w:qFormat/>
    <w:uiPriority w:val="39"/>
    <w:pPr>
      <w:ind w:left="840" w:leftChars="400"/>
    </w:pPr>
    <w:rPr>
      <w:rFonts w:ascii="Calibri" w:hAnsi="Calibri"/>
      <w:szCs w:val="22"/>
    </w:rPr>
  </w:style>
  <w:style w:type="paragraph" w:styleId="25">
    <w:name w:val="Plain Text"/>
    <w:basedOn w:val="1"/>
    <w:link w:val="72"/>
    <w:qFormat/>
    <w:uiPriority w:val="0"/>
    <w:rPr>
      <w:rFonts w:ascii="宋体" w:hAnsi="Courier New"/>
      <w:kern w:val="0"/>
      <w:sz w:val="20"/>
      <w:szCs w:val="21"/>
    </w:rPr>
  </w:style>
  <w:style w:type="paragraph" w:styleId="26">
    <w:name w:val="toc 8"/>
    <w:basedOn w:val="1"/>
    <w:next w:val="1"/>
    <w:unhideWhenUsed/>
    <w:qFormat/>
    <w:uiPriority w:val="39"/>
    <w:pPr>
      <w:ind w:left="2940" w:leftChars="1400"/>
    </w:pPr>
    <w:rPr>
      <w:rFonts w:ascii="Calibri" w:hAnsi="Calibri"/>
      <w:szCs w:val="22"/>
    </w:rPr>
  </w:style>
  <w:style w:type="paragraph" w:styleId="27">
    <w:name w:val="Date"/>
    <w:basedOn w:val="1"/>
    <w:next w:val="1"/>
    <w:link w:val="73"/>
    <w:qFormat/>
    <w:uiPriority w:val="0"/>
    <w:pPr>
      <w:ind w:left="100" w:leftChars="2500"/>
    </w:pPr>
    <w:rPr>
      <w:rFonts w:ascii="宋体" w:hAnsi="Courier New"/>
      <w:kern w:val="0"/>
      <w:sz w:val="20"/>
      <w:szCs w:val="21"/>
    </w:rPr>
  </w:style>
  <w:style w:type="paragraph" w:styleId="28">
    <w:name w:val="Body Text Indent 2"/>
    <w:basedOn w:val="1"/>
    <w:link w:val="74"/>
    <w:qFormat/>
    <w:uiPriority w:val="0"/>
    <w:pPr>
      <w:ind w:firstLine="630"/>
    </w:pPr>
    <w:rPr>
      <w:kern w:val="0"/>
      <w:sz w:val="32"/>
      <w:szCs w:val="20"/>
    </w:rPr>
  </w:style>
  <w:style w:type="paragraph" w:styleId="29">
    <w:name w:val="endnote text"/>
    <w:basedOn w:val="1"/>
    <w:link w:val="75"/>
    <w:unhideWhenUsed/>
    <w:qFormat/>
    <w:uiPriority w:val="99"/>
    <w:pPr>
      <w:snapToGrid w:val="0"/>
      <w:jc w:val="left"/>
    </w:pPr>
  </w:style>
  <w:style w:type="paragraph" w:styleId="30">
    <w:name w:val="Balloon Text"/>
    <w:basedOn w:val="1"/>
    <w:link w:val="76"/>
    <w:semiHidden/>
    <w:qFormat/>
    <w:uiPriority w:val="0"/>
    <w:rPr>
      <w:kern w:val="0"/>
      <w:sz w:val="18"/>
      <w:szCs w:val="18"/>
    </w:rPr>
  </w:style>
  <w:style w:type="paragraph" w:styleId="31">
    <w:name w:val="footer"/>
    <w:basedOn w:val="1"/>
    <w:link w:val="77"/>
    <w:unhideWhenUsed/>
    <w:qFormat/>
    <w:uiPriority w:val="99"/>
    <w:pPr>
      <w:tabs>
        <w:tab w:val="center" w:pos="4153"/>
        <w:tab w:val="right" w:pos="8306"/>
      </w:tabs>
      <w:snapToGrid w:val="0"/>
      <w:jc w:val="left"/>
    </w:pPr>
    <w:rPr>
      <w:kern w:val="0"/>
      <w:sz w:val="18"/>
      <w:szCs w:val="18"/>
    </w:rPr>
  </w:style>
  <w:style w:type="paragraph" w:styleId="32">
    <w:name w:val="header"/>
    <w:basedOn w:val="1"/>
    <w:link w:val="78"/>
    <w:unhideWhenUsed/>
    <w:qFormat/>
    <w:uiPriority w:val="99"/>
    <w:pPr>
      <w:pBdr>
        <w:bottom w:val="single" w:color="auto" w:sz="6" w:space="1"/>
      </w:pBdr>
      <w:tabs>
        <w:tab w:val="center" w:pos="0"/>
        <w:tab w:val="left" w:pos="8306"/>
      </w:tabs>
      <w:snapToGrid w:val="0"/>
      <w:jc w:val="center"/>
    </w:pPr>
    <w:rPr>
      <w:sz w:val="18"/>
      <w:szCs w:val="18"/>
    </w:rPr>
  </w:style>
  <w:style w:type="paragraph" w:styleId="33">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4">
    <w:name w:val="toc 4"/>
    <w:basedOn w:val="1"/>
    <w:next w:val="1"/>
    <w:unhideWhenUsed/>
    <w:qFormat/>
    <w:uiPriority w:val="39"/>
    <w:pPr>
      <w:ind w:left="1260" w:leftChars="600"/>
    </w:pPr>
    <w:rPr>
      <w:rFonts w:ascii="Calibri" w:hAnsi="Calibri"/>
      <w:szCs w:val="22"/>
    </w:rPr>
  </w:style>
  <w:style w:type="paragraph" w:styleId="35">
    <w:name w:val="List"/>
    <w:basedOn w:val="1"/>
    <w:qFormat/>
    <w:uiPriority w:val="0"/>
    <w:pPr>
      <w:ind w:left="200" w:hanging="200" w:hangingChars="200"/>
    </w:pPr>
    <w:rPr>
      <w:sz w:val="28"/>
    </w:rPr>
  </w:style>
  <w:style w:type="paragraph" w:styleId="36">
    <w:name w:val="footnote text"/>
    <w:basedOn w:val="1"/>
    <w:link w:val="79"/>
    <w:unhideWhenUsed/>
    <w:qFormat/>
    <w:uiPriority w:val="99"/>
    <w:pPr>
      <w:snapToGrid w:val="0"/>
      <w:jc w:val="left"/>
    </w:pPr>
    <w:rPr>
      <w:sz w:val="18"/>
      <w:szCs w:val="18"/>
    </w:rPr>
  </w:style>
  <w:style w:type="paragraph" w:styleId="37">
    <w:name w:val="toc 6"/>
    <w:basedOn w:val="1"/>
    <w:next w:val="1"/>
    <w:unhideWhenUsed/>
    <w:qFormat/>
    <w:uiPriority w:val="39"/>
    <w:pPr>
      <w:ind w:left="2100" w:leftChars="1000"/>
    </w:pPr>
    <w:rPr>
      <w:rFonts w:ascii="Calibri" w:hAnsi="Calibri"/>
      <w:szCs w:val="22"/>
    </w:rPr>
  </w:style>
  <w:style w:type="paragraph" w:styleId="38">
    <w:name w:val="Body Text Indent 3"/>
    <w:basedOn w:val="1"/>
    <w:link w:val="80"/>
    <w:qFormat/>
    <w:uiPriority w:val="0"/>
    <w:pPr>
      <w:spacing w:after="120"/>
      <w:ind w:left="420" w:leftChars="200"/>
    </w:pPr>
    <w:rPr>
      <w:kern w:val="0"/>
      <w:sz w:val="16"/>
      <w:szCs w:val="16"/>
    </w:rPr>
  </w:style>
  <w:style w:type="paragraph" w:styleId="39">
    <w:name w:val="toc 2"/>
    <w:basedOn w:val="1"/>
    <w:next w:val="1"/>
    <w:unhideWhenUsed/>
    <w:qFormat/>
    <w:uiPriority w:val="39"/>
    <w:pPr>
      <w:ind w:left="420" w:leftChars="200"/>
    </w:pPr>
  </w:style>
  <w:style w:type="paragraph" w:styleId="40">
    <w:name w:val="toc 9"/>
    <w:basedOn w:val="1"/>
    <w:next w:val="1"/>
    <w:unhideWhenUsed/>
    <w:qFormat/>
    <w:uiPriority w:val="39"/>
    <w:pPr>
      <w:ind w:left="3360" w:leftChars="1600"/>
    </w:pPr>
    <w:rPr>
      <w:rFonts w:ascii="Calibri" w:hAnsi="Calibri"/>
      <w:szCs w:val="22"/>
    </w:rPr>
  </w:style>
  <w:style w:type="paragraph" w:styleId="41">
    <w:name w:val="Body Text 2"/>
    <w:basedOn w:val="1"/>
    <w:next w:val="20"/>
    <w:link w:val="70"/>
    <w:qFormat/>
    <w:uiPriority w:val="0"/>
    <w:pPr>
      <w:spacing w:after="120" w:line="480" w:lineRule="auto"/>
    </w:pPr>
    <w:rPr>
      <w:kern w:val="0"/>
      <w:sz w:val="20"/>
    </w:rPr>
  </w:style>
  <w:style w:type="paragraph" w:styleId="42">
    <w:name w:val="Normal (Web)"/>
    <w:basedOn w:val="1"/>
    <w:qFormat/>
    <w:uiPriority w:val="99"/>
    <w:pPr>
      <w:widowControl/>
      <w:spacing w:before="100" w:beforeAutospacing="1" w:after="100" w:afterAutospacing="1"/>
      <w:jc w:val="left"/>
    </w:pPr>
    <w:rPr>
      <w:rFonts w:ascii="宋体" w:hAnsi="宋体"/>
      <w:kern w:val="0"/>
      <w:sz w:val="24"/>
    </w:rPr>
  </w:style>
  <w:style w:type="paragraph" w:styleId="43">
    <w:name w:val="index 1"/>
    <w:basedOn w:val="1"/>
    <w:next w:val="1"/>
    <w:semiHidden/>
    <w:qFormat/>
    <w:uiPriority w:val="0"/>
    <w:pPr>
      <w:spacing w:line="400" w:lineRule="exact"/>
      <w:ind w:firstLine="420" w:firstLineChars="200"/>
    </w:pPr>
    <w:rPr>
      <w:rFonts w:ascii="宋体" w:hAnsi="Courier New"/>
      <w:b/>
      <w:szCs w:val="20"/>
    </w:rPr>
  </w:style>
  <w:style w:type="paragraph" w:styleId="44">
    <w:name w:val="Title"/>
    <w:basedOn w:val="1"/>
    <w:next w:val="1"/>
    <w:link w:val="57"/>
    <w:qFormat/>
    <w:uiPriority w:val="10"/>
    <w:pPr>
      <w:spacing w:before="240" w:after="60"/>
      <w:jc w:val="center"/>
      <w:outlineLvl w:val="0"/>
    </w:pPr>
    <w:rPr>
      <w:rFonts w:ascii="Cambria" w:hAnsi="Cambria"/>
      <w:b/>
      <w:bCs/>
      <w:sz w:val="32"/>
      <w:szCs w:val="32"/>
    </w:rPr>
  </w:style>
  <w:style w:type="paragraph" w:styleId="45">
    <w:name w:val="annotation subject"/>
    <w:basedOn w:val="18"/>
    <w:next w:val="18"/>
    <w:link w:val="81"/>
    <w:unhideWhenUsed/>
    <w:qFormat/>
    <w:uiPriority w:val="99"/>
    <w:rPr>
      <w:b/>
      <w:bCs/>
    </w:rPr>
  </w:style>
  <w:style w:type="table" w:styleId="47">
    <w:name w:val="Table Grid"/>
    <w:basedOn w:val="4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endnote reference"/>
    <w:unhideWhenUsed/>
    <w:qFormat/>
    <w:uiPriority w:val="99"/>
    <w:rPr>
      <w:vertAlign w:val="superscript"/>
    </w:rPr>
  </w:style>
  <w:style w:type="character" w:styleId="50">
    <w:name w:val="page number"/>
    <w:qFormat/>
    <w:uiPriority w:val="0"/>
  </w:style>
  <w:style w:type="character" w:styleId="51">
    <w:name w:val="FollowedHyperlink"/>
    <w:basedOn w:val="48"/>
    <w:qFormat/>
    <w:uiPriority w:val="0"/>
    <w:rPr>
      <w:color w:val="000000"/>
      <w:u w:val="none"/>
    </w:rPr>
  </w:style>
  <w:style w:type="character" w:styleId="52">
    <w:name w:val="Emphasis"/>
    <w:qFormat/>
    <w:uiPriority w:val="20"/>
    <w:rPr>
      <w:i/>
    </w:rPr>
  </w:style>
  <w:style w:type="character" w:styleId="53">
    <w:name w:val="Hyperlink"/>
    <w:qFormat/>
    <w:uiPriority w:val="99"/>
    <w:rPr>
      <w:color w:val="000000"/>
      <w:u w:val="none"/>
    </w:rPr>
  </w:style>
  <w:style w:type="character" w:styleId="54">
    <w:name w:val="annotation reference"/>
    <w:unhideWhenUsed/>
    <w:qFormat/>
    <w:uiPriority w:val="99"/>
    <w:rPr>
      <w:sz w:val="21"/>
      <w:szCs w:val="21"/>
    </w:rPr>
  </w:style>
  <w:style w:type="character" w:styleId="55">
    <w:name w:val="footnote reference"/>
    <w:unhideWhenUsed/>
    <w:qFormat/>
    <w:uiPriority w:val="99"/>
    <w:rPr>
      <w:vertAlign w:val="superscript"/>
    </w:rPr>
  </w:style>
  <w:style w:type="paragraph" w:customStyle="1" w:styleId="56">
    <w:name w:val="Default"/>
    <w:basedOn w:val="44"/>
    <w:next w:val="5"/>
    <w:qFormat/>
    <w:uiPriority w:val="0"/>
    <w:pPr>
      <w:autoSpaceDE w:val="0"/>
      <w:autoSpaceDN w:val="0"/>
      <w:adjustRightInd w:val="0"/>
    </w:pPr>
    <w:rPr>
      <w:rFonts w:ascii="宋体" w:hAnsi="Times New Roman" w:cs="宋体"/>
      <w:color w:val="000000"/>
      <w:sz w:val="24"/>
      <w:szCs w:val="24"/>
    </w:rPr>
  </w:style>
  <w:style w:type="character" w:customStyle="1" w:styleId="57">
    <w:name w:val="标题 字符"/>
    <w:link w:val="44"/>
    <w:qFormat/>
    <w:uiPriority w:val="10"/>
    <w:rPr>
      <w:rFonts w:ascii="Cambria" w:hAnsi="Cambria" w:cs="Times New Roman"/>
      <w:b/>
      <w:bCs/>
      <w:kern w:val="2"/>
      <w:sz w:val="32"/>
      <w:szCs w:val="32"/>
    </w:rPr>
  </w:style>
  <w:style w:type="character" w:customStyle="1" w:styleId="58">
    <w:name w:val="标题 1 字符1"/>
    <w:link w:val="5"/>
    <w:qFormat/>
    <w:uiPriority w:val="0"/>
    <w:rPr>
      <w:rFonts w:ascii="Times New Roman" w:hAnsi="Times New Roman" w:eastAsia="宋体" w:cs="Times New Roman"/>
      <w:b/>
      <w:bCs/>
      <w:kern w:val="44"/>
      <w:sz w:val="44"/>
      <w:szCs w:val="44"/>
    </w:rPr>
  </w:style>
  <w:style w:type="character" w:customStyle="1" w:styleId="59">
    <w:name w:val="标题 2 字符"/>
    <w:link w:val="6"/>
    <w:qFormat/>
    <w:uiPriority w:val="0"/>
    <w:rPr>
      <w:rFonts w:ascii="Arial" w:hAnsi="Arial" w:eastAsia="黑体" w:cs="Times New Roman"/>
      <w:b/>
      <w:bCs/>
      <w:sz w:val="32"/>
      <w:szCs w:val="32"/>
    </w:rPr>
  </w:style>
  <w:style w:type="character" w:customStyle="1" w:styleId="60">
    <w:name w:val="标题 3 字符"/>
    <w:link w:val="7"/>
    <w:qFormat/>
    <w:uiPriority w:val="0"/>
    <w:rPr>
      <w:rFonts w:ascii="Times New Roman" w:hAnsi="Times New Roman" w:eastAsia="宋体" w:cs="Times New Roman"/>
      <w:b/>
      <w:bCs/>
      <w:sz w:val="32"/>
      <w:szCs w:val="32"/>
    </w:rPr>
  </w:style>
  <w:style w:type="character" w:customStyle="1" w:styleId="61">
    <w:name w:val="标题 5 字符"/>
    <w:link w:val="8"/>
    <w:qFormat/>
    <w:uiPriority w:val="0"/>
    <w:rPr>
      <w:b/>
      <w:kern w:val="2"/>
      <w:sz w:val="28"/>
      <w:szCs w:val="24"/>
    </w:rPr>
  </w:style>
  <w:style w:type="character" w:customStyle="1" w:styleId="62">
    <w:name w:val="标题 6 字符"/>
    <w:link w:val="10"/>
    <w:qFormat/>
    <w:uiPriority w:val="0"/>
    <w:rPr>
      <w:rFonts w:ascii="Arial" w:hAnsi="Arial" w:eastAsia="黑体"/>
      <w:b/>
      <w:kern w:val="2"/>
      <w:sz w:val="24"/>
      <w:szCs w:val="24"/>
    </w:rPr>
  </w:style>
  <w:style w:type="character" w:customStyle="1" w:styleId="63">
    <w:name w:val="标题 7 字符"/>
    <w:link w:val="11"/>
    <w:qFormat/>
    <w:uiPriority w:val="0"/>
    <w:rPr>
      <w:rFonts w:ascii="Times New Roman" w:hAnsi="Times New Roman"/>
      <w:b/>
      <w:kern w:val="2"/>
      <w:sz w:val="24"/>
      <w:szCs w:val="24"/>
    </w:rPr>
  </w:style>
  <w:style w:type="character" w:customStyle="1" w:styleId="64">
    <w:name w:val="标题 8 字符"/>
    <w:link w:val="12"/>
    <w:qFormat/>
    <w:uiPriority w:val="0"/>
    <w:rPr>
      <w:rFonts w:ascii="Arial" w:hAnsi="Arial" w:eastAsia="黑体"/>
      <w:kern w:val="2"/>
      <w:sz w:val="24"/>
      <w:szCs w:val="24"/>
    </w:rPr>
  </w:style>
  <w:style w:type="character" w:customStyle="1" w:styleId="65">
    <w:name w:val="标题 9 字符"/>
    <w:link w:val="13"/>
    <w:qFormat/>
    <w:uiPriority w:val="0"/>
    <w:rPr>
      <w:rFonts w:ascii="Arial" w:hAnsi="Arial" w:eastAsia="黑体"/>
      <w:kern w:val="2"/>
      <w:sz w:val="21"/>
      <w:szCs w:val="24"/>
    </w:rPr>
  </w:style>
  <w:style w:type="character" w:customStyle="1" w:styleId="66">
    <w:name w:val="文档结构图 字符"/>
    <w:link w:val="17"/>
    <w:qFormat/>
    <w:uiPriority w:val="0"/>
    <w:rPr>
      <w:rFonts w:hint="eastAsia" w:ascii="宋体" w:hAnsi="宋体" w:eastAsia="宋体" w:cs="宋体"/>
    </w:rPr>
  </w:style>
  <w:style w:type="character" w:customStyle="1" w:styleId="67">
    <w:name w:val="批注文字 字符2"/>
    <w:link w:val="18"/>
    <w:qFormat/>
    <w:uiPriority w:val="0"/>
    <w:rPr>
      <w:rFonts w:ascii="Times New Roman" w:hAnsi="Times New Roman"/>
      <w:kern w:val="2"/>
      <w:sz w:val="21"/>
      <w:szCs w:val="24"/>
    </w:rPr>
  </w:style>
  <w:style w:type="character" w:customStyle="1" w:styleId="68">
    <w:name w:val="正文文本 3 字符"/>
    <w:link w:val="19"/>
    <w:qFormat/>
    <w:uiPriority w:val="0"/>
    <w:rPr>
      <w:rFonts w:ascii="Times New Roman" w:hAnsi="Times New Roman" w:eastAsia="宋体" w:cs="Times New Roman"/>
      <w:b/>
      <w:bCs/>
      <w:sz w:val="24"/>
      <w:szCs w:val="24"/>
    </w:rPr>
  </w:style>
  <w:style w:type="character" w:customStyle="1" w:styleId="69">
    <w:name w:val="正文文本 字符"/>
    <w:link w:val="20"/>
    <w:qFormat/>
    <w:uiPriority w:val="99"/>
    <w:rPr>
      <w:rFonts w:ascii="Times New Roman" w:hAnsi="Times New Roman" w:eastAsia="宋体" w:cs="Times New Roman"/>
      <w:sz w:val="24"/>
      <w:szCs w:val="24"/>
    </w:rPr>
  </w:style>
  <w:style w:type="character" w:customStyle="1" w:styleId="70">
    <w:name w:val="正文文本 2 字符"/>
    <w:link w:val="41"/>
    <w:qFormat/>
    <w:uiPriority w:val="0"/>
    <w:rPr>
      <w:rFonts w:ascii="Times New Roman" w:hAnsi="Times New Roman" w:eastAsia="宋体" w:cs="Times New Roman"/>
      <w:szCs w:val="24"/>
    </w:rPr>
  </w:style>
  <w:style w:type="character" w:customStyle="1" w:styleId="71">
    <w:name w:val="正文文本缩进 字符1"/>
    <w:link w:val="3"/>
    <w:qFormat/>
    <w:uiPriority w:val="0"/>
    <w:rPr>
      <w:rFonts w:ascii="仿宋_GB2312" w:hAnsi="Times New Roman" w:eastAsia="仿宋_GB2312" w:cs="Times New Roman"/>
      <w:sz w:val="32"/>
      <w:szCs w:val="20"/>
    </w:rPr>
  </w:style>
  <w:style w:type="character" w:customStyle="1" w:styleId="72">
    <w:name w:val="纯文本 字符2"/>
    <w:link w:val="25"/>
    <w:qFormat/>
    <w:uiPriority w:val="0"/>
    <w:rPr>
      <w:rFonts w:ascii="宋体" w:hAnsi="Courier New" w:eastAsia="宋体" w:cs="Courier New"/>
      <w:szCs w:val="21"/>
    </w:rPr>
  </w:style>
  <w:style w:type="character" w:customStyle="1" w:styleId="73">
    <w:name w:val="日期 字符"/>
    <w:link w:val="27"/>
    <w:qFormat/>
    <w:uiPriority w:val="0"/>
    <w:rPr>
      <w:rFonts w:ascii="宋体" w:hAnsi="Courier New" w:eastAsia="宋体" w:cs="Courier New"/>
      <w:szCs w:val="21"/>
    </w:rPr>
  </w:style>
  <w:style w:type="character" w:customStyle="1" w:styleId="74">
    <w:name w:val="正文文本缩进 2 字符"/>
    <w:link w:val="28"/>
    <w:qFormat/>
    <w:uiPriority w:val="0"/>
    <w:rPr>
      <w:rFonts w:ascii="Times New Roman" w:hAnsi="Times New Roman" w:eastAsia="宋体" w:cs="Times New Roman"/>
      <w:sz w:val="32"/>
      <w:szCs w:val="20"/>
    </w:rPr>
  </w:style>
  <w:style w:type="character" w:customStyle="1" w:styleId="75">
    <w:name w:val="尾注文本 字符"/>
    <w:link w:val="29"/>
    <w:semiHidden/>
    <w:qFormat/>
    <w:uiPriority w:val="99"/>
    <w:rPr>
      <w:rFonts w:ascii="Times New Roman" w:hAnsi="Times New Roman"/>
      <w:kern w:val="2"/>
      <w:sz w:val="21"/>
      <w:szCs w:val="24"/>
    </w:rPr>
  </w:style>
  <w:style w:type="character" w:customStyle="1" w:styleId="76">
    <w:name w:val="批注框文本 字符"/>
    <w:link w:val="30"/>
    <w:semiHidden/>
    <w:qFormat/>
    <w:uiPriority w:val="0"/>
    <w:rPr>
      <w:rFonts w:ascii="Times New Roman" w:hAnsi="Times New Roman" w:eastAsia="宋体" w:cs="Times New Roman"/>
      <w:sz w:val="18"/>
      <w:szCs w:val="18"/>
    </w:rPr>
  </w:style>
  <w:style w:type="character" w:customStyle="1" w:styleId="77">
    <w:name w:val="页脚 字符1"/>
    <w:link w:val="31"/>
    <w:qFormat/>
    <w:uiPriority w:val="99"/>
    <w:rPr>
      <w:sz w:val="18"/>
      <w:szCs w:val="18"/>
    </w:rPr>
  </w:style>
  <w:style w:type="character" w:customStyle="1" w:styleId="78">
    <w:name w:val="页眉 字符"/>
    <w:link w:val="32"/>
    <w:qFormat/>
    <w:uiPriority w:val="99"/>
    <w:rPr>
      <w:rFonts w:ascii="Times New Roman" w:hAnsi="Times New Roman"/>
      <w:kern w:val="2"/>
      <w:sz w:val="18"/>
      <w:szCs w:val="18"/>
    </w:rPr>
  </w:style>
  <w:style w:type="character" w:customStyle="1" w:styleId="79">
    <w:name w:val="脚注文本 字符"/>
    <w:link w:val="36"/>
    <w:semiHidden/>
    <w:qFormat/>
    <w:uiPriority w:val="99"/>
    <w:rPr>
      <w:rFonts w:ascii="Times New Roman" w:hAnsi="Times New Roman"/>
      <w:kern w:val="2"/>
      <w:sz w:val="18"/>
      <w:szCs w:val="18"/>
    </w:rPr>
  </w:style>
  <w:style w:type="character" w:customStyle="1" w:styleId="80">
    <w:name w:val="正文文本缩进 3 字符"/>
    <w:link w:val="38"/>
    <w:qFormat/>
    <w:uiPriority w:val="0"/>
    <w:rPr>
      <w:rFonts w:ascii="Times New Roman" w:hAnsi="Times New Roman" w:eastAsia="宋体" w:cs="Times New Roman"/>
      <w:sz w:val="16"/>
      <w:szCs w:val="16"/>
    </w:rPr>
  </w:style>
  <w:style w:type="character" w:customStyle="1" w:styleId="81">
    <w:name w:val="批注主题 字符"/>
    <w:link w:val="45"/>
    <w:semiHidden/>
    <w:qFormat/>
    <w:uiPriority w:val="99"/>
    <w:rPr>
      <w:rFonts w:ascii="Times New Roman" w:hAnsi="Times New Roman"/>
      <w:b/>
      <w:bCs/>
      <w:kern w:val="2"/>
      <w:sz w:val="21"/>
      <w:szCs w:val="24"/>
    </w:rPr>
  </w:style>
  <w:style w:type="character" w:customStyle="1" w:styleId="82">
    <w:name w:val="headline-content4"/>
    <w:qFormat/>
    <w:uiPriority w:val="0"/>
  </w:style>
  <w:style w:type="character" w:customStyle="1" w:styleId="83">
    <w:name w:val="font141"/>
    <w:qFormat/>
    <w:uiPriority w:val="0"/>
    <w:rPr>
      <w:rFonts w:hint="eastAsia" w:ascii="宋体" w:hAnsi="宋体" w:eastAsia="宋体" w:cs="宋体"/>
      <w:color w:val="000000"/>
      <w:sz w:val="21"/>
      <w:szCs w:val="21"/>
      <w:u w:val="none"/>
      <w:vertAlign w:val="subscript"/>
    </w:rPr>
  </w:style>
  <w:style w:type="character" w:customStyle="1" w:styleId="84">
    <w:name w:val="纯文本 Char"/>
    <w:qFormat/>
    <w:uiPriority w:val="0"/>
    <w:rPr>
      <w:rFonts w:ascii="宋体" w:hAnsi="Courier New" w:eastAsia="宋体"/>
      <w:kern w:val="2"/>
      <w:sz w:val="21"/>
      <w:lang w:val="en-US" w:eastAsia="zh-CN" w:bidi="ar-SA"/>
    </w:rPr>
  </w:style>
  <w:style w:type="character" w:customStyle="1" w:styleId="85">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86">
    <w:name w:val="font41"/>
    <w:qFormat/>
    <w:uiPriority w:val="0"/>
    <w:rPr>
      <w:rFonts w:hint="eastAsia" w:ascii="宋体" w:hAnsi="宋体" w:eastAsia="宋体" w:cs="宋体"/>
      <w:color w:val="000000"/>
      <w:sz w:val="18"/>
      <w:szCs w:val="18"/>
      <w:u w:val="none"/>
    </w:rPr>
  </w:style>
  <w:style w:type="character" w:customStyle="1" w:styleId="87">
    <w:name w:val="font61"/>
    <w:qFormat/>
    <w:uiPriority w:val="0"/>
    <w:rPr>
      <w:rFonts w:hint="eastAsia" w:ascii="宋体" w:hAnsi="宋体" w:eastAsia="宋体" w:cs="宋体"/>
      <w:color w:val="000000"/>
      <w:sz w:val="18"/>
      <w:szCs w:val="18"/>
      <w:u w:val="none"/>
    </w:rPr>
  </w:style>
  <w:style w:type="character" w:customStyle="1" w:styleId="88">
    <w:name w:val="font11"/>
    <w:qFormat/>
    <w:uiPriority w:val="0"/>
    <w:rPr>
      <w:rFonts w:hint="eastAsia" w:ascii="宋体" w:hAnsi="宋体" w:eastAsia="宋体" w:cs="宋体"/>
      <w:color w:val="000000"/>
      <w:sz w:val="22"/>
      <w:szCs w:val="22"/>
      <w:u w:val="none"/>
    </w:rPr>
  </w:style>
  <w:style w:type="character" w:customStyle="1" w:styleId="89">
    <w:name w:val="apple-style-span"/>
    <w:qFormat/>
    <w:uiPriority w:val="0"/>
  </w:style>
  <w:style w:type="character" w:customStyle="1" w:styleId="90">
    <w:name w:val="批注文字 Char1"/>
    <w:qFormat/>
    <w:locked/>
    <w:uiPriority w:val="0"/>
    <w:rPr>
      <w:rFonts w:ascii="Times New Roman" w:hAnsi="Times New Roman"/>
      <w:kern w:val="2"/>
      <w:sz w:val="21"/>
      <w:szCs w:val="24"/>
    </w:rPr>
  </w:style>
  <w:style w:type="character" w:customStyle="1" w:styleId="91">
    <w:name w:val="font81"/>
    <w:qFormat/>
    <w:uiPriority w:val="0"/>
    <w:rPr>
      <w:rFonts w:hint="default" w:ascii="Calibri" w:hAnsi="Calibri" w:cs="Calibri"/>
      <w:color w:val="000000"/>
      <w:sz w:val="20"/>
      <w:szCs w:val="20"/>
      <w:u w:val="none"/>
    </w:rPr>
  </w:style>
  <w:style w:type="character" w:customStyle="1" w:styleId="92">
    <w:name w:val="font51"/>
    <w:qFormat/>
    <w:uiPriority w:val="0"/>
    <w:rPr>
      <w:rFonts w:hint="eastAsia" w:ascii="宋体" w:hAnsi="宋体" w:eastAsia="宋体" w:cs="宋体"/>
      <w:color w:val="000000"/>
      <w:sz w:val="20"/>
      <w:szCs w:val="20"/>
      <w:u w:val="none"/>
    </w:rPr>
  </w:style>
  <w:style w:type="character" w:customStyle="1" w:styleId="93">
    <w:name w:val="正文文本 Char1"/>
    <w:semiHidden/>
    <w:qFormat/>
    <w:locked/>
    <w:uiPriority w:val="99"/>
    <w:rPr>
      <w:sz w:val="24"/>
      <w:szCs w:val="24"/>
    </w:rPr>
  </w:style>
  <w:style w:type="character" w:customStyle="1" w:styleId="94">
    <w:name w:val="普通文字 Char Char2"/>
    <w:qFormat/>
    <w:uiPriority w:val="0"/>
    <w:rPr>
      <w:rFonts w:ascii="宋体" w:hAnsi="Courier New" w:eastAsia="宋体"/>
      <w:kern w:val="2"/>
      <w:sz w:val="21"/>
      <w:lang w:val="en-US" w:eastAsia="zh-CN" w:bidi="ar-SA"/>
    </w:rPr>
  </w:style>
  <w:style w:type="character" w:customStyle="1" w:styleId="95">
    <w:name w:val="font101"/>
    <w:qFormat/>
    <w:uiPriority w:val="0"/>
    <w:rPr>
      <w:rFonts w:ascii="Arial" w:hAnsi="Arial" w:cs="Arial"/>
      <w:color w:val="000000"/>
      <w:sz w:val="20"/>
      <w:szCs w:val="20"/>
      <w:u w:val="none"/>
    </w:rPr>
  </w:style>
  <w:style w:type="character" w:customStyle="1" w:styleId="96">
    <w:name w:val="textcontents"/>
    <w:qFormat/>
    <w:uiPriority w:val="0"/>
  </w:style>
  <w:style w:type="character" w:customStyle="1" w:styleId="97">
    <w:name w:val="批注文字 字符1"/>
    <w:qFormat/>
    <w:uiPriority w:val="0"/>
    <w:rPr>
      <w:rFonts w:ascii="Times New Roman" w:hAnsi="Times New Roman"/>
      <w:kern w:val="2"/>
      <w:sz w:val="21"/>
      <w:szCs w:val="24"/>
    </w:rPr>
  </w:style>
  <w:style w:type="character" w:customStyle="1" w:styleId="98">
    <w:name w:val="font161"/>
    <w:qFormat/>
    <w:uiPriority w:val="0"/>
    <w:rPr>
      <w:rFonts w:hint="default" w:ascii="Times New Roman" w:hAnsi="Times New Roman" w:cs="Times New Roman"/>
      <w:color w:val="000000"/>
      <w:sz w:val="18"/>
      <w:szCs w:val="18"/>
      <w:u w:val="none"/>
    </w:rPr>
  </w:style>
  <w:style w:type="character" w:customStyle="1" w:styleId="99">
    <w:name w:val="font121"/>
    <w:qFormat/>
    <w:uiPriority w:val="0"/>
    <w:rPr>
      <w:rFonts w:hint="eastAsia" w:ascii="宋体" w:hAnsi="宋体" w:eastAsia="宋体" w:cs="宋体"/>
      <w:color w:val="000000"/>
      <w:sz w:val="18"/>
      <w:szCs w:val="18"/>
      <w:u w:val="none"/>
      <w:vertAlign w:val="superscript"/>
    </w:rPr>
  </w:style>
  <w:style w:type="character" w:customStyle="1" w:styleId="100">
    <w:name w:val="font21"/>
    <w:qFormat/>
    <w:uiPriority w:val="0"/>
    <w:rPr>
      <w:rFonts w:hint="eastAsia" w:ascii="宋体" w:hAnsi="宋体" w:eastAsia="宋体" w:cs="宋体"/>
      <w:color w:val="000000"/>
      <w:sz w:val="22"/>
      <w:szCs w:val="22"/>
      <w:u w:val="none"/>
    </w:rPr>
  </w:style>
  <w:style w:type="character" w:customStyle="1" w:styleId="101">
    <w:name w:val="font31"/>
    <w:qFormat/>
    <w:uiPriority w:val="0"/>
    <w:rPr>
      <w:rFonts w:hint="eastAsia" w:ascii="宋体" w:hAnsi="宋体" w:eastAsia="宋体" w:cs="宋体"/>
      <w:color w:val="000000"/>
      <w:sz w:val="21"/>
      <w:szCs w:val="21"/>
      <w:u w:val="none"/>
    </w:rPr>
  </w:style>
  <w:style w:type="character" w:customStyle="1" w:styleId="102">
    <w:name w:val="标题 5 Char"/>
    <w:qFormat/>
    <w:uiPriority w:val="9"/>
    <w:rPr>
      <w:b/>
      <w:kern w:val="2"/>
      <w:sz w:val="28"/>
      <w:szCs w:val="24"/>
    </w:rPr>
  </w:style>
  <w:style w:type="character" w:customStyle="1" w:styleId="103">
    <w:name w:val="批注文字 Char"/>
    <w:qFormat/>
    <w:uiPriority w:val="99"/>
    <w:rPr>
      <w:rFonts w:ascii="Times New Roman" w:hAnsi="Times New Roman"/>
      <w:kern w:val="2"/>
      <w:sz w:val="21"/>
      <w:szCs w:val="24"/>
    </w:rPr>
  </w:style>
  <w:style w:type="character" w:customStyle="1" w:styleId="104">
    <w:name w:val="font01"/>
    <w:qFormat/>
    <w:uiPriority w:val="0"/>
    <w:rPr>
      <w:rFonts w:hint="eastAsia" w:ascii="宋体" w:hAnsi="宋体" w:eastAsia="宋体" w:cs="宋体"/>
      <w:color w:val="000000"/>
      <w:sz w:val="22"/>
      <w:szCs w:val="22"/>
      <w:u w:val="none"/>
    </w:rPr>
  </w:style>
  <w:style w:type="character" w:customStyle="1" w:styleId="105">
    <w:name w:val="font91"/>
    <w:qFormat/>
    <w:uiPriority w:val="0"/>
    <w:rPr>
      <w:rFonts w:hint="default" w:ascii="Calibri" w:hAnsi="Calibri" w:cs="Calibri"/>
      <w:color w:val="000000"/>
      <w:sz w:val="21"/>
      <w:szCs w:val="21"/>
      <w:u w:val="none"/>
    </w:rPr>
  </w:style>
  <w:style w:type="character" w:customStyle="1" w:styleId="106">
    <w:name w:val="页脚 字符"/>
    <w:qFormat/>
    <w:uiPriority w:val="99"/>
  </w:style>
  <w:style w:type="character" w:customStyle="1" w:styleId="107">
    <w:name w:val="case31"/>
    <w:qFormat/>
    <w:uiPriority w:val="0"/>
    <w:rPr>
      <w:rFonts w:hint="default" w:ascii="_x000B__x000C_" w:hAnsi="_x000B__x000C_"/>
      <w:sz w:val="21"/>
      <w:szCs w:val="21"/>
    </w:rPr>
  </w:style>
  <w:style w:type="character" w:customStyle="1" w:styleId="108">
    <w:name w:val="font131"/>
    <w:qFormat/>
    <w:uiPriority w:val="0"/>
    <w:rPr>
      <w:rFonts w:hint="eastAsia" w:ascii="宋体" w:hAnsi="宋体" w:eastAsia="宋体" w:cs="宋体"/>
      <w:color w:val="000000"/>
      <w:sz w:val="21"/>
      <w:szCs w:val="21"/>
      <w:u w:val="none"/>
      <w:vertAlign w:val="superscript"/>
    </w:rPr>
  </w:style>
  <w:style w:type="character" w:customStyle="1" w:styleId="109">
    <w:name w:val="批注文字 字符"/>
    <w:qFormat/>
    <w:uiPriority w:val="0"/>
    <w:rPr>
      <w:rFonts w:ascii="Times New Roman" w:hAnsi="Times New Roman"/>
      <w:kern w:val="2"/>
      <w:sz w:val="21"/>
      <w:szCs w:val="24"/>
    </w:rPr>
  </w:style>
  <w:style w:type="character" w:customStyle="1" w:styleId="110">
    <w:name w:val="标题 1 Char1"/>
    <w:qFormat/>
    <w:uiPriority w:val="0"/>
    <w:rPr>
      <w:rFonts w:eastAsia="宋体"/>
      <w:b/>
      <w:bCs/>
      <w:kern w:val="44"/>
      <w:sz w:val="44"/>
      <w:szCs w:val="44"/>
      <w:lang w:val="en-US" w:eastAsia="zh-CN" w:bidi="ar-SA"/>
    </w:rPr>
  </w:style>
  <w:style w:type="character" w:customStyle="1" w:styleId="111">
    <w:name w:val="font151"/>
    <w:qFormat/>
    <w:uiPriority w:val="0"/>
    <w:rPr>
      <w:rFonts w:hint="default" w:ascii="Times New Roman" w:hAnsi="Times New Roman" w:cs="Times New Roman"/>
      <w:color w:val="000000"/>
      <w:sz w:val="21"/>
      <w:szCs w:val="21"/>
      <w:u w:val="none"/>
    </w:rPr>
  </w:style>
  <w:style w:type="character" w:customStyle="1" w:styleId="112">
    <w:name w:val="标题 1 字符"/>
    <w:qFormat/>
    <w:uiPriority w:val="9"/>
    <w:rPr>
      <w:rFonts w:ascii="Times New Roman" w:hAnsi="Times New Roman" w:eastAsia="宋体" w:cs="Times New Roman"/>
      <w:b/>
      <w:bCs/>
      <w:kern w:val="44"/>
      <w:sz w:val="44"/>
      <w:szCs w:val="44"/>
    </w:rPr>
  </w:style>
  <w:style w:type="character" w:customStyle="1" w:styleId="113">
    <w:name w:val="正文文本缩进 字符"/>
    <w:qFormat/>
    <w:uiPriority w:val="0"/>
    <w:rPr>
      <w:rFonts w:ascii="仿宋_GB2312" w:hAnsi="Times New Roman" w:eastAsia="仿宋_GB2312" w:cs="Times New Roman"/>
      <w:sz w:val="32"/>
      <w:szCs w:val="20"/>
    </w:rPr>
  </w:style>
  <w:style w:type="character" w:customStyle="1" w:styleId="114">
    <w:name w:val="font112"/>
    <w:qFormat/>
    <w:uiPriority w:val="0"/>
    <w:rPr>
      <w:rFonts w:ascii="Arial" w:hAnsi="Arial" w:cs="Arial"/>
      <w:color w:val="000000"/>
      <w:sz w:val="18"/>
      <w:szCs w:val="18"/>
      <w:u w:val="none"/>
    </w:rPr>
  </w:style>
  <w:style w:type="character" w:customStyle="1" w:styleId="115">
    <w:name w:val="纯文本 字符1"/>
    <w:qFormat/>
    <w:uiPriority w:val="0"/>
    <w:rPr>
      <w:rFonts w:ascii="宋体" w:hAnsi="Courier New"/>
    </w:rPr>
  </w:style>
  <w:style w:type="character" w:customStyle="1" w:styleId="116">
    <w:name w:val="纯文本 字符"/>
    <w:qFormat/>
    <w:uiPriority w:val="0"/>
    <w:rPr>
      <w:rFonts w:ascii="宋体" w:hAnsi="Courier New" w:eastAsia="宋体" w:cs="Courier New"/>
      <w:szCs w:val="21"/>
    </w:rPr>
  </w:style>
  <w:style w:type="paragraph" w:customStyle="1" w:styleId="117">
    <w:name w:val="样式 标题 3 + (中文) 黑体 小四 非加粗 段前: 7.8 磅 段后: 0 磅 行距: 固定值 20 磅"/>
    <w:basedOn w:val="7"/>
    <w:qFormat/>
    <w:uiPriority w:val="0"/>
    <w:pPr>
      <w:spacing w:before="0" w:after="0" w:line="400" w:lineRule="exact"/>
    </w:pPr>
    <w:rPr>
      <w:rFonts w:eastAsia="黑体" w:cs="宋体"/>
      <w:b w:val="0"/>
      <w:bCs w:val="0"/>
      <w:sz w:val="24"/>
      <w:szCs w:val="20"/>
    </w:rPr>
  </w:style>
  <w:style w:type="paragraph" w:customStyle="1" w:styleId="118">
    <w:name w:val="样式 标题 2 + Times New Roman 四号 非加粗 段前: 5 磅 段后: 0 磅 行距: 固定值 20..."/>
    <w:basedOn w:val="6"/>
    <w:qFormat/>
    <w:uiPriority w:val="0"/>
    <w:pPr>
      <w:spacing w:before="100" w:after="0" w:line="400" w:lineRule="exact"/>
    </w:pPr>
    <w:rPr>
      <w:rFonts w:ascii="Times New Roman" w:hAnsi="Times New Roman" w:cs="宋体"/>
      <w:b w:val="0"/>
      <w:bCs w:val="0"/>
      <w:sz w:val="28"/>
      <w:szCs w:val="20"/>
    </w:rPr>
  </w:style>
  <w:style w:type="paragraph" w:styleId="119">
    <w:name w:val="List Paragraph"/>
    <w:basedOn w:val="1"/>
    <w:qFormat/>
    <w:uiPriority w:val="34"/>
    <w:pPr>
      <w:ind w:firstLine="420" w:firstLineChars="200"/>
    </w:pPr>
  </w:style>
  <w:style w:type="paragraph" w:customStyle="1" w:styleId="120">
    <w:name w:val="正文首行缩进两字符"/>
    <w:basedOn w:val="1"/>
    <w:qFormat/>
    <w:uiPriority w:val="0"/>
    <w:pPr>
      <w:spacing w:line="360" w:lineRule="auto"/>
      <w:ind w:firstLine="200" w:firstLineChars="200"/>
    </w:pPr>
  </w:style>
  <w:style w:type="paragraph" w:customStyle="1" w:styleId="121">
    <w:name w:val="样式 首行缩进:  2 字符"/>
    <w:basedOn w:val="1"/>
    <w:qFormat/>
    <w:uiPriority w:val="0"/>
    <w:pPr>
      <w:spacing w:line="400" w:lineRule="exact"/>
      <w:ind w:firstLine="200" w:firstLineChars="200"/>
    </w:pPr>
    <w:rPr>
      <w:rFonts w:cs="宋体"/>
      <w:sz w:val="24"/>
    </w:rPr>
  </w:style>
  <w:style w:type="paragraph" w:customStyle="1" w:styleId="122">
    <w:name w:val="表格"/>
    <w:basedOn w:val="1"/>
    <w:qFormat/>
    <w:uiPriority w:val="0"/>
    <w:pPr>
      <w:spacing w:line="400" w:lineRule="exact"/>
    </w:pPr>
    <w:rPr>
      <w:sz w:val="24"/>
    </w:rPr>
  </w:style>
  <w:style w:type="paragraph" w:customStyle="1" w:styleId="123">
    <w:name w:val="纯文本1"/>
    <w:basedOn w:val="1"/>
    <w:qFormat/>
    <w:uiPriority w:val="0"/>
    <w:rPr>
      <w:rFonts w:ascii="宋体" w:hAnsi="Courier New" w:cs="Century"/>
      <w:szCs w:val="21"/>
    </w:rPr>
  </w:style>
  <w:style w:type="paragraph" w:customStyle="1" w:styleId="124">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25">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26">
    <w:name w:val="默认段落字体 Para Char Char Char Char Char Char Char Char Char1 Char Char Char Char"/>
    <w:basedOn w:val="1"/>
    <w:qFormat/>
    <w:uiPriority w:val="0"/>
    <w:rPr>
      <w:rFonts w:ascii="Tahoma" w:hAnsi="Tahoma"/>
      <w:sz w:val="24"/>
      <w:szCs w:val="20"/>
    </w:rPr>
  </w:style>
  <w:style w:type="paragraph" w:customStyle="1" w:styleId="127">
    <w:name w:val="Char1"/>
    <w:basedOn w:val="1"/>
    <w:qFormat/>
    <w:uiPriority w:val="0"/>
    <w:rPr>
      <w:szCs w:val="21"/>
    </w:rPr>
  </w:style>
  <w:style w:type="paragraph" w:customStyle="1" w:styleId="128">
    <w:name w:val="Table Paragraph"/>
    <w:basedOn w:val="1"/>
    <w:qFormat/>
    <w:uiPriority w:val="1"/>
    <w:pPr>
      <w:jc w:val="left"/>
    </w:pPr>
    <w:rPr>
      <w:rFonts w:ascii="Calibri" w:hAnsi="Calibri"/>
      <w:kern w:val="0"/>
      <w:sz w:val="22"/>
      <w:szCs w:val="22"/>
      <w:lang w:eastAsia="en-US"/>
    </w:rPr>
  </w:style>
  <w:style w:type="paragraph" w:customStyle="1" w:styleId="129">
    <w:name w:val="样式"/>
    <w:qFormat/>
    <w:uiPriority w:val="0"/>
    <w:pPr>
      <w:widowControl w:val="0"/>
      <w:autoSpaceDE w:val="0"/>
      <w:autoSpaceDN w:val="0"/>
      <w:adjustRightInd w:val="0"/>
      <w:jc w:val="center"/>
    </w:pPr>
    <w:rPr>
      <w:rFonts w:ascii="宋体" w:hAnsi="宋体" w:eastAsia="宋体" w:cs="宋体"/>
      <w:sz w:val="24"/>
      <w:szCs w:val="24"/>
      <w:lang w:val="en-US" w:eastAsia="zh-CN" w:bidi="ar-SA"/>
    </w:rPr>
  </w:style>
  <w:style w:type="paragraph" w:customStyle="1" w:styleId="130">
    <w:name w:val="正文段"/>
    <w:basedOn w:val="1"/>
    <w:qFormat/>
    <w:uiPriority w:val="0"/>
    <w:pPr>
      <w:widowControl/>
      <w:snapToGrid w:val="0"/>
      <w:spacing w:after="50" w:afterLines="50"/>
      <w:ind w:firstLine="200" w:firstLineChars="200"/>
    </w:pPr>
    <w:rPr>
      <w:kern w:val="0"/>
      <w:sz w:val="24"/>
      <w:szCs w:val="20"/>
    </w:rPr>
  </w:style>
  <w:style w:type="paragraph" w:customStyle="1" w:styleId="131">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kern w:val="0"/>
      <w:szCs w:val="21"/>
    </w:rPr>
  </w:style>
  <w:style w:type="table" w:customStyle="1" w:styleId="132">
    <w:name w:val="Table Normal"/>
    <w:semiHidden/>
    <w:qFormat/>
    <w:uiPriority w:val="2"/>
    <w:pPr>
      <w:widowControl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133">
    <w:name w:val="正文文本 Char2"/>
    <w:qFormat/>
    <w:uiPriority w:val="99"/>
    <w:rPr>
      <w:rFonts w:ascii="Times New Roman" w:hAnsi="Times New Roman" w:eastAsia="宋体" w:cs="Times New Roman"/>
      <w:sz w:val="24"/>
      <w:szCs w:val="24"/>
    </w:rPr>
  </w:style>
  <w:style w:type="paragraph" w:styleId="134">
    <w:name w:val="No Spacing"/>
    <w:qFormat/>
    <w:uiPriority w:val="0"/>
    <w:rPr>
      <w:rFonts w:hint="eastAsia" w:ascii="Arial Unicode MS" w:hAnsi="Arial Unicode MS" w:eastAsia="Arial Unicode MS" w:cs="Arial Unicode MS"/>
      <w:color w:val="000000"/>
      <w:sz w:val="24"/>
      <w:szCs w:val="24"/>
      <w:lang w:val="en-US" w:eastAsia="zh-CN" w:bidi="ar-SA"/>
    </w:rPr>
  </w:style>
  <w:style w:type="paragraph" w:customStyle="1" w:styleId="135">
    <w:name w:val="_Style 133"/>
    <w:unhideWhenUsed/>
    <w:qFormat/>
    <w:uiPriority w:val="99"/>
    <w:rPr>
      <w:rFonts w:ascii="Times New Roman" w:hAnsi="Times New Roman" w:eastAsia="宋体" w:cs="Times New Roman"/>
      <w:kern w:val="2"/>
      <w:sz w:val="21"/>
      <w:szCs w:val="24"/>
      <w:lang w:val="en-US" w:eastAsia="zh-CN" w:bidi="ar-SA"/>
    </w:rPr>
  </w:style>
  <w:style w:type="paragraph" w:customStyle="1" w:styleId="136">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KWZB;</Company>
  <Pages>90</Pages>
  <Words>3453</Words>
  <Characters>4057</Characters>
  <Lines>415</Lines>
  <Paragraphs>116</Paragraphs>
  <TotalTime>22</TotalTime>
  <ScaleCrop>false</ScaleCrop>
  <LinksUpToDate>false</LinksUpToDate>
  <CharactersWithSpaces>4394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2024-10-17T03:48:00Z</dcterms:created>
  <dc:creator>KWZB</dc:creator>
  <cp:lastModifiedBy>何静</cp:lastModifiedBy>
  <cp:lastPrinted>2023-04-25T07:59:00Z</cp:lastPrinted>
  <dcterms:modified xsi:type="dcterms:W3CDTF">2025-10-23T10:41:33Z</dcterms:modified>
  <dc:title>公开招标采购文件范本</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0516B076411A423FA68356F445F25D96_13</vt:lpwstr>
  </property>
  <property fmtid="{D5CDD505-2E9C-101B-9397-08002B2CF9AE}" pid="4" name="KSOTemplateDocerSaveRecord">
    <vt:lpwstr>eyJoZGlkIjoiNzI1N2VhZDA4ZjkxNTE5ZGQ3MTRhM2E4YTAzNGYyNTYiLCJ1c2VySWQiOiI2NzgwNDkyNDAifQ==</vt:lpwstr>
  </property>
</Properties>
</file>