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F763A">
      <w:pPr>
        <w:spacing w:before="165" w:beforeLines="50" w:line="360" w:lineRule="auto"/>
        <w:jc w:val="center"/>
        <w:rPr>
          <w:rFonts w:ascii="宋体" w:hAnsi="宋体" w:eastAsia="宋体" w:cs="宋体"/>
          <w:color w:val="auto"/>
          <w:sz w:val="52"/>
          <w:szCs w:val="52"/>
          <w:highlight w:val="none"/>
        </w:rPr>
      </w:pPr>
      <w:bookmarkStart w:id="264" w:name="_GoBack"/>
      <w:r>
        <w:rPr>
          <w:rFonts w:hint="eastAsia" w:ascii="宋体" w:hAnsi="宋体" w:eastAsia="宋体" w:cs="宋体"/>
          <w:color w:val="auto"/>
          <w:sz w:val="52"/>
          <w:szCs w:val="52"/>
          <w:highlight w:val="none"/>
        </w:rPr>
        <w:t>南宁市政府采购</w:t>
      </w:r>
    </w:p>
    <w:p w14:paraId="2E0C9993">
      <w:pPr>
        <w:spacing w:before="165" w:beforeLines="50" w:line="360" w:lineRule="auto"/>
        <w:jc w:val="center"/>
        <w:rPr>
          <w:rFonts w:ascii="宋体" w:hAnsi="宋体" w:eastAsia="宋体" w:cs="宋体"/>
          <w:color w:val="auto"/>
          <w:sz w:val="52"/>
          <w:szCs w:val="52"/>
          <w:highlight w:val="none"/>
        </w:rPr>
      </w:pPr>
      <w:r>
        <w:rPr>
          <w:rFonts w:hint="eastAsia" w:ascii="宋体" w:hAnsi="宋体" w:eastAsia="宋体" w:cs="宋体"/>
          <w:color w:val="auto"/>
          <w:sz w:val="52"/>
          <w:szCs w:val="52"/>
          <w:highlight w:val="none"/>
        </w:rPr>
        <w:t>公开征集文件范本（服务类）</w:t>
      </w:r>
    </w:p>
    <w:p w14:paraId="69558D87">
      <w:pPr>
        <w:spacing w:before="165" w:beforeLines="50" w:line="360" w:lineRule="auto"/>
        <w:jc w:val="center"/>
        <w:rPr>
          <w:rFonts w:ascii="宋体" w:hAnsi="宋体" w:eastAsia="宋体" w:cs="宋体"/>
          <w:b/>
          <w:color w:val="auto"/>
          <w:sz w:val="48"/>
          <w:szCs w:val="48"/>
          <w:highlight w:val="none"/>
        </w:rPr>
      </w:pPr>
    </w:p>
    <w:p w14:paraId="5A2E31AD">
      <w:pPr>
        <w:spacing w:before="165" w:beforeLines="50" w:line="360" w:lineRule="auto"/>
        <w:jc w:val="center"/>
        <w:rPr>
          <w:rFonts w:ascii="宋体" w:hAnsi="宋体" w:eastAsia="宋体" w:cs="宋体"/>
          <w:b/>
          <w:color w:val="auto"/>
          <w:sz w:val="48"/>
          <w:szCs w:val="48"/>
          <w:highlight w:val="none"/>
        </w:rPr>
      </w:pPr>
    </w:p>
    <w:p w14:paraId="369DC257">
      <w:pPr>
        <w:snapToGrid w:val="0"/>
        <w:spacing w:before="165" w:beforeLines="50" w:line="360" w:lineRule="auto"/>
        <w:jc w:val="center"/>
        <w:rPr>
          <w:rFonts w:ascii="宋体" w:hAnsi="宋体" w:eastAsia="宋体" w:cs="宋体"/>
          <w:color w:val="auto"/>
          <w:sz w:val="72"/>
          <w:szCs w:val="72"/>
          <w:highlight w:val="none"/>
        </w:rPr>
      </w:pPr>
      <w:r>
        <w:rPr>
          <w:rFonts w:hint="eastAsia" w:ascii="宋体" w:hAnsi="宋体" w:eastAsia="宋体" w:cs="宋体"/>
          <w:color w:val="auto"/>
          <w:sz w:val="72"/>
          <w:szCs w:val="72"/>
          <w:highlight w:val="none"/>
        </w:rPr>
        <w:t>征 集 文 件</w:t>
      </w:r>
    </w:p>
    <w:p w14:paraId="3A68DB85">
      <w:pPr>
        <w:snapToGrid w:val="0"/>
        <w:spacing w:before="165" w:beforeLines="50" w:line="360" w:lineRule="auto"/>
        <w:jc w:val="center"/>
        <w:rPr>
          <w:rFonts w:ascii="宋体" w:hAnsi="宋体" w:eastAsia="宋体" w:cs="宋体"/>
          <w:color w:val="auto"/>
          <w:sz w:val="30"/>
          <w:szCs w:val="72"/>
          <w:highlight w:val="none"/>
        </w:rPr>
      </w:pPr>
      <w:r>
        <w:rPr>
          <w:rFonts w:hint="eastAsia" w:ascii="宋体" w:hAnsi="宋体" w:eastAsia="宋体" w:cs="宋体"/>
          <w:color w:val="auto"/>
          <w:sz w:val="30"/>
          <w:szCs w:val="72"/>
          <w:highlight w:val="none"/>
        </w:rPr>
        <w:t>（全流程电子化评审）</w:t>
      </w:r>
    </w:p>
    <w:p w14:paraId="4EE23459">
      <w:pPr>
        <w:snapToGrid w:val="0"/>
        <w:spacing w:before="165" w:beforeLines="50" w:line="360" w:lineRule="auto"/>
        <w:rPr>
          <w:rFonts w:ascii="宋体" w:hAnsi="宋体" w:eastAsia="宋体" w:cs="宋体"/>
          <w:color w:val="auto"/>
          <w:sz w:val="30"/>
          <w:szCs w:val="72"/>
          <w:highlight w:val="none"/>
        </w:rPr>
      </w:pPr>
    </w:p>
    <w:p w14:paraId="48071F2C">
      <w:pPr>
        <w:snapToGrid w:val="0"/>
        <w:spacing w:before="50" w:after="120" w:line="360" w:lineRule="auto"/>
        <w:ind w:left="2702" w:leftChars="568" w:hanging="1509" w:hangingChars="501"/>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项目名称：</w:t>
      </w:r>
      <w:r>
        <w:rPr>
          <w:rFonts w:hint="eastAsia" w:ascii="宋体" w:hAnsi="宋体" w:eastAsia="宋体" w:cs="宋体"/>
          <w:b/>
          <w:bCs/>
          <w:color w:val="auto"/>
          <w:sz w:val="30"/>
          <w:szCs w:val="30"/>
          <w:highlight w:val="none"/>
          <w:lang w:eastAsia="zh-CN"/>
        </w:rPr>
        <w:t>邕宁区2026-2027年度政府投资建设项目预算审核服务框架协议采购</w:t>
      </w:r>
    </w:p>
    <w:p w14:paraId="7EDF31A6">
      <w:pPr>
        <w:snapToGrid w:val="0"/>
        <w:spacing w:before="165" w:beforeLines="50" w:line="360" w:lineRule="auto"/>
        <w:ind w:firstLine="1145" w:firstLineChars="400"/>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eastAsia="宋体" w:cs="宋体"/>
          <w:b/>
          <w:bCs/>
          <w:color w:val="auto"/>
          <w:w w:val="95"/>
          <w:sz w:val="30"/>
          <w:szCs w:val="30"/>
          <w:highlight w:val="none"/>
          <w:lang w:eastAsia="zh-CN"/>
        </w:rPr>
        <w:t>NNZC2025-K3-090069-KWZB</w:t>
      </w:r>
    </w:p>
    <w:p w14:paraId="385F1A9C">
      <w:pPr>
        <w:snapToGrid w:val="0"/>
        <w:spacing w:before="165" w:beforeLines="50" w:line="360" w:lineRule="auto"/>
        <w:ind w:firstLine="840" w:firstLineChars="400"/>
        <w:rPr>
          <w:rFonts w:ascii="宋体" w:hAnsi="宋体" w:eastAsia="宋体" w:cs="宋体"/>
          <w:b/>
          <w:bCs/>
          <w:color w:val="auto"/>
          <w:w w:val="95"/>
          <w:sz w:val="30"/>
          <w:szCs w:val="30"/>
          <w:highlight w:val="none"/>
        </w:rPr>
      </w:pPr>
      <w:r>
        <w:rPr>
          <w:rFonts w:hint="eastAsia" w:ascii="Times New Roman" w:hAnsi="Times New Roman" w:eastAsia="宋体" w:cs="Times New Roman"/>
          <w:color w:val="auto"/>
          <w:szCs w:val="24"/>
          <w:highlight w:val="none"/>
        </w:rPr>
        <w:t>　</w:t>
      </w:r>
      <w:r>
        <w:rPr>
          <w:rFonts w:hint="eastAsia" w:ascii="宋体" w:hAnsi="宋体" w:eastAsia="宋体" w:cs="宋体"/>
          <w:b/>
          <w:bCs/>
          <w:color w:val="auto"/>
          <w:w w:val="95"/>
          <w:sz w:val="30"/>
          <w:szCs w:val="30"/>
          <w:highlight w:val="none"/>
        </w:rPr>
        <w:t>项目所属区划：</w:t>
      </w:r>
      <w:r>
        <w:rPr>
          <w:rFonts w:hint="eastAsia" w:ascii="宋体" w:hAnsi="宋体" w:eastAsia="宋体" w:cs="宋体"/>
          <w:b/>
          <w:bCs/>
          <w:color w:val="auto"/>
          <w:w w:val="95"/>
          <w:sz w:val="30"/>
          <w:szCs w:val="30"/>
          <w:highlight w:val="none"/>
          <w:u w:val="single"/>
        </w:rPr>
        <w:t xml:space="preserve"> 南宁市邕宁区 </w:t>
      </w:r>
      <w:r>
        <w:rPr>
          <w:rFonts w:hint="eastAsia" w:ascii="宋体" w:hAnsi="宋体" w:eastAsia="宋体" w:cs="宋体"/>
          <w:b/>
          <w:bCs/>
          <w:color w:val="auto"/>
          <w:w w:val="95"/>
          <w:sz w:val="30"/>
          <w:szCs w:val="30"/>
          <w:highlight w:val="none"/>
        </w:rPr>
        <w:t xml:space="preserve">  </w:t>
      </w:r>
    </w:p>
    <w:p w14:paraId="7921B479">
      <w:pPr>
        <w:snapToGrid w:val="0"/>
        <w:spacing w:before="165" w:beforeLines="50" w:line="360" w:lineRule="auto"/>
        <w:ind w:firstLine="1145" w:firstLineChars="400"/>
        <w:rPr>
          <w:rFonts w:ascii="宋体" w:hAnsi="宋体" w:eastAsia="宋体" w:cs="宋体"/>
          <w:b/>
          <w:bCs/>
          <w:color w:val="auto"/>
          <w:w w:val="95"/>
          <w:sz w:val="30"/>
          <w:szCs w:val="30"/>
          <w:highlight w:val="none"/>
        </w:rPr>
      </w:pPr>
      <w:r>
        <w:rPr>
          <w:rFonts w:hint="eastAsia" w:ascii="宋体" w:hAnsi="宋体" w:eastAsia="宋体" w:cs="宋体"/>
          <w:b/>
          <w:bCs/>
          <w:color w:val="auto"/>
          <w:w w:val="95"/>
          <w:sz w:val="30"/>
          <w:szCs w:val="30"/>
          <w:highlight w:val="none"/>
        </w:rPr>
        <w:t>征</w:t>
      </w:r>
      <w:r>
        <w:rPr>
          <w:rFonts w:hint="eastAsia" w:ascii="宋体" w:hAnsi="宋体" w:eastAsia="宋体" w:cs="宋体"/>
          <w:b/>
          <w:bCs/>
          <w:color w:val="auto"/>
          <w:w w:val="95"/>
          <w:sz w:val="30"/>
          <w:szCs w:val="30"/>
          <w:highlight w:val="none"/>
          <w:lang w:val="en-US" w:eastAsia="zh-CN"/>
        </w:rPr>
        <w:t xml:space="preserve"> </w:t>
      </w:r>
      <w:r>
        <w:rPr>
          <w:rFonts w:hint="eastAsia" w:ascii="宋体" w:hAnsi="宋体" w:eastAsia="宋体" w:cs="宋体"/>
          <w:b/>
          <w:bCs/>
          <w:color w:val="auto"/>
          <w:w w:val="95"/>
          <w:sz w:val="30"/>
          <w:szCs w:val="30"/>
          <w:highlight w:val="none"/>
        </w:rPr>
        <w:t>集</w:t>
      </w:r>
      <w:r>
        <w:rPr>
          <w:rFonts w:hint="eastAsia" w:ascii="宋体" w:hAnsi="宋体" w:eastAsia="宋体" w:cs="宋体"/>
          <w:b/>
          <w:bCs/>
          <w:color w:val="auto"/>
          <w:w w:val="95"/>
          <w:sz w:val="30"/>
          <w:szCs w:val="30"/>
          <w:highlight w:val="none"/>
          <w:lang w:val="en-US" w:eastAsia="zh-CN"/>
        </w:rPr>
        <w:t xml:space="preserve"> </w:t>
      </w:r>
      <w:r>
        <w:rPr>
          <w:rFonts w:hint="eastAsia" w:ascii="宋体" w:hAnsi="宋体" w:eastAsia="宋体" w:cs="宋体"/>
          <w:b/>
          <w:bCs/>
          <w:color w:val="auto"/>
          <w:w w:val="95"/>
          <w:sz w:val="30"/>
          <w:szCs w:val="30"/>
          <w:highlight w:val="none"/>
        </w:rPr>
        <w:t>人：南宁市邕宁区财政局</w:t>
      </w:r>
    </w:p>
    <w:p w14:paraId="1BE52C64">
      <w:pPr>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ascii="宋体" w:hAnsi="宋体" w:eastAsia="宋体" w:cs="宋体"/>
          <w:b/>
          <w:bCs/>
          <w:color w:val="auto"/>
          <w:w w:val="95"/>
          <w:sz w:val="30"/>
          <w:szCs w:val="30"/>
          <w:highlight w:val="none"/>
          <w:lang w:eastAsia="zh-CN"/>
        </w:rPr>
        <w:t>广西科文招标有限公司</w:t>
      </w:r>
    </w:p>
    <w:p w14:paraId="66A47FB2">
      <w:pPr>
        <w:snapToGrid w:val="0"/>
        <w:spacing w:before="50" w:after="120" w:line="360" w:lineRule="auto"/>
        <w:ind w:firstLine="841" w:firstLineChars="294"/>
        <w:rPr>
          <w:rFonts w:ascii="宋体" w:hAnsi="宋体" w:eastAsia="宋体" w:cs="宋体"/>
          <w:b/>
          <w:bCs/>
          <w:color w:val="auto"/>
          <w:w w:val="95"/>
          <w:sz w:val="30"/>
          <w:szCs w:val="30"/>
          <w:highlight w:val="none"/>
        </w:rPr>
        <w:sectPr>
          <w:footerReference r:id="rId3" w:type="default"/>
          <w:footerReference r:id="rId4"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b/>
          <w:bCs/>
          <w:color w:val="auto"/>
          <w:w w:val="95"/>
          <w:sz w:val="30"/>
          <w:szCs w:val="30"/>
          <w:highlight w:val="none"/>
        </w:rPr>
        <w:t xml:space="preserve">                     202</w:t>
      </w:r>
      <w:r>
        <w:rPr>
          <w:rFonts w:hint="eastAsia" w:ascii="宋体" w:hAnsi="宋体" w:eastAsia="宋体" w:cs="宋体"/>
          <w:b/>
          <w:bCs/>
          <w:color w:val="auto"/>
          <w:w w:val="95"/>
          <w:sz w:val="30"/>
          <w:szCs w:val="30"/>
          <w:highlight w:val="none"/>
          <w:lang w:val="en-US" w:eastAsia="zh-CN"/>
        </w:rPr>
        <w:t>5</w:t>
      </w:r>
      <w:r>
        <w:rPr>
          <w:rFonts w:hint="eastAsia" w:ascii="宋体" w:hAnsi="宋体" w:eastAsia="宋体" w:cs="宋体"/>
          <w:b/>
          <w:bCs/>
          <w:color w:val="auto"/>
          <w:w w:val="95"/>
          <w:sz w:val="30"/>
          <w:szCs w:val="30"/>
          <w:highlight w:val="none"/>
        </w:rPr>
        <w:t>年</w:t>
      </w:r>
      <w:r>
        <w:rPr>
          <w:rFonts w:hint="eastAsia" w:ascii="宋体" w:hAnsi="宋体" w:eastAsia="宋体" w:cs="宋体"/>
          <w:b/>
          <w:bCs/>
          <w:color w:val="auto"/>
          <w:w w:val="95"/>
          <w:sz w:val="30"/>
          <w:szCs w:val="30"/>
          <w:highlight w:val="none"/>
          <w:lang w:val="en-US" w:eastAsia="zh-CN"/>
        </w:rPr>
        <w:t>11</w:t>
      </w:r>
      <w:r>
        <w:rPr>
          <w:rFonts w:hint="eastAsia" w:ascii="宋体" w:hAnsi="宋体" w:eastAsia="宋体" w:cs="宋体"/>
          <w:b/>
          <w:bCs/>
          <w:color w:val="auto"/>
          <w:w w:val="95"/>
          <w:sz w:val="30"/>
          <w:szCs w:val="30"/>
          <w:highlight w:val="none"/>
        </w:rPr>
        <w:t xml:space="preserve">月  </w:t>
      </w:r>
    </w:p>
    <w:p w14:paraId="3D6E2124">
      <w:pPr>
        <w:jc w:val="center"/>
        <w:rPr>
          <w:rFonts w:ascii="宋体" w:hAnsi="宋体" w:eastAsia="宋体" w:cs="宋体"/>
          <w:b/>
          <w:color w:val="auto"/>
          <w:sz w:val="22"/>
          <w:highlight w:val="none"/>
        </w:rPr>
      </w:pPr>
      <w:r>
        <w:rPr>
          <w:rFonts w:hint="eastAsia" w:ascii="宋体" w:hAnsi="宋体" w:eastAsia="宋体" w:cs="宋体"/>
          <w:b/>
          <w:color w:val="auto"/>
          <w:sz w:val="48"/>
          <w:szCs w:val="48"/>
          <w:highlight w:val="none"/>
        </w:rPr>
        <w:t>目     录</w:t>
      </w:r>
    </w:p>
    <w:p w14:paraId="68C374BD">
      <w:pPr>
        <w:keepNext w:val="0"/>
        <w:keepLines w:val="0"/>
        <w:pageBreakBefore w:val="0"/>
        <w:widowControl w:val="0"/>
        <w:tabs>
          <w:tab w:val="right" w:leader="dot" w:pos="9628"/>
        </w:tabs>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fldChar w:fldCharType="begin"/>
      </w:r>
      <w:r>
        <w:rPr>
          <w:rFonts w:hint="eastAsia" w:ascii="宋体" w:hAnsi="宋体" w:eastAsia="宋体" w:cs="宋体"/>
          <w:color w:val="auto"/>
          <w:sz w:val="32"/>
          <w:szCs w:val="32"/>
          <w:highlight w:val="none"/>
          <w:u w:val="single"/>
        </w:rPr>
        <w:instrText xml:space="preserve"> TOC \o "1-3" \h \z \u </w:instrText>
      </w:r>
      <w:r>
        <w:rPr>
          <w:rFonts w:hint="eastAsia" w:ascii="宋体" w:hAnsi="宋体" w:eastAsia="宋体" w:cs="宋体"/>
          <w:color w:val="auto"/>
          <w:sz w:val="32"/>
          <w:szCs w:val="32"/>
          <w:highlight w:val="none"/>
          <w:u w:val="single"/>
        </w:rPr>
        <w:fldChar w:fldCharType="separate"/>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"_Toc146703268" </w:instrText>
      </w:r>
      <w:r>
        <w:rPr>
          <w:rFonts w:hint="eastAsia" w:ascii="宋体" w:hAnsi="宋体" w:eastAsia="宋体" w:cs="宋体"/>
          <w:color w:val="auto"/>
          <w:sz w:val="32"/>
          <w:szCs w:val="32"/>
          <w:highlight w:val="none"/>
        </w:rPr>
        <w:fldChar w:fldCharType="separate"/>
      </w:r>
      <w:r>
        <w:rPr>
          <w:rFonts w:hint="eastAsia" w:ascii="宋体" w:hAnsi="宋体" w:eastAsia="宋体" w:cs="宋体"/>
          <w:b/>
          <w:bCs/>
          <w:caps/>
          <w:color w:val="auto"/>
          <w:sz w:val="32"/>
          <w:szCs w:val="32"/>
          <w:highlight w:val="none"/>
          <w:u w:val="single"/>
        </w:rPr>
        <w:t>第一章  征集公告</w:t>
      </w:r>
      <w:r>
        <w:rPr>
          <w:rFonts w:hint="eastAsia" w:ascii="宋体" w:hAnsi="宋体" w:eastAsia="宋体" w:cs="宋体"/>
          <w:b/>
          <w:bCs/>
          <w:caps/>
          <w:color w:val="auto"/>
          <w:sz w:val="32"/>
          <w:szCs w:val="32"/>
          <w:highlight w:val="none"/>
          <w:u w:val="single"/>
        </w:rPr>
        <w:tab/>
      </w:r>
      <w:r>
        <w:rPr>
          <w:rFonts w:hint="eastAsia" w:ascii="宋体" w:hAnsi="宋体" w:eastAsia="宋体" w:cs="宋体"/>
          <w:b/>
          <w:bCs/>
          <w:caps/>
          <w:color w:val="auto"/>
          <w:sz w:val="32"/>
          <w:szCs w:val="32"/>
          <w:highlight w:val="none"/>
          <w:u w:val="single"/>
        </w:rPr>
        <w:fldChar w:fldCharType="begin"/>
      </w:r>
      <w:r>
        <w:rPr>
          <w:rFonts w:hint="eastAsia" w:ascii="宋体" w:hAnsi="宋体" w:eastAsia="宋体" w:cs="宋体"/>
          <w:b/>
          <w:bCs/>
          <w:caps/>
          <w:color w:val="auto"/>
          <w:sz w:val="32"/>
          <w:szCs w:val="32"/>
          <w:highlight w:val="none"/>
          <w:u w:val="single"/>
        </w:rPr>
        <w:instrText xml:space="preserve"> PAGEREF _Toc146703268 \h </w:instrText>
      </w:r>
      <w:r>
        <w:rPr>
          <w:rFonts w:hint="eastAsia" w:ascii="宋体" w:hAnsi="宋体" w:eastAsia="宋体" w:cs="宋体"/>
          <w:b/>
          <w:bCs/>
          <w:caps/>
          <w:color w:val="auto"/>
          <w:sz w:val="32"/>
          <w:szCs w:val="32"/>
          <w:highlight w:val="none"/>
          <w:u w:val="single"/>
        </w:rPr>
        <w:fldChar w:fldCharType="separate"/>
      </w:r>
      <w:r>
        <w:rPr>
          <w:rFonts w:hint="eastAsia" w:ascii="宋体" w:hAnsi="宋体" w:eastAsia="宋体" w:cs="宋体"/>
          <w:b/>
          <w:bCs/>
          <w:caps/>
          <w:color w:val="auto"/>
          <w:sz w:val="32"/>
          <w:szCs w:val="32"/>
          <w:highlight w:val="none"/>
          <w:u w:val="single"/>
        </w:rPr>
        <w:t>2</w:t>
      </w:r>
      <w:r>
        <w:rPr>
          <w:rFonts w:hint="eastAsia" w:ascii="宋体" w:hAnsi="宋体" w:eastAsia="宋体" w:cs="宋体"/>
          <w:b/>
          <w:bCs/>
          <w:caps/>
          <w:color w:val="auto"/>
          <w:sz w:val="32"/>
          <w:szCs w:val="32"/>
          <w:highlight w:val="none"/>
          <w:u w:val="single"/>
        </w:rPr>
        <w:fldChar w:fldCharType="end"/>
      </w:r>
      <w:r>
        <w:rPr>
          <w:rFonts w:hint="eastAsia" w:ascii="宋体" w:hAnsi="宋体" w:eastAsia="宋体" w:cs="宋体"/>
          <w:b/>
          <w:bCs/>
          <w:caps/>
          <w:color w:val="auto"/>
          <w:sz w:val="32"/>
          <w:szCs w:val="32"/>
          <w:highlight w:val="none"/>
          <w:u w:val="single"/>
        </w:rPr>
        <w:fldChar w:fldCharType="end"/>
      </w:r>
    </w:p>
    <w:p w14:paraId="674BD6E8">
      <w:pPr>
        <w:keepNext w:val="0"/>
        <w:keepLines w:val="0"/>
        <w:pageBreakBefore w:val="0"/>
        <w:widowControl w:val="0"/>
        <w:tabs>
          <w:tab w:val="right" w:leader="dot" w:pos="9628"/>
        </w:tabs>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"_Toc146703279" </w:instrText>
      </w:r>
      <w:r>
        <w:rPr>
          <w:rFonts w:hint="eastAsia" w:ascii="宋体" w:hAnsi="宋体" w:eastAsia="宋体" w:cs="宋体"/>
          <w:color w:val="auto"/>
          <w:sz w:val="32"/>
          <w:szCs w:val="32"/>
          <w:highlight w:val="none"/>
        </w:rPr>
        <w:fldChar w:fldCharType="separate"/>
      </w:r>
      <w:r>
        <w:rPr>
          <w:rFonts w:hint="eastAsia" w:ascii="宋体" w:hAnsi="宋体" w:eastAsia="宋体" w:cs="宋体"/>
          <w:b/>
          <w:bCs/>
          <w:caps/>
          <w:color w:val="auto"/>
          <w:sz w:val="32"/>
          <w:szCs w:val="32"/>
          <w:highlight w:val="none"/>
          <w:u w:val="single"/>
        </w:rPr>
        <w:t>第二章  采购需求</w:t>
      </w:r>
      <w:r>
        <w:rPr>
          <w:rFonts w:hint="eastAsia" w:ascii="宋体" w:hAnsi="宋体" w:eastAsia="宋体" w:cs="宋体"/>
          <w:b/>
          <w:bCs/>
          <w:caps/>
          <w:color w:val="auto"/>
          <w:sz w:val="32"/>
          <w:szCs w:val="32"/>
          <w:highlight w:val="none"/>
          <w:u w:val="single"/>
        </w:rPr>
        <w:tab/>
      </w:r>
      <w:r>
        <w:rPr>
          <w:rFonts w:hint="eastAsia" w:ascii="宋体" w:hAnsi="宋体" w:eastAsia="宋体" w:cs="宋体"/>
          <w:b/>
          <w:bCs/>
          <w:caps/>
          <w:color w:val="auto"/>
          <w:sz w:val="32"/>
          <w:szCs w:val="32"/>
          <w:highlight w:val="none"/>
          <w:u w:val="single"/>
        </w:rPr>
        <w:fldChar w:fldCharType="begin"/>
      </w:r>
      <w:r>
        <w:rPr>
          <w:rFonts w:hint="eastAsia" w:ascii="宋体" w:hAnsi="宋体" w:eastAsia="宋体" w:cs="宋体"/>
          <w:b/>
          <w:bCs/>
          <w:caps/>
          <w:color w:val="auto"/>
          <w:sz w:val="32"/>
          <w:szCs w:val="32"/>
          <w:highlight w:val="none"/>
          <w:u w:val="single"/>
        </w:rPr>
        <w:instrText xml:space="preserve"> PAGEREF _Toc146703279 \h </w:instrText>
      </w:r>
      <w:r>
        <w:rPr>
          <w:rFonts w:hint="eastAsia" w:ascii="宋体" w:hAnsi="宋体" w:eastAsia="宋体" w:cs="宋体"/>
          <w:b/>
          <w:bCs/>
          <w:caps/>
          <w:color w:val="auto"/>
          <w:sz w:val="32"/>
          <w:szCs w:val="32"/>
          <w:highlight w:val="none"/>
          <w:u w:val="single"/>
        </w:rPr>
        <w:fldChar w:fldCharType="separate"/>
      </w:r>
      <w:r>
        <w:rPr>
          <w:rFonts w:hint="eastAsia" w:ascii="宋体" w:hAnsi="宋体" w:eastAsia="宋体" w:cs="宋体"/>
          <w:b/>
          <w:bCs/>
          <w:caps/>
          <w:color w:val="auto"/>
          <w:sz w:val="32"/>
          <w:szCs w:val="32"/>
          <w:highlight w:val="none"/>
          <w:u w:val="single"/>
        </w:rPr>
        <w:t>5</w:t>
      </w:r>
      <w:r>
        <w:rPr>
          <w:rFonts w:hint="eastAsia" w:ascii="宋体" w:hAnsi="宋体" w:eastAsia="宋体" w:cs="宋体"/>
          <w:b/>
          <w:bCs/>
          <w:caps/>
          <w:color w:val="auto"/>
          <w:sz w:val="32"/>
          <w:szCs w:val="32"/>
          <w:highlight w:val="none"/>
          <w:u w:val="single"/>
        </w:rPr>
        <w:fldChar w:fldCharType="end"/>
      </w:r>
      <w:r>
        <w:rPr>
          <w:rFonts w:hint="eastAsia" w:ascii="宋体" w:hAnsi="宋体" w:eastAsia="宋体" w:cs="宋体"/>
          <w:b/>
          <w:bCs/>
          <w:caps/>
          <w:color w:val="auto"/>
          <w:sz w:val="32"/>
          <w:szCs w:val="32"/>
          <w:highlight w:val="none"/>
          <w:u w:val="single"/>
        </w:rPr>
        <w:fldChar w:fldCharType="end"/>
      </w:r>
    </w:p>
    <w:p w14:paraId="614383D9">
      <w:pPr>
        <w:keepNext w:val="0"/>
        <w:keepLines w:val="0"/>
        <w:pageBreakBefore w:val="0"/>
        <w:widowControl w:val="0"/>
        <w:tabs>
          <w:tab w:val="right" w:leader="dot" w:pos="9628"/>
        </w:tabs>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"_Toc146703280" </w:instrText>
      </w:r>
      <w:r>
        <w:rPr>
          <w:rFonts w:hint="eastAsia" w:ascii="宋体" w:hAnsi="宋体" w:eastAsia="宋体" w:cs="宋体"/>
          <w:color w:val="auto"/>
          <w:sz w:val="32"/>
          <w:szCs w:val="32"/>
          <w:highlight w:val="none"/>
        </w:rPr>
        <w:fldChar w:fldCharType="separate"/>
      </w:r>
      <w:r>
        <w:rPr>
          <w:rFonts w:hint="eastAsia" w:ascii="宋体" w:hAnsi="宋体" w:eastAsia="宋体" w:cs="宋体"/>
          <w:b/>
          <w:bCs/>
          <w:caps/>
          <w:color w:val="auto"/>
          <w:sz w:val="32"/>
          <w:szCs w:val="32"/>
          <w:highlight w:val="none"/>
          <w:u w:val="single"/>
        </w:rPr>
        <w:t>第三章  供应商须知</w:t>
      </w:r>
      <w:r>
        <w:rPr>
          <w:rFonts w:hint="eastAsia" w:ascii="宋体" w:hAnsi="宋体" w:eastAsia="宋体" w:cs="宋体"/>
          <w:b/>
          <w:bCs/>
          <w:caps/>
          <w:color w:val="auto"/>
          <w:sz w:val="32"/>
          <w:szCs w:val="32"/>
          <w:highlight w:val="none"/>
          <w:u w:val="single"/>
        </w:rPr>
        <w:tab/>
      </w:r>
      <w:r>
        <w:rPr>
          <w:rFonts w:hint="eastAsia" w:ascii="宋体" w:hAnsi="宋体" w:eastAsia="宋体" w:cs="宋体"/>
          <w:b/>
          <w:bCs/>
          <w:caps/>
          <w:color w:val="auto"/>
          <w:sz w:val="32"/>
          <w:szCs w:val="32"/>
          <w:highlight w:val="none"/>
          <w:u w:val="single"/>
        </w:rPr>
        <w:fldChar w:fldCharType="begin"/>
      </w:r>
      <w:r>
        <w:rPr>
          <w:rFonts w:hint="eastAsia" w:ascii="宋体" w:hAnsi="宋体" w:eastAsia="宋体" w:cs="宋体"/>
          <w:b/>
          <w:bCs/>
          <w:caps/>
          <w:color w:val="auto"/>
          <w:sz w:val="32"/>
          <w:szCs w:val="32"/>
          <w:highlight w:val="none"/>
          <w:u w:val="single"/>
        </w:rPr>
        <w:instrText xml:space="preserve"> PAGEREF _Toc146703280 \h </w:instrText>
      </w:r>
      <w:r>
        <w:rPr>
          <w:rFonts w:hint="eastAsia" w:ascii="宋体" w:hAnsi="宋体" w:eastAsia="宋体" w:cs="宋体"/>
          <w:b/>
          <w:bCs/>
          <w:caps/>
          <w:color w:val="auto"/>
          <w:sz w:val="32"/>
          <w:szCs w:val="32"/>
          <w:highlight w:val="none"/>
          <w:u w:val="single"/>
        </w:rPr>
        <w:fldChar w:fldCharType="separate"/>
      </w:r>
      <w:r>
        <w:rPr>
          <w:rFonts w:hint="eastAsia" w:ascii="宋体" w:hAnsi="宋体" w:eastAsia="宋体" w:cs="宋体"/>
          <w:b/>
          <w:bCs/>
          <w:caps/>
          <w:color w:val="auto"/>
          <w:sz w:val="32"/>
          <w:szCs w:val="32"/>
          <w:highlight w:val="none"/>
          <w:u w:val="single"/>
        </w:rPr>
        <w:t>11</w:t>
      </w:r>
      <w:r>
        <w:rPr>
          <w:rFonts w:hint="eastAsia" w:ascii="宋体" w:hAnsi="宋体" w:eastAsia="宋体" w:cs="宋体"/>
          <w:b/>
          <w:bCs/>
          <w:caps/>
          <w:color w:val="auto"/>
          <w:sz w:val="32"/>
          <w:szCs w:val="32"/>
          <w:highlight w:val="none"/>
          <w:u w:val="single"/>
        </w:rPr>
        <w:fldChar w:fldCharType="end"/>
      </w:r>
      <w:r>
        <w:rPr>
          <w:rFonts w:hint="eastAsia" w:ascii="宋体" w:hAnsi="宋体" w:eastAsia="宋体" w:cs="宋体"/>
          <w:b/>
          <w:bCs/>
          <w:caps/>
          <w:color w:val="auto"/>
          <w:sz w:val="32"/>
          <w:szCs w:val="32"/>
          <w:highlight w:val="none"/>
          <w:u w:val="single"/>
        </w:rPr>
        <w:fldChar w:fldCharType="end"/>
      </w:r>
    </w:p>
    <w:p w14:paraId="10B30286">
      <w:pPr>
        <w:keepNext w:val="0"/>
        <w:keepLines w:val="0"/>
        <w:pageBreakBefore w:val="0"/>
        <w:widowControl w:val="0"/>
        <w:tabs>
          <w:tab w:val="right" w:leader="dot" w:pos="9628"/>
        </w:tabs>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"_Toc146703293" </w:instrText>
      </w:r>
      <w:r>
        <w:rPr>
          <w:rFonts w:hint="eastAsia" w:ascii="宋体" w:hAnsi="宋体" w:eastAsia="宋体" w:cs="宋体"/>
          <w:color w:val="auto"/>
          <w:sz w:val="32"/>
          <w:szCs w:val="32"/>
          <w:highlight w:val="none"/>
        </w:rPr>
        <w:fldChar w:fldCharType="separate"/>
      </w:r>
      <w:r>
        <w:rPr>
          <w:rFonts w:hint="eastAsia" w:ascii="宋体" w:hAnsi="宋体" w:eastAsia="宋体" w:cs="宋体"/>
          <w:b/>
          <w:bCs/>
          <w:caps/>
          <w:color w:val="auto"/>
          <w:sz w:val="32"/>
          <w:szCs w:val="32"/>
          <w:highlight w:val="none"/>
          <w:u w:val="single"/>
        </w:rPr>
        <w:t>第四章  评审方法及评分标准</w:t>
      </w:r>
      <w:r>
        <w:rPr>
          <w:rFonts w:hint="eastAsia" w:ascii="宋体" w:hAnsi="宋体" w:eastAsia="宋体" w:cs="宋体"/>
          <w:b/>
          <w:bCs/>
          <w:caps/>
          <w:color w:val="auto"/>
          <w:sz w:val="32"/>
          <w:szCs w:val="32"/>
          <w:highlight w:val="none"/>
          <w:u w:val="single"/>
        </w:rPr>
        <w:tab/>
      </w:r>
      <w:r>
        <w:rPr>
          <w:rFonts w:hint="eastAsia" w:ascii="宋体" w:hAnsi="宋体" w:eastAsia="宋体" w:cs="宋体"/>
          <w:b/>
          <w:bCs/>
          <w:caps/>
          <w:color w:val="auto"/>
          <w:sz w:val="32"/>
          <w:szCs w:val="32"/>
          <w:highlight w:val="none"/>
          <w:u w:val="single"/>
        </w:rPr>
        <w:fldChar w:fldCharType="begin"/>
      </w:r>
      <w:r>
        <w:rPr>
          <w:rFonts w:hint="eastAsia" w:ascii="宋体" w:hAnsi="宋体" w:eastAsia="宋体" w:cs="宋体"/>
          <w:b/>
          <w:bCs/>
          <w:caps/>
          <w:color w:val="auto"/>
          <w:sz w:val="32"/>
          <w:szCs w:val="32"/>
          <w:highlight w:val="none"/>
          <w:u w:val="single"/>
        </w:rPr>
        <w:instrText xml:space="preserve"> PAGEREF _Toc146703293 \h </w:instrText>
      </w:r>
      <w:r>
        <w:rPr>
          <w:rFonts w:hint="eastAsia" w:ascii="宋体" w:hAnsi="宋体" w:eastAsia="宋体" w:cs="宋体"/>
          <w:b/>
          <w:bCs/>
          <w:caps/>
          <w:color w:val="auto"/>
          <w:sz w:val="32"/>
          <w:szCs w:val="32"/>
          <w:highlight w:val="none"/>
          <w:u w:val="single"/>
        </w:rPr>
        <w:fldChar w:fldCharType="separate"/>
      </w:r>
      <w:r>
        <w:rPr>
          <w:rFonts w:hint="eastAsia" w:ascii="宋体" w:hAnsi="宋体" w:eastAsia="宋体" w:cs="宋体"/>
          <w:b/>
          <w:bCs/>
          <w:caps/>
          <w:color w:val="auto"/>
          <w:sz w:val="32"/>
          <w:szCs w:val="32"/>
          <w:highlight w:val="none"/>
          <w:u w:val="single"/>
        </w:rPr>
        <w:t>33</w:t>
      </w:r>
      <w:r>
        <w:rPr>
          <w:rFonts w:hint="eastAsia" w:ascii="宋体" w:hAnsi="宋体" w:eastAsia="宋体" w:cs="宋体"/>
          <w:b/>
          <w:bCs/>
          <w:caps/>
          <w:color w:val="auto"/>
          <w:sz w:val="32"/>
          <w:szCs w:val="32"/>
          <w:highlight w:val="none"/>
          <w:u w:val="single"/>
        </w:rPr>
        <w:fldChar w:fldCharType="end"/>
      </w:r>
      <w:r>
        <w:rPr>
          <w:rFonts w:hint="eastAsia" w:ascii="宋体" w:hAnsi="宋体" w:eastAsia="宋体" w:cs="宋体"/>
          <w:b/>
          <w:bCs/>
          <w:caps/>
          <w:color w:val="auto"/>
          <w:sz w:val="32"/>
          <w:szCs w:val="32"/>
          <w:highlight w:val="none"/>
          <w:u w:val="single"/>
        </w:rPr>
        <w:fldChar w:fldCharType="end"/>
      </w:r>
    </w:p>
    <w:p w14:paraId="3E45607B">
      <w:pPr>
        <w:keepNext w:val="0"/>
        <w:keepLines w:val="0"/>
        <w:pageBreakBefore w:val="0"/>
        <w:widowControl w:val="0"/>
        <w:tabs>
          <w:tab w:val="right" w:leader="dot" w:pos="9628"/>
        </w:tabs>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"_Toc146703305" </w:instrText>
      </w:r>
      <w:r>
        <w:rPr>
          <w:rFonts w:hint="eastAsia" w:ascii="宋体" w:hAnsi="宋体" w:eastAsia="宋体" w:cs="宋体"/>
          <w:color w:val="auto"/>
          <w:sz w:val="32"/>
          <w:szCs w:val="32"/>
          <w:highlight w:val="none"/>
        </w:rPr>
        <w:fldChar w:fldCharType="separate"/>
      </w:r>
      <w:r>
        <w:rPr>
          <w:rFonts w:hint="eastAsia" w:ascii="宋体" w:hAnsi="宋体" w:eastAsia="宋体" w:cs="宋体"/>
          <w:b/>
          <w:bCs/>
          <w:caps/>
          <w:color w:val="auto"/>
          <w:sz w:val="32"/>
          <w:szCs w:val="32"/>
          <w:highlight w:val="none"/>
          <w:u w:val="single"/>
        </w:rPr>
        <w:t>第五章 拟签订的框架协议和采购合同文本</w:t>
      </w:r>
      <w:r>
        <w:rPr>
          <w:rFonts w:hint="eastAsia" w:ascii="宋体" w:hAnsi="宋体" w:eastAsia="宋体" w:cs="宋体"/>
          <w:b/>
          <w:bCs/>
          <w:caps/>
          <w:color w:val="auto"/>
          <w:sz w:val="32"/>
          <w:szCs w:val="32"/>
          <w:highlight w:val="none"/>
          <w:u w:val="single"/>
        </w:rPr>
        <w:tab/>
      </w:r>
      <w:r>
        <w:rPr>
          <w:rFonts w:hint="eastAsia" w:ascii="宋体" w:hAnsi="宋体" w:eastAsia="宋体" w:cs="宋体"/>
          <w:b/>
          <w:bCs/>
          <w:caps/>
          <w:color w:val="auto"/>
          <w:sz w:val="32"/>
          <w:szCs w:val="32"/>
          <w:highlight w:val="none"/>
          <w:u w:val="single"/>
        </w:rPr>
        <w:fldChar w:fldCharType="begin"/>
      </w:r>
      <w:r>
        <w:rPr>
          <w:rFonts w:hint="eastAsia" w:ascii="宋体" w:hAnsi="宋体" w:eastAsia="宋体" w:cs="宋体"/>
          <w:b/>
          <w:bCs/>
          <w:caps/>
          <w:color w:val="auto"/>
          <w:sz w:val="32"/>
          <w:szCs w:val="32"/>
          <w:highlight w:val="none"/>
          <w:u w:val="single"/>
        </w:rPr>
        <w:instrText xml:space="preserve"> PAGEREF _Toc146703305 \h </w:instrText>
      </w:r>
      <w:r>
        <w:rPr>
          <w:rFonts w:hint="eastAsia" w:ascii="宋体" w:hAnsi="宋体" w:eastAsia="宋体" w:cs="宋体"/>
          <w:b/>
          <w:bCs/>
          <w:caps/>
          <w:color w:val="auto"/>
          <w:sz w:val="32"/>
          <w:szCs w:val="32"/>
          <w:highlight w:val="none"/>
          <w:u w:val="single"/>
        </w:rPr>
        <w:fldChar w:fldCharType="separate"/>
      </w:r>
      <w:r>
        <w:rPr>
          <w:rFonts w:hint="eastAsia" w:ascii="宋体" w:hAnsi="宋体" w:eastAsia="宋体" w:cs="宋体"/>
          <w:b/>
          <w:bCs/>
          <w:caps/>
          <w:color w:val="auto"/>
          <w:sz w:val="32"/>
          <w:szCs w:val="32"/>
          <w:highlight w:val="none"/>
          <w:u w:val="single"/>
        </w:rPr>
        <w:t>40</w:t>
      </w:r>
      <w:r>
        <w:rPr>
          <w:rFonts w:hint="eastAsia" w:ascii="宋体" w:hAnsi="宋体" w:eastAsia="宋体" w:cs="宋体"/>
          <w:b/>
          <w:bCs/>
          <w:caps/>
          <w:color w:val="auto"/>
          <w:sz w:val="32"/>
          <w:szCs w:val="32"/>
          <w:highlight w:val="none"/>
          <w:u w:val="single"/>
        </w:rPr>
        <w:fldChar w:fldCharType="end"/>
      </w:r>
      <w:r>
        <w:rPr>
          <w:rFonts w:hint="eastAsia" w:ascii="宋体" w:hAnsi="宋体" w:eastAsia="宋体" w:cs="宋体"/>
          <w:b/>
          <w:bCs/>
          <w:caps/>
          <w:color w:val="auto"/>
          <w:sz w:val="32"/>
          <w:szCs w:val="32"/>
          <w:highlight w:val="none"/>
          <w:u w:val="single"/>
        </w:rPr>
        <w:fldChar w:fldCharType="end"/>
      </w:r>
    </w:p>
    <w:p w14:paraId="0EDE1536">
      <w:pPr>
        <w:keepNext w:val="0"/>
        <w:keepLines w:val="0"/>
        <w:pageBreakBefore w:val="0"/>
        <w:widowControl w:val="0"/>
        <w:tabs>
          <w:tab w:val="right" w:leader="dot" w:pos="9628"/>
        </w:tabs>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"_Toc146703310" </w:instrText>
      </w:r>
      <w:r>
        <w:rPr>
          <w:rFonts w:hint="eastAsia" w:ascii="宋体" w:hAnsi="宋体" w:eastAsia="宋体" w:cs="宋体"/>
          <w:color w:val="auto"/>
          <w:sz w:val="32"/>
          <w:szCs w:val="32"/>
          <w:highlight w:val="none"/>
        </w:rPr>
        <w:fldChar w:fldCharType="separate"/>
      </w:r>
      <w:r>
        <w:rPr>
          <w:rFonts w:hint="eastAsia" w:ascii="宋体" w:hAnsi="宋体" w:eastAsia="宋体" w:cs="宋体"/>
          <w:b/>
          <w:bCs/>
          <w:caps/>
          <w:color w:val="auto"/>
          <w:sz w:val="32"/>
          <w:szCs w:val="32"/>
          <w:highlight w:val="none"/>
          <w:u w:val="single"/>
        </w:rPr>
        <w:t>第六章 响应文件格式</w:t>
      </w:r>
      <w:r>
        <w:rPr>
          <w:rFonts w:hint="eastAsia" w:ascii="宋体" w:hAnsi="宋体" w:eastAsia="宋体" w:cs="宋体"/>
          <w:b/>
          <w:bCs/>
          <w:caps/>
          <w:color w:val="auto"/>
          <w:sz w:val="32"/>
          <w:szCs w:val="32"/>
          <w:highlight w:val="none"/>
          <w:u w:val="single"/>
        </w:rPr>
        <w:tab/>
      </w:r>
      <w:r>
        <w:rPr>
          <w:rFonts w:hint="eastAsia" w:ascii="宋体" w:hAnsi="宋体" w:eastAsia="宋体" w:cs="宋体"/>
          <w:b/>
          <w:bCs/>
          <w:caps/>
          <w:color w:val="auto"/>
          <w:sz w:val="32"/>
          <w:szCs w:val="32"/>
          <w:highlight w:val="none"/>
          <w:u w:val="single"/>
        </w:rPr>
        <w:fldChar w:fldCharType="begin"/>
      </w:r>
      <w:r>
        <w:rPr>
          <w:rFonts w:hint="eastAsia" w:ascii="宋体" w:hAnsi="宋体" w:eastAsia="宋体" w:cs="宋体"/>
          <w:b/>
          <w:bCs/>
          <w:caps/>
          <w:color w:val="auto"/>
          <w:sz w:val="32"/>
          <w:szCs w:val="32"/>
          <w:highlight w:val="none"/>
          <w:u w:val="single"/>
        </w:rPr>
        <w:instrText xml:space="preserve"> PAGEREF _Toc146703310 \h </w:instrText>
      </w:r>
      <w:r>
        <w:rPr>
          <w:rFonts w:hint="eastAsia" w:ascii="宋体" w:hAnsi="宋体" w:eastAsia="宋体" w:cs="宋体"/>
          <w:b/>
          <w:bCs/>
          <w:caps/>
          <w:color w:val="auto"/>
          <w:sz w:val="32"/>
          <w:szCs w:val="32"/>
          <w:highlight w:val="none"/>
          <w:u w:val="single"/>
        </w:rPr>
        <w:fldChar w:fldCharType="separate"/>
      </w:r>
      <w:r>
        <w:rPr>
          <w:rFonts w:hint="eastAsia" w:ascii="宋体" w:hAnsi="宋体" w:eastAsia="宋体" w:cs="宋体"/>
          <w:b/>
          <w:bCs/>
          <w:caps/>
          <w:color w:val="auto"/>
          <w:sz w:val="32"/>
          <w:szCs w:val="32"/>
          <w:highlight w:val="none"/>
          <w:u w:val="single"/>
        </w:rPr>
        <w:t>59</w:t>
      </w:r>
      <w:r>
        <w:rPr>
          <w:rFonts w:hint="eastAsia" w:ascii="宋体" w:hAnsi="宋体" w:eastAsia="宋体" w:cs="宋体"/>
          <w:b/>
          <w:bCs/>
          <w:caps/>
          <w:color w:val="auto"/>
          <w:sz w:val="32"/>
          <w:szCs w:val="32"/>
          <w:highlight w:val="none"/>
          <w:u w:val="single"/>
        </w:rPr>
        <w:fldChar w:fldCharType="end"/>
      </w:r>
      <w:r>
        <w:rPr>
          <w:rFonts w:hint="eastAsia" w:ascii="宋体" w:hAnsi="宋体" w:eastAsia="宋体" w:cs="宋体"/>
          <w:b/>
          <w:bCs/>
          <w:caps/>
          <w:color w:val="auto"/>
          <w:sz w:val="32"/>
          <w:szCs w:val="32"/>
          <w:highlight w:val="none"/>
          <w:u w:val="single"/>
        </w:rPr>
        <w:fldChar w:fldCharType="end"/>
      </w:r>
    </w:p>
    <w:p w14:paraId="77DF2EC5">
      <w:pPr>
        <w:keepNext w:val="0"/>
        <w:keepLines w:val="0"/>
        <w:pageBreakBefore w:val="0"/>
        <w:widowControl w:val="0"/>
        <w:tabs>
          <w:tab w:val="right" w:leader="dot" w:pos="9628"/>
        </w:tabs>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"_Toc146703317" </w:instrText>
      </w:r>
      <w:r>
        <w:rPr>
          <w:rFonts w:hint="eastAsia" w:ascii="宋体" w:hAnsi="宋体" w:eastAsia="宋体" w:cs="宋体"/>
          <w:color w:val="auto"/>
          <w:sz w:val="32"/>
          <w:szCs w:val="32"/>
          <w:highlight w:val="none"/>
        </w:rPr>
        <w:fldChar w:fldCharType="separate"/>
      </w:r>
      <w:r>
        <w:rPr>
          <w:rFonts w:hint="eastAsia" w:ascii="宋体" w:hAnsi="宋体" w:eastAsia="宋体" w:cs="宋体"/>
          <w:b/>
          <w:bCs/>
          <w:caps/>
          <w:color w:val="auto"/>
          <w:sz w:val="32"/>
          <w:szCs w:val="32"/>
          <w:highlight w:val="none"/>
          <w:u w:val="single"/>
        </w:rPr>
        <w:t>第七章 质疑、投诉证明材料格式</w:t>
      </w:r>
      <w:r>
        <w:rPr>
          <w:rFonts w:hint="eastAsia" w:ascii="宋体" w:hAnsi="宋体" w:eastAsia="宋体" w:cs="宋体"/>
          <w:b/>
          <w:bCs/>
          <w:caps/>
          <w:color w:val="auto"/>
          <w:sz w:val="32"/>
          <w:szCs w:val="32"/>
          <w:highlight w:val="none"/>
          <w:u w:val="single"/>
        </w:rPr>
        <w:tab/>
      </w:r>
      <w:r>
        <w:rPr>
          <w:rFonts w:hint="eastAsia" w:ascii="宋体" w:hAnsi="宋体" w:eastAsia="宋体" w:cs="宋体"/>
          <w:b/>
          <w:bCs/>
          <w:caps/>
          <w:color w:val="auto"/>
          <w:sz w:val="32"/>
          <w:szCs w:val="32"/>
          <w:highlight w:val="none"/>
          <w:u w:val="single"/>
        </w:rPr>
        <w:fldChar w:fldCharType="begin"/>
      </w:r>
      <w:r>
        <w:rPr>
          <w:rFonts w:hint="eastAsia" w:ascii="宋体" w:hAnsi="宋体" w:eastAsia="宋体" w:cs="宋体"/>
          <w:b/>
          <w:bCs/>
          <w:caps/>
          <w:color w:val="auto"/>
          <w:sz w:val="32"/>
          <w:szCs w:val="32"/>
          <w:highlight w:val="none"/>
          <w:u w:val="single"/>
        </w:rPr>
        <w:instrText xml:space="preserve"> PAGEREF _Toc146703317 \h </w:instrText>
      </w:r>
      <w:r>
        <w:rPr>
          <w:rFonts w:hint="eastAsia" w:ascii="宋体" w:hAnsi="宋体" w:eastAsia="宋体" w:cs="宋体"/>
          <w:b/>
          <w:bCs/>
          <w:caps/>
          <w:color w:val="auto"/>
          <w:sz w:val="32"/>
          <w:szCs w:val="32"/>
          <w:highlight w:val="none"/>
          <w:u w:val="single"/>
        </w:rPr>
        <w:fldChar w:fldCharType="separate"/>
      </w:r>
      <w:r>
        <w:rPr>
          <w:rFonts w:hint="eastAsia" w:ascii="宋体" w:hAnsi="宋体" w:eastAsia="宋体" w:cs="宋体"/>
          <w:b/>
          <w:bCs/>
          <w:caps/>
          <w:color w:val="auto"/>
          <w:sz w:val="32"/>
          <w:szCs w:val="32"/>
          <w:highlight w:val="none"/>
          <w:u w:val="single"/>
        </w:rPr>
        <w:t>91</w:t>
      </w:r>
      <w:r>
        <w:rPr>
          <w:rFonts w:hint="eastAsia" w:ascii="宋体" w:hAnsi="宋体" w:eastAsia="宋体" w:cs="宋体"/>
          <w:b/>
          <w:bCs/>
          <w:caps/>
          <w:color w:val="auto"/>
          <w:sz w:val="32"/>
          <w:szCs w:val="32"/>
          <w:highlight w:val="none"/>
          <w:u w:val="single"/>
        </w:rPr>
        <w:fldChar w:fldCharType="end"/>
      </w:r>
      <w:r>
        <w:rPr>
          <w:rFonts w:hint="eastAsia" w:ascii="宋体" w:hAnsi="宋体" w:eastAsia="宋体" w:cs="宋体"/>
          <w:b/>
          <w:bCs/>
          <w:caps/>
          <w:color w:val="auto"/>
          <w:sz w:val="32"/>
          <w:szCs w:val="32"/>
          <w:highlight w:val="none"/>
          <w:u w:val="single"/>
        </w:rPr>
        <w:fldChar w:fldCharType="end"/>
      </w:r>
    </w:p>
    <w:p w14:paraId="41B7B85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宋体" w:hAnsi="宋体" w:eastAsia="宋体" w:cs="宋体"/>
          <w:color w:val="auto"/>
          <w:szCs w:val="20"/>
          <w:highlight w:val="none"/>
        </w:rPr>
      </w:pPr>
      <w:r>
        <w:rPr>
          <w:rFonts w:hint="eastAsia" w:ascii="宋体" w:hAnsi="宋体" w:eastAsia="宋体" w:cs="宋体"/>
          <w:b/>
          <w:bCs/>
          <w:caps/>
          <w:color w:val="auto"/>
          <w:sz w:val="32"/>
          <w:szCs w:val="32"/>
          <w:highlight w:val="none"/>
          <w:u w:val="single"/>
        </w:rPr>
        <w:fldChar w:fldCharType="end"/>
      </w:r>
      <w:r>
        <w:rPr>
          <w:rFonts w:hint="eastAsia" w:ascii="宋体" w:hAnsi="宋体" w:eastAsia="宋体" w:cs="宋体"/>
          <w:color w:val="auto"/>
          <w:szCs w:val="20"/>
          <w:highlight w:val="none"/>
        </w:rPr>
        <w:tab/>
      </w:r>
      <w:bookmarkStart w:id="0" w:name="_Toc532545041"/>
      <w:bookmarkStart w:id="1" w:name="_Toc80092990"/>
    </w:p>
    <w:p w14:paraId="349388A7">
      <w:pPr>
        <w:spacing w:line="360" w:lineRule="exact"/>
        <w:jc w:val="center"/>
        <w:outlineLvl w:val="0"/>
        <w:rPr>
          <w:rFonts w:ascii="宋体" w:hAnsi="宋体" w:eastAsia="宋体" w:cs="宋体"/>
          <w:b/>
          <w:color w:val="auto"/>
          <w:sz w:val="36"/>
          <w:szCs w:val="36"/>
          <w:highlight w:val="none"/>
        </w:rPr>
      </w:pPr>
      <w:r>
        <w:rPr>
          <w:rFonts w:hint="eastAsia" w:ascii="宋体" w:hAnsi="宋体" w:eastAsia="宋体" w:cs="宋体"/>
          <w:color w:val="auto"/>
          <w:szCs w:val="20"/>
          <w:highlight w:val="none"/>
        </w:rPr>
        <w:br w:type="page"/>
      </w:r>
      <w:bookmarkStart w:id="2" w:name="_Toc146703268"/>
      <w:r>
        <w:rPr>
          <w:rFonts w:hint="eastAsia" w:ascii="宋体" w:hAnsi="宋体" w:eastAsia="宋体" w:cs="宋体"/>
          <w:b/>
          <w:color w:val="auto"/>
          <w:sz w:val="36"/>
          <w:szCs w:val="20"/>
          <w:highlight w:val="none"/>
        </w:rPr>
        <w:t>第一章  征集公告</w:t>
      </w:r>
      <w:bookmarkEnd w:id="0"/>
      <w:bookmarkEnd w:id="1"/>
      <w:bookmarkEnd w:id="2"/>
    </w:p>
    <w:p w14:paraId="027BB8A0">
      <w:pPr>
        <w:jc w:val="center"/>
        <w:outlineLvl w:val="1"/>
        <w:rPr>
          <w:rFonts w:ascii="宋体" w:hAnsi="宋体" w:eastAsia="宋体" w:cs="宋体"/>
          <w:b/>
          <w:color w:val="auto"/>
          <w:sz w:val="30"/>
          <w:szCs w:val="30"/>
          <w:highlight w:val="none"/>
        </w:rPr>
      </w:pPr>
      <w:bookmarkStart w:id="3" w:name="_Toc146703269"/>
      <w:r>
        <w:rPr>
          <w:rFonts w:hint="eastAsia" w:ascii="宋体" w:hAnsi="宋体" w:eastAsia="宋体" w:cs="宋体"/>
          <w:b/>
          <w:color w:val="auto"/>
          <w:sz w:val="30"/>
          <w:szCs w:val="30"/>
          <w:highlight w:val="none"/>
        </w:rPr>
        <w:t>征集公告</w:t>
      </w:r>
      <w:bookmarkEnd w:id="3"/>
    </w:p>
    <w:p w14:paraId="79ABB3BB">
      <w:pPr>
        <w:keepNext w:val="0"/>
        <w:keepLines w:val="0"/>
        <w:pageBreakBefore w:val="0"/>
        <w:kinsoku/>
        <w:overflowPunct/>
        <w:topLinePunct w:val="0"/>
        <w:bidi w:val="0"/>
        <w:spacing w:line="360" w:lineRule="exact"/>
        <w:ind w:firstLine="482"/>
        <w:textAlignment w:val="auto"/>
        <w:outlineLvl w:val="1"/>
        <w:rPr>
          <w:rFonts w:ascii="宋体" w:hAnsi="宋体" w:eastAsia="宋体" w:cs="宋体"/>
          <w:color w:val="auto"/>
          <w:szCs w:val="21"/>
          <w:highlight w:val="none"/>
        </w:rPr>
      </w:pPr>
      <w:bookmarkStart w:id="4" w:name="_Toc146703270"/>
      <w:bookmarkStart w:id="5" w:name="_Toc35393621"/>
      <w:bookmarkStart w:id="6" w:name="_Toc28359002"/>
      <w:bookmarkStart w:id="7" w:name="_Toc28359079"/>
      <w:bookmarkStart w:id="8" w:name="_Toc35393790"/>
      <w:bookmarkStart w:id="9" w:name="_Hlk24379207"/>
      <w:r>
        <w:rPr>
          <w:rFonts w:hint="eastAsia" w:ascii="宋体" w:hAnsi="宋体" w:eastAsia="宋体" w:cs="宋体"/>
          <w:b/>
          <w:bCs/>
          <w:color w:val="auto"/>
          <w:sz w:val="24"/>
          <w:szCs w:val="24"/>
          <w:highlight w:val="none"/>
        </w:rPr>
        <w:t>一、项目基本情况</w:t>
      </w:r>
      <w:bookmarkEnd w:id="4"/>
      <w:bookmarkEnd w:id="5"/>
      <w:bookmarkEnd w:id="6"/>
      <w:bookmarkEnd w:id="7"/>
      <w:bookmarkEnd w:id="8"/>
      <w:r>
        <w:rPr>
          <w:rFonts w:hint="eastAsia" w:ascii="宋体" w:hAnsi="宋体" w:eastAsia="宋体" w:cs="宋体"/>
          <w:color w:val="auto"/>
          <w:szCs w:val="21"/>
          <w:highlight w:val="none"/>
        </w:rPr>
        <w:t xml:space="preserve">    </w:t>
      </w:r>
    </w:p>
    <w:p w14:paraId="1F9FF4F6">
      <w:pPr>
        <w:keepNext w:val="0"/>
        <w:keepLines w:val="0"/>
        <w:pageBreakBefore w:val="0"/>
        <w:kinsoku/>
        <w:overflowPunct/>
        <w:topLinePunct w:val="0"/>
        <w:bidi w:val="0"/>
        <w:spacing w:line="36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项目编号：</w:t>
      </w:r>
      <w:r>
        <w:rPr>
          <w:rFonts w:hint="eastAsia" w:ascii="宋体" w:hAnsi="宋体" w:eastAsia="宋体" w:cs="宋体"/>
          <w:color w:val="auto"/>
          <w:szCs w:val="21"/>
          <w:highlight w:val="none"/>
          <w:lang w:eastAsia="zh-CN"/>
        </w:rPr>
        <w:t>NNZC2025-K3-090069-KWZB</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方案编号</w:t>
      </w:r>
      <w:r>
        <w:rPr>
          <w:rFonts w:hint="eastAsia" w:ascii="宋体" w:hAnsi="宋体" w:eastAsia="宋体" w:cs="宋体"/>
          <w:color w:val="auto"/>
          <w:szCs w:val="21"/>
          <w:highlight w:val="none"/>
        </w:rPr>
        <w:t>：KJXY202502）</w:t>
      </w:r>
    </w:p>
    <w:p w14:paraId="6FA879B7">
      <w:pPr>
        <w:keepNext w:val="0"/>
        <w:keepLines w:val="0"/>
        <w:pageBreakBefore w:val="0"/>
        <w:kinsoku/>
        <w:overflowPunct/>
        <w:topLinePunct w:val="0"/>
        <w:bidi w:val="0"/>
        <w:spacing w:line="36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邕宁区2026-2027年度政府投资建设项目预算审核服务框架协议采购</w:t>
      </w:r>
    </w:p>
    <w:bookmarkEnd w:id="9"/>
    <w:p w14:paraId="76FAD483">
      <w:pPr>
        <w:keepNext w:val="0"/>
        <w:keepLines w:val="0"/>
        <w:pageBreakBefore w:val="0"/>
        <w:kinsoku/>
        <w:overflowPunct/>
        <w:topLinePunct w:val="0"/>
        <w:bidi w:val="0"/>
        <w:spacing w:line="360" w:lineRule="exact"/>
        <w:ind w:firstLine="420" w:firstLineChars="200"/>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预算金额：</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元</w:t>
      </w:r>
    </w:p>
    <w:p w14:paraId="5084D38B">
      <w:pPr>
        <w:keepNext w:val="0"/>
        <w:keepLines w:val="0"/>
        <w:pageBreakBefore w:val="0"/>
        <w:kinsoku/>
        <w:overflowPunct/>
        <w:topLinePunct w:val="0"/>
        <w:bidi w:val="0"/>
        <w:spacing w:line="360" w:lineRule="exact"/>
        <w:ind w:firstLine="420" w:firstLineChars="200"/>
        <w:textAlignment w:val="auto"/>
        <w:rPr>
          <w:rFonts w:ascii="宋体" w:hAnsi="宋体" w:eastAsia="宋体" w:cs="宋体"/>
          <w:b/>
          <w:color w:val="auto"/>
          <w:szCs w:val="21"/>
          <w:highlight w:val="none"/>
        </w:rPr>
      </w:pPr>
      <w:r>
        <w:rPr>
          <w:rFonts w:hint="eastAsia" w:ascii="宋体" w:hAnsi="宋体" w:eastAsia="宋体" w:cs="宋体"/>
          <w:color w:val="auto"/>
          <w:szCs w:val="21"/>
          <w:highlight w:val="none"/>
        </w:rPr>
        <w:t>采购需求：</w:t>
      </w:r>
    </w:p>
    <w:tbl>
      <w:tblPr>
        <w:tblStyle w:val="3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7"/>
        <w:gridCol w:w="3260"/>
        <w:gridCol w:w="3714"/>
        <w:gridCol w:w="1559"/>
      </w:tblGrid>
      <w:tr w14:paraId="3B3E5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87" w:type="dxa"/>
            <w:tcBorders>
              <w:top w:val="single" w:color="auto" w:sz="4" w:space="0"/>
              <w:left w:val="single" w:color="auto" w:sz="4" w:space="0"/>
              <w:bottom w:val="single" w:color="auto" w:sz="4" w:space="0"/>
              <w:right w:val="single" w:color="auto" w:sz="4" w:space="0"/>
            </w:tcBorders>
            <w:vAlign w:val="center"/>
          </w:tcPr>
          <w:p w14:paraId="66E01C74">
            <w:pPr>
              <w:keepNext w:val="0"/>
              <w:keepLines w:val="0"/>
              <w:pageBreakBefore w:val="0"/>
              <w:kinsoku/>
              <w:overflowPunct/>
              <w:topLinePunct w:val="0"/>
              <w:bidi w:val="0"/>
              <w:snapToGrid w:val="0"/>
              <w:spacing w:line="360" w:lineRule="exact"/>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260" w:type="dxa"/>
            <w:tcBorders>
              <w:top w:val="single" w:color="auto" w:sz="4" w:space="0"/>
              <w:left w:val="single" w:color="auto" w:sz="4" w:space="0"/>
              <w:bottom w:val="single" w:color="auto" w:sz="4" w:space="0"/>
              <w:right w:val="single" w:color="auto" w:sz="4" w:space="0"/>
            </w:tcBorders>
            <w:vAlign w:val="center"/>
          </w:tcPr>
          <w:p w14:paraId="46485C46">
            <w:pPr>
              <w:keepNext w:val="0"/>
              <w:keepLines w:val="0"/>
              <w:pageBreakBefore w:val="0"/>
              <w:kinsoku/>
              <w:overflowPunct/>
              <w:topLinePunct w:val="0"/>
              <w:bidi w:val="0"/>
              <w:snapToGrid w:val="0"/>
              <w:spacing w:line="360" w:lineRule="exact"/>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3714" w:type="dxa"/>
            <w:tcBorders>
              <w:top w:val="single" w:color="auto" w:sz="4" w:space="0"/>
              <w:left w:val="single" w:color="auto" w:sz="4" w:space="0"/>
              <w:bottom w:val="single" w:color="auto" w:sz="4" w:space="0"/>
              <w:right w:val="single" w:color="auto" w:sz="4" w:space="0"/>
            </w:tcBorders>
            <w:vAlign w:val="center"/>
          </w:tcPr>
          <w:p w14:paraId="3A4F874C">
            <w:pPr>
              <w:keepNext w:val="0"/>
              <w:keepLines w:val="0"/>
              <w:pageBreakBefore w:val="0"/>
              <w:kinsoku/>
              <w:overflowPunct/>
              <w:topLinePunct w:val="0"/>
              <w:bidi w:val="0"/>
              <w:snapToGrid w:val="0"/>
              <w:spacing w:line="360" w:lineRule="exact"/>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一阶段供应商入围数量</w:t>
            </w:r>
          </w:p>
        </w:tc>
        <w:tc>
          <w:tcPr>
            <w:tcW w:w="1559" w:type="dxa"/>
            <w:tcBorders>
              <w:top w:val="single" w:color="auto" w:sz="4" w:space="0"/>
              <w:left w:val="single" w:color="auto" w:sz="4" w:space="0"/>
              <w:bottom w:val="single" w:color="auto" w:sz="4" w:space="0"/>
              <w:right w:val="single" w:color="auto" w:sz="4" w:space="0"/>
            </w:tcBorders>
            <w:vAlign w:val="center"/>
          </w:tcPr>
          <w:p w14:paraId="223E9181">
            <w:pPr>
              <w:keepNext w:val="0"/>
              <w:keepLines w:val="0"/>
              <w:pageBreakBefore w:val="0"/>
              <w:kinsoku/>
              <w:overflowPunct/>
              <w:topLinePunct w:val="0"/>
              <w:bidi w:val="0"/>
              <w:snapToGrid w:val="0"/>
              <w:spacing w:line="360" w:lineRule="exact"/>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简要服务要求或者技术需求</w:t>
            </w:r>
          </w:p>
        </w:tc>
      </w:tr>
      <w:tr w14:paraId="4E4DD2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87" w:type="dxa"/>
            <w:tcBorders>
              <w:top w:val="single" w:color="auto" w:sz="4" w:space="0"/>
              <w:left w:val="single" w:color="auto" w:sz="4" w:space="0"/>
              <w:bottom w:val="single" w:color="auto" w:sz="4" w:space="0"/>
              <w:right w:val="single" w:color="auto" w:sz="4" w:space="0"/>
            </w:tcBorders>
            <w:vAlign w:val="center"/>
          </w:tcPr>
          <w:p w14:paraId="69CA48D5">
            <w:pPr>
              <w:keepNext w:val="0"/>
              <w:keepLines w:val="0"/>
              <w:pageBreakBefore w:val="0"/>
              <w:kinsoku/>
              <w:overflowPunct/>
              <w:topLinePunct w:val="0"/>
              <w:bidi w:val="0"/>
              <w:snapToGrid w:val="0"/>
              <w:spacing w:line="360" w:lineRule="exact"/>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260" w:type="dxa"/>
            <w:tcBorders>
              <w:top w:val="single" w:color="auto" w:sz="4" w:space="0"/>
              <w:left w:val="single" w:color="auto" w:sz="4" w:space="0"/>
              <w:bottom w:val="single" w:color="auto" w:sz="4" w:space="0"/>
              <w:right w:val="single" w:color="auto" w:sz="4" w:space="0"/>
            </w:tcBorders>
            <w:vAlign w:val="center"/>
          </w:tcPr>
          <w:p w14:paraId="1CBE8092">
            <w:pPr>
              <w:keepNext w:val="0"/>
              <w:keepLines w:val="0"/>
              <w:pageBreakBefore w:val="0"/>
              <w:kinsoku/>
              <w:overflowPunct/>
              <w:topLinePunct w:val="0"/>
              <w:bidi w:val="0"/>
              <w:snapToGrid w:val="0"/>
              <w:spacing w:line="3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邕宁区2026-2027年度政府投资建设项目预算审核服务框架协议采购</w:t>
            </w:r>
          </w:p>
        </w:tc>
        <w:tc>
          <w:tcPr>
            <w:tcW w:w="3714" w:type="dxa"/>
            <w:tcBorders>
              <w:top w:val="single" w:color="auto" w:sz="4" w:space="0"/>
              <w:left w:val="single" w:color="auto" w:sz="4" w:space="0"/>
              <w:bottom w:val="single" w:color="auto" w:sz="4" w:space="0"/>
              <w:right w:val="single" w:color="auto" w:sz="4" w:space="0"/>
            </w:tcBorders>
            <w:vAlign w:val="center"/>
          </w:tcPr>
          <w:p w14:paraId="4DD349D4">
            <w:pPr>
              <w:keepNext w:val="0"/>
              <w:keepLines w:val="0"/>
              <w:pageBreakBefore w:val="0"/>
              <w:kinsoku/>
              <w:overflowPunct/>
              <w:topLinePunct w:val="0"/>
              <w:autoSpaceDE w:val="0"/>
              <w:autoSpaceDN w:val="0"/>
              <w:bidi w:val="0"/>
              <w:adjustRightInd w:val="0"/>
              <w:spacing w:line="360" w:lineRule="exact"/>
              <w:jc w:val="left"/>
              <w:textAlignment w:val="auto"/>
              <w:rPr>
                <w:rFonts w:ascii="宋体" w:hAnsi="宋体" w:eastAsia="宋体" w:cs="宋体"/>
                <w:color w:val="auto"/>
                <w:szCs w:val="21"/>
                <w:highlight w:val="none"/>
              </w:rPr>
            </w:pPr>
            <w:r>
              <w:rPr>
                <w:rFonts w:hint="eastAsia" w:ascii="宋体" w:hAnsi="宋体" w:eastAsia="宋体" w:cs="宋体"/>
                <w:color w:val="auto"/>
                <w:kern w:val="0"/>
                <w:szCs w:val="21"/>
                <w:highlight w:val="none"/>
              </w:rPr>
              <w:t>按评审综合得分排名，确定</w:t>
            </w:r>
            <w:r>
              <w:rPr>
                <w:rFonts w:hint="eastAsia" w:ascii="宋体" w:hAnsi="宋体" w:eastAsia="宋体" w:cs="宋体"/>
                <w:color w:val="auto"/>
                <w:szCs w:val="21"/>
                <w:highlight w:val="none"/>
              </w:rPr>
              <w:t>入围供应商数量上限为15家，且提交响应文件和符合资格条件、实质性要求的供应商</w:t>
            </w:r>
            <w:r>
              <w:rPr>
                <w:rFonts w:hint="eastAsia" w:ascii="宋体" w:hAnsi="宋体" w:eastAsia="宋体" w:cs="宋体"/>
                <w:color w:val="auto"/>
                <w:kern w:val="0"/>
                <w:szCs w:val="21"/>
                <w:highlight w:val="none"/>
              </w:rPr>
              <w:t>淘汰比例＞20%，且至少淘汰一家供应商。</w:t>
            </w:r>
          </w:p>
        </w:tc>
        <w:tc>
          <w:tcPr>
            <w:tcW w:w="1559" w:type="dxa"/>
            <w:tcBorders>
              <w:top w:val="single" w:color="auto" w:sz="4" w:space="0"/>
              <w:left w:val="single" w:color="auto" w:sz="4" w:space="0"/>
              <w:right w:val="single" w:color="auto" w:sz="4" w:space="0"/>
            </w:tcBorders>
            <w:vAlign w:val="center"/>
          </w:tcPr>
          <w:p w14:paraId="3A6509F5">
            <w:pPr>
              <w:keepNext w:val="0"/>
              <w:keepLines w:val="0"/>
              <w:pageBreakBefore w:val="0"/>
              <w:kinsoku/>
              <w:overflowPunct/>
              <w:topLinePunct w:val="0"/>
              <w:bidi w:val="0"/>
              <w:snapToGrid w:val="0"/>
              <w:spacing w:line="36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详见采购需求一览表</w:t>
            </w:r>
          </w:p>
        </w:tc>
      </w:tr>
    </w:tbl>
    <w:p w14:paraId="40004804">
      <w:pPr>
        <w:keepNext w:val="0"/>
        <w:keepLines w:val="0"/>
        <w:pageBreakBefore w:val="0"/>
        <w:kinsoku/>
        <w:wordWrap w:val="0"/>
        <w:overflowPunct/>
        <w:topLinePunct w:val="0"/>
        <w:bidi w:val="0"/>
        <w:spacing w:line="360" w:lineRule="exact"/>
        <w:ind w:firstLine="422" w:firstLineChars="200"/>
        <w:jc w:val="left"/>
        <w:textAlignment w:val="auto"/>
        <w:outlineLvl w:val="5"/>
        <w:rPr>
          <w:rFonts w:ascii="宋体" w:hAnsi="宋体" w:eastAsia="宋体" w:cs="宋体"/>
          <w:color w:val="auto"/>
          <w:szCs w:val="21"/>
          <w:highlight w:val="none"/>
        </w:rPr>
      </w:pPr>
      <w:r>
        <w:rPr>
          <w:rFonts w:hint="eastAsia" w:ascii="宋体" w:hAnsi="宋体" w:eastAsia="宋体" w:cs="宋体"/>
          <w:b/>
          <w:color w:val="auto"/>
          <w:szCs w:val="24"/>
          <w:highlight w:val="none"/>
        </w:rPr>
        <w:t>框架协议的期限：两年,</w:t>
      </w:r>
      <w:r>
        <w:rPr>
          <w:rFonts w:hint="eastAsia" w:ascii="Times New Roman" w:hAnsi="Times New Roman" w:eastAsia="宋体" w:cs="Times New Roman"/>
          <w:b/>
          <w:color w:val="auto"/>
          <w:szCs w:val="24"/>
          <w:highlight w:val="none"/>
        </w:rPr>
        <w:t xml:space="preserve"> </w:t>
      </w:r>
      <w:r>
        <w:rPr>
          <w:rFonts w:hint="eastAsia" w:ascii="宋体" w:hAnsi="宋体" w:eastAsia="宋体" w:cs="宋体"/>
          <w:b/>
          <w:color w:val="auto"/>
          <w:szCs w:val="24"/>
          <w:highlight w:val="none"/>
        </w:rPr>
        <w:t>具体起止时间以框架协议签订的时间为准</w:t>
      </w:r>
    </w:p>
    <w:p w14:paraId="0C11D65A">
      <w:pPr>
        <w:keepNext w:val="0"/>
        <w:keepLines w:val="0"/>
        <w:pageBreakBefore w:val="0"/>
        <w:kinsoku/>
        <w:wordWrap w:val="0"/>
        <w:overflowPunct/>
        <w:topLinePunct w:val="0"/>
        <w:bidi w:val="0"/>
        <w:spacing w:line="360" w:lineRule="exact"/>
        <w:ind w:firstLine="420" w:firstLineChars="200"/>
        <w:jc w:val="left"/>
        <w:textAlignment w:val="auto"/>
        <w:outlineLvl w:val="5"/>
        <w:rPr>
          <w:rFonts w:ascii="宋体" w:hAnsi="宋体" w:eastAsia="宋体" w:cs="宋体"/>
          <w:color w:val="auto"/>
          <w:szCs w:val="21"/>
          <w:highlight w:val="none"/>
        </w:rPr>
      </w:pPr>
      <w:r>
        <w:rPr>
          <w:rFonts w:hint="eastAsia" w:ascii="宋体" w:hAnsi="宋体" w:eastAsia="宋体" w:cs="宋体"/>
          <w:color w:val="auto"/>
          <w:szCs w:val="21"/>
          <w:highlight w:val="none"/>
        </w:rPr>
        <w:t>不接受联合体投标。如需进一步了解详细内容，详见征集文件。</w:t>
      </w:r>
    </w:p>
    <w:p w14:paraId="307A1071">
      <w:pPr>
        <w:keepNext w:val="0"/>
        <w:keepLines w:val="0"/>
        <w:pageBreakBefore w:val="0"/>
        <w:kinsoku/>
        <w:overflowPunct/>
        <w:topLinePunct w:val="0"/>
        <w:bidi w:val="0"/>
        <w:spacing w:line="360" w:lineRule="exact"/>
        <w:textAlignment w:val="auto"/>
        <w:outlineLvl w:val="1"/>
        <w:rPr>
          <w:rFonts w:ascii="宋体" w:hAnsi="宋体" w:eastAsia="宋体" w:cs="宋体"/>
          <w:b/>
          <w:bCs/>
          <w:color w:val="auto"/>
          <w:sz w:val="24"/>
          <w:szCs w:val="24"/>
          <w:highlight w:val="none"/>
        </w:rPr>
      </w:pPr>
      <w:bookmarkStart w:id="10" w:name="_Toc28359003"/>
      <w:bookmarkStart w:id="11" w:name="_Toc35393791"/>
      <w:bookmarkStart w:id="12" w:name="_Toc146703271"/>
      <w:bookmarkStart w:id="13" w:name="_Toc28359080"/>
      <w:bookmarkStart w:id="14" w:name="_Toc35393622"/>
      <w:r>
        <w:rPr>
          <w:rFonts w:hint="eastAsia" w:ascii="宋体" w:hAnsi="宋体" w:eastAsia="宋体" w:cs="宋体"/>
          <w:b/>
          <w:bCs/>
          <w:color w:val="auto"/>
          <w:sz w:val="24"/>
          <w:szCs w:val="24"/>
          <w:highlight w:val="none"/>
        </w:rPr>
        <w:t>二、供应商的资格条件：</w:t>
      </w:r>
      <w:bookmarkEnd w:id="10"/>
      <w:bookmarkEnd w:id="11"/>
      <w:bookmarkEnd w:id="12"/>
      <w:bookmarkEnd w:id="13"/>
      <w:bookmarkEnd w:id="14"/>
    </w:p>
    <w:p w14:paraId="11D856D7">
      <w:pPr>
        <w:keepNext w:val="0"/>
        <w:keepLines w:val="0"/>
        <w:pageBreakBefore w:val="0"/>
        <w:kinsoku/>
        <w:overflowPunct/>
        <w:topLinePunct w:val="0"/>
        <w:bidi w:val="0"/>
        <w:spacing w:line="36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投标单位需具有房屋建筑、水利水电、安装、园林景观、智能化、市政公用、桥梁、给排水、交通设施、管廊、公路、城市轨道交通、拆除、送变电、铁路工程、航运工程等专业的工程造价专业技术能力。</w:t>
      </w:r>
    </w:p>
    <w:p w14:paraId="416075B2">
      <w:pPr>
        <w:keepNext w:val="0"/>
        <w:keepLines w:val="0"/>
        <w:pageBreakBefore w:val="0"/>
        <w:kinsoku/>
        <w:overflowPunct/>
        <w:topLinePunct w:val="0"/>
        <w:bidi w:val="0"/>
        <w:spacing w:line="360" w:lineRule="exact"/>
        <w:ind w:firstLine="420" w:firstLineChars="200"/>
        <w:textAlignment w:val="auto"/>
        <w:rPr>
          <w:rFonts w:ascii="宋体" w:hAnsi="宋体" w:eastAsia="宋体" w:cs="宋体"/>
          <w:color w:val="auto"/>
          <w:szCs w:val="21"/>
          <w:highlight w:val="none"/>
        </w:rPr>
      </w:pPr>
      <w:bookmarkStart w:id="15" w:name="_Toc28359081"/>
      <w:bookmarkStart w:id="16" w:name="_Toc28359004"/>
      <w:r>
        <w:rPr>
          <w:rFonts w:hint="eastAsia" w:ascii="宋体" w:hAnsi="宋体" w:eastAsia="宋体" w:cs="宋体"/>
          <w:color w:val="auto"/>
          <w:szCs w:val="21"/>
          <w:highlight w:val="none"/>
        </w:rPr>
        <w:t>2.落实政府采购政策需满足的资格要求：</w:t>
      </w:r>
    </w:p>
    <w:p w14:paraId="517C6DFA">
      <w:pPr>
        <w:keepNext w:val="0"/>
        <w:keepLines w:val="0"/>
        <w:pageBreakBefore w:val="0"/>
        <w:kinsoku/>
        <w:overflowPunct/>
        <w:topLinePunct w:val="0"/>
        <w:bidi w:val="0"/>
        <w:spacing w:line="36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□专门面向中小企业采购的项目（供应商应为中小微企业、监狱企业、残疾人福利性单位)</w:t>
      </w:r>
    </w:p>
    <w:p w14:paraId="5456BBB6">
      <w:pPr>
        <w:keepNext w:val="0"/>
        <w:keepLines w:val="0"/>
        <w:pageBreakBefore w:val="0"/>
        <w:kinsoku/>
        <w:overflowPunct/>
        <w:topLinePunct w:val="0"/>
        <w:bidi w:val="0"/>
        <w:spacing w:line="360" w:lineRule="exact"/>
        <w:ind w:firstLine="422" w:firstLineChars="200"/>
        <w:textAlignment w:val="auto"/>
        <w:rPr>
          <w:rFonts w:ascii="宋体" w:hAnsi="宋体" w:eastAsia="宋体" w:cs="宋体"/>
          <w:b/>
          <w:color w:val="auto"/>
          <w:szCs w:val="21"/>
          <w:highlight w:val="none"/>
        </w:rPr>
      </w:pPr>
      <w:r>
        <w:rPr>
          <w:rFonts w:hint="eastAsia" w:ascii="MS Gothic" w:hAnsi="MS Gothic" w:eastAsia="MS Gothic" w:cs="MS Gothic"/>
          <w:b/>
          <w:color w:val="auto"/>
          <w:szCs w:val="21"/>
          <w:highlight w:val="none"/>
        </w:rPr>
        <w:t>☑</w:t>
      </w:r>
      <w:r>
        <w:rPr>
          <w:rFonts w:hint="eastAsia" w:ascii="宋体" w:hAnsi="宋体" w:eastAsia="宋体" w:cs="宋体"/>
          <w:b/>
          <w:color w:val="auto"/>
          <w:szCs w:val="21"/>
          <w:highlight w:val="none"/>
        </w:rPr>
        <w:t>非专门面向中小企业采购的项目</w:t>
      </w:r>
    </w:p>
    <w:p w14:paraId="5F16F080">
      <w:pPr>
        <w:keepNext w:val="0"/>
        <w:keepLines w:val="0"/>
        <w:pageBreakBefore w:val="0"/>
        <w:tabs>
          <w:tab w:val="left" w:pos="312"/>
        </w:tabs>
        <w:kinsoku/>
        <w:overflowPunct/>
        <w:topLinePunct w:val="0"/>
        <w:bidi w:val="0"/>
        <w:spacing w:line="360" w:lineRule="exact"/>
        <w:ind w:left="42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w:t>
      </w:r>
      <w:r>
        <w:rPr>
          <w:rFonts w:hint="eastAsia" w:ascii="宋体" w:hAnsi="宋体" w:eastAsia="宋体" w:cs="宋体"/>
          <w:color w:val="auto"/>
          <w:szCs w:val="21"/>
          <w:highlight w:val="none"/>
          <w:lang w:val="en-US" w:eastAsia="zh-CN"/>
        </w:rPr>
        <w:t>无</w:t>
      </w:r>
      <w:r>
        <w:rPr>
          <w:rFonts w:hint="eastAsia" w:ascii="宋体" w:hAnsi="宋体" w:eastAsia="宋体" w:cs="宋体"/>
          <w:color w:val="auto"/>
          <w:szCs w:val="21"/>
          <w:highlight w:val="none"/>
        </w:rPr>
        <w:t>。</w:t>
      </w:r>
    </w:p>
    <w:p w14:paraId="2C915B18">
      <w:pPr>
        <w:keepNext w:val="0"/>
        <w:keepLines w:val="0"/>
        <w:pageBreakBefore w:val="0"/>
        <w:kinsoku/>
        <w:overflowPunct/>
        <w:topLinePunct w:val="0"/>
        <w:bidi w:val="0"/>
        <w:snapToGrid w:val="0"/>
        <w:spacing w:line="360" w:lineRule="exact"/>
        <w:ind w:firstLine="42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 本项目的特定条件：</w:t>
      </w:r>
      <w:r>
        <w:rPr>
          <w:rFonts w:hint="eastAsia" w:ascii="宋体" w:hAnsi="宋体" w:eastAsia="宋体" w:cs="宋体"/>
          <w:b/>
          <w:bCs/>
          <w:color w:val="auto"/>
          <w:sz w:val="21"/>
          <w:szCs w:val="21"/>
          <w:highlight w:val="none"/>
          <w:lang w:eastAsia="zh-CN"/>
        </w:rPr>
        <w:t>已签订《邕宁区2024-2026年政府投资建设项目竣工结算审核服务框架协议采购》</w:t>
      </w:r>
      <w:r>
        <w:rPr>
          <w:rFonts w:hint="eastAsia" w:ascii="宋体" w:hAnsi="宋体" w:eastAsia="宋体" w:cs="宋体"/>
          <w:b/>
          <w:bCs/>
          <w:color w:val="auto"/>
          <w:sz w:val="21"/>
          <w:szCs w:val="21"/>
          <w:highlight w:val="none"/>
          <w:lang w:val="en-US" w:eastAsia="zh-CN"/>
        </w:rPr>
        <w:t>或</w:t>
      </w:r>
      <w:r>
        <w:rPr>
          <w:rFonts w:hint="eastAsia" w:ascii="宋体" w:hAnsi="宋体" w:eastAsia="宋体" w:cs="宋体"/>
          <w:b/>
          <w:bCs/>
          <w:color w:val="auto"/>
          <w:sz w:val="21"/>
          <w:szCs w:val="21"/>
          <w:highlight w:val="none"/>
        </w:rPr>
        <w:t>《邕宁区202</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年度政府投资建设项目预算编制服务框架协议采购》</w:t>
      </w:r>
      <w:r>
        <w:rPr>
          <w:rFonts w:hint="eastAsia" w:ascii="宋体" w:hAnsi="宋体" w:eastAsia="宋体" w:cs="宋体"/>
          <w:b/>
          <w:bCs/>
          <w:color w:val="auto"/>
          <w:sz w:val="21"/>
          <w:szCs w:val="21"/>
          <w:highlight w:val="none"/>
          <w:lang w:eastAsia="zh-CN"/>
        </w:rPr>
        <w:t>的入围</w:t>
      </w:r>
      <w:r>
        <w:rPr>
          <w:rFonts w:hint="eastAsia" w:ascii="宋体" w:hAnsi="宋体" w:eastAsia="宋体" w:cs="宋体"/>
          <w:b/>
          <w:bCs/>
          <w:color w:val="auto"/>
          <w:sz w:val="21"/>
          <w:szCs w:val="21"/>
          <w:highlight w:val="none"/>
        </w:rPr>
        <w:t>供应商不能参加此项目的投标。</w:t>
      </w:r>
    </w:p>
    <w:p w14:paraId="61610819">
      <w:pPr>
        <w:keepNext w:val="0"/>
        <w:keepLines w:val="0"/>
        <w:pageBreakBefore w:val="0"/>
        <w:kinsoku/>
        <w:overflowPunct/>
        <w:topLinePunct w:val="0"/>
        <w:bidi w:val="0"/>
        <w:snapToGrid w:val="0"/>
        <w:spacing w:line="360" w:lineRule="exact"/>
        <w:ind w:firstLine="42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3DA2E52">
      <w:pPr>
        <w:keepNext w:val="0"/>
        <w:keepLines w:val="0"/>
        <w:pageBreakBefore w:val="0"/>
        <w:kinsoku/>
        <w:overflowPunct/>
        <w:topLinePunct w:val="0"/>
        <w:bidi w:val="0"/>
        <w:spacing w:line="36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3017CA2">
      <w:pPr>
        <w:keepNext w:val="0"/>
        <w:keepLines w:val="0"/>
        <w:pageBreakBefore w:val="0"/>
        <w:kinsoku/>
        <w:overflowPunct/>
        <w:topLinePunct w:val="0"/>
        <w:bidi w:val="0"/>
        <w:spacing w:line="360" w:lineRule="exact"/>
        <w:textAlignment w:val="auto"/>
        <w:outlineLvl w:val="1"/>
        <w:rPr>
          <w:rFonts w:ascii="宋体" w:hAnsi="宋体" w:eastAsia="宋体" w:cs="宋体"/>
          <w:b/>
          <w:bCs/>
          <w:color w:val="auto"/>
          <w:sz w:val="24"/>
          <w:szCs w:val="24"/>
          <w:highlight w:val="none"/>
        </w:rPr>
      </w:pPr>
      <w:bookmarkStart w:id="17" w:name="_Toc146703272"/>
      <w:r>
        <w:rPr>
          <w:rFonts w:hint="eastAsia" w:ascii="宋体" w:hAnsi="宋体" w:eastAsia="宋体" w:cs="宋体"/>
          <w:b/>
          <w:bCs/>
          <w:color w:val="auto"/>
          <w:sz w:val="24"/>
          <w:szCs w:val="24"/>
          <w:highlight w:val="none"/>
        </w:rPr>
        <w:t>三、框架协议的期限</w:t>
      </w:r>
      <w:bookmarkEnd w:id="17"/>
    </w:p>
    <w:p w14:paraId="316261BD">
      <w:pPr>
        <w:keepNext w:val="0"/>
        <w:keepLines w:val="0"/>
        <w:pageBreakBefore w:val="0"/>
        <w:kinsoku/>
        <w:overflowPunct/>
        <w:topLinePunct w:val="0"/>
        <w:bidi w:val="0"/>
        <w:spacing w:line="360" w:lineRule="exact"/>
        <w:ind w:firstLine="420" w:firstLineChars="20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本框架协议征集采购服务期限：两年。</w:t>
      </w:r>
    </w:p>
    <w:p w14:paraId="0854C42D">
      <w:pPr>
        <w:keepNext w:val="0"/>
        <w:keepLines w:val="0"/>
        <w:pageBreakBefore w:val="0"/>
        <w:kinsoku/>
        <w:overflowPunct/>
        <w:topLinePunct w:val="0"/>
        <w:bidi w:val="0"/>
        <w:spacing w:line="360" w:lineRule="exact"/>
        <w:textAlignment w:val="auto"/>
        <w:outlineLvl w:val="1"/>
        <w:rPr>
          <w:rFonts w:ascii="宋体" w:hAnsi="宋体" w:eastAsia="宋体" w:cs="宋体"/>
          <w:color w:val="auto"/>
          <w:szCs w:val="24"/>
          <w:highlight w:val="none"/>
        </w:rPr>
      </w:pPr>
      <w:bookmarkStart w:id="18" w:name="_Toc146703273"/>
      <w:r>
        <w:rPr>
          <w:rFonts w:hint="eastAsia" w:ascii="宋体" w:hAnsi="宋体" w:eastAsia="宋体" w:cs="宋体"/>
          <w:b/>
          <w:bCs/>
          <w:color w:val="auto"/>
          <w:sz w:val="24"/>
          <w:szCs w:val="24"/>
          <w:highlight w:val="none"/>
        </w:rPr>
        <w:t>四、适用本框架协议的采购人</w:t>
      </w:r>
      <w:bookmarkEnd w:id="18"/>
    </w:p>
    <w:p w14:paraId="15448E63">
      <w:pPr>
        <w:keepNext w:val="0"/>
        <w:keepLines w:val="0"/>
        <w:pageBreakBefore w:val="0"/>
        <w:kinsoku/>
        <w:overflowPunct/>
        <w:topLinePunct w:val="0"/>
        <w:bidi w:val="0"/>
        <w:spacing w:line="360" w:lineRule="exact"/>
        <w:ind w:firstLine="420" w:firstLineChars="200"/>
        <w:textAlignment w:val="auto"/>
        <w:rPr>
          <w:rFonts w:ascii="宋体" w:hAnsi="宋体" w:eastAsia="宋体" w:cs="宋体"/>
          <w:color w:val="auto"/>
          <w:szCs w:val="24"/>
          <w:highlight w:val="none"/>
        </w:rPr>
      </w:pPr>
      <w:r>
        <w:rPr>
          <w:rFonts w:hint="eastAsia" w:ascii="宋体" w:hAnsi="宋体" w:eastAsia="宋体" w:cs="宋体"/>
          <w:color w:val="auto"/>
          <w:kern w:val="0"/>
          <w:szCs w:val="21"/>
          <w:highlight w:val="none"/>
          <w:lang w:val="zh-CN"/>
        </w:rPr>
        <w:t>开展邕宁区202</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val="zh-CN"/>
        </w:rPr>
        <w:t>-202</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lang w:val="zh-CN"/>
        </w:rPr>
        <w:t>年度政府投资建设项目预算审核委托服务的单位可以使用本框架协议。</w:t>
      </w:r>
    </w:p>
    <w:p w14:paraId="48DD46D6">
      <w:pPr>
        <w:keepNext w:val="0"/>
        <w:keepLines w:val="0"/>
        <w:pageBreakBefore w:val="0"/>
        <w:kinsoku/>
        <w:overflowPunct/>
        <w:topLinePunct w:val="0"/>
        <w:bidi w:val="0"/>
        <w:spacing w:line="360" w:lineRule="exact"/>
        <w:textAlignment w:val="auto"/>
        <w:outlineLvl w:val="1"/>
        <w:rPr>
          <w:rFonts w:ascii="宋体" w:hAnsi="宋体" w:eastAsia="宋体" w:cs="宋体"/>
          <w:b/>
          <w:bCs/>
          <w:color w:val="auto"/>
          <w:sz w:val="24"/>
          <w:szCs w:val="24"/>
          <w:highlight w:val="none"/>
        </w:rPr>
      </w:pPr>
      <w:bookmarkStart w:id="19" w:name="_Toc35393623"/>
      <w:bookmarkStart w:id="20" w:name="_Toc146703274"/>
      <w:bookmarkStart w:id="21" w:name="_Toc35393792"/>
      <w:r>
        <w:rPr>
          <w:rFonts w:hint="eastAsia" w:ascii="宋体" w:hAnsi="宋体" w:eastAsia="宋体" w:cs="宋体"/>
          <w:b/>
          <w:bCs/>
          <w:color w:val="auto"/>
          <w:sz w:val="24"/>
          <w:szCs w:val="24"/>
          <w:highlight w:val="none"/>
        </w:rPr>
        <w:t>五、获取征集文件</w:t>
      </w:r>
      <w:bookmarkEnd w:id="15"/>
      <w:bookmarkEnd w:id="16"/>
      <w:bookmarkEnd w:id="19"/>
      <w:bookmarkEnd w:id="20"/>
      <w:bookmarkEnd w:id="21"/>
    </w:p>
    <w:p w14:paraId="5287F58B">
      <w:pPr>
        <w:keepNext w:val="0"/>
        <w:keepLines w:val="0"/>
        <w:pageBreakBefore w:val="0"/>
        <w:kinsoku/>
        <w:overflowPunct/>
        <w:topLinePunct w:val="0"/>
        <w:bidi w:val="0"/>
        <w:snapToGrid w:val="0"/>
        <w:spacing w:line="360" w:lineRule="exact"/>
        <w:ind w:firstLine="472" w:firstLineChars="225"/>
        <w:textAlignment w:val="auto"/>
        <w:rPr>
          <w:rFonts w:ascii="宋体" w:hAnsi="宋体" w:eastAsia="宋体" w:cs="宋体"/>
          <w:color w:val="auto"/>
          <w:szCs w:val="21"/>
          <w:highlight w:val="none"/>
        </w:rPr>
      </w:pPr>
      <w:bookmarkStart w:id="22" w:name="_Toc28359082"/>
      <w:bookmarkStart w:id="23" w:name="_Toc28359005"/>
      <w:bookmarkStart w:id="24" w:name="_Toc35393793"/>
      <w:bookmarkStart w:id="25" w:name="_Toc35393624"/>
      <w:r>
        <w:rPr>
          <w:rFonts w:hint="eastAsia" w:ascii="宋体" w:hAnsi="宋体" w:eastAsia="宋体" w:cs="宋体"/>
          <w:color w:val="auto"/>
          <w:szCs w:val="21"/>
          <w:highlight w:val="none"/>
        </w:rPr>
        <w:t>时间：自公告发布之日起。</w:t>
      </w:r>
    </w:p>
    <w:p w14:paraId="557D7D49">
      <w:pPr>
        <w:keepNext w:val="0"/>
        <w:keepLines w:val="0"/>
        <w:pageBreakBefore w:val="0"/>
        <w:kinsoku/>
        <w:overflowPunct/>
        <w:topLinePunct w:val="0"/>
        <w:bidi w:val="0"/>
        <w:spacing w:line="360" w:lineRule="exact"/>
        <w:ind w:firstLine="420" w:firstLineChars="200"/>
        <w:textAlignment w:val="auto"/>
        <w:rPr>
          <w:rFonts w:ascii="宋体" w:hAnsi="宋体" w:eastAsia="宋体" w:cs="宋体"/>
          <w:b/>
          <w:bCs/>
          <w:color w:val="auto"/>
          <w:sz w:val="24"/>
          <w:szCs w:val="24"/>
          <w:highlight w:val="none"/>
        </w:rPr>
      </w:pPr>
      <w:r>
        <w:rPr>
          <w:rFonts w:hint="eastAsia" w:ascii="宋体" w:hAnsi="宋体" w:eastAsia="宋体" w:cs="宋体"/>
          <w:color w:val="auto"/>
          <w:szCs w:val="21"/>
          <w:highlight w:val="none"/>
        </w:rPr>
        <w:t>获取方式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网上下载。本项目不发放纸质文件，供应商可自行在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rPr>
        <w:t>）下载征集文件（操作路径：登录</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-项目采购-获取采购文件-找到本项目-点击“申请获取采购文件”），电子响应文件制作需要基于</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获取的征集文件编制。</w:t>
      </w:r>
    </w:p>
    <w:p w14:paraId="0EA6FC5E">
      <w:pPr>
        <w:keepNext w:val="0"/>
        <w:keepLines w:val="0"/>
        <w:pageBreakBefore w:val="0"/>
        <w:kinsoku/>
        <w:overflowPunct/>
        <w:topLinePunct w:val="0"/>
        <w:bidi w:val="0"/>
        <w:snapToGrid w:val="0"/>
        <w:spacing w:line="360" w:lineRule="exact"/>
        <w:ind w:firstLine="472" w:firstLineChars="225"/>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35F0E4E8">
      <w:pPr>
        <w:keepNext w:val="0"/>
        <w:keepLines w:val="0"/>
        <w:pageBreakBefore w:val="0"/>
        <w:kinsoku/>
        <w:overflowPunct/>
        <w:topLinePunct w:val="0"/>
        <w:bidi w:val="0"/>
        <w:spacing w:line="360" w:lineRule="exact"/>
        <w:textAlignment w:val="auto"/>
        <w:outlineLvl w:val="1"/>
        <w:rPr>
          <w:rFonts w:ascii="宋体" w:hAnsi="宋体" w:eastAsia="宋体" w:cs="宋体"/>
          <w:b/>
          <w:bCs/>
          <w:color w:val="auto"/>
          <w:sz w:val="24"/>
          <w:szCs w:val="24"/>
          <w:highlight w:val="none"/>
        </w:rPr>
      </w:pPr>
      <w:bookmarkStart w:id="26" w:name="_Toc146703275"/>
      <w:r>
        <w:rPr>
          <w:rFonts w:hint="eastAsia" w:ascii="宋体" w:hAnsi="宋体" w:eastAsia="宋体" w:cs="宋体"/>
          <w:b/>
          <w:bCs/>
          <w:color w:val="auto"/>
          <w:sz w:val="24"/>
          <w:szCs w:val="24"/>
          <w:highlight w:val="none"/>
        </w:rPr>
        <w:t>六、提交</w:t>
      </w:r>
      <w:bookmarkEnd w:id="22"/>
      <w:bookmarkEnd w:id="23"/>
      <w:r>
        <w:rPr>
          <w:rFonts w:hint="eastAsia" w:ascii="宋体" w:hAnsi="宋体" w:eastAsia="宋体" w:cs="宋体"/>
          <w:b/>
          <w:bCs/>
          <w:color w:val="auto"/>
          <w:sz w:val="24"/>
          <w:szCs w:val="24"/>
          <w:highlight w:val="none"/>
        </w:rPr>
        <w:t>响应文件截止时间、开标时间和地点</w:t>
      </w:r>
      <w:bookmarkEnd w:id="24"/>
      <w:bookmarkEnd w:id="25"/>
      <w:bookmarkEnd w:id="26"/>
    </w:p>
    <w:p w14:paraId="1960AB4F">
      <w:pPr>
        <w:keepNext w:val="0"/>
        <w:keepLines w:val="0"/>
        <w:pageBreakBefore w:val="0"/>
        <w:kinsoku/>
        <w:overflowPunct/>
        <w:topLinePunct w:val="0"/>
        <w:bidi w:val="0"/>
        <w:spacing w:line="360" w:lineRule="exact"/>
        <w:ind w:firstLine="420" w:firstLineChars="200"/>
        <w:textAlignment w:val="auto"/>
        <w:rPr>
          <w:rFonts w:ascii="宋体" w:hAnsi="宋体" w:eastAsia="宋体" w:cs="宋体"/>
          <w:color w:val="auto"/>
          <w:szCs w:val="21"/>
          <w:highlight w:val="none"/>
          <w:u w:val="single"/>
        </w:rPr>
      </w:pPr>
      <w:r>
        <w:rPr>
          <w:rFonts w:hint="eastAsia" w:ascii="宋体" w:hAnsi="宋体" w:eastAsia="宋体" w:cs="宋体"/>
          <w:bCs/>
          <w:color w:val="auto"/>
          <w:szCs w:val="21"/>
          <w:highlight w:val="none"/>
        </w:rPr>
        <w:t>1、提交响应文件截止时间和开标时间：</w:t>
      </w:r>
      <w:r>
        <w:rPr>
          <w:rFonts w:hint="eastAsia" w:ascii="宋体" w:hAnsi="宋体" w:eastAsia="宋体" w:cs="宋体"/>
          <w:bCs/>
          <w:color w:val="auto"/>
          <w:szCs w:val="21"/>
          <w:highlight w:val="none"/>
          <w:u w:val="single"/>
        </w:rPr>
        <w:t>202</w:t>
      </w:r>
      <w:r>
        <w:rPr>
          <w:rFonts w:hint="eastAsia" w:ascii="宋体" w:hAnsi="宋体" w:eastAsia="宋体" w:cs="宋体"/>
          <w:bCs/>
          <w:color w:val="auto"/>
          <w:szCs w:val="21"/>
          <w:highlight w:val="none"/>
          <w:u w:val="single"/>
          <w:lang w:val="en-US" w:eastAsia="zh-CN"/>
        </w:rPr>
        <w:t>5</w:t>
      </w:r>
      <w:r>
        <w:rPr>
          <w:rFonts w:hint="eastAsia" w:ascii="宋体" w:hAnsi="宋体" w:eastAsia="宋体" w:cs="宋体"/>
          <w:bCs/>
          <w:color w:val="auto"/>
          <w:szCs w:val="21"/>
          <w:highlight w:val="none"/>
          <w:u w:val="single"/>
        </w:rPr>
        <w:t>年</w:t>
      </w:r>
      <w:r>
        <w:rPr>
          <w:rFonts w:hint="eastAsia" w:ascii="宋体" w:hAnsi="宋体" w:eastAsia="宋体" w:cs="宋体"/>
          <w:bCs/>
          <w:color w:val="auto"/>
          <w:szCs w:val="21"/>
          <w:highlight w:val="none"/>
          <w:u w:val="single"/>
          <w:lang w:val="en-US" w:eastAsia="zh-CN"/>
        </w:rPr>
        <w:t>11</w:t>
      </w:r>
      <w:r>
        <w:rPr>
          <w:rFonts w:hint="eastAsia" w:ascii="宋体" w:hAnsi="宋体" w:eastAsia="宋体" w:cs="宋体"/>
          <w:bCs/>
          <w:color w:val="auto"/>
          <w:szCs w:val="21"/>
          <w:highlight w:val="none"/>
          <w:u w:val="single"/>
        </w:rPr>
        <w:t>月</w:t>
      </w:r>
      <w:r>
        <w:rPr>
          <w:rFonts w:hint="eastAsia" w:ascii="宋体" w:hAnsi="宋体" w:eastAsia="宋体" w:cs="宋体"/>
          <w:bCs/>
          <w:color w:val="auto"/>
          <w:szCs w:val="21"/>
          <w:highlight w:val="none"/>
          <w:u w:val="single"/>
          <w:lang w:val="en-US" w:eastAsia="zh-CN"/>
        </w:rPr>
        <w:t>25</w:t>
      </w:r>
      <w:r>
        <w:rPr>
          <w:rFonts w:hint="eastAsia" w:ascii="宋体" w:hAnsi="宋体" w:eastAsia="宋体" w:cs="宋体"/>
          <w:bCs/>
          <w:color w:val="auto"/>
          <w:szCs w:val="21"/>
          <w:highlight w:val="none"/>
          <w:u w:val="single"/>
        </w:rPr>
        <w:t>日9:30</w:t>
      </w:r>
      <w:r>
        <w:rPr>
          <w:rFonts w:hint="eastAsia" w:ascii="宋体" w:hAnsi="宋体" w:eastAsia="宋体" w:cs="宋体"/>
          <w:bCs/>
          <w:color w:val="auto"/>
          <w:szCs w:val="21"/>
          <w:highlight w:val="none"/>
        </w:rPr>
        <w:t>（北京时间）</w:t>
      </w:r>
    </w:p>
    <w:p w14:paraId="70AE590C">
      <w:pPr>
        <w:keepNext w:val="0"/>
        <w:keepLines w:val="0"/>
        <w:pageBreakBefore w:val="0"/>
        <w:kinsoku/>
        <w:overflowPunct/>
        <w:topLinePunct w:val="0"/>
        <w:bidi w:val="0"/>
        <w:spacing w:line="36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2、响应文件提交地点：</w:t>
      </w:r>
    </w:p>
    <w:p w14:paraId="610C7538">
      <w:pPr>
        <w:keepNext w:val="0"/>
        <w:keepLines w:val="0"/>
        <w:pageBreakBefore w:val="0"/>
        <w:widowControl/>
        <w:kinsoku/>
        <w:overflowPunct/>
        <w:topLinePunct w:val="0"/>
        <w:bidi w:val="0"/>
        <w:spacing w:line="360" w:lineRule="exact"/>
        <w:ind w:firstLine="420" w:firstLineChars="200"/>
        <w:jc w:val="left"/>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（1）投标文件提交方式：本项目为南宁市全流程电子化项目，通过</w:t>
      </w:r>
      <w:r>
        <w:rPr>
          <w:rFonts w:hint="eastAsia" w:ascii="宋体" w:hAnsi="宋体" w:eastAsia="宋体" w:cs="Times New Roman"/>
          <w:color w:val="auto"/>
          <w:szCs w:val="21"/>
          <w:highlight w:val="none"/>
          <w:lang w:eastAsia="zh-CN"/>
        </w:rPr>
        <w:t>“广西政府采购云平台”</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https://www.gcy.zfcg.gxzf.gov.cn/</w:t>
      </w:r>
      <w:r>
        <w:rPr>
          <w:rFonts w:hint="eastAsia" w:ascii="宋体" w:hAnsi="宋体" w:eastAsia="宋体" w:cs="Times New Roman"/>
          <w:color w:val="auto"/>
          <w:szCs w:val="21"/>
          <w:highlight w:val="none"/>
        </w:rPr>
        <w:t>）实行在线电子投标，供应商应先安装“政采云电子交易客户端”（请自行前往</w:t>
      </w:r>
      <w:r>
        <w:rPr>
          <w:rFonts w:hint="eastAsia" w:ascii="宋体" w:hAnsi="宋体" w:eastAsia="宋体" w:cs="Times New Roman"/>
          <w:color w:val="auto"/>
          <w:szCs w:val="21"/>
          <w:highlight w:val="none"/>
          <w:lang w:eastAsia="zh-CN"/>
        </w:rPr>
        <w:t>“广西政府采购云平台”</w:t>
      </w:r>
      <w:r>
        <w:rPr>
          <w:rFonts w:hint="eastAsia" w:ascii="宋体" w:hAnsi="宋体" w:eastAsia="宋体" w:cs="Times New Roman"/>
          <w:color w:val="auto"/>
          <w:szCs w:val="21"/>
          <w:highlight w:val="none"/>
        </w:rPr>
        <w:t>进行下载），并按照本项目招标文件和</w:t>
      </w:r>
      <w:r>
        <w:rPr>
          <w:rFonts w:hint="eastAsia" w:ascii="宋体" w:hAnsi="宋体" w:eastAsia="宋体" w:cs="Times New Roman"/>
          <w:color w:val="auto"/>
          <w:szCs w:val="21"/>
          <w:highlight w:val="none"/>
          <w:lang w:eastAsia="zh-CN"/>
        </w:rPr>
        <w:t>“广西政府采购云平台”</w:t>
      </w:r>
      <w:r>
        <w:rPr>
          <w:rFonts w:hint="eastAsia" w:ascii="宋体" w:hAnsi="宋体" w:eastAsia="宋体" w:cs="Times New Roman"/>
          <w:color w:val="auto"/>
          <w:szCs w:val="21"/>
          <w:highlight w:val="none"/>
        </w:rPr>
        <w:t>的要求编制、加密后在投标截止时间前通过网络上传至南宁市本级</w:t>
      </w:r>
      <w:r>
        <w:rPr>
          <w:rFonts w:hint="eastAsia" w:ascii="宋体" w:hAnsi="宋体" w:eastAsia="宋体" w:cs="Times New Roman"/>
          <w:color w:val="auto"/>
          <w:szCs w:val="21"/>
          <w:highlight w:val="none"/>
          <w:lang w:eastAsia="zh-CN"/>
        </w:rPr>
        <w:t>“广西政府采购云平台”</w:t>
      </w:r>
      <w:r>
        <w:rPr>
          <w:rFonts w:hint="eastAsia" w:ascii="宋体" w:hAnsi="宋体" w:eastAsia="宋体" w:cs="Times New Roman"/>
          <w:color w:val="auto"/>
          <w:szCs w:val="21"/>
          <w:highlight w:val="none"/>
        </w:rPr>
        <w:t>，</w:t>
      </w:r>
      <w:r>
        <w:rPr>
          <w:rFonts w:hint="eastAsia" w:ascii="宋体" w:hAnsi="宋体" w:eastAsia="宋体" w:cs="Times New Roman"/>
          <w:b/>
          <w:color w:val="auto"/>
          <w:szCs w:val="21"/>
          <w:highlight w:val="none"/>
        </w:rPr>
        <w:t>供应商在</w:t>
      </w:r>
      <w:r>
        <w:rPr>
          <w:rFonts w:hint="eastAsia" w:ascii="宋体" w:hAnsi="宋体" w:eastAsia="宋体" w:cs="Times New Roman"/>
          <w:b/>
          <w:color w:val="auto"/>
          <w:szCs w:val="21"/>
          <w:highlight w:val="none"/>
          <w:lang w:eastAsia="zh-CN"/>
        </w:rPr>
        <w:t>“广西政府采购云平台”</w:t>
      </w:r>
      <w:r>
        <w:rPr>
          <w:rFonts w:hint="eastAsia" w:ascii="宋体" w:hAnsi="宋体" w:eastAsia="宋体" w:cs="Times New Roman"/>
          <w:b/>
          <w:color w:val="auto"/>
          <w:szCs w:val="21"/>
          <w:highlight w:val="none"/>
        </w:rPr>
        <w:t>提交电子版投标文件时，请填写参加远程开标活动经办人联系方式，</w:t>
      </w:r>
      <w:r>
        <w:rPr>
          <w:rFonts w:hint="eastAsia" w:ascii="宋体" w:hAnsi="宋体" w:eastAsia="宋体" w:cs="Times New Roman"/>
          <w:color w:val="auto"/>
          <w:szCs w:val="21"/>
          <w:highlight w:val="none"/>
        </w:rPr>
        <w:t>电子投标具体操作流程详见本公告附件。</w:t>
      </w:r>
    </w:p>
    <w:p w14:paraId="71E01B6A">
      <w:pPr>
        <w:keepNext w:val="0"/>
        <w:keepLines w:val="0"/>
        <w:pageBreakBefore w:val="0"/>
        <w:widowControl/>
        <w:kinsoku/>
        <w:overflowPunct/>
        <w:topLinePunct w:val="0"/>
        <w:bidi w:val="0"/>
        <w:spacing w:line="360" w:lineRule="exact"/>
        <w:ind w:firstLine="420" w:firstLineChars="200"/>
        <w:jc w:val="left"/>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及投标文件的提交。完成CA数字证书办理预计7日左右，</w:t>
      </w:r>
      <w:r>
        <w:rPr>
          <w:rFonts w:hint="eastAsia" w:ascii="宋体" w:hAnsi="宋体" w:eastAsia="宋体" w:cs="宋体"/>
          <w:color w:val="auto"/>
          <w:szCs w:val="21"/>
          <w:highlight w:val="none"/>
        </w:rPr>
        <w:t>投标人只需办理其中一家</w:t>
      </w:r>
      <w:r>
        <w:rPr>
          <w:rFonts w:ascii="宋体" w:hAnsi="宋体" w:eastAsia="宋体" w:cs="宋体"/>
          <w:color w:val="auto"/>
          <w:szCs w:val="21"/>
          <w:highlight w:val="none"/>
        </w:rPr>
        <w:t>CA数字证书及签章</w:t>
      </w: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rPr>
        <w:t>建议各投标人抓紧时间办理。</w:t>
      </w:r>
    </w:p>
    <w:p w14:paraId="76BB7C21">
      <w:pPr>
        <w:keepNext w:val="0"/>
        <w:keepLines w:val="0"/>
        <w:pageBreakBefore w:val="0"/>
        <w:widowControl/>
        <w:kinsoku/>
        <w:overflowPunct/>
        <w:topLinePunct w:val="0"/>
        <w:bidi w:val="0"/>
        <w:spacing w:line="360" w:lineRule="exact"/>
        <w:ind w:firstLine="420" w:firstLineChars="200"/>
        <w:jc w:val="left"/>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（3）为确保网上操作合法、有效和安全，请投标供应商确保在电子投标过程中能够对相关数据电文进行加密和使用电子签章，妥善保管C</w:t>
      </w:r>
      <w:r>
        <w:rPr>
          <w:rFonts w:ascii="宋体" w:hAnsi="宋体" w:eastAsia="宋体" w:cs="Times New Roman"/>
          <w:color w:val="auto"/>
          <w:szCs w:val="21"/>
          <w:highlight w:val="none"/>
        </w:rPr>
        <w:t>A</w:t>
      </w:r>
      <w:r>
        <w:rPr>
          <w:rFonts w:hint="eastAsia" w:ascii="宋体" w:hAnsi="宋体" w:eastAsia="宋体" w:cs="Times New Roman"/>
          <w:color w:val="auto"/>
          <w:szCs w:val="21"/>
          <w:highlight w:val="none"/>
        </w:rPr>
        <w:t>数字证书并使用有效的CA数字证书参与整个招标活动。</w:t>
      </w:r>
    </w:p>
    <w:p w14:paraId="5420F26F">
      <w:pPr>
        <w:keepNext w:val="0"/>
        <w:keepLines w:val="0"/>
        <w:pageBreakBefore w:val="0"/>
        <w:kinsoku/>
        <w:overflowPunct/>
        <w:topLinePunct w:val="0"/>
        <w:bidi w:val="0"/>
        <w:spacing w:line="360" w:lineRule="exact"/>
        <w:ind w:firstLine="420" w:firstLineChars="200"/>
        <w:textAlignment w:val="auto"/>
        <w:rPr>
          <w:rFonts w:ascii="宋体" w:hAnsi="宋体" w:eastAsia="宋体" w:cs="Times New Roman"/>
          <w:bCs/>
          <w:color w:val="auto"/>
          <w:szCs w:val="21"/>
          <w:highlight w:val="none"/>
          <w:u w:val="single"/>
        </w:rPr>
      </w:pPr>
      <w:r>
        <w:rPr>
          <w:rFonts w:hint="eastAsia" w:ascii="宋体" w:hAnsi="宋体" w:eastAsia="宋体" w:cs="Times New Roman"/>
          <w:bCs/>
          <w:color w:val="auto"/>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eastAsia="宋体" w:cs="Times New Roman"/>
          <w:bCs/>
          <w:color w:val="auto"/>
          <w:szCs w:val="21"/>
          <w:highlight w:val="none"/>
          <w:u w:val="single"/>
          <w:lang w:eastAsia="zh-CN"/>
        </w:rPr>
        <w:t>“广西政府采购云平台”</w:t>
      </w:r>
      <w:r>
        <w:rPr>
          <w:rFonts w:hint="eastAsia" w:ascii="宋体" w:hAnsi="宋体" w:eastAsia="宋体" w:cs="Times New Roman"/>
          <w:bCs/>
          <w:color w:val="auto"/>
          <w:szCs w:val="21"/>
          <w:highlight w:val="none"/>
          <w:u w:val="single"/>
        </w:rPr>
        <w:t>将予以拒收。</w:t>
      </w:r>
    </w:p>
    <w:p w14:paraId="604C52C6">
      <w:pPr>
        <w:keepNext w:val="0"/>
        <w:keepLines w:val="0"/>
        <w:pageBreakBefore w:val="0"/>
        <w:widowControl/>
        <w:kinsoku/>
        <w:overflowPunct/>
        <w:topLinePunct w:val="0"/>
        <w:bidi w:val="0"/>
        <w:spacing w:line="360" w:lineRule="exact"/>
        <w:ind w:firstLine="420" w:firstLineChars="200"/>
        <w:jc w:val="left"/>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（4）开标地点：本次招标将</w:t>
      </w:r>
      <w:r>
        <w:rPr>
          <w:rFonts w:hint="eastAsia" w:ascii="宋体" w:hAnsi="宋体" w:eastAsia="宋体" w:cs="Times New Roman"/>
          <w:color w:val="auto"/>
          <w:szCs w:val="21"/>
          <w:highlight w:val="none"/>
          <w:u w:val="single"/>
        </w:rPr>
        <w:t>于202</w:t>
      </w:r>
      <w:r>
        <w:rPr>
          <w:rFonts w:hint="eastAsia" w:ascii="宋体" w:hAnsi="宋体" w:eastAsia="宋体" w:cs="Times New Roman"/>
          <w:color w:val="auto"/>
          <w:szCs w:val="21"/>
          <w:highlight w:val="none"/>
          <w:u w:val="single"/>
          <w:lang w:val="en-US" w:eastAsia="zh-CN"/>
        </w:rPr>
        <w:t>5</w:t>
      </w:r>
      <w:r>
        <w:rPr>
          <w:rFonts w:hint="eastAsia" w:ascii="宋体" w:hAnsi="宋体" w:eastAsia="宋体" w:cs="Times New Roman"/>
          <w:color w:val="auto"/>
          <w:szCs w:val="21"/>
          <w:highlight w:val="none"/>
          <w:u w:val="single"/>
        </w:rPr>
        <w:t xml:space="preserve"> 年</w:t>
      </w:r>
      <w:r>
        <w:rPr>
          <w:rFonts w:hint="eastAsia" w:ascii="宋体" w:hAnsi="宋体" w:eastAsia="宋体" w:cs="Times New Roman"/>
          <w:color w:val="auto"/>
          <w:szCs w:val="21"/>
          <w:highlight w:val="none"/>
          <w:u w:val="single"/>
          <w:lang w:val="en-US" w:eastAsia="zh-CN"/>
        </w:rPr>
        <w:t>11</w:t>
      </w:r>
      <w:r>
        <w:rPr>
          <w:rFonts w:hint="eastAsia" w:ascii="宋体" w:hAnsi="宋体" w:eastAsia="宋体" w:cs="Times New Roman"/>
          <w:color w:val="auto"/>
          <w:szCs w:val="21"/>
          <w:highlight w:val="none"/>
          <w:u w:val="single"/>
        </w:rPr>
        <w:t>月</w:t>
      </w:r>
      <w:r>
        <w:rPr>
          <w:rFonts w:hint="eastAsia" w:ascii="宋体" w:hAnsi="宋体" w:eastAsia="宋体" w:cs="Times New Roman"/>
          <w:color w:val="auto"/>
          <w:szCs w:val="21"/>
          <w:highlight w:val="none"/>
          <w:u w:val="single"/>
          <w:lang w:val="en-US" w:eastAsia="zh-CN"/>
        </w:rPr>
        <w:t>25</w:t>
      </w:r>
      <w:r>
        <w:rPr>
          <w:rFonts w:hint="eastAsia" w:ascii="宋体" w:hAnsi="宋体" w:eastAsia="宋体" w:cs="Times New Roman"/>
          <w:color w:val="auto"/>
          <w:szCs w:val="21"/>
          <w:highlight w:val="none"/>
          <w:u w:val="single"/>
        </w:rPr>
        <w:t>日09时30 分</w:t>
      </w:r>
      <w:r>
        <w:rPr>
          <w:rFonts w:hint="eastAsia" w:ascii="宋体" w:hAnsi="宋体" w:eastAsia="宋体" w:cs="Times New Roman"/>
          <w:color w:val="auto"/>
          <w:szCs w:val="21"/>
          <w:highlight w:val="none"/>
        </w:rPr>
        <w:t>在</w:t>
      </w:r>
      <w:r>
        <w:rPr>
          <w:rFonts w:hint="eastAsia" w:ascii="宋体" w:hAnsi="宋体" w:eastAsia="宋体" w:cs="Times New Roman"/>
          <w:color w:val="auto"/>
          <w:szCs w:val="21"/>
          <w:highlight w:val="none"/>
          <w:lang w:eastAsia="zh-CN"/>
        </w:rPr>
        <w:t>“广西政府采购云平台”</w:t>
      </w:r>
      <w:r>
        <w:rPr>
          <w:rFonts w:hint="eastAsia" w:ascii="宋体" w:hAnsi="宋体" w:eastAsia="宋体" w:cs="Times New Roman"/>
          <w:color w:val="auto"/>
          <w:szCs w:val="21"/>
          <w:highlight w:val="none"/>
        </w:rPr>
        <w:t>电子开标大厅开标。</w:t>
      </w:r>
    </w:p>
    <w:p w14:paraId="5AE0E08E">
      <w:pPr>
        <w:keepNext w:val="0"/>
        <w:keepLines w:val="0"/>
        <w:pageBreakBefore w:val="0"/>
        <w:kinsoku/>
        <w:overflowPunct/>
        <w:topLinePunct w:val="0"/>
        <w:bidi w:val="0"/>
        <w:snapToGrid w:val="0"/>
        <w:spacing w:line="360" w:lineRule="exact"/>
        <w:ind w:firstLine="420" w:firstLineChars="20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（5）CA证书在线解密：供应商投标时，</w:t>
      </w:r>
      <w:r>
        <w:rPr>
          <w:rFonts w:hint="eastAsia" w:ascii="宋体" w:hAnsi="宋体" w:eastAsia="宋体" w:cs="宋体"/>
          <w:b/>
          <w:color w:val="auto"/>
          <w:kern w:val="0"/>
          <w:szCs w:val="21"/>
          <w:highlight w:val="none"/>
        </w:rPr>
        <w:t>需携带制作投标文件时用来加密的有效数字证书（CA认证）</w:t>
      </w:r>
      <w:r>
        <w:rPr>
          <w:rFonts w:hint="eastAsia" w:ascii="宋体" w:hAnsi="宋体" w:eastAsia="宋体" w:cs="宋体"/>
          <w:color w:val="auto"/>
          <w:kern w:val="0"/>
          <w:szCs w:val="21"/>
          <w:highlight w:val="none"/>
        </w:rPr>
        <w:t>登录</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电子开标大厅现场按规定时间对加密的投标文件进行解密，未能按要求进行解密的，由此产生的后果由投标人自行承担。</w:t>
      </w:r>
    </w:p>
    <w:p w14:paraId="4006FAE0">
      <w:pPr>
        <w:keepNext w:val="0"/>
        <w:keepLines w:val="0"/>
        <w:pageBreakBefore w:val="0"/>
        <w:kinsoku/>
        <w:overflowPunct/>
        <w:topLinePunct w:val="0"/>
        <w:bidi w:val="0"/>
        <w:spacing w:line="360" w:lineRule="exact"/>
        <w:textAlignment w:val="auto"/>
        <w:outlineLvl w:val="1"/>
        <w:rPr>
          <w:rFonts w:ascii="宋体" w:hAnsi="宋体" w:eastAsia="宋体" w:cs="宋体"/>
          <w:b/>
          <w:bCs/>
          <w:color w:val="auto"/>
          <w:sz w:val="24"/>
          <w:szCs w:val="24"/>
          <w:highlight w:val="none"/>
        </w:rPr>
      </w:pPr>
      <w:bookmarkStart w:id="27" w:name="_Toc35393625"/>
      <w:bookmarkStart w:id="28" w:name="_Toc28359084"/>
      <w:bookmarkStart w:id="29" w:name="_Toc35393794"/>
      <w:bookmarkStart w:id="30" w:name="_Toc146703276"/>
      <w:bookmarkStart w:id="31" w:name="_Toc28359007"/>
      <w:r>
        <w:rPr>
          <w:rFonts w:hint="eastAsia" w:ascii="宋体" w:hAnsi="宋体" w:eastAsia="宋体" w:cs="宋体"/>
          <w:b/>
          <w:bCs/>
          <w:color w:val="auto"/>
          <w:sz w:val="24"/>
          <w:szCs w:val="24"/>
          <w:highlight w:val="none"/>
        </w:rPr>
        <w:t>七、公告期限</w:t>
      </w:r>
      <w:bookmarkEnd w:id="27"/>
      <w:bookmarkEnd w:id="28"/>
      <w:bookmarkEnd w:id="29"/>
      <w:bookmarkEnd w:id="30"/>
      <w:bookmarkEnd w:id="31"/>
    </w:p>
    <w:p w14:paraId="7FF0BE71">
      <w:pPr>
        <w:keepNext w:val="0"/>
        <w:keepLines w:val="0"/>
        <w:pageBreakBefore w:val="0"/>
        <w:kinsoku/>
        <w:overflowPunct/>
        <w:topLinePunct w:val="0"/>
        <w:bidi w:val="0"/>
        <w:spacing w:line="360" w:lineRule="exact"/>
        <w:ind w:firstLine="420" w:firstLineChars="20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63A336FA">
      <w:pPr>
        <w:keepNext w:val="0"/>
        <w:keepLines w:val="0"/>
        <w:pageBreakBefore w:val="0"/>
        <w:kinsoku/>
        <w:overflowPunct/>
        <w:topLinePunct w:val="0"/>
        <w:bidi w:val="0"/>
        <w:spacing w:line="360" w:lineRule="exact"/>
        <w:textAlignment w:val="auto"/>
        <w:outlineLvl w:val="1"/>
        <w:rPr>
          <w:rFonts w:ascii="宋体" w:hAnsi="宋体" w:eastAsia="宋体" w:cs="宋体"/>
          <w:b/>
          <w:bCs/>
          <w:color w:val="auto"/>
          <w:sz w:val="24"/>
          <w:szCs w:val="24"/>
          <w:highlight w:val="none"/>
        </w:rPr>
      </w:pPr>
      <w:bookmarkStart w:id="32" w:name="_Toc146703277"/>
      <w:bookmarkStart w:id="33" w:name="_Toc35393626"/>
      <w:bookmarkStart w:id="34" w:name="_Toc35393795"/>
      <w:r>
        <w:rPr>
          <w:rFonts w:hint="eastAsia" w:ascii="宋体" w:hAnsi="宋体" w:eastAsia="宋体" w:cs="宋体"/>
          <w:b/>
          <w:bCs/>
          <w:color w:val="auto"/>
          <w:sz w:val="24"/>
          <w:szCs w:val="24"/>
          <w:highlight w:val="none"/>
        </w:rPr>
        <w:t>八、其他补充事宜</w:t>
      </w:r>
      <w:bookmarkEnd w:id="32"/>
      <w:bookmarkEnd w:id="33"/>
      <w:bookmarkEnd w:id="34"/>
    </w:p>
    <w:p w14:paraId="29744546">
      <w:pPr>
        <w:keepNext w:val="0"/>
        <w:keepLines w:val="0"/>
        <w:pageBreakBefore w:val="0"/>
        <w:kinsoku/>
        <w:overflowPunct/>
        <w:topLinePunct w:val="0"/>
        <w:bidi w:val="0"/>
        <w:spacing w:line="360" w:lineRule="exact"/>
        <w:ind w:firstLine="315" w:firstLineChars="15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1.响应保证金：本项目不收取响应保证金</w:t>
      </w:r>
    </w:p>
    <w:p w14:paraId="03891CE9">
      <w:pPr>
        <w:keepNext w:val="0"/>
        <w:keepLines w:val="0"/>
        <w:pageBreakBefore w:val="0"/>
        <w:kinsoku/>
        <w:overflowPunct/>
        <w:topLinePunct w:val="0"/>
        <w:bidi w:val="0"/>
        <w:spacing w:line="360" w:lineRule="exact"/>
        <w:ind w:firstLine="315" w:firstLineChars="150"/>
        <w:textAlignment w:val="auto"/>
        <w:rPr>
          <w:rFonts w:ascii="宋体" w:hAnsi="宋体" w:eastAsia="宋体" w:cs="宋体"/>
          <w:color w:val="auto"/>
          <w:szCs w:val="21"/>
          <w:highlight w:val="none"/>
        </w:rPr>
      </w:pPr>
      <w:bookmarkStart w:id="35" w:name="_Hlk37429595"/>
      <w:bookmarkStart w:id="36" w:name="_Hlk37429585"/>
      <w:r>
        <w:rPr>
          <w:rFonts w:hint="eastAsia" w:ascii="宋体" w:hAnsi="宋体" w:eastAsia="宋体" w:cs="宋体"/>
          <w:color w:val="auto"/>
          <w:kern w:val="0"/>
          <w:szCs w:val="21"/>
          <w:highlight w:val="none"/>
        </w:rPr>
        <w:t>2.采购意向公开链接：</w:t>
      </w:r>
    </w:p>
    <w:p w14:paraId="5F8D8C87">
      <w:pPr>
        <w:keepNext w:val="0"/>
        <w:keepLines w:val="0"/>
        <w:pageBreakBefore w:val="0"/>
        <w:kinsoku/>
        <w:overflowPunct/>
        <w:topLinePunct w:val="0"/>
        <w:bidi w:val="0"/>
        <w:spacing w:line="360" w:lineRule="exact"/>
        <w:ind w:firstLine="315" w:firstLineChars="150"/>
        <w:textAlignment w:val="auto"/>
        <w:rPr>
          <w:rFonts w:ascii="宋体" w:hAnsi="宋体" w:eastAsia="宋体" w:cs="宋体"/>
          <w:color w:val="auto"/>
          <w:kern w:val="0"/>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kern w:val="0"/>
          <w:szCs w:val="21"/>
          <w:highlight w:val="none"/>
        </w:rPr>
        <w:t>网上查询地址</w:t>
      </w:r>
    </w:p>
    <w:bookmarkEnd w:id="35"/>
    <w:bookmarkEnd w:id="36"/>
    <w:p w14:paraId="6EB937EF">
      <w:pPr>
        <w:keepNext w:val="0"/>
        <w:keepLines w:val="0"/>
        <w:pageBreakBefore w:val="0"/>
        <w:kinsoku/>
        <w:overflowPunct/>
        <w:topLinePunct w:val="0"/>
        <w:bidi w:val="0"/>
        <w:spacing w:line="360" w:lineRule="exact"/>
        <w:ind w:firstLine="315" w:firstLineChars="150"/>
        <w:textAlignment w:val="auto"/>
        <w:rPr>
          <w:rFonts w:ascii="宋体" w:hAnsi="宋体" w:eastAsia="宋体" w:cs="宋体"/>
          <w:color w:val="auto"/>
          <w:kern w:val="0"/>
          <w:szCs w:val="21"/>
          <w:highlight w:val="none"/>
        </w:rPr>
      </w:pPr>
      <w:bookmarkStart w:id="37" w:name="_Hlk37429674"/>
      <w:r>
        <w:rPr>
          <w:rFonts w:hint="eastAsia" w:ascii="宋体" w:hAnsi="宋体" w:eastAsia="宋体" w:cs="宋体"/>
          <w:color w:val="auto"/>
          <w:kern w:val="0"/>
          <w:szCs w:val="21"/>
          <w:highlight w:val="none"/>
        </w:rPr>
        <w:t>http://www.ccgp.gov.cn (中国政府采购网),http://zfcg.gxzf.gov.cn (广西政府采购网) , http://ggzy.jgswj.gxzf.gov.cn/nnggzy/ (全国公共资源交易平台(广西•南宁)</w:t>
      </w:r>
    </w:p>
    <w:p w14:paraId="587A3C0E">
      <w:pPr>
        <w:keepNext w:val="0"/>
        <w:keepLines w:val="0"/>
        <w:pageBreakBefore w:val="0"/>
        <w:kinsoku/>
        <w:overflowPunct/>
        <w:topLinePunct w:val="0"/>
        <w:bidi w:val="0"/>
        <w:spacing w:line="360" w:lineRule="exact"/>
        <w:ind w:firstLine="315" w:firstLineChars="150"/>
        <w:textAlignment w:val="auto"/>
        <w:rPr>
          <w:rFonts w:ascii="宋体" w:hAnsi="宋体" w:eastAsia="宋体" w:cs="宋体"/>
          <w:color w:val="auto"/>
          <w:kern w:val="0"/>
          <w:szCs w:val="21"/>
          <w:highlight w:val="none"/>
        </w:rPr>
      </w:pPr>
      <w:r>
        <w:rPr>
          <w:rFonts w:hint="eastAsia" w:ascii="宋体" w:hAnsi="宋体" w:eastAsia="宋体" w:cs="宋体"/>
          <w:color w:val="auto"/>
          <w:szCs w:val="21"/>
          <w:highlight w:val="none"/>
        </w:rPr>
        <w:t xml:space="preserve">3. </w:t>
      </w:r>
      <w:r>
        <w:rPr>
          <w:rFonts w:hint="eastAsia" w:ascii="宋体" w:hAnsi="宋体" w:eastAsia="宋体" w:cs="宋体"/>
          <w:color w:val="auto"/>
          <w:kern w:val="0"/>
          <w:szCs w:val="21"/>
          <w:highlight w:val="none"/>
        </w:rPr>
        <w:t>本项目需要落实的政府采购政策</w:t>
      </w:r>
    </w:p>
    <w:p w14:paraId="710BDD2F">
      <w:pPr>
        <w:keepNext w:val="0"/>
        <w:keepLines w:val="0"/>
        <w:pageBreakBefore w:val="0"/>
        <w:kinsoku/>
        <w:overflowPunct/>
        <w:topLinePunct w:val="0"/>
        <w:bidi w:val="0"/>
        <w:spacing w:line="360" w:lineRule="exact"/>
        <w:ind w:firstLine="315" w:firstLineChars="15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43342DA4">
      <w:pPr>
        <w:keepNext w:val="0"/>
        <w:keepLines w:val="0"/>
        <w:pageBreakBefore w:val="0"/>
        <w:kinsoku/>
        <w:overflowPunct/>
        <w:topLinePunct w:val="0"/>
        <w:bidi w:val="0"/>
        <w:spacing w:line="360" w:lineRule="exact"/>
        <w:ind w:firstLine="315" w:firstLineChars="15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775AB49E">
      <w:pPr>
        <w:keepNext w:val="0"/>
        <w:keepLines w:val="0"/>
        <w:pageBreakBefore w:val="0"/>
        <w:kinsoku/>
        <w:overflowPunct/>
        <w:topLinePunct w:val="0"/>
        <w:bidi w:val="0"/>
        <w:spacing w:line="360" w:lineRule="exact"/>
        <w:ind w:firstLine="315" w:firstLineChars="15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267B1EF7">
      <w:pPr>
        <w:keepNext w:val="0"/>
        <w:keepLines w:val="0"/>
        <w:pageBreakBefore w:val="0"/>
        <w:kinsoku/>
        <w:overflowPunct/>
        <w:topLinePunct w:val="0"/>
        <w:bidi w:val="0"/>
        <w:spacing w:line="360" w:lineRule="exact"/>
        <w:ind w:firstLine="315" w:firstLineChars="15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37"/>
    </w:p>
    <w:p w14:paraId="77797104">
      <w:pPr>
        <w:keepNext w:val="0"/>
        <w:keepLines w:val="0"/>
        <w:pageBreakBefore w:val="0"/>
        <w:kinsoku/>
        <w:overflowPunct/>
        <w:topLinePunct w:val="0"/>
        <w:bidi w:val="0"/>
        <w:spacing w:line="360" w:lineRule="exact"/>
        <w:ind w:firstLine="315" w:firstLineChars="15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szCs w:val="24"/>
          <w:highlight w:val="none"/>
        </w:rPr>
        <w:t>扶持不发达地区和少数民族地区政策</w:t>
      </w:r>
      <w:r>
        <w:rPr>
          <w:rFonts w:hint="eastAsia" w:ascii="宋体" w:hAnsi="宋体" w:eastAsia="宋体" w:cs="宋体"/>
          <w:color w:val="auto"/>
          <w:szCs w:val="24"/>
          <w:highlight w:val="none"/>
          <w:lang w:eastAsia="zh-CN"/>
        </w:rPr>
        <w:t>。</w:t>
      </w:r>
    </w:p>
    <w:p w14:paraId="1D2FA995">
      <w:pPr>
        <w:keepNext w:val="0"/>
        <w:keepLines w:val="0"/>
        <w:pageBreakBefore w:val="0"/>
        <w:kinsoku/>
        <w:overflowPunct/>
        <w:topLinePunct w:val="0"/>
        <w:bidi w:val="0"/>
        <w:spacing w:line="360" w:lineRule="exact"/>
        <w:ind w:firstLine="315" w:firstLineChars="15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认为采购文件使自己的权益受到损害的，可以在知道或者应知其权益受到损害之日起7个工作日内，以书面形式向征集人、采购代理机构提出质疑。质疑供应商对征集人、采购代理机构的答复不满意或者征集人、采购代理机构未在规定的时间内作出答复的，可以在答复期满后十五个工作日内向同级政府采购监督管理部门投诉。</w:t>
      </w:r>
    </w:p>
    <w:p w14:paraId="0199E98F">
      <w:pPr>
        <w:keepNext w:val="0"/>
        <w:keepLines w:val="0"/>
        <w:pageBreakBefore w:val="0"/>
        <w:kinsoku/>
        <w:overflowPunct/>
        <w:topLinePunct w:val="0"/>
        <w:bidi w:val="0"/>
        <w:spacing w:line="360" w:lineRule="exact"/>
        <w:ind w:firstLine="420" w:firstLineChars="20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5. </w:t>
      </w:r>
      <w:r>
        <w:rPr>
          <w:rFonts w:hint="eastAsia" w:ascii="宋体" w:hAnsi="宋体" w:cs="宋体"/>
          <w:color w:val="auto"/>
          <w:kern w:val="0"/>
          <w:szCs w:val="21"/>
          <w:highlight w:val="none"/>
        </w:rPr>
        <w:t>若对项目采购电子交易系统操作有疑问，可登录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https://www.gcy.zfcg.gxzf.gov.cn/</w:t>
      </w:r>
      <w:r>
        <w:rPr>
          <w:rFonts w:hint="eastAsia" w:ascii="宋体" w:hAnsi="宋体" w:cs="宋体"/>
          <w:color w:val="auto"/>
          <w:kern w:val="0"/>
          <w:szCs w:val="21"/>
          <w:highlight w:val="none"/>
        </w:rPr>
        <w:t>），点击右侧咨询小采，获取采小蜜智能服务管家帮助，或拨打政采云服务热线</w:t>
      </w:r>
      <w:r>
        <w:rPr>
          <w:rFonts w:hint="eastAsia" w:ascii="宋体" w:hAnsi="宋体" w:cs="宋体"/>
          <w:color w:val="auto"/>
          <w:kern w:val="0"/>
          <w:szCs w:val="21"/>
          <w:highlight w:val="none"/>
          <w:lang w:val="en-US" w:eastAsia="zh-CN"/>
        </w:rPr>
        <w:t>95763</w:t>
      </w:r>
      <w:r>
        <w:rPr>
          <w:rFonts w:hint="eastAsia" w:ascii="宋体" w:hAnsi="宋体" w:cs="宋体"/>
          <w:color w:val="auto"/>
          <w:kern w:val="0"/>
          <w:szCs w:val="21"/>
          <w:highlight w:val="none"/>
        </w:rPr>
        <w:t>获取热线服务帮助。</w:t>
      </w:r>
    </w:p>
    <w:p w14:paraId="27BA68BE">
      <w:pPr>
        <w:keepNext w:val="0"/>
        <w:keepLines w:val="0"/>
        <w:pageBreakBefore w:val="0"/>
        <w:kinsoku/>
        <w:overflowPunct/>
        <w:topLinePunct w:val="0"/>
        <w:bidi w:val="0"/>
        <w:spacing w:line="360" w:lineRule="exact"/>
        <w:textAlignment w:val="auto"/>
        <w:outlineLvl w:val="1"/>
        <w:rPr>
          <w:rFonts w:ascii="宋体" w:hAnsi="宋体" w:eastAsia="宋体" w:cs="宋体"/>
          <w:b/>
          <w:bCs/>
          <w:color w:val="auto"/>
          <w:sz w:val="24"/>
          <w:szCs w:val="24"/>
          <w:highlight w:val="none"/>
        </w:rPr>
      </w:pPr>
      <w:bookmarkStart w:id="38" w:name="_Toc35393796"/>
      <w:bookmarkStart w:id="39" w:name="_Toc35393627"/>
      <w:bookmarkStart w:id="40" w:name="_Toc28359008"/>
      <w:bookmarkStart w:id="41" w:name="_Toc28359085"/>
      <w:bookmarkStart w:id="42" w:name="_Toc146703278"/>
      <w:r>
        <w:rPr>
          <w:rFonts w:hint="eastAsia" w:ascii="宋体" w:hAnsi="宋体" w:eastAsia="宋体" w:cs="宋体"/>
          <w:b/>
          <w:bCs/>
          <w:color w:val="auto"/>
          <w:sz w:val="24"/>
          <w:szCs w:val="24"/>
          <w:highlight w:val="none"/>
        </w:rPr>
        <w:t>九、对本次征集提出询问，请按以下方式联系。</w:t>
      </w:r>
      <w:bookmarkEnd w:id="38"/>
      <w:bookmarkEnd w:id="39"/>
      <w:bookmarkEnd w:id="40"/>
      <w:bookmarkEnd w:id="41"/>
      <w:bookmarkEnd w:id="42"/>
    </w:p>
    <w:p w14:paraId="5236B3EB">
      <w:pPr>
        <w:keepNext w:val="0"/>
        <w:keepLines w:val="0"/>
        <w:pageBreakBefore w:val="0"/>
        <w:kinsoku/>
        <w:overflowPunct/>
        <w:topLinePunct w:val="0"/>
        <w:bidi w:val="0"/>
        <w:spacing w:line="360" w:lineRule="exact"/>
        <w:ind w:firstLine="735" w:firstLineChars="350"/>
        <w:textAlignment w:val="auto"/>
        <w:rPr>
          <w:rFonts w:ascii="宋体" w:hAnsi="宋体" w:eastAsia="宋体" w:cs="Times New Roman"/>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rPr>
        <w:t>采购</w:t>
      </w:r>
      <w:r>
        <w:rPr>
          <w:rFonts w:hint="eastAsia" w:ascii="宋体" w:hAnsi="宋体" w:eastAsia="宋体" w:cs="宋体"/>
          <w:color w:val="auto"/>
          <w:szCs w:val="21"/>
          <w:highlight w:val="none"/>
        </w:rPr>
        <w:t>人信息</w:t>
      </w:r>
    </w:p>
    <w:p w14:paraId="14787A8E">
      <w:pPr>
        <w:keepNext w:val="0"/>
        <w:keepLines w:val="0"/>
        <w:pageBreakBefore w:val="0"/>
        <w:kinsoku/>
        <w:overflowPunct/>
        <w:topLinePunct w:val="0"/>
        <w:bidi w:val="0"/>
        <w:spacing w:line="360" w:lineRule="exact"/>
        <w:ind w:firstLine="840" w:firstLineChars="400"/>
        <w:jc w:val="left"/>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名称：</w:t>
      </w:r>
      <w:r>
        <w:rPr>
          <w:rFonts w:hint="eastAsia" w:ascii="宋体" w:hAnsi="宋体" w:eastAsia="宋体" w:cs="Times New Roman"/>
          <w:color w:val="auto"/>
          <w:szCs w:val="21"/>
          <w:highlight w:val="none"/>
          <w:u w:val="single"/>
        </w:rPr>
        <w:t>南宁市邕宁区财政局</w:t>
      </w:r>
    </w:p>
    <w:p w14:paraId="17287036">
      <w:pPr>
        <w:keepNext w:val="0"/>
        <w:keepLines w:val="0"/>
        <w:pageBreakBefore w:val="0"/>
        <w:kinsoku/>
        <w:overflowPunct/>
        <w:topLinePunct w:val="0"/>
        <w:bidi w:val="0"/>
        <w:spacing w:line="360" w:lineRule="exact"/>
        <w:ind w:firstLine="840" w:firstLineChars="400"/>
        <w:jc w:val="left"/>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地址：</w:t>
      </w:r>
      <w:r>
        <w:rPr>
          <w:rFonts w:hint="eastAsia" w:ascii="宋体" w:hAnsi="宋体" w:eastAsia="宋体" w:cs="Times New Roman"/>
          <w:color w:val="auto"/>
          <w:szCs w:val="21"/>
          <w:highlight w:val="none"/>
          <w:u w:val="single"/>
        </w:rPr>
        <w:t>南宁市青秀区彩虹路41号</w:t>
      </w:r>
    </w:p>
    <w:p w14:paraId="4899089E">
      <w:pPr>
        <w:keepNext w:val="0"/>
        <w:keepLines w:val="0"/>
        <w:pageBreakBefore w:val="0"/>
        <w:kinsoku/>
        <w:overflowPunct/>
        <w:topLinePunct w:val="0"/>
        <w:bidi w:val="0"/>
        <w:spacing w:line="360" w:lineRule="exact"/>
        <w:ind w:firstLine="840" w:firstLineChars="400"/>
        <w:jc w:val="left"/>
        <w:textAlignment w:val="auto"/>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联系方式：</w:t>
      </w:r>
      <w:bookmarkStart w:id="43" w:name="_Toc28359009"/>
      <w:bookmarkStart w:id="44" w:name="_Toc28359086"/>
      <w:r>
        <w:rPr>
          <w:rFonts w:hint="eastAsia" w:ascii="宋体" w:hAnsi="宋体" w:eastAsia="宋体" w:cs="Times New Roman"/>
          <w:color w:val="auto"/>
          <w:szCs w:val="21"/>
          <w:highlight w:val="none"/>
        </w:rPr>
        <w:t xml:space="preserve"> </w:t>
      </w:r>
      <w:r>
        <w:rPr>
          <w:rFonts w:ascii="宋体" w:hAnsi="宋体" w:eastAsia="宋体" w:cs="Times New Roman"/>
          <w:color w:val="auto"/>
          <w:szCs w:val="21"/>
          <w:highlight w:val="none"/>
          <w:u w:val="single"/>
        </w:rPr>
        <w:t>0771-</w:t>
      </w:r>
      <w:r>
        <w:rPr>
          <w:rFonts w:hint="eastAsia" w:ascii="宋体" w:hAnsi="宋体" w:eastAsia="宋体" w:cs="Times New Roman"/>
          <w:color w:val="auto"/>
          <w:szCs w:val="21"/>
          <w:highlight w:val="none"/>
          <w:u w:val="single"/>
        </w:rPr>
        <w:t>4790529</w:t>
      </w:r>
      <w:r>
        <w:rPr>
          <w:rFonts w:hint="eastAsia" w:ascii="宋体" w:hAnsi="宋体" w:eastAsia="宋体" w:cs="Times New Roman"/>
          <w:color w:val="auto"/>
          <w:szCs w:val="21"/>
          <w:highlight w:val="none"/>
        </w:rPr>
        <w:t>　</w:t>
      </w:r>
    </w:p>
    <w:bookmarkEnd w:id="43"/>
    <w:bookmarkEnd w:id="44"/>
    <w:p w14:paraId="4012AD88">
      <w:pPr>
        <w:keepNext w:val="0"/>
        <w:keepLines w:val="0"/>
        <w:pageBreakBefore w:val="0"/>
        <w:kinsoku/>
        <w:overflowPunct/>
        <w:topLinePunct w:val="0"/>
        <w:bidi w:val="0"/>
        <w:spacing w:line="360" w:lineRule="exact"/>
        <w:ind w:left="1041" w:leftChars="371" w:hanging="262" w:hangingChars="125"/>
        <w:jc w:val="left"/>
        <w:textAlignment w:val="auto"/>
        <w:rPr>
          <w:rFonts w:ascii="宋体" w:hAnsi="宋体" w:eastAsia="宋体" w:cs="Times New Roman"/>
          <w:color w:val="auto"/>
          <w:szCs w:val="21"/>
          <w:highlight w:val="none"/>
        </w:rPr>
      </w:pPr>
      <w:r>
        <w:rPr>
          <w:rFonts w:hint="eastAsia" w:ascii="宋体" w:hAnsi="宋体" w:eastAsia="宋体" w:cs="宋体"/>
          <w:color w:val="auto"/>
          <w:szCs w:val="21"/>
          <w:highlight w:val="none"/>
        </w:rPr>
        <w:t>2.采购代理机构信息</w:t>
      </w:r>
    </w:p>
    <w:p w14:paraId="09B257B1">
      <w:pPr>
        <w:keepNext w:val="0"/>
        <w:keepLines w:val="0"/>
        <w:pageBreakBefore w:val="0"/>
        <w:kinsoku/>
        <w:overflowPunct/>
        <w:topLinePunct w:val="0"/>
        <w:bidi w:val="0"/>
        <w:spacing w:line="360" w:lineRule="exact"/>
        <w:ind w:firstLine="735" w:firstLineChars="350"/>
        <w:textAlignment w:val="auto"/>
        <w:rPr>
          <w:rFonts w:hint="eastAsia" w:ascii="宋体" w:hAnsi="宋体" w:eastAsia="宋体" w:cs="Times New Roman"/>
          <w:color w:val="auto"/>
          <w:szCs w:val="21"/>
          <w:highlight w:val="none"/>
          <w:u w:val="single"/>
          <w:lang w:eastAsia="zh-CN"/>
        </w:rPr>
      </w:pPr>
      <w:r>
        <w:rPr>
          <w:rFonts w:hint="eastAsia" w:ascii="宋体" w:hAnsi="宋体" w:eastAsia="宋体" w:cs="Times New Roman"/>
          <w:color w:val="auto"/>
          <w:szCs w:val="21"/>
          <w:highlight w:val="none"/>
        </w:rPr>
        <w:t>名 称：</w:t>
      </w:r>
      <w:r>
        <w:rPr>
          <w:rFonts w:hint="eastAsia" w:ascii="宋体" w:hAnsi="宋体" w:eastAsia="宋体" w:cs="Times New Roman"/>
          <w:color w:val="auto"/>
          <w:szCs w:val="21"/>
          <w:highlight w:val="none"/>
          <w:u w:val="single"/>
          <w:lang w:eastAsia="zh-CN"/>
        </w:rPr>
        <w:t>广西科文招标有限公司</w:t>
      </w:r>
    </w:p>
    <w:p w14:paraId="01C17A6F">
      <w:pPr>
        <w:keepNext w:val="0"/>
        <w:keepLines w:val="0"/>
        <w:pageBreakBefore w:val="0"/>
        <w:kinsoku/>
        <w:overflowPunct/>
        <w:topLinePunct w:val="0"/>
        <w:bidi w:val="0"/>
        <w:spacing w:line="360" w:lineRule="exact"/>
        <w:ind w:firstLine="735" w:firstLineChars="350"/>
        <w:textAlignment w:val="auto"/>
        <w:rPr>
          <w:rFonts w:hint="eastAsia" w:ascii="宋体" w:hAnsi="宋体" w:eastAsia="宋体" w:cs="Times New Roman"/>
          <w:color w:val="auto"/>
          <w:szCs w:val="21"/>
          <w:highlight w:val="none"/>
          <w:u w:val="single"/>
          <w:lang w:eastAsia="zh-CN"/>
        </w:rPr>
      </w:pPr>
      <w:r>
        <w:rPr>
          <w:rFonts w:hint="eastAsia" w:ascii="宋体" w:hAnsi="宋体" w:eastAsia="宋体" w:cs="Times New Roman"/>
          <w:color w:val="auto"/>
          <w:szCs w:val="21"/>
          <w:highlight w:val="none"/>
        </w:rPr>
        <w:t>地　址：</w:t>
      </w:r>
      <w:r>
        <w:rPr>
          <w:rFonts w:hint="eastAsia" w:ascii="宋体" w:hAnsi="宋体" w:eastAsia="宋体" w:cs="Times New Roman"/>
          <w:color w:val="auto"/>
          <w:szCs w:val="21"/>
          <w:highlight w:val="none"/>
          <w:u w:val="single"/>
          <w:lang w:eastAsia="zh-CN"/>
        </w:rPr>
        <w:t>南宁市民族大道141号中鼎万象东方D区5层</w:t>
      </w:r>
    </w:p>
    <w:p w14:paraId="3EA0E464">
      <w:pPr>
        <w:keepNext w:val="0"/>
        <w:keepLines w:val="0"/>
        <w:pageBreakBefore w:val="0"/>
        <w:kinsoku/>
        <w:overflowPunct/>
        <w:topLinePunct w:val="0"/>
        <w:bidi w:val="0"/>
        <w:spacing w:line="360" w:lineRule="exact"/>
        <w:ind w:firstLine="735" w:firstLineChars="350"/>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联系电话：</w:t>
      </w:r>
      <w:r>
        <w:rPr>
          <w:rFonts w:hint="eastAsia" w:ascii="宋体" w:hAnsi="宋体" w:eastAsia="宋体" w:cs="Times New Roman"/>
          <w:color w:val="auto"/>
          <w:szCs w:val="21"/>
          <w:highlight w:val="none"/>
          <w:u w:val="single"/>
          <w:lang w:eastAsia="zh-CN"/>
        </w:rPr>
        <w:t>0771-2023873</w:t>
      </w:r>
    </w:p>
    <w:p w14:paraId="1FCBE43D">
      <w:pPr>
        <w:keepNext w:val="0"/>
        <w:keepLines w:val="0"/>
        <w:pageBreakBefore w:val="0"/>
        <w:kinsoku/>
        <w:overflowPunct/>
        <w:topLinePunct w:val="0"/>
        <w:bidi w:val="0"/>
        <w:spacing w:line="360" w:lineRule="exact"/>
        <w:ind w:firstLine="735" w:firstLineChars="35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3.项目联系方式</w:t>
      </w:r>
    </w:p>
    <w:p w14:paraId="1AE53F35">
      <w:pPr>
        <w:keepNext w:val="0"/>
        <w:keepLines w:val="0"/>
        <w:pageBreakBefore w:val="0"/>
        <w:kinsoku/>
        <w:overflowPunct/>
        <w:topLinePunct w:val="0"/>
        <w:bidi w:val="0"/>
        <w:spacing w:line="360" w:lineRule="exact"/>
        <w:ind w:firstLine="735" w:firstLineChars="35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项目联系人：</w:t>
      </w:r>
      <w:r>
        <w:rPr>
          <w:rFonts w:hint="eastAsia" w:ascii="宋体" w:hAnsi="宋体" w:eastAsia="宋体" w:cs="Times New Roman"/>
          <w:color w:val="auto"/>
          <w:szCs w:val="21"/>
          <w:highlight w:val="none"/>
          <w:u w:val="single"/>
        </w:rPr>
        <w:t>　</w:t>
      </w:r>
      <w:r>
        <w:rPr>
          <w:rFonts w:hint="eastAsia" w:ascii="宋体" w:hAnsi="宋体" w:eastAsia="宋体" w:cs="Times New Roman"/>
          <w:color w:val="auto"/>
          <w:szCs w:val="21"/>
          <w:highlight w:val="none"/>
          <w:u w:val="single"/>
          <w:lang w:eastAsia="zh-CN"/>
        </w:rPr>
        <w:t>李婷、银睿</w:t>
      </w:r>
      <w:r>
        <w:rPr>
          <w:rFonts w:hint="eastAsia" w:ascii="宋体" w:hAnsi="宋体" w:eastAsia="宋体" w:cs="Times New Roman"/>
          <w:color w:val="auto"/>
          <w:szCs w:val="21"/>
          <w:highlight w:val="none"/>
          <w:u w:val="single"/>
        </w:rPr>
        <w:t xml:space="preserve"> </w:t>
      </w:r>
    </w:p>
    <w:p w14:paraId="2A8E0C40">
      <w:pPr>
        <w:keepNext w:val="0"/>
        <w:keepLines w:val="0"/>
        <w:pageBreakBefore w:val="0"/>
        <w:kinsoku/>
        <w:overflowPunct/>
        <w:topLinePunct w:val="0"/>
        <w:bidi w:val="0"/>
        <w:spacing w:line="360" w:lineRule="exact"/>
        <w:ind w:firstLine="735" w:firstLineChars="35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电    话：</w:t>
      </w:r>
      <w:r>
        <w:rPr>
          <w:rFonts w:hint="eastAsia" w:ascii="宋体" w:hAnsi="宋体" w:eastAsia="宋体" w:cs="Times New Roman"/>
          <w:color w:val="auto"/>
          <w:szCs w:val="21"/>
          <w:highlight w:val="none"/>
          <w:u w:val="single"/>
          <w:lang w:eastAsia="zh-CN"/>
        </w:rPr>
        <w:t>0771-2023873</w:t>
      </w:r>
      <w:r>
        <w:rPr>
          <w:rFonts w:hint="eastAsia" w:ascii="宋体" w:hAnsi="宋体" w:eastAsia="宋体" w:cs="Times New Roman"/>
          <w:color w:val="auto"/>
          <w:szCs w:val="21"/>
          <w:highlight w:val="none"/>
          <w:u w:val="single"/>
        </w:rPr>
        <w:t xml:space="preserve"> </w:t>
      </w:r>
    </w:p>
    <w:p w14:paraId="0E2283F9">
      <w:pPr>
        <w:keepNext w:val="0"/>
        <w:keepLines w:val="0"/>
        <w:pageBreakBefore w:val="0"/>
        <w:kinsoku/>
        <w:overflowPunct/>
        <w:topLinePunct w:val="0"/>
        <w:bidi w:val="0"/>
        <w:spacing w:line="360" w:lineRule="exact"/>
        <w:ind w:firstLine="630" w:firstLineChars="300"/>
        <w:textAlignment w:val="auto"/>
        <w:rPr>
          <w:rFonts w:ascii="宋体" w:hAnsi="宋体" w:eastAsia="宋体" w:cs="Times New Roman"/>
          <w:color w:val="auto"/>
          <w:szCs w:val="21"/>
          <w:highlight w:val="none"/>
          <w:u w:val="single"/>
        </w:rPr>
      </w:pPr>
    </w:p>
    <w:p w14:paraId="61B3038F">
      <w:pPr>
        <w:keepNext w:val="0"/>
        <w:keepLines w:val="0"/>
        <w:pageBreakBefore w:val="0"/>
        <w:kinsoku/>
        <w:overflowPunct/>
        <w:topLinePunct w:val="0"/>
        <w:bidi w:val="0"/>
        <w:spacing w:line="360" w:lineRule="exact"/>
        <w:jc w:val="left"/>
        <w:textAlignment w:val="auto"/>
        <w:outlineLvl w:val="2"/>
        <w:rPr>
          <w:rFonts w:ascii="宋体" w:hAnsi="宋体" w:eastAsia="宋体" w:cs="宋体"/>
          <w:color w:val="auto"/>
          <w:szCs w:val="21"/>
          <w:highlight w:val="none"/>
        </w:rPr>
      </w:pPr>
    </w:p>
    <w:p w14:paraId="6CA8FC16">
      <w:pPr>
        <w:pStyle w:val="12"/>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附件：1.CA证书申请方式及操作指南下载地址(登陆http://nncz.nanning.gov.cn/ (南宁市财政局宜网业务专题-政府采购监督管理资料下载-“广西政采云西部CA办理方式”或“南宁市政采云CA证书办理操作指南”)</w:t>
      </w:r>
    </w:p>
    <w:p w14:paraId="404D4730">
      <w:pPr>
        <w:keepNext w:val="0"/>
        <w:keepLines w:val="0"/>
        <w:pageBreakBefore w:val="0"/>
        <w:kinsoku/>
        <w:overflowPunct/>
        <w:topLinePunct w:val="0"/>
        <w:bidi w:val="0"/>
        <w:spacing w:line="360" w:lineRule="exact"/>
        <w:ind w:firstLine="210" w:firstLineChars="100"/>
        <w:jc w:val="left"/>
        <w:textAlignment w:val="auto"/>
        <w:rPr>
          <w:rFonts w:ascii="宋体" w:hAnsi="宋体" w:eastAsia="宋体" w:cs="Times New Roman"/>
          <w:color w:val="auto"/>
          <w:szCs w:val="21"/>
          <w:highlight w:val="none"/>
        </w:rPr>
      </w:pPr>
      <w:r>
        <w:rPr>
          <w:rFonts w:hint="eastAsia" w:ascii="宋体" w:hAnsi="宋体"/>
          <w:color w:val="auto"/>
          <w:szCs w:val="21"/>
          <w:highlight w:val="none"/>
        </w:rPr>
        <w:t>2.电子投标文件制作与投送教程(在此网址下载http://nncz.nanning.gov.cn/ (南宁市财政局官网)一业务专题-政府采购监督管理资料下载-南宁市政府采购项目全流程电子化交易操作指南)</w:t>
      </w:r>
    </w:p>
    <w:p w14:paraId="1C950AAF">
      <w:pPr>
        <w:keepNext w:val="0"/>
        <w:keepLines w:val="0"/>
        <w:pageBreakBefore w:val="0"/>
        <w:kinsoku/>
        <w:wordWrap w:val="0"/>
        <w:overflowPunct/>
        <w:topLinePunct w:val="0"/>
        <w:bidi w:val="0"/>
        <w:spacing w:line="360" w:lineRule="exact"/>
        <w:ind w:left="2000" w:hanging="400"/>
        <w:textAlignment w:val="auto"/>
        <w:outlineLvl w:val="5"/>
        <w:rPr>
          <w:rFonts w:ascii="宋体" w:hAnsi="宋体" w:eastAsia="宋体" w:cs="宋体"/>
          <w:b/>
          <w:color w:val="auto"/>
          <w:szCs w:val="24"/>
          <w:highlight w:val="none"/>
        </w:rPr>
      </w:pPr>
    </w:p>
    <w:p w14:paraId="5699A0DE">
      <w:pPr>
        <w:keepNext w:val="0"/>
        <w:keepLines w:val="0"/>
        <w:pageBreakBefore w:val="0"/>
        <w:kinsoku/>
        <w:overflowPunct/>
        <w:topLinePunct w:val="0"/>
        <w:bidi w:val="0"/>
        <w:spacing w:line="360" w:lineRule="exact"/>
        <w:textAlignment w:val="auto"/>
        <w:rPr>
          <w:rFonts w:ascii="宋体" w:hAnsi="宋体" w:eastAsia="宋体" w:cs="宋体"/>
          <w:color w:val="auto"/>
          <w:szCs w:val="21"/>
          <w:highlight w:val="none"/>
        </w:rPr>
      </w:pPr>
    </w:p>
    <w:p w14:paraId="7835C7B5">
      <w:pPr>
        <w:keepNext w:val="0"/>
        <w:keepLines w:val="0"/>
        <w:pageBreakBefore w:val="0"/>
        <w:kinsoku/>
        <w:overflowPunct/>
        <w:topLinePunct w:val="0"/>
        <w:bidi w:val="0"/>
        <w:spacing w:line="360" w:lineRule="exact"/>
        <w:jc w:val="righ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u w:val="single"/>
          <w:lang w:eastAsia="zh-CN"/>
        </w:rPr>
        <w:t>广西科文招标有限公司</w:t>
      </w:r>
    </w:p>
    <w:p w14:paraId="35E2515C">
      <w:pPr>
        <w:keepNext w:val="0"/>
        <w:keepLines w:val="0"/>
        <w:pageBreakBefore w:val="0"/>
        <w:kinsoku/>
        <w:wordWrap w:val="0"/>
        <w:overflowPunct/>
        <w:topLinePunct w:val="0"/>
        <w:bidi w:val="0"/>
        <w:spacing w:line="360" w:lineRule="exact"/>
        <w:ind w:firstLine="210" w:firstLineChars="100"/>
        <w:jc w:val="right"/>
        <w:textAlignment w:val="auto"/>
        <w:rPr>
          <w:rFonts w:ascii="宋体" w:hAnsi="宋体" w:eastAsia="宋体" w:cs="宋体"/>
          <w:color w:val="auto"/>
          <w:szCs w:val="24"/>
          <w:highlight w:val="none"/>
        </w:rPr>
      </w:pP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11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rPr>
        <w:t>日</w:t>
      </w:r>
    </w:p>
    <w:p w14:paraId="78041FAD">
      <w:pPr>
        <w:keepNext w:val="0"/>
        <w:keepLines w:val="0"/>
        <w:pageBreakBefore w:val="0"/>
        <w:kinsoku/>
        <w:overflowPunct/>
        <w:topLinePunct w:val="0"/>
        <w:bidi w:val="0"/>
        <w:snapToGrid w:val="0"/>
        <w:spacing w:line="360" w:lineRule="exact"/>
        <w:ind w:firstLine="420"/>
        <w:textAlignment w:val="auto"/>
        <w:rPr>
          <w:rFonts w:ascii="宋体" w:hAnsi="宋体" w:eastAsia="宋体" w:cs="宋体"/>
          <w:color w:val="auto"/>
          <w:sz w:val="24"/>
          <w:szCs w:val="24"/>
          <w:highlight w:val="none"/>
        </w:rPr>
        <w:sectPr>
          <w:pgSz w:w="11906" w:h="16838"/>
          <w:pgMar w:top="1134" w:right="1134" w:bottom="1134" w:left="1134" w:header="720" w:footer="720" w:gutter="0"/>
          <w:pgNumType w:start="1"/>
          <w:cols w:space="720" w:num="1"/>
          <w:docGrid w:type="lines" w:linePitch="331" w:charSpace="0"/>
        </w:sectPr>
      </w:pPr>
    </w:p>
    <w:p w14:paraId="673DEF2C">
      <w:pPr>
        <w:jc w:val="center"/>
        <w:outlineLvl w:val="0"/>
        <w:rPr>
          <w:rFonts w:ascii="宋体" w:hAnsi="宋体" w:eastAsia="宋体" w:cs="宋体"/>
          <w:b/>
          <w:color w:val="auto"/>
          <w:sz w:val="36"/>
          <w:szCs w:val="20"/>
          <w:highlight w:val="none"/>
        </w:rPr>
      </w:pPr>
      <w:bookmarkStart w:id="45" w:name="_Toc532545042"/>
      <w:bookmarkStart w:id="46" w:name="_Toc6318"/>
      <w:bookmarkStart w:id="47" w:name="_Toc80092991"/>
      <w:bookmarkStart w:id="48" w:name="_Toc146703279"/>
      <w:r>
        <w:rPr>
          <w:rFonts w:hint="eastAsia" w:ascii="宋体" w:hAnsi="宋体" w:eastAsia="宋体" w:cs="宋体"/>
          <w:b/>
          <w:color w:val="auto"/>
          <w:sz w:val="36"/>
          <w:szCs w:val="20"/>
          <w:highlight w:val="none"/>
        </w:rPr>
        <w:t xml:space="preserve">第二章  </w:t>
      </w:r>
      <w:bookmarkEnd w:id="45"/>
      <w:r>
        <w:rPr>
          <w:rFonts w:hint="eastAsia" w:ascii="宋体" w:hAnsi="宋体" w:eastAsia="宋体" w:cs="宋体"/>
          <w:b/>
          <w:color w:val="auto"/>
          <w:sz w:val="36"/>
          <w:szCs w:val="20"/>
          <w:highlight w:val="none"/>
        </w:rPr>
        <w:t>采购需求</w:t>
      </w:r>
      <w:bookmarkEnd w:id="46"/>
      <w:bookmarkEnd w:id="47"/>
      <w:bookmarkEnd w:id="48"/>
    </w:p>
    <w:p w14:paraId="46E15467">
      <w:pPr>
        <w:adjustRightInd w:val="0"/>
        <w:spacing w:line="3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392AEDF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1.本项目征集人为南宁市邕宁区财政局，通过公开征集方式确定第一阶段入围</w:t>
      </w:r>
      <w:r>
        <w:rPr>
          <w:rFonts w:hint="eastAsia" w:ascii="宋体" w:hAnsi="宋体" w:eastAsia="宋体" w:cs="宋体"/>
          <w:color w:val="auto"/>
          <w:szCs w:val="21"/>
          <w:highlight w:val="none"/>
          <w:lang w:val="en-US" w:eastAsia="zh-CN"/>
        </w:rPr>
        <w:t>供应</w:t>
      </w:r>
      <w:r>
        <w:rPr>
          <w:rFonts w:hint="eastAsia" w:ascii="宋体" w:hAnsi="宋体" w:eastAsia="宋体" w:cs="宋体"/>
          <w:color w:val="auto"/>
          <w:szCs w:val="21"/>
          <w:highlight w:val="none"/>
        </w:rPr>
        <w:t>商后，由征集人邕宁区财政局与入围</w:t>
      </w:r>
      <w:r>
        <w:rPr>
          <w:rFonts w:hint="eastAsia" w:ascii="宋体" w:hAnsi="宋体" w:eastAsia="宋体" w:cs="宋体"/>
          <w:color w:val="auto"/>
          <w:szCs w:val="21"/>
          <w:highlight w:val="none"/>
          <w:lang w:val="en-US" w:eastAsia="zh-CN"/>
        </w:rPr>
        <w:t>供应</w:t>
      </w:r>
      <w:r>
        <w:rPr>
          <w:rFonts w:hint="eastAsia" w:ascii="宋体" w:hAnsi="宋体" w:eastAsia="宋体" w:cs="宋体"/>
          <w:color w:val="auto"/>
          <w:szCs w:val="21"/>
          <w:highlight w:val="none"/>
        </w:rPr>
        <w:t>商签订两年期的框架服务协议。由采购人（即开展南宁市邕宁区政府投资建设项目</w:t>
      </w:r>
      <w:r>
        <w:rPr>
          <w:rFonts w:hint="eastAsia" w:ascii="宋体" w:hAnsi="宋体" w:eastAsia="宋体" w:cs="宋体"/>
          <w:color w:val="auto"/>
          <w:szCs w:val="21"/>
          <w:highlight w:val="none"/>
          <w:lang w:eastAsia="zh-CN"/>
        </w:rPr>
        <w:t>预算</w:t>
      </w:r>
      <w:r>
        <w:rPr>
          <w:rFonts w:hint="eastAsia" w:ascii="宋体" w:hAnsi="宋体" w:eastAsia="宋体" w:cs="宋体"/>
          <w:color w:val="auto"/>
          <w:szCs w:val="21"/>
          <w:highlight w:val="none"/>
        </w:rPr>
        <w:t>审核委托服务的单位）依据项目实际情况、</w:t>
      </w:r>
      <w:r>
        <w:rPr>
          <w:rFonts w:hint="eastAsia" w:ascii="宋体" w:hAnsi="宋体" w:eastAsia="宋体" w:cs="宋体"/>
          <w:color w:val="auto"/>
          <w:szCs w:val="21"/>
          <w:highlight w:val="none"/>
          <w:lang w:val="en-US" w:eastAsia="zh-CN"/>
        </w:rPr>
        <w:t>供应</w:t>
      </w:r>
      <w:r>
        <w:rPr>
          <w:rFonts w:hint="eastAsia" w:ascii="宋体" w:hAnsi="宋体" w:eastAsia="宋体" w:cs="宋体"/>
          <w:color w:val="auto"/>
          <w:szCs w:val="21"/>
          <w:highlight w:val="none"/>
        </w:rPr>
        <w:t>商服务质量、价格及服务便利性、用户评价等因素，从第一阶段入围</w:t>
      </w:r>
      <w:r>
        <w:rPr>
          <w:rFonts w:hint="eastAsia" w:ascii="宋体" w:hAnsi="宋体" w:eastAsia="宋体" w:cs="宋体"/>
          <w:color w:val="auto"/>
          <w:szCs w:val="21"/>
          <w:highlight w:val="none"/>
          <w:lang w:val="en-US" w:eastAsia="zh-CN"/>
        </w:rPr>
        <w:t>供应</w:t>
      </w:r>
      <w:r>
        <w:rPr>
          <w:rFonts w:hint="eastAsia" w:ascii="宋体" w:hAnsi="宋体" w:eastAsia="宋体" w:cs="宋体"/>
          <w:color w:val="auto"/>
          <w:szCs w:val="21"/>
          <w:highlight w:val="none"/>
        </w:rPr>
        <w:t>商中直接选定第二阶段成交</w:t>
      </w:r>
      <w:r>
        <w:rPr>
          <w:rFonts w:hint="eastAsia" w:ascii="宋体" w:hAnsi="宋体" w:eastAsia="宋体" w:cs="宋体"/>
          <w:color w:val="auto"/>
          <w:szCs w:val="21"/>
          <w:highlight w:val="none"/>
          <w:lang w:val="en-US" w:eastAsia="zh-CN"/>
        </w:rPr>
        <w:t>供应</w:t>
      </w:r>
      <w:r>
        <w:rPr>
          <w:rFonts w:hint="eastAsia" w:ascii="宋体" w:hAnsi="宋体" w:eastAsia="宋体" w:cs="宋体"/>
          <w:color w:val="auto"/>
          <w:szCs w:val="21"/>
          <w:highlight w:val="none"/>
        </w:rPr>
        <w:t>商。</w:t>
      </w:r>
    </w:p>
    <w:p w14:paraId="7AA2606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2.本项目服务质量应达到符合国家规定的服务标准和现行技术规范、规程要求。</w:t>
      </w:r>
    </w:p>
    <w:p w14:paraId="1321554B">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.“实质性要求”是指招标文件中已经指明不满足则投标无效的条款，或者不能负偏离的条款，或者采购需求中带“▲”的条款。</w:t>
      </w:r>
    </w:p>
    <w:p w14:paraId="38B76177">
      <w:pPr>
        <w:spacing w:line="360" w:lineRule="auto"/>
        <w:ind w:firstLine="426" w:firstLineChars="20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 不需要投标人对采购需求响应为具体数值的，此采购需求的数值后将以◆号标注。</w:t>
      </w:r>
    </w:p>
    <w:p w14:paraId="22812E21">
      <w:pPr>
        <w:spacing w:line="360" w:lineRule="auto"/>
        <w:ind w:firstLine="424" w:firstLineChars="202"/>
        <w:jc w:val="left"/>
        <w:rPr>
          <w:rFonts w:hint="eastAsia" w:ascii="宋体" w:hAnsi="宋体" w:eastAsia="宋体" w:cs="宋体"/>
          <w:color w:val="auto"/>
          <w:szCs w:val="24"/>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4"/>
          <w:highlight w:val="none"/>
        </w:rPr>
        <w:t>如投标人投标产品存在侵犯他人的知识产权或者专利成果行为的，应承担相应法律责任。</w:t>
      </w:r>
    </w:p>
    <w:p w14:paraId="785FEC38">
      <w:pPr>
        <w:spacing w:line="320" w:lineRule="exact"/>
        <w:ind w:firstLine="422" w:firstLineChars="200"/>
        <w:rPr>
          <w:rFonts w:hint="default" w:ascii="宋体" w:hAnsi="宋体" w:eastAsia="宋体" w:cs="宋体"/>
          <w:b w:val="0"/>
          <w:bCs/>
          <w:color w:val="auto"/>
          <w:szCs w:val="24"/>
          <w:highlight w:val="none"/>
          <w:lang w:val="en-US" w:eastAsia="zh-CN"/>
        </w:rPr>
      </w:pPr>
      <w:r>
        <w:rPr>
          <w:rFonts w:hint="eastAsia" w:ascii="宋体" w:hAnsi="宋体" w:eastAsia="宋体" w:cs="宋体"/>
          <w:b/>
          <w:color w:val="auto"/>
          <w:szCs w:val="24"/>
          <w:highlight w:val="none"/>
          <w:lang w:val="en-US" w:eastAsia="zh-CN"/>
        </w:rPr>
        <w:t>6</w:t>
      </w:r>
      <w:r>
        <w:rPr>
          <w:rFonts w:hint="eastAsia" w:ascii="宋体" w:hAnsi="宋体" w:eastAsia="宋体" w:cs="宋体"/>
          <w:b/>
          <w:color w:val="auto"/>
          <w:szCs w:val="24"/>
          <w:highlight w:val="none"/>
        </w:rPr>
        <w:t>. 本项目采购标的对应的中小企业划分标准所属行业：其他未列明行业</w:t>
      </w:r>
      <w:r>
        <w:rPr>
          <w:rFonts w:hint="eastAsia" w:ascii="宋体" w:hAnsi="宋体" w:eastAsia="宋体" w:cs="宋体"/>
          <w:b/>
          <w:color w:val="auto"/>
          <w:szCs w:val="24"/>
          <w:highlight w:val="none"/>
          <w:lang w:eastAsia="zh-CN"/>
        </w:rPr>
        <w:t>。</w:t>
      </w:r>
      <w:r>
        <w:rPr>
          <w:rFonts w:hint="eastAsia" w:ascii="宋体" w:hAnsi="宋体" w:eastAsia="宋体" w:cs="宋体"/>
          <w:b w:val="0"/>
          <w:bCs/>
          <w:color w:val="auto"/>
          <w:szCs w:val="24"/>
          <w:highlight w:val="none"/>
          <w:lang w:eastAsia="zh-CN"/>
        </w:rPr>
        <w:t>中小微企业划型标准</w:t>
      </w:r>
      <w:r>
        <w:rPr>
          <w:rFonts w:hint="eastAsia" w:ascii="宋体" w:hAnsi="宋体" w:eastAsia="宋体" w:cs="宋体"/>
          <w:b w:val="0"/>
          <w:bCs/>
          <w:color w:val="auto"/>
          <w:szCs w:val="24"/>
          <w:highlight w:val="none"/>
          <w:lang w:val="en-US" w:eastAsia="zh-CN"/>
        </w:rPr>
        <w:t>详见附件2。</w:t>
      </w:r>
    </w:p>
    <w:p w14:paraId="14517B0F">
      <w:pPr>
        <w:spacing w:line="360" w:lineRule="auto"/>
        <w:ind w:firstLine="606" w:firstLineChars="202"/>
        <w:jc w:val="left"/>
        <w:rPr>
          <w:rFonts w:ascii="Times New Roman" w:hAnsi="Times New Roman" w:eastAsia="宋体" w:cs="Times New Roman"/>
          <w:b w:val="0"/>
          <w:bCs/>
          <w:color w:val="auto"/>
          <w:kern w:val="44"/>
          <w:sz w:val="30"/>
          <w:szCs w:val="30"/>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8"/>
        <w:gridCol w:w="1757"/>
        <w:gridCol w:w="1390"/>
        <w:gridCol w:w="4760"/>
        <w:gridCol w:w="1121"/>
      </w:tblGrid>
      <w:tr w14:paraId="10DB0E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6"/>
            <w:tcBorders>
              <w:top w:val="single" w:color="auto" w:sz="4" w:space="0"/>
              <w:left w:val="single" w:color="auto" w:sz="4" w:space="0"/>
              <w:right w:val="single" w:color="auto" w:sz="4" w:space="0"/>
            </w:tcBorders>
            <w:vAlign w:val="center"/>
          </w:tcPr>
          <w:p w14:paraId="1D00A00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服务需求一览表</w:t>
            </w:r>
          </w:p>
        </w:tc>
      </w:tr>
      <w:tr w14:paraId="12F419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tcPr>
          <w:p w14:paraId="0E48550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采购清单及服务参数</w:t>
            </w:r>
          </w:p>
        </w:tc>
        <w:tc>
          <w:tcPr>
            <w:tcW w:w="54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D4C8E9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757" w:type="dxa"/>
            <w:tcBorders>
              <w:top w:val="single" w:color="auto" w:sz="4" w:space="0"/>
              <w:left w:val="single" w:color="auto" w:sz="4" w:space="0"/>
              <w:bottom w:val="single" w:color="auto" w:sz="4" w:space="0"/>
              <w:right w:val="single" w:color="auto" w:sz="4" w:space="0"/>
            </w:tcBorders>
            <w:vAlign w:val="center"/>
          </w:tcPr>
          <w:p w14:paraId="46E32CC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采购服务名称（标的名称）</w:t>
            </w:r>
          </w:p>
        </w:tc>
        <w:tc>
          <w:tcPr>
            <w:tcW w:w="1390" w:type="dxa"/>
            <w:tcBorders>
              <w:top w:val="single" w:color="auto" w:sz="4" w:space="0"/>
              <w:left w:val="single" w:color="auto" w:sz="4" w:space="0"/>
              <w:bottom w:val="single" w:color="auto" w:sz="4" w:space="0"/>
              <w:right w:val="single" w:color="auto" w:sz="4" w:space="0"/>
            </w:tcBorders>
            <w:vAlign w:val="center"/>
          </w:tcPr>
          <w:p w14:paraId="66A2C1A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一阶段供应商入围数量上限</w:t>
            </w:r>
          </w:p>
        </w:tc>
        <w:tc>
          <w:tcPr>
            <w:tcW w:w="4760" w:type="dxa"/>
            <w:tcBorders>
              <w:top w:val="single" w:color="auto" w:sz="4" w:space="0"/>
              <w:left w:val="single" w:color="auto" w:sz="4" w:space="0"/>
              <w:bottom w:val="single" w:color="auto" w:sz="4" w:space="0"/>
              <w:right w:val="single" w:color="auto" w:sz="4" w:space="0"/>
            </w:tcBorders>
            <w:vAlign w:val="center"/>
          </w:tcPr>
          <w:p w14:paraId="792DBD4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服务参数</w:t>
            </w:r>
          </w:p>
        </w:tc>
        <w:tc>
          <w:tcPr>
            <w:tcW w:w="1121" w:type="dxa"/>
            <w:tcBorders>
              <w:top w:val="single" w:color="auto" w:sz="4" w:space="0"/>
              <w:left w:val="single" w:color="auto" w:sz="4" w:space="0"/>
              <w:bottom w:val="single" w:color="auto" w:sz="4" w:space="0"/>
              <w:right w:val="single" w:color="auto" w:sz="4" w:space="0"/>
            </w:tcBorders>
            <w:vAlign w:val="center"/>
          </w:tcPr>
          <w:p w14:paraId="7CEBC03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D3B3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tcPr>
          <w:p w14:paraId="37D733E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p>
        </w:tc>
        <w:tc>
          <w:tcPr>
            <w:tcW w:w="548" w:type="dxa"/>
            <w:tcBorders>
              <w:top w:val="single" w:color="auto" w:sz="4" w:space="0"/>
              <w:left w:val="single" w:color="auto" w:sz="4" w:space="0"/>
              <w:bottom w:val="single" w:color="auto" w:sz="4" w:space="0"/>
              <w:right w:val="single" w:color="auto" w:sz="4" w:space="0"/>
            </w:tcBorders>
            <w:vAlign w:val="center"/>
          </w:tcPr>
          <w:p w14:paraId="7BB4F12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57" w:type="dxa"/>
            <w:tcBorders>
              <w:top w:val="single" w:color="auto" w:sz="4" w:space="0"/>
              <w:left w:val="single" w:color="auto" w:sz="4" w:space="0"/>
              <w:bottom w:val="single" w:color="auto" w:sz="4" w:space="0"/>
              <w:right w:val="single" w:color="auto" w:sz="4" w:space="0"/>
            </w:tcBorders>
            <w:vAlign w:val="center"/>
          </w:tcPr>
          <w:p w14:paraId="35D7016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邕宁区2026-2027年度政府投资建设项目预算审核服务框架协议采购</w:t>
            </w:r>
          </w:p>
        </w:tc>
        <w:tc>
          <w:tcPr>
            <w:tcW w:w="1390" w:type="dxa"/>
            <w:tcBorders>
              <w:top w:val="single" w:color="auto" w:sz="4" w:space="0"/>
              <w:left w:val="single" w:color="auto" w:sz="4" w:space="0"/>
              <w:bottom w:val="single" w:color="auto" w:sz="4" w:space="0"/>
              <w:right w:val="single" w:color="auto" w:sz="4" w:space="0"/>
            </w:tcBorders>
            <w:vAlign w:val="center"/>
          </w:tcPr>
          <w:p w14:paraId="4830CE9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15家</w:t>
            </w:r>
          </w:p>
        </w:tc>
        <w:tc>
          <w:tcPr>
            <w:tcW w:w="4760" w:type="dxa"/>
            <w:tcBorders>
              <w:top w:val="single" w:color="auto" w:sz="4" w:space="0"/>
              <w:left w:val="single" w:color="auto" w:sz="4" w:space="0"/>
              <w:bottom w:val="single" w:color="auto" w:sz="4" w:space="0"/>
              <w:right w:val="single" w:color="auto" w:sz="4" w:space="0"/>
            </w:tcBorders>
          </w:tcPr>
          <w:p w14:paraId="3AF36D3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范围：南宁市邕宁区政府投资建设项目预算审核服务，包括房屋建筑、水利水电、安装、园林景观、智能化、市政公用、桥梁、给排水、交通设施、管廊、公路、城市轨道交通、拆除、送变电、铁路工程、航运工程等工程项目。</w:t>
            </w:r>
          </w:p>
          <w:p w14:paraId="58A7504A">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▲2.入围供应商需指派专人担任本服务期的管理及技术负责人，管理及技术负责人应能与征集人、采购人和相关单位有效沟通，确保预算审核质量并承担相应责任。</w:t>
            </w:r>
          </w:p>
          <w:p w14:paraId="67D69885">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征集人对入围供应商拟投入的专职审核员实行登记备案管理。供应商入围后，须将拟投入专职审核员名单（含管理与技术负责人及各专业技术人员，名单须与用于审核服务的拟投入人员名单完全相同，并附上通讯方式及个人详细资料，包括身份证、学历、资格证明文件的复印件，原件备查）通过书面和电子文档形式报征集人登记备案。在服务期内，入围供应商发生的人员变动情况，要及时进行申报备案。征集人将不定期地对供应商拟投入的专职审核员在岗情况进行检查，经查实供应商擅自减少专职审核员达到一定比例，或实际专职审核员配备达不到合同约定的最低人数时，征集人有权暂停委托供应商审核任务，直至清退出框架协议服务范围。</w:t>
            </w:r>
          </w:p>
          <w:p w14:paraId="46161E2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▲4.供应商不得将采购人委托的预算审核工作转交第三方完成。</w:t>
            </w:r>
          </w:p>
          <w:p w14:paraId="5DC07298">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在接受委托任务后应积极主动地与采购人联系，落实具体事宜，安排充足的人员在规定的时间内完成委托任务审核工作，并将安排的该委托任务的负责人及相关审核人员姓名与联系电话书面反馈给采购人。</w:t>
            </w:r>
          </w:p>
          <w:p w14:paraId="758105E9">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应按采购合同规定的时间完成审核工作，并向采购人提交审核工作成果（含项目评审报告）及工程量计算底稿。提交成果的份数及要求以采购合同约定为准。对于未执行《南宁建设工程造价信息》的信息价或信息价缺项的材料、设备，应附上相应的询价、报价及定价资料并加盖供应商公章。</w:t>
            </w:r>
          </w:p>
          <w:p w14:paraId="55BB1129">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cs="宋体"/>
                <w:color w:val="auto"/>
                <w:szCs w:val="21"/>
                <w:highlight w:val="none"/>
              </w:rPr>
              <w:t>如工程项目</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等提出与审核工作有关的疑问，供应商必须在规定的时间内提出书面答复意见，并送采购人审定后由采购人答复。</w:t>
            </w:r>
          </w:p>
          <w:p w14:paraId="2C6855FB">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▲8.供应商不得将采购人委托的审核工作内容透露给除采购人以外的任何人。如发现供应商有违规情况并经查实的，采购人有权终止合同并追究入围供应商违约责任，并将有关情况报送征集人。</w:t>
            </w:r>
          </w:p>
          <w:p w14:paraId="08D3C46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合同有效期内，征集人、采购人认为供应商实际投入的审核人员不足以满足审核任务需要或认为审核人员不称职时，可向供应商发出要求增加或更换（必要时可指定）审核人员的通知，供应商在收到通知后的2天内应增加或更换相应的审核人员，由此产生的费用由入围供应商自行承担。</w:t>
            </w:r>
          </w:p>
          <w:p w14:paraId="1EF3F19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cs="宋体"/>
                <w:color w:val="auto"/>
                <w:szCs w:val="21"/>
                <w:highlight w:val="none"/>
              </w:rPr>
              <w:t>供应商已为某工程项目有关的供应商、项目业主或施工方提供与该工程项目有关设计、监理、造价咨询等服务的，不能再接受该项目的审核服务委托，已接受委托的，应主动向采购人提出。如发现供应商有违规情况并经查实的，采购人有权终止合同并追究供应商违约责任，并将有关情况报送征集人。</w:t>
            </w:r>
          </w:p>
          <w:p w14:paraId="382D6C9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▲11.供应商应确保审核质量，按《建设工程造价咨询成果文件质量标准》（CECA/GC7-2012）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如相关主管部门出台新的政策文件则按最新标准执行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质量要求开展工作</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向采购人提交预算审核成果及工程量计算底稿时必须已完成内部三级审核程序，并提供各级审核人的书面审核意见，经采购人确认后作为支付服务费用的依据。</w:t>
            </w:r>
          </w:p>
          <w:p w14:paraId="13A66A0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▲12.入围的供应商，在签订框架协议前须签订由征集人印制的《社会中介机构廉洁从业承诺书》。</w:t>
            </w:r>
          </w:p>
          <w:p w14:paraId="1744FAC0">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13.服务期内，供应商出现违反廉洁从业规定时，征集人将实行一票否决，终止合同并追究供应商相关责任。</w:t>
            </w:r>
          </w:p>
          <w:p w14:paraId="7893CFBE">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▲14.征集人、采购人认为有必要时，可以约谈、询问供应商的法人代表及相关负责人，供应商不得拒绝。</w:t>
            </w:r>
          </w:p>
        </w:tc>
        <w:tc>
          <w:tcPr>
            <w:tcW w:w="1121" w:type="dxa"/>
            <w:tcBorders>
              <w:top w:val="single" w:color="auto" w:sz="4" w:space="0"/>
              <w:left w:val="single" w:color="auto" w:sz="4" w:space="0"/>
              <w:bottom w:val="single" w:color="auto" w:sz="4" w:space="0"/>
              <w:right w:val="single" w:color="auto" w:sz="4" w:space="0"/>
            </w:tcBorders>
          </w:tcPr>
          <w:p w14:paraId="4BF95226">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51586A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545" w:type="dxa"/>
            <w:tcBorders>
              <w:top w:val="single" w:color="auto" w:sz="4" w:space="0"/>
              <w:left w:val="single" w:color="auto" w:sz="4" w:space="0"/>
              <w:bottom w:val="single" w:color="auto" w:sz="4" w:space="0"/>
              <w:right w:val="single" w:color="auto" w:sz="4" w:space="0"/>
            </w:tcBorders>
          </w:tcPr>
          <w:p w14:paraId="7AB2E6D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p w14:paraId="7E5CCE9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p w14:paraId="281BB9E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w:t>
            </w:r>
          </w:p>
        </w:tc>
        <w:tc>
          <w:tcPr>
            <w:tcW w:w="9576" w:type="dxa"/>
            <w:gridSpan w:val="5"/>
            <w:tcBorders>
              <w:top w:val="single" w:color="auto" w:sz="4" w:space="0"/>
              <w:left w:val="single" w:color="auto" w:sz="4" w:space="0"/>
              <w:bottom w:val="single" w:color="auto" w:sz="4" w:space="0"/>
              <w:right w:val="single" w:color="auto" w:sz="4" w:space="0"/>
            </w:tcBorders>
          </w:tcPr>
          <w:p w14:paraId="065032D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一、</w:t>
            </w:r>
            <w:r>
              <w:rPr>
                <w:rFonts w:hint="eastAsia" w:ascii="宋体" w:hAnsi="宋体" w:eastAsia="宋体" w:cs="宋体"/>
                <w:color w:val="auto"/>
                <w:sz w:val="21"/>
                <w:szCs w:val="21"/>
                <w:highlight w:val="none"/>
              </w:rPr>
              <w:t>框架协议签订期：征集人自入围通知书发出之日起</w:t>
            </w:r>
            <w:r>
              <w:rPr>
                <w:rFonts w:hint="eastAsia" w:ascii="宋体" w:hAnsi="宋体" w:eastAsia="宋体" w:cs="宋体"/>
                <w:color w:val="auto"/>
                <w:sz w:val="21"/>
                <w:szCs w:val="21"/>
                <w:highlight w:val="none"/>
                <w:u w:val="single"/>
              </w:rPr>
              <w:t>25</w:t>
            </w:r>
            <w:r>
              <w:rPr>
                <w:rFonts w:hint="eastAsia" w:ascii="宋体" w:hAnsi="宋体" w:eastAsia="宋体" w:cs="宋体"/>
                <w:color w:val="auto"/>
                <w:sz w:val="21"/>
                <w:szCs w:val="21"/>
                <w:highlight w:val="none"/>
              </w:rPr>
              <w:t>日内和入围供应商签订框架协议。</w:t>
            </w:r>
          </w:p>
          <w:p w14:paraId="4B838F1D">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▲二、框架协议的期限：两年, 具体起止时间以框架协议签订的时间为准。</w:t>
            </w:r>
          </w:p>
          <w:p w14:paraId="14D3CC02">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▲三、确定第二阶段成交供应商方式：直接选定。由采购人依据项目实际情况、供应商服务质量、价格及服务便利性、用户评价等因素，从第一阶段入围供应商中直接选定。</w:t>
            </w:r>
          </w:p>
          <w:p w14:paraId="195D4AE2">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提交服务成果时间及要求：预算审核成果提交的时间和要求以采购人与成交供应商签订的采购合同约定为准。原则上，供应商提交时，可先送一份资料，确认后再打印足额份数签认。如采购人提供的相关资料不齐全的，供应商向采购人提交资料的时间相应顺延。供应商应向采购人提供经采购人审核通过的审核成果一式四份及电子文档。</w:t>
            </w:r>
          </w:p>
          <w:p w14:paraId="7090C902">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五、提交服务成果地点：按采购人要求。</w:t>
            </w:r>
          </w:p>
          <w:p w14:paraId="64C6E8C4">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六、售后服务要求：</w:t>
            </w:r>
          </w:p>
          <w:p w14:paraId="03382A25">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▲1.质量保证期：按行业规定</w:t>
            </w:r>
            <w:r>
              <w:rPr>
                <w:rFonts w:hint="eastAsia" w:ascii="宋体" w:hAnsi="宋体" w:eastAsia="宋体" w:cs="宋体"/>
                <w:color w:val="auto"/>
                <w:sz w:val="21"/>
                <w:szCs w:val="21"/>
                <w:highlight w:val="none"/>
                <w:lang w:eastAsia="zh-CN"/>
              </w:rPr>
              <w:t>。</w:t>
            </w:r>
          </w:p>
          <w:p w14:paraId="19411EB2">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2.接到采购人服务通知后24小时内响应，如需达到现场解决的内容需48小时内到场。</w:t>
            </w:r>
          </w:p>
          <w:p w14:paraId="5A3EB6B1">
            <w:pPr>
              <w:keepNext w:val="0"/>
              <w:keepLines w:val="0"/>
              <w:pageBreakBefore w:val="0"/>
              <w:kinsoku/>
              <w:wordWrap/>
              <w:overflowPunct/>
              <w:topLinePunct w:val="0"/>
              <w:autoSpaceDE/>
              <w:autoSpaceDN/>
              <w:bidi w:val="0"/>
              <w:adjustRightInd/>
              <w:snapToGrid/>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七、其他要求：</w:t>
            </w:r>
          </w:p>
          <w:p w14:paraId="46C1DF6E">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firstLine="420" w:firstLineChars="20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b/>
                <w:bCs/>
                <w:color w:val="auto"/>
                <w:sz w:val="21"/>
                <w:szCs w:val="21"/>
                <w:highlight w:val="none"/>
              </w:rPr>
              <w:t xml:space="preserve"> 招标控制价审核服务费＝（某工程项目审定工程建安造价×基本审核费费率+工程净核减额×5％×分段计费系数×15％）×难度系数×（1-</w:t>
            </w:r>
            <w:r>
              <w:rPr>
                <w:rFonts w:hint="eastAsia" w:ascii="宋体" w:hAnsi="宋体" w:eastAsia="宋体" w:cs="宋体"/>
                <w:b/>
                <w:color w:val="auto"/>
                <w:sz w:val="21"/>
                <w:szCs w:val="21"/>
                <w:highlight w:val="none"/>
              </w:rPr>
              <w:t>固定下浮系数30%</w:t>
            </w:r>
            <w:r>
              <w:rPr>
                <w:rFonts w:hint="eastAsia" w:ascii="宋体" w:hAnsi="宋体" w:eastAsia="宋体" w:cs="宋体"/>
                <w:b/>
                <w:bCs/>
                <w:color w:val="auto"/>
                <w:sz w:val="21"/>
                <w:szCs w:val="21"/>
                <w:highlight w:val="none"/>
              </w:rPr>
              <w:t>）</w:t>
            </w:r>
            <w:r>
              <w:rPr>
                <w:rFonts w:hint="eastAsia" w:ascii="宋体" w:hAnsi="宋体" w:eastAsia="宋体" w:cs="宋体"/>
                <w:bCs/>
                <w:color w:val="auto"/>
                <w:sz w:val="21"/>
                <w:szCs w:val="21"/>
                <w:highlight w:val="none"/>
              </w:rPr>
              <w:t>。如计算得出的审核服务费少于2000元的按2000元计,最高不超过20万元</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最高限制单价按固定费率（详见附件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）执行，供应商在响应报价时，必须承诺按最高限制单价（含固定下浮系数）的计费方式和费率计算审核服务费，超过最高限制单价的响应报价为无效响应报价，评标委员会将按无效响应处理。</w:t>
            </w:r>
            <w:r>
              <w:rPr>
                <w:rFonts w:hint="eastAsia" w:ascii="宋体" w:hAnsi="宋体" w:eastAsia="宋体" w:cs="宋体"/>
                <w:b/>
                <w:color w:val="auto"/>
                <w:sz w:val="21"/>
                <w:szCs w:val="21"/>
                <w:highlight w:val="none"/>
              </w:rPr>
              <w:t>招标控制价审核服务费计费标准详见附件</w:t>
            </w:r>
            <w:r>
              <w:rPr>
                <w:rFonts w:hint="eastAsia" w:ascii="宋体" w:hAnsi="宋体" w:eastAsia="宋体" w:cs="宋体"/>
                <w:b/>
                <w:color w:val="auto"/>
                <w:sz w:val="21"/>
                <w:szCs w:val="21"/>
                <w:highlight w:val="none"/>
                <w:lang w:val="en-US" w:eastAsia="zh-CN"/>
              </w:rPr>
              <w:t>1。</w:t>
            </w:r>
          </w:p>
          <w:p w14:paraId="3D2A5DE3">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▲2.付款方式：</w:t>
            </w:r>
          </w:p>
          <w:p w14:paraId="0EFB0186">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审核服务费由供应商按季度对完成的服务项目向邕宁区财政局提出申请，经邕宁区财政局审核后报城区政府审批，按财政国库集中支付程序统一支付。</w:t>
            </w:r>
          </w:p>
          <w:p w14:paraId="11245CD1">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人员最低要求：</w:t>
            </w:r>
          </w:p>
          <w:p w14:paraId="42E1EDE0">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本项目的项目负责人必须具备高级工程师职称、注册造价工程师执业资格，供应商投入本项目服务队伍必须有6名（含6名）以上造价人员（其中一级注册造价工程师不少于3名），按上述要求附人员职称、执业资格等证明材料。</w:t>
            </w:r>
          </w:p>
          <w:p w14:paraId="414C3844">
            <w:pPr>
              <w:keepNext w:val="0"/>
              <w:keepLines w:val="0"/>
              <w:pageBreakBefore w:val="0"/>
              <w:widowControl/>
              <w:shd w:val="clear" w:color="auto" w:fill="FFFFFF"/>
              <w:kinsoku/>
              <w:wordWrap/>
              <w:overflowPunct/>
              <w:topLinePunct w:val="0"/>
              <w:autoSpaceDE/>
              <w:autoSpaceDN/>
              <w:bidi w:val="0"/>
              <w:adjustRightInd/>
              <w:snapToGrid/>
              <w:spacing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注：协议期限内，征集人、采购人因业务需要可要求供应商增派相关人员，具体由双方协商。</w:t>
            </w:r>
          </w:p>
        </w:tc>
      </w:tr>
    </w:tbl>
    <w:p w14:paraId="1665030C">
      <w:pPr>
        <w:spacing w:line="428" w:lineRule="exact"/>
        <w:ind w:left="119"/>
        <w:rPr>
          <w:rFonts w:ascii="宋体" w:hAnsi="宋体" w:eastAsia="宋体" w:cs="宋体"/>
          <w:color w:val="auto"/>
          <w:szCs w:val="24"/>
          <w:highlight w:val="none"/>
        </w:rPr>
      </w:pPr>
    </w:p>
    <w:p w14:paraId="33AEF509">
      <w:pPr>
        <w:spacing w:line="428" w:lineRule="exact"/>
        <w:ind w:left="119"/>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p>
    <w:p w14:paraId="1450F709">
      <w:pPr>
        <w:spacing w:line="420" w:lineRule="exact"/>
        <w:ind w:firstLine="420" w:firstLineChars="200"/>
        <w:rPr>
          <w:rFonts w:ascii="宋体" w:hAnsi="宋体" w:eastAsia="宋体" w:cs="Times New Roman"/>
          <w:bCs/>
          <w:color w:val="auto"/>
          <w:szCs w:val="21"/>
          <w:highlight w:val="none"/>
        </w:rPr>
      </w:pPr>
      <w:r>
        <w:rPr>
          <w:rFonts w:ascii="宋体" w:hAnsi="宋体" w:eastAsia="宋体" w:cs="Times New Roman"/>
          <w:bCs/>
          <w:color w:val="auto"/>
          <w:szCs w:val="21"/>
          <w:highlight w:val="none"/>
        </w:rPr>
        <w:t>1</w:t>
      </w:r>
      <w:r>
        <w:rPr>
          <w:rFonts w:hint="eastAsia" w:ascii="宋体" w:hAnsi="宋体" w:eastAsia="宋体" w:cs="Times New Roman"/>
          <w:bCs/>
          <w:color w:val="auto"/>
          <w:szCs w:val="21"/>
          <w:highlight w:val="none"/>
        </w:rPr>
        <w:t>、</w:t>
      </w:r>
      <w:r>
        <w:rPr>
          <w:rFonts w:ascii="宋体" w:hAnsi="宋体" w:eastAsia="宋体" w:cs="Times New Roman"/>
          <w:bCs/>
          <w:color w:val="auto"/>
          <w:szCs w:val="21"/>
          <w:highlight w:val="none"/>
        </w:rPr>
        <w:t>招标控制价审核服务费＝（某工程项目审定工程建安造价×基本审核费费率+工程净核减额×5％×分段计费系数×15％）×难度系数×（1-</w:t>
      </w:r>
      <w:r>
        <w:rPr>
          <w:rFonts w:hint="eastAsia" w:ascii="宋体" w:hAnsi="宋体" w:eastAsia="宋体" w:cs="宋体"/>
          <w:b/>
          <w:color w:val="auto"/>
          <w:szCs w:val="24"/>
          <w:highlight w:val="none"/>
        </w:rPr>
        <w:t>固定下浮系数30%</w:t>
      </w:r>
      <w:r>
        <w:rPr>
          <w:rFonts w:ascii="宋体" w:hAnsi="宋体" w:eastAsia="宋体" w:cs="Times New Roman"/>
          <w:bCs/>
          <w:color w:val="auto"/>
          <w:szCs w:val="21"/>
          <w:highlight w:val="none"/>
        </w:rPr>
        <w:t>）。如计算得出的审核服务费少于2000元的按2000元计</w:t>
      </w:r>
      <w:r>
        <w:rPr>
          <w:rFonts w:hint="eastAsia" w:ascii="宋体" w:hAnsi="宋体" w:eastAsia="宋体" w:cs="Times New Roman"/>
          <w:bCs/>
          <w:color w:val="auto"/>
          <w:szCs w:val="21"/>
          <w:highlight w:val="none"/>
        </w:rPr>
        <w:t>,最高不超过20万元</w:t>
      </w:r>
      <w:r>
        <w:rPr>
          <w:rFonts w:ascii="宋体" w:hAnsi="宋体" w:eastAsia="宋体" w:cs="Times New Roman"/>
          <w:bCs/>
          <w:color w:val="auto"/>
          <w:szCs w:val="21"/>
          <w:highlight w:val="none"/>
        </w:rPr>
        <w:t>。</w:t>
      </w:r>
    </w:p>
    <w:p w14:paraId="0223AB03">
      <w:pPr>
        <w:tabs>
          <w:tab w:val="left" w:pos="0"/>
          <w:tab w:val="left" w:pos="780"/>
        </w:tabs>
        <w:spacing w:line="420" w:lineRule="exact"/>
        <w:ind w:firstLine="275" w:firstLineChars="131"/>
        <w:rPr>
          <w:rFonts w:ascii="宋体" w:hAnsi="宋体" w:eastAsia="宋体" w:cs="Times New Roman"/>
          <w:bCs/>
          <w:color w:val="auto"/>
          <w:szCs w:val="21"/>
          <w:highlight w:val="none"/>
        </w:rPr>
      </w:pPr>
      <w:r>
        <w:rPr>
          <w:rFonts w:ascii="宋体" w:hAnsi="宋体" w:eastAsia="宋体" w:cs="Times New Roman"/>
          <w:color w:val="auto"/>
          <w:szCs w:val="21"/>
          <w:highlight w:val="none"/>
          <w:shd w:val="clear" w:color="auto" w:fill="FFFFFF"/>
        </w:rPr>
        <w:t>①</w:t>
      </w:r>
      <w:r>
        <w:rPr>
          <w:rFonts w:hint="eastAsia" w:ascii="宋体" w:hAnsi="宋体" w:eastAsia="宋体" w:cs="Times New Roman"/>
          <w:bCs/>
          <w:color w:val="auto"/>
          <w:szCs w:val="21"/>
          <w:highlight w:val="none"/>
        </w:rPr>
        <w:t>预算</w:t>
      </w:r>
      <w:r>
        <w:rPr>
          <w:rFonts w:ascii="宋体" w:hAnsi="宋体" w:eastAsia="宋体" w:cs="Times New Roman"/>
          <w:bCs/>
          <w:color w:val="auto"/>
          <w:szCs w:val="21"/>
          <w:highlight w:val="none"/>
        </w:rPr>
        <w:t>审核服务费实行上限封顶，工程净核减额超过</w:t>
      </w:r>
      <w:r>
        <w:rPr>
          <w:rFonts w:ascii="宋体" w:hAnsi="宋体" w:eastAsia="宋体" w:cs="Times New Roman"/>
          <w:color w:val="auto"/>
          <w:kern w:val="0"/>
          <w:szCs w:val="21"/>
          <w:highlight w:val="none"/>
        </w:rPr>
        <w:t>送审单项造价M的40%时，计算编审服务费时</w:t>
      </w:r>
      <w:r>
        <w:rPr>
          <w:rFonts w:ascii="宋体" w:hAnsi="宋体" w:eastAsia="宋体" w:cs="Times New Roman"/>
          <w:bCs/>
          <w:color w:val="auto"/>
          <w:szCs w:val="21"/>
          <w:highlight w:val="none"/>
        </w:rPr>
        <w:t>工程净核减额按</w:t>
      </w:r>
      <w:r>
        <w:rPr>
          <w:rFonts w:ascii="宋体" w:hAnsi="宋体" w:eastAsia="宋体" w:cs="Times New Roman"/>
          <w:color w:val="auto"/>
          <w:kern w:val="0"/>
          <w:szCs w:val="21"/>
          <w:highlight w:val="none"/>
        </w:rPr>
        <w:t>送审单项造价M的40%计算</w:t>
      </w:r>
      <w:r>
        <w:rPr>
          <w:rFonts w:ascii="宋体" w:hAnsi="宋体" w:eastAsia="宋体" w:cs="Times New Roman"/>
          <w:bCs/>
          <w:color w:val="auto"/>
          <w:szCs w:val="21"/>
          <w:highlight w:val="none"/>
        </w:rPr>
        <w:t>；</w:t>
      </w:r>
    </w:p>
    <w:p w14:paraId="2C61531C">
      <w:pPr>
        <w:tabs>
          <w:tab w:val="left" w:pos="0"/>
          <w:tab w:val="left" w:pos="780"/>
        </w:tabs>
        <w:spacing w:line="420" w:lineRule="exact"/>
        <w:ind w:firstLine="275" w:firstLineChars="131"/>
        <w:rPr>
          <w:rFonts w:ascii="宋体" w:hAnsi="宋体" w:eastAsia="宋体" w:cs="Times New Roman"/>
          <w:bCs/>
          <w:color w:val="auto"/>
          <w:szCs w:val="21"/>
          <w:highlight w:val="none"/>
        </w:rPr>
      </w:pPr>
      <w:r>
        <w:rPr>
          <w:rFonts w:ascii="宋体" w:hAnsi="宋体" w:eastAsia="宋体" w:cs="Times New Roman"/>
          <w:color w:val="auto"/>
          <w:szCs w:val="21"/>
          <w:highlight w:val="none"/>
          <w:shd w:val="clear" w:color="auto" w:fill="FFFFFF"/>
        </w:rPr>
        <w:t>②</w:t>
      </w:r>
      <w:r>
        <w:rPr>
          <w:rFonts w:hint="eastAsia" w:ascii="宋体" w:hAnsi="宋体" w:eastAsia="宋体" w:cs="Times New Roman"/>
          <w:color w:val="auto"/>
          <w:szCs w:val="21"/>
          <w:highlight w:val="none"/>
        </w:rPr>
        <w:t>采购人</w:t>
      </w:r>
      <w:r>
        <w:rPr>
          <w:rFonts w:ascii="宋体" w:hAnsi="宋体" w:eastAsia="宋体" w:cs="Times New Roman"/>
          <w:color w:val="auto"/>
          <w:szCs w:val="21"/>
          <w:highlight w:val="none"/>
        </w:rPr>
        <w:t>明确不属于</w:t>
      </w:r>
      <w:r>
        <w:rPr>
          <w:rFonts w:hint="eastAsia" w:ascii="宋体" w:hAnsi="宋体" w:eastAsia="宋体" w:cs="Times New Roman"/>
          <w:color w:val="auto"/>
          <w:szCs w:val="21"/>
          <w:highlight w:val="none"/>
        </w:rPr>
        <w:t>供应商</w:t>
      </w:r>
      <w:r>
        <w:rPr>
          <w:rFonts w:ascii="宋体" w:hAnsi="宋体" w:eastAsia="宋体" w:cs="Times New Roman"/>
          <w:color w:val="auto"/>
          <w:szCs w:val="21"/>
          <w:highlight w:val="none"/>
        </w:rPr>
        <w:t>审核范围（内容）的事项，不计入</w:t>
      </w:r>
      <w:r>
        <w:rPr>
          <w:rFonts w:ascii="宋体" w:hAnsi="宋体" w:eastAsia="宋体" w:cs="Times New Roman"/>
          <w:bCs/>
          <w:color w:val="auto"/>
          <w:szCs w:val="21"/>
          <w:highlight w:val="none"/>
        </w:rPr>
        <w:t>工程净核减额。</w:t>
      </w:r>
    </w:p>
    <w:p w14:paraId="6625995D">
      <w:pPr>
        <w:spacing w:line="420" w:lineRule="exact"/>
        <w:rPr>
          <w:rFonts w:ascii="宋体" w:hAnsi="宋体" w:eastAsia="宋体" w:cs="Times New Roman"/>
          <w:color w:val="auto"/>
          <w:szCs w:val="21"/>
          <w:highlight w:val="none"/>
        </w:rPr>
      </w:pP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2、</w:t>
      </w:r>
      <w:r>
        <w:rPr>
          <w:rFonts w:ascii="宋体" w:hAnsi="宋体" w:eastAsia="宋体" w:cs="Times New Roman"/>
          <w:color w:val="auto"/>
          <w:szCs w:val="21"/>
          <w:highlight w:val="none"/>
        </w:rPr>
        <w:t>难度系数由</w:t>
      </w:r>
      <w:r>
        <w:rPr>
          <w:rFonts w:hint="eastAsia" w:ascii="宋体" w:hAnsi="宋体" w:eastAsia="宋体" w:cs="Times New Roman"/>
          <w:color w:val="auto"/>
          <w:szCs w:val="21"/>
          <w:highlight w:val="none"/>
        </w:rPr>
        <w:t>征集</w:t>
      </w:r>
      <w:r>
        <w:rPr>
          <w:rFonts w:ascii="宋体" w:hAnsi="宋体" w:eastAsia="宋体" w:cs="Times New Roman"/>
          <w:color w:val="auto"/>
          <w:szCs w:val="21"/>
          <w:highlight w:val="none"/>
        </w:rPr>
        <w:t>人根据实际情况确定并在合同中约定，具体如下：</w:t>
      </w:r>
    </w:p>
    <w:p w14:paraId="40F804D6">
      <w:pPr>
        <w:spacing w:line="420" w:lineRule="exact"/>
        <w:ind w:firstLine="485" w:firstLineChars="231"/>
        <w:rPr>
          <w:rFonts w:ascii="宋体" w:hAnsi="宋体" w:eastAsia="宋体" w:cs="Times New Roman"/>
          <w:color w:val="auto"/>
          <w:szCs w:val="21"/>
          <w:highlight w:val="none"/>
        </w:rPr>
      </w:pPr>
      <w:r>
        <w:rPr>
          <w:rFonts w:ascii="宋体" w:hAnsi="宋体" w:eastAsia="宋体" w:cs="Times New Roman"/>
          <w:color w:val="auto"/>
          <w:szCs w:val="21"/>
          <w:highlight w:val="none"/>
          <w:shd w:val="clear" w:color="auto" w:fill="FFFFFF"/>
        </w:rPr>
        <w:t>①</w:t>
      </w:r>
      <w:r>
        <w:rPr>
          <w:rFonts w:ascii="宋体" w:hAnsi="宋体" w:eastAsia="宋体" w:cs="Times New Roman"/>
          <w:color w:val="auto"/>
          <w:szCs w:val="21"/>
          <w:highlight w:val="none"/>
        </w:rPr>
        <w:t>水利、市政道路、排水、公路及土地整理项目、园林绿化工程，难度系数0.8；</w:t>
      </w:r>
    </w:p>
    <w:p w14:paraId="422E02AB">
      <w:pPr>
        <w:spacing w:line="420" w:lineRule="exact"/>
        <w:ind w:left="420" w:leftChars="200"/>
        <w:rPr>
          <w:rFonts w:ascii="宋体" w:hAnsi="宋体" w:eastAsia="宋体" w:cs="Times New Roman"/>
          <w:color w:val="auto"/>
          <w:szCs w:val="21"/>
          <w:highlight w:val="none"/>
        </w:rPr>
      </w:pPr>
      <w:r>
        <w:rPr>
          <w:rFonts w:ascii="宋体" w:hAnsi="宋体" w:eastAsia="宋体" w:cs="Times New Roman"/>
          <w:color w:val="auto"/>
          <w:szCs w:val="21"/>
          <w:highlight w:val="none"/>
          <w:shd w:val="clear" w:color="auto" w:fill="FFFFFF"/>
        </w:rPr>
        <w:t>②</w:t>
      </w:r>
      <w:r>
        <w:rPr>
          <w:rFonts w:ascii="宋体" w:hAnsi="宋体" w:eastAsia="宋体" w:cs="Times New Roman"/>
          <w:color w:val="auto"/>
          <w:szCs w:val="21"/>
          <w:highlight w:val="none"/>
        </w:rPr>
        <w:t>桥梁和房建项目，难度系数为1.0；</w:t>
      </w:r>
    </w:p>
    <w:p w14:paraId="1CA0EFC3">
      <w:pPr>
        <w:spacing w:line="420" w:lineRule="exact"/>
        <w:ind w:left="420" w:leftChars="200"/>
        <w:rPr>
          <w:rFonts w:ascii="宋体" w:hAnsi="宋体" w:eastAsia="宋体" w:cs="Times New Roman"/>
          <w:color w:val="auto"/>
          <w:szCs w:val="21"/>
          <w:highlight w:val="none"/>
        </w:rPr>
      </w:pPr>
      <w:r>
        <w:rPr>
          <w:rFonts w:ascii="宋体" w:hAnsi="宋体" w:eastAsia="宋体" w:cs="Times New Roman"/>
          <w:color w:val="auto"/>
          <w:szCs w:val="21"/>
          <w:highlight w:val="none"/>
          <w:shd w:val="clear" w:color="auto" w:fill="FFFFFF"/>
        </w:rPr>
        <w:t>③</w:t>
      </w:r>
      <w:r>
        <w:rPr>
          <w:rFonts w:ascii="宋体" w:hAnsi="宋体" w:eastAsia="宋体" w:cs="Times New Roman"/>
          <w:color w:val="auto"/>
          <w:szCs w:val="21"/>
          <w:highlight w:val="none"/>
        </w:rPr>
        <w:t>其余项目的难度系数为0.9。</w:t>
      </w:r>
    </w:p>
    <w:p w14:paraId="371BC456">
      <w:pPr>
        <w:widowControl/>
        <w:suppressAutoHyphens/>
        <w:spacing w:line="420" w:lineRule="exact"/>
        <w:ind w:firstLine="485" w:firstLineChars="231"/>
        <w:jc w:val="lef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基本审核费费率标准设置如下表</w:t>
      </w:r>
      <w:r>
        <w:rPr>
          <w:rFonts w:ascii="宋体" w:hAnsi="宋体" w:eastAsia="宋体" w:cs="Times New Roman"/>
          <w:color w:val="auto"/>
          <w:kern w:val="0"/>
          <w:szCs w:val="21"/>
          <w:highlight w:val="none"/>
        </w:rPr>
        <w:t>：</w:t>
      </w:r>
    </w:p>
    <w:tbl>
      <w:tblPr>
        <w:tblStyle w:val="32"/>
        <w:tblW w:w="0" w:type="auto"/>
        <w:jc w:val="center"/>
        <w:tblLayout w:type="fixed"/>
        <w:tblCellMar>
          <w:top w:w="0" w:type="dxa"/>
          <w:left w:w="108" w:type="dxa"/>
          <w:bottom w:w="0" w:type="dxa"/>
          <w:right w:w="108" w:type="dxa"/>
        </w:tblCellMar>
      </w:tblPr>
      <w:tblGrid>
        <w:gridCol w:w="2769"/>
        <w:gridCol w:w="2126"/>
        <w:gridCol w:w="2047"/>
      </w:tblGrid>
      <w:tr w14:paraId="6566CE6B">
        <w:tblPrEx>
          <w:tblCellMar>
            <w:top w:w="0" w:type="dxa"/>
            <w:left w:w="108" w:type="dxa"/>
            <w:bottom w:w="0" w:type="dxa"/>
            <w:right w:w="108" w:type="dxa"/>
          </w:tblCellMar>
        </w:tblPrEx>
        <w:trPr>
          <w:trHeight w:val="420" w:hRule="atLeast"/>
          <w:jc w:val="center"/>
        </w:trPr>
        <w:tc>
          <w:tcPr>
            <w:tcW w:w="2769" w:type="dxa"/>
            <w:tcBorders>
              <w:top w:val="single" w:color="auto" w:sz="4" w:space="0"/>
              <w:left w:val="single" w:color="auto" w:sz="4" w:space="0"/>
              <w:bottom w:val="single" w:color="auto" w:sz="4" w:space="0"/>
              <w:right w:val="single" w:color="auto" w:sz="4" w:space="0"/>
            </w:tcBorders>
            <w:vAlign w:val="center"/>
          </w:tcPr>
          <w:p w14:paraId="061EC720">
            <w:pPr>
              <w:widowControl/>
              <w:suppressAutoHyphens/>
              <w:spacing w:line="42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审定单项造价M（万元）</w:t>
            </w:r>
          </w:p>
        </w:tc>
        <w:tc>
          <w:tcPr>
            <w:tcW w:w="2126" w:type="dxa"/>
            <w:tcBorders>
              <w:top w:val="single" w:color="auto" w:sz="4" w:space="0"/>
              <w:left w:val="nil"/>
              <w:bottom w:val="nil"/>
              <w:right w:val="single" w:color="auto" w:sz="4" w:space="0"/>
            </w:tcBorders>
            <w:vAlign w:val="center"/>
          </w:tcPr>
          <w:p w14:paraId="72F0D15A">
            <w:pPr>
              <w:widowControl/>
              <w:suppressAutoHyphens/>
              <w:spacing w:line="42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基本审核费</w:t>
            </w:r>
          </w:p>
          <w:p w14:paraId="050B92C9">
            <w:pPr>
              <w:widowControl/>
              <w:suppressAutoHyphens/>
              <w:spacing w:line="42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费率取值标准‰</w:t>
            </w:r>
          </w:p>
        </w:tc>
        <w:tc>
          <w:tcPr>
            <w:tcW w:w="2047" w:type="dxa"/>
            <w:tcBorders>
              <w:top w:val="single" w:color="auto" w:sz="4" w:space="0"/>
              <w:left w:val="single" w:color="auto" w:sz="6" w:space="0"/>
              <w:bottom w:val="single" w:color="auto" w:sz="4" w:space="0"/>
              <w:right w:val="single" w:color="auto" w:sz="4" w:space="0"/>
            </w:tcBorders>
            <w:vAlign w:val="center"/>
          </w:tcPr>
          <w:p w14:paraId="0E0858BF">
            <w:pPr>
              <w:widowControl/>
              <w:suppressAutoHyphens/>
              <w:spacing w:line="42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备注</w:t>
            </w:r>
          </w:p>
        </w:tc>
      </w:tr>
      <w:tr w14:paraId="464E775F">
        <w:tblPrEx>
          <w:tblCellMar>
            <w:top w:w="0" w:type="dxa"/>
            <w:left w:w="108" w:type="dxa"/>
            <w:bottom w:w="0" w:type="dxa"/>
            <w:right w:w="108" w:type="dxa"/>
          </w:tblCellMar>
        </w:tblPrEx>
        <w:trPr>
          <w:trHeight w:val="397" w:hRule="atLeast"/>
          <w:jc w:val="center"/>
        </w:trPr>
        <w:tc>
          <w:tcPr>
            <w:tcW w:w="2769" w:type="dxa"/>
            <w:tcBorders>
              <w:top w:val="single" w:color="auto" w:sz="4" w:space="0"/>
              <w:left w:val="single" w:color="auto" w:sz="4" w:space="0"/>
              <w:bottom w:val="single" w:color="auto" w:sz="4" w:space="0"/>
              <w:right w:val="single" w:color="auto" w:sz="4" w:space="0"/>
            </w:tcBorders>
            <w:vAlign w:val="center"/>
          </w:tcPr>
          <w:p w14:paraId="41EA3BB2">
            <w:pPr>
              <w:widowControl/>
              <w:suppressAutoHyphens/>
              <w:spacing w:line="42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 xml:space="preserve">M＜100 </w:t>
            </w:r>
          </w:p>
        </w:tc>
        <w:tc>
          <w:tcPr>
            <w:tcW w:w="2126" w:type="dxa"/>
            <w:tcBorders>
              <w:top w:val="single" w:color="auto" w:sz="4" w:space="0"/>
              <w:left w:val="nil"/>
              <w:bottom w:val="single" w:color="auto" w:sz="4" w:space="0"/>
              <w:right w:val="single" w:color="auto" w:sz="4" w:space="0"/>
            </w:tcBorders>
            <w:vAlign w:val="center"/>
          </w:tcPr>
          <w:p w14:paraId="06C8CE77">
            <w:pPr>
              <w:widowControl/>
              <w:suppressAutoHyphens/>
              <w:spacing w:line="42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3</w:t>
            </w:r>
          </w:p>
        </w:tc>
        <w:tc>
          <w:tcPr>
            <w:tcW w:w="2047" w:type="dxa"/>
            <w:vMerge w:val="restart"/>
            <w:tcBorders>
              <w:top w:val="single" w:color="auto" w:sz="4" w:space="0"/>
              <w:left w:val="single" w:color="auto" w:sz="4" w:space="0"/>
              <w:bottom w:val="single" w:color="auto" w:sz="4" w:space="0"/>
              <w:right w:val="single" w:color="auto" w:sz="4" w:space="0"/>
            </w:tcBorders>
            <w:vAlign w:val="center"/>
          </w:tcPr>
          <w:p w14:paraId="7C199AD7">
            <w:pPr>
              <w:widowControl/>
              <w:suppressAutoHyphens/>
              <w:spacing w:line="42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按差额累进法计算。</w:t>
            </w:r>
          </w:p>
          <w:p w14:paraId="0C8E9587">
            <w:pPr>
              <w:widowControl/>
              <w:suppressAutoHyphens/>
              <w:spacing w:line="420" w:lineRule="exact"/>
              <w:jc w:val="center"/>
              <w:rPr>
                <w:rFonts w:ascii="宋体" w:hAnsi="宋体" w:eastAsia="宋体" w:cs="Times New Roman"/>
                <w:color w:val="auto"/>
                <w:kern w:val="0"/>
                <w:szCs w:val="21"/>
                <w:highlight w:val="none"/>
              </w:rPr>
            </w:pPr>
          </w:p>
        </w:tc>
      </w:tr>
      <w:tr w14:paraId="56FF0304">
        <w:tblPrEx>
          <w:tblCellMar>
            <w:top w:w="0" w:type="dxa"/>
            <w:left w:w="108" w:type="dxa"/>
            <w:bottom w:w="0" w:type="dxa"/>
            <w:right w:w="108" w:type="dxa"/>
          </w:tblCellMar>
        </w:tblPrEx>
        <w:trPr>
          <w:trHeight w:val="397" w:hRule="atLeast"/>
          <w:jc w:val="center"/>
        </w:trPr>
        <w:tc>
          <w:tcPr>
            <w:tcW w:w="2769" w:type="dxa"/>
            <w:tcBorders>
              <w:top w:val="single" w:color="auto" w:sz="4" w:space="0"/>
              <w:left w:val="single" w:color="auto" w:sz="4" w:space="0"/>
              <w:bottom w:val="single" w:color="auto" w:sz="4" w:space="0"/>
              <w:right w:val="single" w:color="auto" w:sz="4" w:space="0"/>
            </w:tcBorders>
            <w:vAlign w:val="center"/>
          </w:tcPr>
          <w:p w14:paraId="06862A3F">
            <w:pPr>
              <w:widowControl/>
              <w:suppressAutoHyphens/>
              <w:spacing w:line="42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100≤M＜500</w:t>
            </w:r>
          </w:p>
        </w:tc>
        <w:tc>
          <w:tcPr>
            <w:tcW w:w="2126" w:type="dxa"/>
            <w:tcBorders>
              <w:top w:val="nil"/>
              <w:left w:val="nil"/>
              <w:bottom w:val="single" w:color="auto" w:sz="4" w:space="0"/>
              <w:right w:val="single" w:color="auto" w:sz="4" w:space="0"/>
            </w:tcBorders>
            <w:vAlign w:val="center"/>
          </w:tcPr>
          <w:p w14:paraId="2AE715CD">
            <w:pPr>
              <w:widowControl/>
              <w:suppressAutoHyphens/>
              <w:spacing w:line="42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2.1</w:t>
            </w:r>
          </w:p>
        </w:tc>
        <w:tc>
          <w:tcPr>
            <w:tcW w:w="2047" w:type="dxa"/>
            <w:vMerge w:val="continue"/>
            <w:tcBorders>
              <w:top w:val="single" w:color="auto" w:sz="4" w:space="0"/>
              <w:left w:val="single" w:color="auto" w:sz="4" w:space="0"/>
              <w:bottom w:val="single" w:color="auto" w:sz="4" w:space="0"/>
              <w:right w:val="single" w:color="auto" w:sz="4" w:space="0"/>
            </w:tcBorders>
            <w:vAlign w:val="center"/>
          </w:tcPr>
          <w:p w14:paraId="1355FFB7">
            <w:pPr>
              <w:widowControl/>
              <w:suppressAutoHyphens/>
              <w:spacing w:line="420" w:lineRule="exact"/>
              <w:jc w:val="center"/>
              <w:rPr>
                <w:rFonts w:ascii="宋体" w:hAnsi="宋体" w:eastAsia="宋体" w:cs="Times New Roman"/>
                <w:color w:val="auto"/>
                <w:kern w:val="0"/>
                <w:szCs w:val="21"/>
                <w:highlight w:val="none"/>
              </w:rPr>
            </w:pPr>
          </w:p>
        </w:tc>
      </w:tr>
      <w:tr w14:paraId="268232C8">
        <w:tblPrEx>
          <w:tblCellMar>
            <w:top w:w="0" w:type="dxa"/>
            <w:left w:w="108" w:type="dxa"/>
            <w:bottom w:w="0" w:type="dxa"/>
            <w:right w:w="108" w:type="dxa"/>
          </w:tblCellMar>
        </w:tblPrEx>
        <w:trPr>
          <w:trHeight w:val="397" w:hRule="atLeast"/>
          <w:jc w:val="center"/>
        </w:trPr>
        <w:tc>
          <w:tcPr>
            <w:tcW w:w="2769" w:type="dxa"/>
            <w:tcBorders>
              <w:top w:val="single" w:color="auto" w:sz="4" w:space="0"/>
              <w:left w:val="single" w:color="auto" w:sz="4" w:space="0"/>
              <w:bottom w:val="single" w:color="auto" w:sz="4" w:space="0"/>
              <w:right w:val="single" w:color="auto" w:sz="4" w:space="0"/>
            </w:tcBorders>
            <w:vAlign w:val="center"/>
          </w:tcPr>
          <w:p w14:paraId="7559588A">
            <w:pPr>
              <w:widowControl/>
              <w:suppressAutoHyphens/>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500≤M＜1000</w:t>
            </w:r>
          </w:p>
        </w:tc>
        <w:tc>
          <w:tcPr>
            <w:tcW w:w="2126" w:type="dxa"/>
            <w:tcBorders>
              <w:top w:val="nil"/>
              <w:left w:val="nil"/>
              <w:bottom w:val="single" w:color="auto" w:sz="4" w:space="0"/>
              <w:right w:val="single" w:color="auto" w:sz="4" w:space="0"/>
            </w:tcBorders>
            <w:vAlign w:val="center"/>
          </w:tcPr>
          <w:p w14:paraId="6F5BCD86">
            <w:pPr>
              <w:widowControl/>
              <w:suppressAutoHyphens/>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1.65</w:t>
            </w:r>
          </w:p>
        </w:tc>
        <w:tc>
          <w:tcPr>
            <w:tcW w:w="2047" w:type="dxa"/>
            <w:vMerge w:val="continue"/>
            <w:tcBorders>
              <w:top w:val="single" w:color="auto" w:sz="4" w:space="0"/>
              <w:left w:val="single" w:color="auto" w:sz="4" w:space="0"/>
              <w:bottom w:val="single" w:color="auto" w:sz="4" w:space="0"/>
              <w:right w:val="single" w:color="auto" w:sz="4" w:space="0"/>
            </w:tcBorders>
            <w:vAlign w:val="center"/>
          </w:tcPr>
          <w:p w14:paraId="18601028">
            <w:pPr>
              <w:widowControl/>
              <w:suppressAutoHyphens/>
              <w:jc w:val="center"/>
              <w:rPr>
                <w:rFonts w:ascii="宋体" w:hAnsi="宋体" w:eastAsia="宋体" w:cs="Times New Roman"/>
                <w:color w:val="auto"/>
                <w:kern w:val="0"/>
                <w:szCs w:val="21"/>
                <w:highlight w:val="none"/>
              </w:rPr>
            </w:pPr>
          </w:p>
        </w:tc>
      </w:tr>
      <w:tr w14:paraId="5F0E28C5">
        <w:tblPrEx>
          <w:tblCellMar>
            <w:top w:w="0" w:type="dxa"/>
            <w:left w:w="108" w:type="dxa"/>
            <w:bottom w:w="0" w:type="dxa"/>
            <w:right w:w="108" w:type="dxa"/>
          </w:tblCellMar>
        </w:tblPrEx>
        <w:trPr>
          <w:trHeight w:val="397" w:hRule="atLeast"/>
          <w:jc w:val="center"/>
        </w:trPr>
        <w:tc>
          <w:tcPr>
            <w:tcW w:w="2769" w:type="dxa"/>
            <w:tcBorders>
              <w:top w:val="single" w:color="auto" w:sz="4" w:space="0"/>
              <w:left w:val="single" w:color="auto" w:sz="4" w:space="0"/>
              <w:bottom w:val="single" w:color="auto" w:sz="4" w:space="0"/>
              <w:right w:val="single" w:color="auto" w:sz="4" w:space="0"/>
            </w:tcBorders>
            <w:vAlign w:val="center"/>
          </w:tcPr>
          <w:p w14:paraId="7093F80D">
            <w:pPr>
              <w:widowControl/>
              <w:suppressAutoHyphens/>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1000≤M＜5000</w:t>
            </w:r>
          </w:p>
        </w:tc>
        <w:tc>
          <w:tcPr>
            <w:tcW w:w="2126" w:type="dxa"/>
            <w:tcBorders>
              <w:top w:val="nil"/>
              <w:left w:val="nil"/>
              <w:bottom w:val="single" w:color="auto" w:sz="4" w:space="0"/>
              <w:right w:val="single" w:color="auto" w:sz="4" w:space="0"/>
            </w:tcBorders>
            <w:vAlign w:val="center"/>
          </w:tcPr>
          <w:p w14:paraId="02F1274B">
            <w:pPr>
              <w:widowControl/>
              <w:suppressAutoHyphens/>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1.05</w:t>
            </w:r>
          </w:p>
        </w:tc>
        <w:tc>
          <w:tcPr>
            <w:tcW w:w="2047" w:type="dxa"/>
            <w:vMerge w:val="continue"/>
            <w:tcBorders>
              <w:top w:val="single" w:color="auto" w:sz="4" w:space="0"/>
              <w:left w:val="single" w:color="auto" w:sz="4" w:space="0"/>
              <w:bottom w:val="single" w:color="auto" w:sz="4" w:space="0"/>
              <w:right w:val="single" w:color="auto" w:sz="4" w:space="0"/>
            </w:tcBorders>
            <w:vAlign w:val="center"/>
          </w:tcPr>
          <w:p w14:paraId="1506AA87">
            <w:pPr>
              <w:widowControl/>
              <w:suppressAutoHyphens/>
              <w:jc w:val="center"/>
              <w:rPr>
                <w:rFonts w:ascii="宋体" w:hAnsi="宋体" w:eastAsia="宋体" w:cs="Times New Roman"/>
                <w:color w:val="auto"/>
                <w:kern w:val="0"/>
                <w:szCs w:val="21"/>
                <w:highlight w:val="none"/>
              </w:rPr>
            </w:pPr>
          </w:p>
        </w:tc>
      </w:tr>
      <w:tr w14:paraId="0648534F">
        <w:tblPrEx>
          <w:tblCellMar>
            <w:top w:w="0" w:type="dxa"/>
            <w:left w:w="108" w:type="dxa"/>
            <w:bottom w:w="0" w:type="dxa"/>
            <w:right w:w="108" w:type="dxa"/>
          </w:tblCellMar>
        </w:tblPrEx>
        <w:trPr>
          <w:trHeight w:val="397" w:hRule="atLeast"/>
          <w:jc w:val="center"/>
        </w:trPr>
        <w:tc>
          <w:tcPr>
            <w:tcW w:w="2769" w:type="dxa"/>
            <w:tcBorders>
              <w:top w:val="single" w:color="auto" w:sz="4" w:space="0"/>
              <w:left w:val="single" w:color="auto" w:sz="4" w:space="0"/>
              <w:bottom w:val="single" w:color="auto" w:sz="4" w:space="0"/>
              <w:right w:val="single" w:color="auto" w:sz="4" w:space="0"/>
            </w:tcBorders>
            <w:vAlign w:val="center"/>
          </w:tcPr>
          <w:p w14:paraId="3833284A">
            <w:pPr>
              <w:widowControl/>
              <w:suppressAutoHyphens/>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5000≤M＜10000</w:t>
            </w:r>
          </w:p>
        </w:tc>
        <w:tc>
          <w:tcPr>
            <w:tcW w:w="2126" w:type="dxa"/>
            <w:tcBorders>
              <w:top w:val="nil"/>
              <w:left w:val="nil"/>
              <w:bottom w:val="single" w:color="auto" w:sz="4" w:space="0"/>
              <w:right w:val="single" w:color="auto" w:sz="4" w:space="0"/>
            </w:tcBorders>
            <w:vAlign w:val="center"/>
          </w:tcPr>
          <w:p w14:paraId="09809F27">
            <w:pPr>
              <w:widowControl/>
              <w:suppressAutoHyphens/>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0.6</w:t>
            </w:r>
          </w:p>
        </w:tc>
        <w:tc>
          <w:tcPr>
            <w:tcW w:w="2047" w:type="dxa"/>
            <w:vMerge w:val="continue"/>
            <w:tcBorders>
              <w:top w:val="single" w:color="auto" w:sz="4" w:space="0"/>
              <w:left w:val="single" w:color="auto" w:sz="4" w:space="0"/>
              <w:bottom w:val="single" w:color="auto" w:sz="4" w:space="0"/>
              <w:right w:val="single" w:color="auto" w:sz="4" w:space="0"/>
            </w:tcBorders>
            <w:vAlign w:val="center"/>
          </w:tcPr>
          <w:p w14:paraId="7059473E">
            <w:pPr>
              <w:widowControl/>
              <w:suppressAutoHyphens/>
              <w:jc w:val="center"/>
              <w:rPr>
                <w:rFonts w:ascii="宋体" w:hAnsi="宋体" w:eastAsia="宋体" w:cs="Times New Roman"/>
                <w:color w:val="auto"/>
                <w:kern w:val="0"/>
                <w:szCs w:val="21"/>
                <w:highlight w:val="none"/>
              </w:rPr>
            </w:pPr>
          </w:p>
        </w:tc>
      </w:tr>
      <w:tr w14:paraId="5072B80B">
        <w:tblPrEx>
          <w:tblCellMar>
            <w:top w:w="0" w:type="dxa"/>
            <w:left w:w="108" w:type="dxa"/>
            <w:bottom w:w="0" w:type="dxa"/>
            <w:right w:w="108" w:type="dxa"/>
          </w:tblCellMar>
        </w:tblPrEx>
        <w:trPr>
          <w:trHeight w:val="397" w:hRule="atLeast"/>
          <w:jc w:val="center"/>
        </w:trPr>
        <w:tc>
          <w:tcPr>
            <w:tcW w:w="2769" w:type="dxa"/>
            <w:tcBorders>
              <w:top w:val="single" w:color="auto" w:sz="4" w:space="0"/>
              <w:left w:val="single" w:color="auto" w:sz="4" w:space="0"/>
              <w:bottom w:val="single" w:color="auto" w:sz="4" w:space="0"/>
              <w:right w:val="single" w:color="auto" w:sz="4" w:space="0"/>
            </w:tcBorders>
            <w:vAlign w:val="center"/>
          </w:tcPr>
          <w:p w14:paraId="4C8BFE56">
            <w:pPr>
              <w:widowControl/>
              <w:suppressAutoHyphens/>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10000≤M＜20000</w:t>
            </w:r>
          </w:p>
        </w:tc>
        <w:tc>
          <w:tcPr>
            <w:tcW w:w="2126" w:type="dxa"/>
            <w:tcBorders>
              <w:top w:val="nil"/>
              <w:left w:val="nil"/>
              <w:bottom w:val="single" w:color="auto" w:sz="4" w:space="0"/>
              <w:right w:val="single" w:color="auto" w:sz="4" w:space="0"/>
            </w:tcBorders>
            <w:vAlign w:val="center"/>
          </w:tcPr>
          <w:p w14:paraId="281E820A">
            <w:pPr>
              <w:widowControl/>
              <w:suppressAutoHyphens/>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0.40</w:t>
            </w:r>
          </w:p>
        </w:tc>
        <w:tc>
          <w:tcPr>
            <w:tcW w:w="2047" w:type="dxa"/>
            <w:vMerge w:val="continue"/>
            <w:tcBorders>
              <w:top w:val="single" w:color="auto" w:sz="4" w:space="0"/>
              <w:left w:val="single" w:color="auto" w:sz="4" w:space="0"/>
              <w:bottom w:val="single" w:color="auto" w:sz="4" w:space="0"/>
              <w:right w:val="single" w:color="auto" w:sz="4" w:space="0"/>
            </w:tcBorders>
            <w:vAlign w:val="center"/>
          </w:tcPr>
          <w:p w14:paraId="04978736">
            <w:pPr>
              <w:widowControl/>
              <w:suppressAutoHyphens/>
              <w:jc w:val="center"/>
              <w:rPr>
                <w:rFonts w:ascii="宋体" w:hAnsi="宋体" w:eastAsia="宋体" w:cs="Times New Roman"/>
                <w:color w:val="auto"/>
                <w:kern w:val="0"/>
                <w:szCs w:val="21"/>
                <w:highlight w:val="none"/>
              </w:rPr>
            </w:pPr>
          </w:p>
        </w:tc>
      </w:tr>
      <w:tr w14:paraId="59C42766">
        <w:tblPrEx>
          <w:tblCellMar>
            <w:top w:w="0" w:type="dxa"/>
            <w:left w:w="108" w:type="dxa"/>
            <w:bottom w:w="0" w:type="dxa"/>
            <w:right w:w="108" w:type="dxa"/>
          </w:tblCellMar>
        </w:tblPrEx>
        <w:trPr>
          <w:trHeight w:val="397" w:hRule="atLeast"/>
          <w:jc w:val="center"/>
        </w:trPr>
        <w:tc>
          <w:tcPr>
            <w:tcW w:w="2769" w:type="dxa"/>
            <w:tcBorders>
              <w:top w:val="single" w:color="auto" w:sz="4" w:space="0"/>
              <w:left w:val="single" w:color="auto" w:sz="4" w:space="0"/>
              <w:bottom w:val="single" w:color="auto" w:sz="4" w:space="0"/>
              <w:right w:val="single" w:color="auto" w:sz="4" w:space="0"/>
            </w:tcBorders>
            <w:vAlign w:val="center"/>
          </w:tcPr>
          <w:p w14:paraId="22FA45C1">
            <w:pPr>
              <w:widowControl/>
              <w:suppressAutoHyphens/>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20000≤M＜40000</w:t>
            </w:r>
          </w:p>
        </w:tc>
        <w:tc>
          <w:tcPr>
            <w:tcW w:w="2126" w:type="dxa"/>
            <w:tcBorders>
              <w:top w:val="nil"/>
              <w:left w:val="nil"/>
              <w:bottom w:val="single" w:color="auto" w:sz="4" w:space="0"/>
              <w:right w:val="single" w:color="auto" w:sz="4" w:space="0"/>
            </w:tcBorders>
            <w:vAlign w:val="center"/>
          </w:tcPr>
          <w:p w14:paraId="42121FE4">
            <w:pPr>
              <w:widowControl/>
              <w:suppressAutoHyphens/>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0.30</w:t>
            </w:r>
          </w:p>
        </w:tc>
        <w:tc>
          <w:tcPr>
            <w:tcW w:w="2047" w:type="dxa"/>
            <w:vMerge w:val="continue"/>
            <w:tcBorders>
              <w:top w:val="single" w:color="auto" w:sz="4" w:space="0"/>
              <w:left w:val="single" w:color="auto" w:sz="4" w:space="0"/>
              <w:bottom w:val="single" w:color="auto" w:sz="4" w:space="0"/>
              <w:right w:val="single" w:color="auto" w:sz="4" w:space="0"/>
            </w:tcBorders>
            <w:vAlign w:val="center"/>
          </w:tcPr>
          <w:p w14:paraId="53184A2B">
            <w:pPr>
              <w:widowControl/>
              <w:suppressAutoHyphens/>
              <w:jc w:val="center"/>
              <w:rPr>
                <w:rFonts w:ascii="宋体" w:hAnsi="宋体" w:eastAsia="宋体" w:cs="Times New Roman"/>
                <w:color w:val="auto"/>
                <w:kern w:val="0"/>
                <w:szCs w:val="21"/>
                <w:highlight w:val="none"/>
              </w:rPr>
            </w:pPr>
          </w:p>
        </w:tc>
      </w:tr>
      <w:tr w14:paraId="7D03AF5E">
        <w:tblPrEx>
          <w:tblCellMar>
            <w:top w:w="0" w:type="dxa"/>
            <w:left w:w="108" w:type="dxa"/>
            <w:bottom w:w="0" w:type="dxa"/>
            <w:right w:w="108" w:type="dxa"/>
          </w:tblCellMar>
        </w:tblPrEx>
        <w:trPr>
          <w:trHeight w:val="397" w:hRule="atLeast"/>
          <w:jc w:val="center"/>
        </w:trPr>
        <w:tc>
          <w:tcPr>
            <w:tcW w:w="2769" w:type="dxa"/>
            <w:tcBorders>
              <w:top w:val="single" w:color="auto" w:sz="4" w:space="0"/>
              <w:left w:val="single" w:color="auto" w:sz="4" w:space="0"/>
              <w:bottom w:val="single" w:color="auto" w:sz="4" w:space="0"/>
              <w:right w:val="single" w:color="auto" w:sz="4" w:space="0"/>
            </w:tcBorders>
            <w:vAlign w:val="center"/>
          </w:tcPr>
          <w:p w14:paraId="22316F61">
            <w:pPr>
              <w:widowControl/>
              <w:suppressAutoHyphens/>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40000≤M＜60000</w:t>
            </w:r>
          </w:p>
        </w:tc>
        <w:tc>
          <w:tcPr>
            <w:tcW w:w="2126" w:type="dxa"/>
            <w:tcBorders>
              <w:top w:val="nil"/>
              <w:left w:val="nil"/>
              <w:bottom w:val="single" w:color="auto" w:sz="4" w:space="0"/>
              <w:right w:val="single" w:color="auto" w:sz="4" w:space="0"/>
            </w:tcBorders>
            <w:vAlign w:val="center"/>
          </w:tcPr>
          <w:p w14:paraId="7DD68666">
            <w:pPr>
              <w:widowControl/>
              <w:suppressAutoHyphens/>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0.25</w:t>
            </w:r>
          </w:p>
        </w:tc>
        <w:tc>
          <w:tcPr>
            <w:tcW w:w="2047" w:type="dxa"/>
            <w:vMerge w:val="continue"/>
            <w:tcBorders>
              <w:top w:val="single" w:color="auto" w:sz="4" w:space="0"/>
              <w:left w:val="single" w:color="auto" w:sz="4" w:space="0"/>
              <w:bottom w:val="single" w:color="auto" w:sz="4" w:space="0"/>
              <w:right w:val="single" w:color="auto" w:sz="4" w:space="0"/>
            </w:tcBorders>
            <w:vAlign w:val="center"/>
          </w:tcPr>
          <w:p w14:paraId="10084104">
            <w:pPr>
              <w:widowControl/>
              <w:suppressAutoHyphens/>
              <w:jc w:val="center"/>
              <w:rPr>
                <w:rFonts w:ascii="宋体" w:hAnsi="宋体" w:eastAsia="宋体" w:cs="Times New Roman"/>
                <w:color w:val="auto"/>
                <w:kern w:val="0"/>
                <w:szCs w:val="21"/>
                <w:highlight w:val="none"/>
              </w:rPr>
            </w:pPr>
          </w:p>
        </w:tc>
      </w:tr>
      <w:tr w14:paraId="3AB55ACF">
        <w:tblPrEx>
          <w:tblCellMar>
            <w:top w:w="0" w:type="dxa"/>
            <w:left w:w="108" w:type="dxa"/>
            <w:bottom w:w="0" w:type="dxa"/>
            <w:right w:w="108" w:type="dxa"/>
          </w:tblCellMar>
        </w:tblPrEx>
        <w:trPr>
          <w:trHeight w:val="397" w:hRule="atLeast"/>
          <w:jc w:val="center"/>
        </w:trPr>
        <w:tc>
          <w:tcPr>
            <w:tcW w:w="2769" w:type="dxa"/>
            <w:tcBorders>
              <w:top w:val="single" w:color="auto" w:sz="4" w:space="0"/>
              <w:left w:val="single" w:color="auto" w:sz="4" w:space="0"/>
              <w:bottom w:val="single" w:color="auto" w:sz="4" w:space="0"/>
              <w:right w:val="single" w:color="auto" w:sz="4" w:space="0"/>
            </w:tcBorders>
            <w:vAlign w:val="center"/>
          </w:tcPr>
          <w:p w14:paraId="75BA478C">
            <w:pPr>
              <w:widowControl/>
              <w:suppressAutoHyphens/>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60000≤M＜80000</w:t>
            </w:r>
          </w:p>
        </w:tc>
        <w:tc>
          <w:tcPr>
            <w:tcW w:w="2126" w:type="dxa"/>
            <w:tcBorders>
              <w:top w:val="nil"/>
              <w:left w:val="nil"/>
              <w:bottom w:val="single" w:color="auto" w:sz="4" w:space="0"/>
              <w:right w:val="single" w:color="auto" w:sz="4" w:space="0"/>
            </w:tcBorders>
            <w:vAlign w:val="center"/>
          </w:tcPr>
          <w:p w14:paraId="32259ED0">
            <w:pPr>
              <w:widowControl/>
              <w:suppressAutoHyphens/>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0.20</w:t>
            </w:r>
          </w:p>
        </w:tc>
        <w:tc>
          <w:tcPr>
            <w:tcW w:w="2047" w:type="dxa"/>
            <w:vMerge w:val="continue"/>
            <w:tcBorders>
              <w:top w:val="single" w:color="auto" w:sz="4" w:space="0"/>
              <w:left w:val="single" w:color="auto" w:sz="4" w:space="0"/>
              <w:bottom w:val="single" w:color="auto" w:sz="4" w:space="0"/>
              <w:right w:val="single" w:color="auto" w:sz="4" w:space="0"/>
            </w:tcBorders>
            <w:vAlign w:val="center"/>
          </w:tcPr>
          <w:p w14:paraId="62A38F5C">
            <w:pPr>
              <w:widowControl/>
              <w:suppressAutoHyphens/>
              <w:jc w:val="center"/>
              <w:rPr>
                <w:rFonts w:ascii="宋体" w:hAnsi="宋体" w:eastAsia="宋体" w:cs="Times New Roman"/>
                <w:color w:val="auto"/>
                <w:kern w:val="0"/>
                <w:szCs w:val="21"/>
                <w:highlight w:val="none"/>
              </w:rPr>
            </w:pPr>
          </w:p>
        </w:tc>
      </w:tr>
      <w:tr w14:paraId="39007E92">
        <w:tblPrEx>
          <w:tblCellMar>
            <w:top w:w="0" w:type="dxa"/>
            <w:left w:w="108" w:type="dxa"/>
            <w:bottom w:w="0" w:type="dxa"/>
            <w:right w:w="108" w:type="dxa"/>
          </w:tblCellMar>
        </w:tblPrEx>
        <w:trPr>
          <w:trHeight w:val="397" w:hRule="atLeast"/>
          <w:jc w:val="center"/>
        </w:trPr>
        <w:tc>
          <w:tcPr>
            <w:tcW w:w="2769" w:type="dxa"/>
            <w:tcBorders>
              <w:top w:val="single" w:color="auto" w:sz="4" w:space="0"/>
              <w:left w:val="single" w:color="auto" w:sz="4" w:space="0"/>
              <w:bottom w:val="single" w:color="auto" w:sz="4" w:space="0"/>
              <w:right w:val="single" w:color="auto" w:sz="4" w:space="0"/>
            </w:tcBorders>
            <w:vAlign w:val="center"/>
          </w:tcPr>
          <w:p w14:paraId="51722A48">
            <w:pPr>
              <w:widowControl/>
              <w:suppressAutoHyphens/>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80000≤M＜100000</w:t>
            </w:r>
          </w:p>
        </w:tc>
        <w:tc>
          <w:tcPr>
            <w:tcW w:w="2126" w:type="dxa"/>
            <w:tcBorders>
              <w:top w:val="nil"/>
              <w:left w:val="nil"/>
              <w:bottom w:val="single" w:color="auto" w:sz="4" w:space="0"/>
              <w:right w:val="single" w:color="auto" w:sz="4" w:space="0"/>
            </w:tcBorders>
            <w:vAlign w:val="center"/>
          </w:tcPr>
          <w:p w14:paraId="2CB8EE09">
            <w:pPr>
              <w:widowControl/>
              <w:suppressAutoHyphens/>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0.15</w:t>
            </w:r>
          </w:p>
        </w:tc>
        <w:tc>
          <w:tcPr>
            <w:tcW w:w="2047" w:type="dxa"/>
            <w:vMerge w:val="continue"/>
            <w:tcBorders>
              <w:top w:val="single" w:color="auto" w:sz="4" w:space="0"/>
              <w:left w:val="single" w:color="auto" w:sz="4" w:space="0"/>
              <w:bottom w:val="single" w:color="auto" w:sz="4" w:space="0"/>
              <w:right w:val="single" w:color="auto" w:sz="4" w:space="0"/>
            </w:tcBorders>
            <w:vAlign w:val="center"/>
          </w:tcPr>
          <w:p w14:paraId="226AC656">
            <w:pPr>
              <w:widowControl/>
              <w:suppressAutoHyphens/>
              <w:jc w:val="center"/>
              <w:rPr>
                <w:rFonts w:ascii="宋体" w:hAnsi="宋体" w:eastAsia="宋体" w:cs="Times New Roman"/>
                <w:color w:val="auto"/>
                <w:kern w:val="0"/>
                <w:szCs w:val="21"/>
                <w:highlight w:val="none"/>
              </w:rPr>
            </w:pPr>
          </w:p>
        </w:tc>
      </w:tr>
      <w:tr w14:paraId="7EB4B4F2">
        <w:tblPrEx>
          <w:tblCellMar>
            <w:top w:w="0" w:type="dxa"/>
            <w:left w:w="108" w:type="dxa"/>
            <w:bottom w:w="0" w:type="dxa"/>
            <w:right w:w="108" w:type="dxa"/>
          </w:tblCellMar>
        </w:tblPrEx>
        <w:trPr>
          <w:trHeight w:val="397" w:hRule="atLeast"/>
          <w:jc w:val="center"/>
        </w:trPr>
        <w:tc>
          <w:tcPr>
            <w:tcW w:w="2769" w:type="dxa"/>
            <w:tcBorders>
              <w:top w:val="single" w:color="auto" w:sz="4" w:space="0"/>
              <w:left w:val="single" w:color="auto" w:sz="4" w:space="0"/>
              <w:bottom w:val="single" w:color="auto" w:sz="4" w:space="0"/>
              <w:right w:val="single" w:color="auto" w:sz="4" w:space="0"/>
            </w:tcBorders>
            <w:vAlign w:val="center"/>
          </w:tcPr>
          <w:p w14:paraId="04022E08">
            <w:pPr>
              <w:widowControl/>
              <w:suppressAutoHyphens/>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100000≤M＜200000</w:t>
            </w:r>
          </w:p>
        </w:tc>
        <w:tc>
          <w:tcPr>
            <w:tcW w:w="2126" w:type="dxa"/>
            <w:tcBorders>
              <w:top w:val="single" w:color="auto" w:sz="4" w:space="0"/>
              <w:left w:val="nil"/>
              <w:bottom w:val="single" w:color="auto" w:sz="6" w:space="0"/>
              <w:right w:val="single" w:color="auto" w:sz="4" w:space="0"/>
            </w:tcBorders>
            <w:vAlign w:val="center"/>
          </w:tcPr>
          <w:p w14:paraId="5DB339D8">
            <w:pPr>
              <w:widowControl/>
              <w:suppressAutoHyphens/>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0.10</w:t>
            </w:r>
          </w:p>
        </w:tc>
        <w:tc>
          <w:tcPr>
            <w:tcW w:w="2047" w:type="dxa"/>
            <w:vMerge w:val="continue"/>
            <w:tcBorders>
              <w:top w:val="single" w:color="auto" w:sz="4" w:space="0"/>
              <w:left w:val="single" w:color="auto" w:sz="4" w:space="0"/>
              <w:bottom w:val="single" w:color="auto" w:sz="4" w:space="0"/>
              <w:right w:val="single" w:color="auto" w:sz="4" w:space="0"/>
            </w:tcBorders>
            <w:vAlign w:val="center"/>
          </w:tcPr>
          <w:p w14:paraId="38BA4A57">
            <w:pPr>
              <w:widowControl/>
              <w:suppressAutoHyphens/>
              <w:jc w:val="center"/>
              <w:rPr>
                <w:rFonts w:ascii="宋体" w:hAnsi="宋体" w:eastAsia="宋体" w:cs="Times New Roman"/>
                <w:color w:val="auto"/>
                <w:kern w:val="0"/>
                <w:szCs w:val="21"/>
                <w:highlight w:val="none"/>
              </w:rPr>
            </w:pPr>
          </w:p>
        </w:tc>
      </w:tr>
      <w:tr w14:paraId="3CE4D3A8">
        <w:tblPrEx>
          <w:tblCellMar>
            <w:top w:w="0" w:type="dxa"/>
            <w:left w:w="108" w:type="dxa"/>
            <w:bottom w:w="0" w:type="dxa"/>
            <w:right w:w="108" w:type="dxa"/>
          </w:tblCellMar>
        </w:tblPrEx>
        <w:trPr>
          <w:trHeight w:val="397" w:hRule="atLeast"/>
          <w:jc w:val="center"/>
        </w:trPr>
        <w:tc>
          <w:tcPr>
            <w:tcW w:w="2769" w:type="dxa"/>
            <w:tcBorders>
              <w:top w:val="single" w:color="auto" w:sz="4" w:space="0"/>
              <w:left w:val="single" w:color="auto" w:sz="4" w:space="0"/>
              <w:bottom w:val="single" w:color="auto" w:sz="4" w:space="0"/>
              <w:right w:val="single" w:color="auto" w:sz="4" w:space="0"/>
            </w:tcBorders>
            <w:vAlign w:val="center"/>
          </w:tcPr>
          <w:p w14:paraId="784AF472">
            <w:pPr>
              <w:widowControl/>
              <w:suppressAutoHyphens/>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200000≤M＜300000</w:t>
            </w:r>
          </w:p>
        </w:tc>
        <w:tc>
          <w:tcPr>
            <w:tcW w:w="2126" w:type="dxa"/>
            <w:tcBorders>
              <w:top w:val="single" w:color="auto" w:sz="6" w:space="0"/>
              <w:left w:val="nil"/>
              <w:bottom w:val="single" w:color="auto" w:sz="6" w:space="0"/>
              <w:right w:val="single" w:color="auto" w:sz="4" w:space="0"/>
            </w:tcBorders>
            <w:vAlign w:val="center"/>
          </w:tcPr>
          <w:p w14:paraId="11583D6F">
            <w:pPr>
              <w:widowControl/>
              <w:suppressAutoHyphens/>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0.08</w:t>
            </w:r>
          </w:p>
        </w:tc>
        <w:tc>
          <w:tcPr>
            <w:tcW w:w="2047" w:type="dxa"/>
            <w:vMerge w:val="continue"/>
            <w:tcBorders>
              <w:top w:val="single" w:color="auto" w:sz="4" w:space="0"/>
              <w:left w:val="single" w:color="auto" w:sz="4" w:space="0"/>
              <w:bottom w:val="single" w:color="auto" w:sz="4" w:space="0"/>
              <w:right w:val="single" w:color="auto" w:sz="4" w:space="0"/>
            </w:tcBorders>
            <w:vAlign w:val="center"/>
          </w:tcPr>
          <w:p w14:paraId="18B9BBF3">
            <w:pPr>
              <w:widowControl/>
              <w:suppressAutoHyphens/>
              <w:jc w:val="center"/>
              <w:rPr>
                <w:rFonts w:ascii="宋体" w:hAnsi="宋体" w:eastAsia="宋体" w:cs="Times New Roman"/>
                <w:color w:val="auto"/>
                <w:kern w:val="0"/>
                <w:szCs w:val="21"/>
                <w:highlight w:val="none"/>
              </w:rPr>
            </w:pPr>
          </w:p>
        </w:tc>
      </w:tr>
      <w:tr w14:paraId="5B18E9B1">
        <w:tblPrEx>
          <w:tblCellMar>
            <w:top w:w="0" w:type="dxa"/>
            <w:left w:w="108" w:type="dxa"/>
            <w:bottom w:w="0" w:type="dxa"/>
            <w:right w:w="108" w:type="dxa"/>
          </w:tblCellMar>
        </w:tblPrEx>
        <w:trPr>
          <w:trHeight w:val="397" w:hRule="atLeast"/>
          <w:jc w:val="center"/>
        </w:trPr>
        <w:tc>
          <w:tcPr>
            <w:tcW w:w="2769" w:type="dxa"/>
            <w:tcBorders>
              <w:top w:val="single" w:color="auto" w:sz="4" w:space="0"/>
              <w:left w:val="single" w:color="auto" w:sz="4" w:space="0"/>
              <w:bottom w:val="single" w:color="auto" w:sz="4" w:space="0"/>
              <w:right w:val="single" w:color="auto" w:sz="4" w:space="0"/>
            </w:tcBorders>
            <w:vAlign w:val="center"/>
          </w:tcPr>
          <w:p w14:paraId="390FDF08">
            <w:pPr>
              <w:widowControl/>
              <w:suppressAutoHyphens/>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300000≤M＜400000</w:t>
            </w:r>
          </w:p>
        </w:tc>
        <w:tc>
          <w:tcPr>
            <w:tcW w:w="2126" w:type="dxa"/>
            <w:tcBorders>
              <w:top w:val="single" w:color="auto" w:sz="6" w:space="0"/>
              <w:left w:val="nil"/>
              <w:bottom w:val="single" w:color="auto" w:sz="6" w:space="0"/>
              <w:right w:val="single" w:color="auto" w:sz="4" w:space="0"/>
            </w:tcBorders>
            <w:vAlign w:val="center"/>
          </w:tcPr>
          <w:p w14:paraId="2D7E8347">
            <w:pPr>
              <w:widowControl/>
              <w:suppressAutoHyphens/>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0.06</w:t>
            </w:r>
          </w:p>
        </w:tc>
        <w:tc>
          <w:tcPr>
            <w:tcW w:w="2047" w:type="dxa"/>
            <w:vMerge w:val="continue"/>
            <w:tcBorders>
              <w:top w:val="single" w:color="auto" w:sz="4" w:space="0"/>
              <w:left w:val="single" w:color="auto" w:sz="4" w:space="0"/>
              <w:bottom w:val="single" w:color="auto" w:sz="4" w:space="0"/>
              <w:right w:val="single" w:color="auto" w:sz="4" w:space="0"/>
            </w:tcBorders>
            <w:vAlign w:val="center"/>
          </w:tcPr>
          <w:p w14:paraId="615647BB">
            <w:pPr>
              <w:widowControl/>
              <w:suppressAutoHyphens/>
              <w:jc w:val="center"/>
              <w:rPr>
                <w:rFonts w:ascii="宋体" w:hAnsi="宋体" w:eastAsia="宋体" w:cs="Times New Roman"/>
                <w:color w:val="auto"/>
                <w:kern w:val="0"/>
                <w:szCs w:val="21"/>
                <w:highlight w:val="none"/>
              </w:rPr>
            </w:pPr>
          </w:p>
        </w:tc>
      </w:tr>
      <w:tr w14:paraId="045C4033">
        <w:tblPrEx>
          <w:tblCellMar>
            <w:top w:w="0" w:type="dxa"/>
            <w:left w:w="108" w:type="dxa"/>
            <w:bottom w:w="0" w:type="dxa"/>
            <w:right w:w="108" w:type="dxa"/>
          </w:tblCellMar>
        </w:tblPrEx>
        <w:trPr>
          <w:trHeight w:val="397" w:hRule="atLeast"/>
          <w:jc w:val="center"/>
        </w:trPr>
        <w:tc>
          <w:tcPr>
            <w:tcW w:w="2769" w:type="dxa"/>
            <w:tcBorders>
              <w:top w:val="single" w:color="auto" w:sz="4" w:space="0"/>
              <w:left w:val="single" w:color="auto" w:sz="4" w:space="0"/>
              <w:bottom w:val="single" w:color="auto" w:sz="4" w:space="0"/>
              <w:right w:val="single" w:color="auto" w:sz="4" w:space="0"/>
            </w:tcBorders>
            <w:vAlign w:val="center"/>
          </w:tcPr>
          <w:p w14:paraId="70373143">
            <w:pPr>
              <w:widowControl/>
              <w:suppressAutoHyphens/>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400000≤M＜500000</w:t>
            </w:r>
          </w:p>
        </w:tc>
        <w:tc>
          <w:tcPr>
            <w:tcW w:w="2126" w:type="dxa"/>
            <w:tcBorders>
              <w:top w:val="single" w:color="auto" w:sz="6" w:space="0"/>
              <w:left w:val="nil"/>
              <w:bottom w:val="single" w:color="auto" w:sz="6" w:space="0"/>
              <w:right w:val="single" w:color="auto" w:sz="4" w:space="0"/>
            </w:tcBorders>
            <w:vAlign w:val="center"/>
          </w:tcPr>
          <w:p w14:paraId="7E276F3A">
            <w:pPr>
              <w:widowControl/>
              <w:suppressAutoHyphens/>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0.04</w:t>
            </w:r>
          </w:p>
        </w:tc>
        <w:tc>
          <w:tcPr>
            <w:tcW w:w="2047" w:type="dxa"/>
            <w:vMerge w:val="continue"/>
            <w:tcBorders>
              <w:top w:val="single" w:color="auto" w:sz="4" w:space="0"/>
              <w:left w:val="single" w:color="auto" w:sz="4" w:space="0"/>
              <w:bottom w:val="single" w:color="auto" w:sz="4" w:space="0"/>
              <w:right w:val="single" w:color="auto" w:sz="4" w:space="0"/>
            </w:tcBorders>
            <w:vAlign w:val="center"/>
          </w:tcPr>
          <w:p w14:paraId="3EC98005">
            <w:pPr>
              <w:widowControl/>
              <w:suppressAutoHyphens/>
              <w:jc w:val="center"/>
              <w:rPr>
                <w:rFonts w:ascii="宋体" w:hAnsi="宋体" w:eastAsia="宋体" w:cs="Times New Roman"/>
                <w:color w:val="auto"/>
                <w:kern w:val="0"/>
                <w:szCs w:val="21"/>
                <w:highlight w:val="none"/>
              </w:rPr>
            </w:pPr>
          </w:p>
        </w:tc>
      </w:tr>
      <w:tr w14:paraId="50C98151">
        <w:tblPrEx>
          <w:tblCellMar>
            <w:top w:w="0" w:type="dxa"/>
            <w:left w:w="108" w:type="dxa"/>
            <w:bottom w:w="0" w:type="dxa"/>
            <w:right w:w="108" w:type="dxa"/>
          </w:tblCellMar>
        </w:tblPrEx>
        <w:trPr>
          <w:trHeight w:val="397" w:hRule="atLeast"/>
          <w:jc w:val="center"/>
        </w:trPr>
        <w:tc>
          <w:tcPr>
            <w:tcW w:w="2769" w:type="dxa"/>
            <w:tcBorders>
              <w:top w:val="single" w:color="auto" w:sz="4" w:space="0"/>
              <w:left w:val="single" w:color="auto" w:sz="4" w:space="0"/>
              <w:bottom w:val="single" w:color="auto" w:sz="4" w:space="0"/>
              <w:right w:val="single" w:color="auto" w:sz="4" w:space="0"/>
            </w:tcBorders>
            <w:vAlign w:val="center"/>
          </w:tcPr>
          <w:p w14:paraId="23B4369F">
            <w:pPr>
              <w:widowControl/>
              <w:suppressAutoHyphens/>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500000≤M</w:t>
            </w:r>
          </w:p>
        </w:tc>
        <w:tc>
          <w:tcPr>
            <w:tcW w:w="2126" w:type="dxa"/>
            <w:tcBorders>
              <w:top w:val="single" w:color="auto" w:sz="6" w:space="0"/>
              <w:left w:val="nil"/>
              <w:bottom w:val="single" w:color="auto" w:sz="4" w:space="0"/>
              <w:right w:val="single" w:color="auto" w:sz="4" w:space="0"/>
            </w:tcBorders>
            <w:vAlign w:val="center"/>
          </w:tcPr>
          <w:p w14:paraId="155BC606">
            <w:pPr>
              <w:widowControl/>
              <w:suppressAutoHyphens/>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0.03</w:t>
            </w:r>
          </w:p>
        </w:tc>
        <w:tc>
          <w:tcPr>
            <w:tcW w:w="2047" w:type="dxa"/>
            <w:vMerge w:val="continue"/>
            <w:tcBorders>
              <w:top w:val="single" w:color="auto" w:sz="4" w:space="0"/>
              <w:left w:val="single" w:color="auto" w:sz="4" w:space="0"/>
              <w:bottom w:val="single" w:color="auto" w:sz="4" w:space="0"/>
              <w:right w:val="single" w:color="auto" w:sz="4" w:space="0"/>
            </w:tcBorders>
            <w:vAlign w:val="center"/>
          </w:tcPr>
          <w:p w14:paraId="0265C952">
            <w:pPr>
              <w:widowControl/>
              <w:suppressAutoHyphens/>
              <w:jc w:val="center"/>
              <w:rPr>
                <w:rFonts w:ascii="宋体" w:hAnsi="宋体" w:eastAsia="宋体" w:cs="Times New Roman"/>
                <w:color w:val="auto"/>
                <w:kern w:val="0"/>
                <w:szCs w:val="21"/>
                <w:highlight w:val="none"/>
              </w:rPr>
            </w:pPr>
          </w:p>
        </w:tc>
      </w:tr>
    </w:tbl>
    <w:p w14:paraId="56692F49">
      <w:pPr>
        <w:tabs>
          <w:tab w:val="left" w:pos="787"/>
        </w:tabs>
        <w:spacing w:line="360" w:lineRule="auto"/>
        <w:ind w:firstLine="420" w:firstLineChars="200"/>
        <w:rPr>
          <w:rFonts w:ascii="宋体" w:hAnsi="宋体" w:eastAsia="宋体" w:cs="Times New Roman"/>
          <w:color w:val="auto"/>
          <w:szCs w:val="21"/>
          <w:highlight w:val="none"/>
        </w:rPr>
      </w:pPr>
    </w:p>
    <w:p w14:paraId="758A52F9">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br w:type="page"/>
      </w:r>
    </w:p>
    <w:p w14:paraId="181855D0">
      <w:pPr>
        <w:tabs>
          <w:tab w:val="left" w:pos="787"/>
        </w:tabs>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分段计费系数设置如下表：</w:t>
      </w:r>
    </w:p>
    <w:p w14:paraId="12DBF605">
      <w:pPr>
        <w:jc w:val="center"/>
        <w:rPr>
          <w:rFonts w:ascii="宋体" w:hAnsi="宋体" w:eastAsia="宋体" w:cs="Times New Roman"/>
          <w:color w:val="auto"/>
          <w:szCs w:val="21"/>
          <w:highlight w:val="none"/>
        </w:rPr>
      </w:pPr>
      <w:r>
        <w:rPr>
          <w:rFonts w:ascii="宋体" w:hAnsi="宋体" w:eastAsia="宋体" w:cs="Times New Roman"/>
          <w:color w:val="auto"/>
          <w:szCs w:val="21"/>
          <w:highlight w:val="none"/>
        </w:rPr>
        <w:t xml:space="preserve">  预算审核服务费分段计费系数表</w:t>
      </w:r>
    </w:p>
    <w:p w14:paraId="2AD9C4A9">
      <w:pPr>
        <w:rPr>
          <w:rFonts w:ascii="Times New Roman" w:hAnsi="Times New Roman" w:eastAsia="宋体" w:cs="Times New Roman"/>
          <w:color w:val="auto"/>
          <w:szCs w:val="24"/>
          <w:highlight w:val="none"/>
        </w:rPr>
      </w:pPr>
    </w:p>
    <w:tbl>
      <w:tblPr>
        <w:tblStyle w:val="32"/>
        <w:tblW w:w="0" w:type="auto"/>
        <w:jc w:val="center"/>
        <w:tblLayout w:type="fixed"/>
        <w:tblCellMar>
          <w:top w:w="0" w:type="dxa"/>
          <w:left w:w="108" w:type="dxa"/>
          <w:bottom w:w="0" w:type="dxa"/>
          <w:right w:w="108" w:type="dxa"/>
        </w:tblCellMar>
      </w:tblPr>
      <w:tblGrid>
        <w:gridCol w:w="4357"/>
        <w:gridCol w:w="3122"/>
      </w:tblGrid>
      <w:tr w14:paraId="00D91A61">
        <w:tblPrEx>
          <w:tblCellMar>
            <w:top w:w="0" w:type="dxa"/>
            <w:left w:w="108" w:type="dxa"/>
            <w:bottom w:w="0" w:type="dxa"/>
            <w:right w:w="108" w:type="dxa"/>
          </w:tblCellMar>
        </w:tblPrEx>
        <w:trPr>
          <w:trHeight w:val="532" w:hRule="atLeast"/>
          <w:jc w:val="center"/>
        </w:trPr>
        <w:tc>
          <w:tcPr>
            <w:tcW w:w="4357" w:type="dxa"/>
            <w:tcBorders>
              <w:top w:val="single" w:color="auto" w:sz="4" w:space="0"/>
              <w:left w:val="single" w:color="auto" w:sz="4" w:space="0"/>
              <w:bottom w:val="single" w:color="auto" w:sz="4" w:space="0"/>
              <w:right w:val="single" w:color="auto" w:sz="4" w:space="0"/>
            </w:tcBorders>
            <w:vAlign w:val="center"/>
          </w:tcPr>
          <w:p w14:paraId="764D1103">
            <w:pPr>
              <w:widowControl/>
              <w:suppressAutoHyphens/>
              <w:spacing w:line="380" w:lineRule="exact"/>
              <w:jc w:val="center"/>
              <w:rPr>
                <w:rFonts w:ascii="宋体" w:hAnsi="宋体" w:eastAsia="宋体" w:cs="Times New Roman"/>
                <w:color w:val="auto"/>
                <w:kern w:val="0"/>
                <w:szCs w:val="21"/>
                <w:highlight w:val="none"/>
                <w:lang w:eastAsia="ar-SA"/>
              </w:rPr>
            </w:pPr>
            <w:r>
              <w:rPr>
                <w:rFonts w:ascii="宋体" w:hAnsi="宋体" w:eastAsia="宋体" w:cs="Times New Roman"/>
                <w:color w:val="auto"/>
                <w:kern w:val="0"/>
                <w:szCs w:val="21"/>
                <w:highlight w:val="none"/>
              </w:rPr>
              <w:t>送审单项造价M（万元）</w:t>
            </w:r>
          </w:p>
        </w:tc>
        <w:tc>
          <w:tcPr>
            <w:tcW w:w="3122" w:type="dxa"/>
            <w:tcBorders>
              <w:top w:val="single" w:color="auto" w:sz="4" w:space="0"/>
              <w:left w:val="nil"/>
              <w:bottom w:val="single" w:color="auto" w:sz="4" w:space="0"/>
              <w:right w:val="single" w:color="auto" w:sz="4" w:space="0"/>
            </w:tcBorders>
            <w:vAlign w:val="center"/>
          </w:tcPr>
          <w:p w14:paraId="5D3B8767">
            <w:pPr>
              <w:widowControl/>
              <w:suppressAutoHyphens/>
              <w:spacing w:line="380" w:lineRule="exact"/>
              <w:jc w:val="center"/>
              <w:rPr>
                <w:rFonts w:ascii="宋体" w:hAnsi="宋体" w:eastAsia="宋体" w:cs="Times New Roman"/>
                <w:color w:val="auto"/>
                <w:kern w:val="0"/>
                <w:szCs w:val="21"/>
                <w:highlight w:val="none"/>
                <w:lang w:eastAsia="ar-SA"/>
              </w:rPr>
            </w:pPr>
            <w:r>
              <w:rPr>
                <w:rFonts w:ascii="宋体" w:hAnsi="宋体" w:eastAsia="宋体" w:cs="Times New Roman"/>
                <w:color w:val="auto"/>
                <w:kern w:val="0"/>
                <w:szCs w:val="21"/>
                <w:highlight w:val="none"/>
              </w:rPr>
              <w:t>分段计费系数</w:t>
            </w:r>
          </w:p>
        </w:tc>
      </w:tr>
      <w:tr w14:paraId="26AE3A20">
        <w:tblPrEx>
          <w:tblCellMar>
            <w:top w:w="0" w:type="dxa"/>
            <w:left w:w="108" w:type="dxa"/>
            <w:bottom w:w="0" w:type="dxa"/>
            <w:right w:w="108" w:type="dxa"/>
          </w:tblCellMar>
        </w:tblPrEx>
        <w:trPr>
          <w:trHeight w:val="556" w:hRule="atLeast"/>
          <w:jc w:val="center"/>
        </w:trPr>
        <w:tc>
          <w:tcPr>
            <w:tcW w:w="4357" w:type="dxa"/>
            <w:tcBorders>
              <w:top w:val="nil"/>
              <w:left w:val="single" w:color="auto" w:sz="4" w:space="0"/>
              <w:bottom w:val="single" w:color="auto" w:sz="4" w:space="0"/>
              <w:right w:val="single" w:color="auto" w:sz="4" w:space="0"/>
            </w:tcBorders>
            <w:vAlign w:val="center"/>
          </w:tcPr>
          <w:p w14:paraId="3FF5A036">
            <w:pPr>
              <w:widowControl/>
              <w:suppressAutoHyphens/>
              <w:spacing w:line="380" w:lineRule="exact"/>
              <w:jc w:val="center"/>
              <w:rPr>
                <w:rFonts w:ascii="宋体" w:hAnsi="宋体" w:eastAsia="宋体" w:cs="Times New Roman"/>
                <w:color w:val="auto"/>
                <w:kern w:val="0"/>
                <w:szCs w:val="21"/>
                <w:highlight w:val="none"/>
                <w:lang w:eastAsia="ar-SA"/>
              </w:rPr>
            </w:pPr>
            <w:r>
              <w:rPr>
                <w:rFonts w:ascii="宋体" w:hAnsi="宋体" w:eastAsia="宋体" w:cs="Times New Roman"/>
                <w:color w:val="auto"/>
                <w:kern w:val="0"/>
                <w:szCs w:val="21"/>
                <w:highlight w:val="none"/>
              </w:rPr>
              <w:t>M＜200</w:t>
            </w:r>
          </w:p>
        </w:tc>
        <w:tc>
          <w:tcPr>
            <w:tcW w:w="3122" w:type="dxa"/>
            <w:tcBorders>
              <w:top w:val="nil"/>
              <w:left w:val="nil"/>
              <w:bottom w:val="single" w:color="auto" w:sz="4" w:space="0"/>
              <w:right w:val="single" w:color="auto" w:sz="4" w:space="0"/>
            </w:tcBorders>
            <w:vAlign w:val="center"/>
          </w:tcPr>
          <w:p w14:paraId="7E67392E">
            <w:pPr>
              <w:widowControl/>
              <w:suppressAutoHyphens/>
              <w:spacing w:line="380" w:lineRule="exact"/>
              <w:jc w:val="center"/>
              <w:rPr>
                <w:rFonts w:ascii="宋体" w:hAnsi="宋体" w:eastAsia="宋体" w:cs="Times New Roman"/>
                <w:color w:val="auto"/>
                <w:kern w:val="0"/>
                <w:szCs w:val="21"/>
                <w:highlight w:val="none"/>
                <w:lang w:eastAsia="ar-SA"/>
              </w:rPr>
            </w:pPr>
            <w:r>
              <w:rPr>
                <w:rFonts w:ascii="宋体" w:hAnsi="宋体" w:eastAsia="宋体" w:cs="Times New Roman"/>
                <w:color w:val="auto"/>
                <w:kern w:val="0"/>
                <w:szCs w:val="21"/>
                <w:highlight w:val="none"/>
              </w:rPr>
              <w:t>1.2</w:t>
            </w:r>
          </w:p>
        </w:tc>
      </w:tr>
      <w:tr w14:paraId="20A2319E">
        <w:tblPrEx>
          <w:tblCellMar>
            <w:top w:w="0" w:type="dxa"/>
            <w:left w:w="108" w:type="dxa"/>
            <w:bottom w:w="0" w:type="dxa"/>
            <w:right w:w="108" w:type="dxa"/>
          </w:tblCellMar>
        </w:tblPrEx>
        <w:trPr>
          <w:trHeight w:val="514" w:hRule="atLeast"/>
          <w:jc w:val="center"/>
        </w:trPr>
        <w:tc>
          <w:tcPr>
            <w:tcW w:w="4357" w:type="dxa"/>
            <w:tcBorders>
              <w:top w:val="nil"/>
              <w:left w:val="single" w:color="auto" w:sz="4" w:space="0"/>
              <w:bottom w:val="single" w:color="auto" w:sz="4" w:space="0"/>
              <w:right w:val="single" w:color="auto" w:sz="4" w:space="0"/>
            </w:tcBorders>
            <w:vAlign w:val="center"/>
          </w:tcPr>
          <w:p w14:paraId="28870C74">
            <w:pPr>
              <w:widowControl/>
              <w:suppressAutoHyphens/>
              <w:spacing w:line="380" w:lineRule="exact"/>
              <w:jc w:val="center"/>
              <w:rPr>
                <w:rFonts w:ascii="宋体" w:hAnsi="宋体" w:eastAsia="宋体" w:cs="Times New Roman"/>
                <w:color w:val="auto"/>
                <w:kern w:val="0"/>
                <w:szCs w:val="21"/>
                <w:highlight w:val="none"/>
                <w:lang w:eastAsia="ar-SA"/>
              </w:rPr>
            </w:pPr>
            <w:r>
              <w:rPr>
                <w:rFonts w:ascii="宋体" w:hAnsi="宋体" w:eastAsia="宋体" w:cs="Times New Roman"/>
                <w:color w:val="auto"/>
                <w:kern w:val="0"/>
                <w:szCs w:val="21"/>
                <w:highlight w:val="none"/>
              </w:rPr>
              <w:t>200≤M＜1000</w:t>
            </w:r>
          </w:p>
        </w:tc>
        <w:tc>
          <w:tcPr>
            <w:tcW w:w="3122" w:type="dxa"/>
            <w:tcBorders>
              <w:top w:val="nil"/>
              <w:left w:val="nil"/>
              <w:bottom w:val="single" w:color="auto" w:sz="4" w:space="0"/>
              <w:right w:val="single" w:color="auto" w:sz="4" w:space="0"/>
            </w:tcBorders>
            <w:vAlign w:val="center"/>
          </w:tcPr>
          <w:p w14:paraId="76B63241">
            <w:pPr>
              <w:widowControl/>
              <w:suppressAutoHyphens/>
              <w:spacing w:line="380" w:lineRule="exact"/>
              <w:jc w:val="center"/>
              <w:rPr>
                <w:rFonts w:ascii="宋体" w:hAnsi="宋体" w:eastAsia="宋体" w:cs="Times New Roman"/>
                <w:color w:val="auto"/>
                <w:kern w:val="0"/>
                <w:szCs w:val="21"/>
                <w:highlight w:val="none"/>
                <w:lang w:eastAsia="ar-SA"/>
              </w:rPr>
            </w:pPr>
            <w:r>
              <w:rPr>
                <w:rFonts w:ascii="宋体" w:hAnsi="宋体" w:eastAsia="宋体" w:cs="Times New Roman"/>
                <w:color w:val="auto"/>
                <w:kern w:val="0"/>
                <w:szCs w:val="21"/>
                <w:highlight w:val="none"/>
              </w:rPr>
              <w:t>1</w:t>
            </w:r>
          </w:p>
        </w:tc>
      </w:tr>
      <w:tr w14:paraId="7D396386">
        <w:tblPrEx>
          <w:tblCellMar>
            <w:top w:w="0" w:type="dxa"/>
            <w:left w:w="108" w:type="dxa"/>
            <w:bottom w:w="0" w:type="dxa"/>
            <w:right w:w="108" w:type="dxa"/>
          </w:tblCellMar>
        </w:tblPrEx>
        <w:trPr>
          <w:trHeight w:val="499" w:hRule="atLeast"/>
          <w:jc w:val="center"/>
        </w:trPr>
        <w:tc>
          <w:tcPr>
            <w:tcW w:w="4357" w:type="dxa"/>
            <w:tcBorders>
              <w:top w:val="nil"/>
              <w:left w:val="single" w:color="auto" w:sz="4" w:space="0"/>
              <w:bottom w:val="single" w:color="auto" w:sz="4" w:space="0"/>
              <w:right w:val="single" w:color="auto" w:sz="4" w:space="0"/>
            </w:tcBorders>
            <w:vAlign w:val="center"/>
          </w:tcPr>
          <w:p w14:paraId="10206D3A">
            <w:pPr>
              <w:widowControl/>
              <w:suppressAutoHyphens/>
              <w:spacing w:line="380" w:lineRule="exact"/>
              <w:jc w:val="center"/>
              <w:rPr>
                <w:rFonts w:ascii="宋体" w:hAnsi="宋体" w:eastAsia="宋体" w:cs="Times New Roman"/>
                <w:color w:val="auto"/>
                <w:kern w:val="0"/>
                <w:szCs w:val="21"/>
                <w:highlight w:val="none"/>
                <w:lang w:eastAsia="ar-SA"/>
              </w:rPr>
            </w:pPr>
            <w:r>
              <w:rPr>
                <w:rFonts w:ascii="宋体" w:hAnsi="宋体" w:eastAsia="宋体" w:cs="Times New Roman"/>
                <w:color w:val="auto"/>
                <w:kern w:val="0"/>
                <w:szCs w:val="21"/>
                <w:highlight w:val="none"/>
              </w:rPr>
              <w:t>1000≤M＜5000</w:t>
            </w:r>
          </w:p>
        </w:tc>
        <w:tc>
          <w:tcPr>
            <w:tcW w:w="3122" w:type="dxa"/>
            <w:tcBorders>
              <w:top w:val="nil"/>
              <w:left w:val="nil"/>
              <w:bottom w:val="single" w:color="auto" w:sz="4" w:space="0"/>
              <w:right w:val="single" w:color="auto" w:sz="4" w:space="0"/>
            </w:tcBorders>
            <w:vAlign w:val="center"/>
          </w:tcPr>
          <w:p w14:paraId="76AD8180">
            <w:pPr>
              <w:widowControl/>
              <w:suppressAutoHyphens/>
              <w:spacing w:line="380" w:lineRule="exact"/>
              <w:jc w:val="center"/>
              <w:rPr>
                <w:rFonts w:ascii="宋体" w:hAnsi="宋体" w:eastAsia="宋体" w:cs="Times New Roman"/>
                <w:color w:val="auto"/>
                <w:kern w:val="0"/>
                <w:szCs w:val="21"/>
                <w:highlight w:val="none"/>
                <w:lang w:eastAsia="ar-SA"/>
              </w:rPr>
            </w:pPr>
            <w:r>
              <w:rPr>
                <w:rFonts w:ascii="宋体" w:hAnsi="宋体" w:eastAsia="宋体" w:cs="Times New Roman"/>
                <w:color w:val="auto"/>
                <w:kern w:val="0"/>
                <w:szCs w:val="21"/>
                <w:highlight w:val="none"/>
              </w:rPr>
              <w:t>0.8</w:t>
            </w:r>
          </w:p>
        </w:tc>
      </w:tr>
      <w:tr w14:paraId="50EF6C68">
        <w:tblPrEx>
          <w:tblCellMar>
            <w:top w:w="0" w:type="dxa"/>
            <w:left w:w="108" w:type="dxa"/>
            <w:bottom w:w="0" w:type="dxa"/>
            <w:right w:w="108" w:type="dxa"/>
          </w:tblCellMar>
        </w:tblPrEx>
        <w:trPr>
          <w:trHeight w:val="499" w:hRule="atLeast"/>
          <w:jc w:val="center"/>
        </w:trPr>
        <w:tc>
          <w:tcPr>
            <w:tcW w:w="4357" w:type="dxa"/>
            <w:tcBorders>
              <w:top w:val="nil"/>
              <w:left w:val="single" w:color="auto" w:sz="4" w:space="0"/>
              <w:bottom w:val="single" w:color="auto" w:sz="4" w:space="0"/>
              <w:right w:val="single" w:color="auto" w:sz="4" w:space="0"/>
            </w:tcBorders>
            <w:vAlign w:val="center"/>
          </w:tcPr>
          <w:p w14:paraId="43E4E07D">
            <w:pPr>
              <w:widowControl/>
              <w:suppressAutoHyphens/>
              <w:spacing w:line="380" w:lineRule="exact"/>
              <w:jc w:val="center"/>
              <w:rPr>
                <w:rFonts w:ascii="宋体" w:hAnsi="宋体" w:eastAsia="宋体" w:cs="Times New Roman"/>
                <w:color w:val="auto"/>
                <w:kern w:val="0"/>
                <w:szCs w:val="21"/>
                <w:highlight w:val="none"/>
                <w:lang w:eastAsia="ar-SA"/>
              </w:rPr>
            </w:pPr>
            <w:r>
              <w:rPr>
                <w:rFonts w:ascii="宋体" w:hAnsi="宋体" w:eastAsia="宋体" w:cs="Times New Roman"/>
                <w:color w:val="auto"/>
                <w:kern w:val="0"/>
                <w:szCs w:val="21"/>
                <w:highlight w:val="none"/>
              </w:rPr>
              <w:t>5000≤M＜10000</w:t>
            </w:r>
          </w:p>
        </w:tc>
        <w:tc>
          <w:tcPr>
            <w:tcW w:w="3122" w:type="dxa"/>
            <w:tcBorders>
              <w:top w:val="nil"/>
              <w:left w:val="nil"/>
              <w:bottom w:val="single" w:color="auto" w:sz="4" w:space="0"/>
              <w:right w:val="single" w:color="auto" w:sz="4" w:space="0"/>
            </w:tcBorders>
            <w:vAlign w:val="center"/>
          </w:tcPr>
          <w:p w14:paraId="2E40FF65">
            <w:pPr>
              <w:widowControl/>
              <w:suppressAutoHyphens/>
              <w:spacing w:line="380" w:lineRule="exact"/>
              <w:jc w:val="center"/>
              <w:rPr>
                <w:rFonts w:ascii="宋体" w:hAnsi="宋体" w:eastAsia="宋体" w:cs="Times New Roman"/>
                <w:color w:val="auto"/>
                <w:kern w:val="0"/>
                <w:szCs w:val="21"/>
                <w:highlight w:val="none"/>
                <w:lang w:eastAsia="ar-SA"/>
              </w:rPr>
            </w:pPr>
            <w:r>
              <w:rPr>
                <w:rFonts w:ascii="宋体" w:hAnsi="宋体" w:eastAsia="宋体" w:cs="Times New Roman"/>
                <w:color w:val="auto"/>
                <w:kern w:val="0"/>
                <w:szCs w:val="21"/>
                <w:highlight w:val="none"/>
              </w:rPr>
              <w:t>0.7</w:t>
            </w:r>
          </w:p>
        </w:tc>
      </w:tr>
      <w:tr w14:paraId="7865A42D">
        <w:tblPrEx>
          <w:tblCellMar>
            <w:top w:w="0" w:type="dxa"/>
            <w:left w:w="108" w:type="dxa"/>
            <w:bottom w:w="0" w:type="dxa"/>
            <w:right w:w="108" w:type="dxa"/>
          </w:tblCellMar>
        </w:tblPrEx>
        <w:trPr>
          <w:trHeight w:val="499" w:hRule="atLeast"/>
          <w:jc w:val="center"/>
        </w:trPr>
        <w:tc>
          <w:tcPr>
            <w:tcW w:w="4357" w:type="dxa"/>
            <w:tcBorders>
              <w:top w:val="nil"/>
              <w:left w:val="single" w:color="auto" w:sz="4" w:space="0"/>
              <w:bottom w:val="single" w:color="auto" w:sz="4" w:space="0"/>
              <w:right w:val="single" w:color="auto" w:sz="4" w:space="0"/>
            </w:tcBorders>
            <w:vAlign w:val="center"/>
          </w:tcPr>
          <w:p w14:paraId="4D3CDBC4">
            <w:pPr>
              <w:widowControl/>
              <w:suppressAutoHyphens/>
              <w:spacing w:line="380" w:lineRule="exact"/>
              <w:jc w:val="center"/>
              <w:rPr>
                <w:rFonts w:ascii="宋体" w:hAnsi="宋体" w:eastAsia="宋体" w:cs="Times New Roman"/>
                <w:color w:val="auto"/>
                <w:kern w:val="0"/>
                <w:szCs w:val="21"/>
                <w:highlight w:val="none"/>
                <w:lang w:eastAsia="ar-SA"/>
              </w:rPr>
            </w:pPr>
            <w:r>
              <w:rPr>
                <w:rFonts w:ascii="宋体" w:hAnsi="宋体" w:eastAsia="宋体" w:cs="Times New Roman"/>
                <w:color w:val="auto"/>
                <w:kern w:val="0"/>
                <w:szCs w:val="21"/>
                <w:highlight w:val="none"/>
              </w:rPr>
              <w:t>10000≤M＜20000</w:t>
            </w:r>
          </w:p>
        </w:tc>
        <w:tc>
          <w:tcPr>
            <w:tcW w:w="3122" w:type="dxa"/>
            <w:tcBorders>
              <w:top w:val="nil"/>
              <w:left w:val="nil"/>
              <w:bottom w:val="single" w:color="auto" w:sz="4" w:space="0"/>
              <w:right w:val="single" w:color="auto" w:sz="4" w:space="0"/>
            </w:tcBorders>
            <w:vAlign w:val="center"/>
          </w:tcPr>
          <w:p w14:paraId="3A550753">
            <w:pPr>
              <w:widowControl/>
              <w:suppressAutoHyphens/>
              <w:spacing w:line="380" w:lineRule="exact"/>
              <w:jc w:val="center"/>
              <w:rPr>
                <w:rFonts w:ascii="宋体" w:hAnsi="宋体" w:eastAsia="宋体" w:cs="Times New Roman"/>
                <w:color w:val="auto"/>
                <w:kern w:val="0"/>
                <w:szCs w:val="21"/>
                <w:highlight w:val="none"/>
                <w:lang w:eastAsia="ar-SA"/>
              </w:rPr>
            </w:pPr>
            <w:r>
              <w:rPr>
                <w:rFonts w:ascii="宋体" w:hAnsi="宋体" w:eastAsia="宋体" w:cs="Times New Roman"/>
                <w:color w:val="auto"/>
                <w:kern w:val="0"/>
                <w:szCs w:val="21"/>
                <w:highlight w:val="none"/>
              </w:rPr>
              <w:t>0.55</w:t>
            </w:r>
          </w:p>
        </w:tc>
      </w:tr>
      <w:tr w14:paraId="6B65A96A">
        <w:tblPrEx>
          <w:tblCellMar>
            <w:top w:w="0" w:type="dxa"/>
            <w:left w:w="108" w:type="dxa"/>
            <w:bottom w:w="0" w:type="dxa"/>
            <w:right w:w="108" w:type="dxa"/>
          </w:tblCellMar>
        </w:tblPrEx>
        <w:trPr>
          <w:trHeight w:val="499" w:hRule="atLeast"/>
          <w:jc w:val="center"/>
        </w:trPr>
        <w:tc>
          <w:tcPr>
            <w:tcW w:w="4357" w:type="dxa"/>
            <w:tcBorders>
              <w:top w:val="nil"/>
              <w:left w:val="single" w:color="auto" w:sz="4" w:space="0"/>
              <w:bottom w:val="single" w:color="auto" w:sz="4" w:space="0"/>
              <w:right w:val="single" w:color="auto" w:sz="4" w:space="0"/>
            </w:tcBorders>
            <w:vAlign w:val="center"/>
          </w:tcPr>
          <w:p w14:paraId="025BD905">
            <w:pPr>
              <w:widowControl/>
              <w:suppressAutoHyphens/>
              <w:spacing w:line="380" w:lineRule="exact"/>
              <w:jc w:val="center"/>
              <w:rPr>
                <w:rFonts w:ascii="宋体" w:hAnsi="宋体" w:eastAsia="宋体" w:cs="Times New Roman"/>
                <w:color w:val="auto"/>
                <w:kern w:val="0"/>
                <w:szCs w:val="21"/>
                <w:highlight w:val="none"/>
                <w:lang w:eastAsia="ar-SA"/>
              </w:rPr>
            </w:pPr>
            <w:r>
              <w:rPr>
                <w:rFonts w:ascii="宋体" w:hAnsi="宋体" w:eastAsia="宋体" w:cs="Times New Roman"/>
                <w:color w:val="auto"/>
                <w:kern w:val="0"/>
                <w:szCs w:val="21"/>
                <w:highlight w:val="none"/>
              </w:rPr>
              <w:t>20000≤M＜40000</w:t>
            </w:r>
          </w:p>
        </w:tc>
        <w:tc>
          <w:tcPr>
            <w:tcW w:w="3122" w:type="dxa"/>
            <w:tcBorders>
              <w:top w:val="nil"/>
              <w:left w:val="nil"/>
              <w:bottom w:val="single" w:color="auto" w:sz="4" w:space="0"/>
              <w:right w:val="single" w:color="auto" w:sz="4" w:space="0"/>
            </w:tcBorders>
            <w:vAlign w:val="center"/>
          </w:tcPr>
          <w:p w14:paraId="61B93ABE">
            <w:pPr>
              <w:widowControl/>
              <w:suppressAutoHyphens/>
              <w:spacing w:line="380" w:lineRule="exact"/>
              <w:jc w:val="center"/>
              <w:rPr>
                <w:rFonts w:ascii="宋体" w:hAnsi="宋体" w:eastAsia="宋体" w:cs="Times New Roman"/>
                <w:color w:val="auto"/>
                <w:kern w:val="0"/>
                <w:szCs w:val="21"/>
                <w:highlight w:val="none"/>
                <w:lang w:eastAsia="ar-SA"/>
              </w:rPr>
            </w:pPr>
            <w:r>
              <w:rPr>
                <w:rFonts w:ascii="宋体" w:hAnsi="宋体" w:eastAsia="宋体" w:cs="Times New Roman"/>
                <w:color w:val="auto"/>
                <w:kern w:val="0"/>
                <w:szCs w:val="21"/>
                <w:highlight w:val="none"/>
              </w:rPr>
              <w:t>0.45</w:t>
            </w:r>
          </w:p>
        </w:tc>
      </w:tr>
      <w:tr w14:paraId="30AC0758">
        <w:tblPrEx>
          <w:tblCellMar>
            <w:top w:w="0" w:type="dxa"/>
            <w:left w:w="108" w:type="dxa"/>
            <w:bottom w:w="0" w:type="dxa"/>
            <w:right w:w="108" w:type="dxa"/>
          </w:tblCellMar>
        </w:tblPrEx>
        <w:trPr>
          <w:trHeight w:val="499" w:hRule="atLeast"/>
          <w:jc w:val="center"/>
        </w:trPr>
        <w:tc>
          <w:tcPr>
            <w:tcW w:w="4357" w:type="dxa"/>
            <w:tcBorders>
              <w:top w:val="nil"/>
              <w:left w:val="single" w:color="auto" w:sz="4" w:space="0"/>
              <w:bottom w:val="single" w:color="auto" w:sz="4" w:space="0"/>
              <w:right w:val="single" w:color="auto" w:sz="4" w:space="0"/>
            </w:tcBorders>
            <w:vAlign w:val="center"/>
          </w:tcPr>
          <w:p w14:paraId="273B02ED">
            <w:pPr>
              <w:widowControl/>
              <w:suppressAutoHyphens/>
              <w:spacing w:line="380" w:lineRule="exact"/>
              <w:jc w:val="center"/>
              <w:rPr>
                <w:rFonts w:ascii="宋体" w:hAnsi="宋体" w:eastAsia="宋体" w:cs="Times New Roman"/>
                <w:color w:val="auto"/>
                <w:kern w:val="0"/>
                <w:szCs w:val="21"/>
                <w:highlight w:val="none"/>
                <w:lang w:eastAsia="ar-SA"/>
              </w:rPr>
            </w:pPr>
            <w:r>
              <w:rPr>
                <w:rFonts w:ascii="宋体" w:hAnsi="宋体" w:eastAsia="宋体" w:cs="Times New Roman"/>
                <w:color w:val="auto"/>
                <w:kern w:val="0"/>
                <w:szCs w:val="21"/>
                <w:highlight w:val="none"/>
              </w:rPr>
              <w:t>40000≤M＜60000</w:t>
            </w:r>
          </w:p>
        </w:tc>
        <w:tc>
          <w:tcPr>
            <w:tcW w:w="3122" w:type="dxa"/>
            <w:tcBorders>
              <w:top w:val="nil"/>
              <w:left w:val="nil"/>
              <w:bottom w:val="single" w:color="auto" w:sz="4" w:space="0"/>
              <w:right w:val="single" w:color="auto" w:sz="4" w:space="0"/>
            </w:tcBorders>
            <w:vAlign w:val="center"/>
          </w:tcPr>
          <w:p w14:paraId="77A20776">
            <w:pPr>
              <w:widowControl/>
              <w:suppressAutoHyphens/>
              <w:spacing w:line="380" w:lineRule="exact"/>
              <w:jc w:val="center"/>
              <w:rPr>
                <w:rFonts w:ascii="宋体" w:hAnsi="宋体" w:eastAsia="宋体" w:cs="Times New Roman"/>
                <w:color w:val="auto"/>
                <w:kern w:val="0"/>
                <w:szCs w:val="21"/>
                <w:highlight w:val="none"/>
                <w:lang w:eastAsia="ar-SA"/>
              </w:rPr>
            </w:pPr>
            <w:r>
              <w:rPr>
                <w:rFonts w:ascii="宋体" w:hAnsi="宋体" w:eastAsia="宋体" w:cs="Times New Roman"/>
                <w:color w:val="auto"/>
                <w:kern w:val="0"/>
                <w:szCs w:val="21"/>
                <w:highlight w:val="none"/>
              </w:rPr>
              <w:t>0.35</w:t>
            </w:r>
          </w:p>
        </w:tc>
      </w:tr>
      <w:tr w14:paraId="0FC1CDB4">
        <w:tblPrEx>
          <w:tblCellMar>
            <w:top w:w="0" w:type="dxa"/>
            <w:left w:w="108" w:type="dxa"/>
            <w:bottom w:w="0" w:type="dxa"/>
            <w:right w:w="108" w:type="dxa"/>
          </w:tblCellMar>
        </w:tblPrEx>
        <w:trPr>
          <w:trHeight w:val="499" w:hRule="atLeast"/>
          <w:jc w:val="center"/>
        </w:trPr>
        <w:tc>
          <w:tcPr>
            <w:tcW w:w="4357" w:type="dxa"/>
            <w:tcBorders>
              <w:top w:val="nil"/>
              <w:left w:val="single" w:color="auto" w:sz="4" w:space="0"/>
              <w:bottom w:val="single" w:color="auto" w:sz="4" w:space="0"/>
              <w:right w:val="single" w:color="auto" w:sz="4" w:space="0"/>
            </w:tcBorders>
            <w:vAlign w:val="center"/>
          </w:tcPr>
          <w:p w14:paraId="05FEF264">
            <w:pPr>
              <w:widowControl/>
              <w:suppressAutoHyphens/>
              <w:spacing w:line="380" w:lineRule="exact"/>
              <w:jc w:val="center"/>
              <w:rPr>
                <w:rFonts w:ascii="宋体" w:hAnsi="宋体" w:eastAsia="宋体" w:cs="Times New Roman"/>
                <w:color w:val="auto"/>
                <w:kern w:val="0"/>
                <w:szCs w:val="21"/>
                <w:highlight w:val="none"/>
                <w:lang w:eastAsia="ar-SA"/>
              </w:rPr>
            </w:pPr>
            <w:r>
              <w:rPr>
                <w:rFonts w:ascii="宋体" w:hAnsi="宋体" w:eastAsia="宋体" w:cs="Times New Roman"/>
                <w:color w:val="auto"/>
                <w:kern w:val="0"/>
                <w:szCs w:val="21"/>
                <w:highlight w:val="none"/>
              </w:rPr>
              <w:t>60000≤M＜80000</w:t>
            </w:r>
          </w:p>
        </w:tc>
        <w:tc>
          <w:tcPr>
            <w:tcW w:w="3122" w:type="dxa"/>
            <w:tcBorders>
              <w:top w:val="nil"/>
              <w:left w:val="nil"/>
              <w:bottom w:val="single" w:color="auto" w:sz="4" w:space="0"/>
              <w:right w:val="single" w:color="auto" w:sz="4" w:space="0"/>
            </w:tcBorders>
            <w:vAlign w:val="center"/>
          </w:tcPr>
          <w:p w14:paraId="092FF072">
            <w:pPr>
              <w:widowControl/>
              <w:suppressAutoHyphens/>
              <w:spacing w:line="380" w:lineRule="exact"/>
              <w:jc w:val="center"/>
              <w:rPr>
                <w:rFonts w:ascii="宋体" w:hAnsi="宋体" w:eastAsia="宋体" w:cs="Times New Roman"/>
                <w:color w:val="auto"/>
                <w:kern w:val="0"/>
                <w:szCs w:val="21"/>
                <w:highlight w:val="none"/>
                <w:lang w:eastAsia="ar-SA"/>
              </w:rPr>
            </w:pPr>
            <w:r>
              <w:rPr>
                <w:rFonts w:ascii="宋体" w:hAnsi="宋体" w:eastAsia="宋体" w:cs="Times New Roman"/>
                <w:color w:val="auto"/>
                <w:kern w:val="0"/>
                <w:szCs w:val="21"/>
                <w:highlight w:val="none"/>
              </w:rPr>
              <w:t>0.3</w:t>
            </w:r>
          </w:p>
        </w:tc>
      </w:tr>
      <w:tr w14:paraId="0F8057CD">
        <w:tblPrEx>
          <w:tblCellMar>
            <w:top w:w="0" w:type="dxa"/>
            <w:left w:w="108" w:type="dxa"/>
            <w:bottom w:w="0" w:type="dxa"/>
            <w:right w:w="108" w:type="dxa"/>
          </w:tblCellMar>
        </w:tblPrEx>
        <w:trPr>
          <w:trHeight w:val="499" w:hRule="atLeast"/>
          <w:jc w:val="center"/>
        </w:trPr>
        <w:tc>
          <w:tcPr>
            <w:tcW w:w="4357" w:type="dxa"/>
            <w:tcBorders>
              <w:top w:val="single" w:color="auto" w:sz="4" w:space="0"/>
              <w:left w:val="single" w:color="auto" w:sz="4" w:space="0"/>
              <w:bottom w:val="single" w:color="auto" w:sz="4" w:space="0"/>
              <w:right w:val="single" w:color="auto" w:sz="4" w:space="0"/>
            </w:tcBorders>
            <w:vAlign w:val="center"/>
          </w:tcPr>
          <w:p w14:paraId="4E6C2DA6">
            <w:pPr>
              <w:widowControl/>
              <w:suppressAutoHyphens/>
              <w:spacing w:line="380" w:lineRule="exact"/>
              <w:jc w:val="center"/>
              <w:rPr>
                <w:rFonts w:ascii="宋体" w:hAnsi="宋体" w:eastAsia="宋体" w:cs="Times New Roman"/>
                <w:color w:val="auto"/>
                <w:kern w:val="0"/>
                <w:szCs w:val="21"/>
                <w:highlight w:val="none"/>
                <w:lang w:eastAsia="ar-SA"/>
              </w:rPr>
            </w:pPr>
            <w:r>
              <w:rPr>
                <w:rFonts w:ascii="宋体" w:hAnsi="宋体" w:eastAsia="宋体" w:cs="Times New Roman"/>
                <w:color w:val="auto"/>
                <w:kern w:val="0"/>
                <w:szCs w:val="21"/>
                <w:highlight w:val="none"/>
              </w:rPr>
              <w:t>80000≤M＜100000</w:t>
            </w:r>
          </w:p>
        </w:tc>
        <w:tc>
          <w:tcPr>
            <w:tcW w:w="3122" w:type="dxa"/>
            <w:tcBorders>
              <w:top w:val="single" w:color="auto" w:sz="4" w:space="0"/>
              <w:left w:val="nil"/>
              <w:bottom w:val="single" w:color="auto" w:sz="4" w:space="0"/>
              <w:right w:val="single" w:color="auto" w:sz="4" w:space="0"/>
            </w:tcBorders>
            <w:vAlign w:val="center"/>
          </w:tcPr>
          <w:p w14:paraId="6AB300E3">
            <w:pPr>
              <w:widowControl/>
              <w:suppressAutoHyphens/>
              <w:spacing w:line="380" w:lineRule="exact"/>
              <w:jc w:val="center"/>
              <w:rPr>
                <w:rFonts w:ascii="宋体" w:hAnsi="宋体" w:eastAsia="宋体" w:cs="Times New Roman"/>
                <w:color w:val="auto"/>
                <w:kern w:val="0"/>
                <w:szCs w:val="21"/>
                <w:highlight w:val="none"/>
                <w:lang w:eastAsia="ar-SA"/>
              </w:rPr>
            </w:pPr>
            <w:r>
              <w:rPr>
                <w:rFonts w:ascii="宋体" w:hAnsi="宋体" w:eastAsia="宋体" w:cs="Times New Roman"/>
                <w:color w:val="auto"/>
                <w:kern w:val="0"/>
                <w:szCs w:val="21"/>
                <w:highlight w:val="none"/>
              </w:rPr>
              <w:t>0.25</w:t>
            </w:r>
          </w:p>
        </w:tc>
      </w:tr>
      <w:tr w14:paraId="2319262B">
        <w:tblPrEx>
          <w:tblCellMar>
            <w:top w:w="0" w:type="dxa"/>
            <w:left w:w="108" w:type="dxa"/>
            <w:bottom w:w="0" w:type="dxa"/>
            <w:right w:w="108" w:type="dxa"/>
          </w:tblCellMar>
        </w:tblPrEx>
        <w:trPr>
          <w:trHeight w:val="499" w:hRule="atLeast"/>
          <w:jc w:val="center"/>
        </w:trPr>
        <w:tc>
          <w:tcPr>
            <w:tcW w:w="4357" w:type="dxa"/>
            <w:tcBorders>
              <w:top w:val="single" w:color="auto" w:sz="4" w:space="0"/>
              <w:left w:val="single" w:color="auto" w:sz="4" w:space="0"/>
              <w:bottom w:val="single" w:color="auto" w:sz="4" w:space="0"/>
              <w:right w:val="single" w:color="auto" w:sz="4" w:space="0"/>
            </w:tcBorders>
            <w:vAlign w:val="center"/>
          </w:tcPr>
          <w:p w14:paraId="7B2534F8">
            <w:pPr>
              <w:widowControl/>
              <w:suppressAutoHyphens/>
              <w:spacing w:line="380" w:lineRule="exact"/>
              <w:jc w:val="center"/>
              <w:rPr>
                <w:rFonts w:ascii="宋体" w:hAnsi="宋体" w:eastAsia="宋体" w:cs="Times New Roman"/>
                <w:color w:val="auto"/>
                <w:kern w:val="0"/>
                <w:szCs w:val="21"/>
                <w:highlight w:val="none"/>
                <w:lang w:eastAsia="ar-SA"/>
              </w:rPr>
            </w:pPr>
            <w:r>
              <w:rPr>
                <w:rFonts w:ascii="宋体" w:hAnsi="宋体" w:eastAsia="宋体" w:cs="Times New Roman"/>
                <w:color w:val="auto"/>
                <w:kern w:val="0"/>
                <w:szCs w:val="21"/>
                <w:highlight w:val="none"/>
              </w:rPr>
              <w:t>100000≤M＜200000</w:t>
            </w:r>
          </w:p>
        </w:tc>
        <w:tc>
          <w:tcPr>
            <w:tcW w:w="3122" w:type="dxa"/>
            <w:tcBorders>
              <w:top w:val="single" w:color="auto" w:sz="4" w:space="0"/>
              <w:left w:val="nil"/>
              <w:bottom w:val="single" w:color="auto" w:sz="4" w:space="0"/>
              <w:right w:val="single" w:color="auto" w:sz="4" w:space="0"/>
            </w:tcBorders>
            <w:vAlign w:val="center"/>
          </w:tcPr>
          <w:p w14:paraId="1A08651D">
            <w:pPr>
              <w:widowControl/>
              <w:suppressAutoHyphens/>
              <w:spacing w:line="380" w:lineRule="exact"/>
              <w:jc w:val="center"/>
              <w:rPr>
                <w:rFonts w:ascii="宋体" w:hAnsi="宋体" w:eastAsia="宋体" w:cs="Times New Roman"/>
                <w:color w:val="auto"/>
                <w:kern w:val="0"/>
                <w:szCs w:val="21"/>
                <w:highlight w:val="none"/>
                <w:lang w:eastAsia="ar-SA"/>
              </w:rPr>
            </w:pPr>
            <w:r>
              <w:rPr>
                <w:rFonts w:ascii="宋体" w:hAnsi="宋体" w:eastAsia="宋体" w:cs="Times New Roman"/>
                <w:color w:val="auto"/>
                <w:kern w:val="0"/>
                <w:szCs w:val="21"/>
                <w:highlight w:val="none"/>
              </w:rPr>
              <w:t>0.2</w:t>
            </w:r>
          </w:p>
        </w:tc>
      </w:tr>
      <w:tr w14:paraId="5BDF36CE">
        <w:tblPrEx>
          <w:tblCellMar>
            <w:top w:w="0" w:type="dxa"/>
            <w:left w:w="108" w:type="dxa"/>
            <w:bottom w:w="0" w:type="dxa"/>
            <w:right w:w="108" w:type="dxa"/>
          </w:tblCellMar>
        </w:tblPrEx>
        <w:trPr>
          <w:trHeight w:val="499" w:hRule="atLeast"/>
          <w:jc w:val="center"/>
        </w:trPr>
        <w:tc>
          <w:tcPr>
            <w:tcW w:w="4357" w:type="dxa"/>
            <w:tcBorders>
              <w:top w:val="single" w:color="auto" w:sz="4" w:space="0"/>
              <w:left w:val="single" w:color="auto" w:sz="4" w:space="0"/>
              <w:bottom w:val="single" w:color="auto" w:sz="4" w:space="0"/>
              <w:right w:val="single" w:color="auto" w:sz="4" w:space="0"/>
            </w:tcBorders>
            <w:vAlign w:val="center"/>
          </w:tcPr>
          <w:p w14:paraId="29F9BF1E">
            <w:pPr>
              <w:widowControl/>
              <w:suppressAutoHyphens/>
              <w:spacing w:line="380" w:lineRule="exact"/>
              <w:jc w:val="center"/>
              <w:rPr>
                <w:rFonts w:ascii="宋体" w:hAnsi="宋体" w:eastAsia="宋体" w:cs="Times New Roman"/>
                <w:color w:val="auto"/>
                <w:kern w:val="0"/>
                <w:szCs w:val="21"/>
                <w:highlight w:val="none"/>
                <w:lang w:eastAsia="ar-SA"/>
              </w:rPr>
            </w:pPr>
            <w:r>
              <w:rPr>
                <w:rFonts w:ascii="宋体" w:hAnsi="宋体" w:eastAsia="宋体" w:cs="Times New Roman"/>
                <w:color w:val="auto"/>
                <w:kern w:val="0"/>
                <w:szCs w:val="21"/>
                <w:highlight w:val="none"/>
              </w:rPr>
              <w:t>200000≤M＜300000</w:t>
            </w:r>
          </w:p>
        </w:tc>
        <w:tc>
          <w:tcPr>
            <w:tcW w:w="3122" w:type="dxa"/>
            <w:tcBorders>
              <w:top w:val="single" w:color="auto" w:sz="4" w:space="0"/>
              <w:left w:val="nil"/>
              <w:bottom w:val="single" w:color="auto" w:sz="4" w:space="0"/>
              <w:right w:val="single" w:color="auto" w:sz="4" w:space="0"/>
            </w:tcBorders>
            <w:vAlign w:val="center"/>
          </w:tcPr>
          <w:p w14:paraId="35C11BEB">
            <w:pPr>
              <w:widowControl/>
              <w:suppressAutoHyphens/>
              <w:spacing w:line="380" w:lineRule="exact"/>
              <w:jc w:val="center"/>
              <w:rPr>
                <w:rFonts w:ascii="宋体" w:hAnsi="宋体" w:eastAsia="宋体" w:cs="Times New Roman"/>
                <w:color w:val="auto"/>
                <w:kern w:val="0"/>
                <w:szCs w:val="21"/>
                <w:highlight w:val="none"/>
                <w:lang w:eastAsia="ar-SA"/>
              </w:rPr>
            </w:pPr>
            <w:r>
              <w:rPr>
                <w:rFonts w:ascii="宋体" w:hAnsi="宋体" w:eastAsia="宋体" w:cs="Times New Roman"/>
                <w:color w:val="auto"/>
                <w:kern w:val="0"/>
                <w:szCs w:val="21"/>
                <w:highlight w:val="none"/>
              </w:rPr>
              <w:t>0.15</w:t>
            </w:r>
          </w:p>
        </w:tc>
      </w:tr>
      <w:tr w14:paraId="54FC7404">
        <w:tblPrEx>
          <w:tblCellMar>
            <w:top w:w="0" w:type="dxa"/>
            <w:left w:w="108" w:type="dxa"/>
            <w:bottom w:w="0" w:type="dxa"/>
            <w:right w:w="108" w:type="dxa"/>
          </w:tblCellMar>
        </w:tblPrEx>
        <w:trPr>
          <w:trHeight w:val="499" w:hRule="atLeast"/>
          <w:jc w:val="center"/>
        </w:trPr>
        <w:tc>
          <w:tcPr>
            <w:tcW w:w="4357" w:type="dxa"/>
            <w:tcBorders>
              <w:top w:val="single" w:color="auto" w:sz="4" w:space="0"/>
              <w:left w:val="single" w:color="auto" w:sz="4" w:space="0"/>
              <w:bottom w:val="single" w:color="auto" w:sz="4" w:space="0"/>
              <w:right w:val="single" w:color="auto" w:sz="4" w:space="0"/>
            </w:tcBorders>
            <w:vAlign w:val="center"/>
          </w:tcPr>
          <w:p w14:paraId="23995336">
            <w:pPr>
              <w:widowControl/>
              <w:suppressAutoHyphens/>
              <w:spacing w:line="380" w:lineRule="exact"/>
              <w:jc w:val="center"/>
              <w:rPr>
                <w:rFonts w:ascii="宋体" w:hAnsi="宋体" w:eastAsia="宋体" w:cs="Times New Roman"/>
                <w:color w:val="auto"/>
                <w:kern w:val="0"/>
                <w:szCs w:val="21"/>
                <w:highlight w:val="none"/>
                <w:lang w:eastAsia="ar-SA"/>
              </w:rPr>
            </w:pPr>
            <w:r>
              <w:rPr>
                <w:rFonts w:ascii="宋体" w:hAnsi="宋体" w:eastAsia="宋体" w:cs="Times New Roman"/>
                <w:color w:val="auto"/>
                <w:kern w:val="0"/>
                <w:szCs w:val="21"/>
                <w:highlight w:val="none"/>
              </w:rPr>
              <w:t>300000≤M＜400000</w:t>
            </w:r>
          </w:p>
        </w:tc>
        <w:tc>
          <w:tcPr>
            <w:tcW w:w="3122" w:type="dxa"/>
            <w:tcBorders>
              <w:top w:val="single" w:color="auto" w:sz="4" w:space="0"/>
              <w:left w:val="nil"/>
              <w:bottom w:val="single" w:color="auto" w:sz="4" w:space="0"/>
              <w:right w:val="single" w:color="auto" w:sz="4" w:space="0"/>
            </w:tcBorders>
            <w:vAlign w:val="center"/>
          </w:tcPr>
          <w:p w14:paraId="13D0F866">
            <w:pPr>
              <w:widowControl/>
              <w:suppressAutoHyphens/>
              <w:spacing w:line="380" w:lineRule="exact"/>
              <w:jc w:val="center"/>
              <w:rPr>
                <w:rFonts w:ascii="宋体" w:hAnsi="宋体" w:eastAsia="宋体" w:cs="Times New Roman"/>
                <w:color w:val="auto"/>
                <w:kern w:val="0"/>
                <w:szCs w:val="21"/>
                <w:highlight w:val="none"/>
                <w:lang w:eastAsia="ar-SA"/>
              </w:rPr>
            </w:pPr>
            <w:r>
              <w:rPr>
                <w:rFonts w:ascii="宋体" w:hAnsi="宋体" w:eastAsia="宋体" w:cs="Times New Roman"/>
                <w:color w:val="auto"/>
                <w:kern w:val="0"/>
                <w:szCs w:val="21"/>
                <w:highlight w:val="none"/>
              </w:rPr>
              <w:t>0.12</w:t>
            </w:r>
          </w:p>
        </w:tc>
      </w:tr>
      <w:tr w14:paraId="21C52E48">
        <w:tblPrEx>
          <w:tblCellMar>
            <w:top w:w="0" w:type="dxa"/>
            <w:left w:w="108" w:type="dxa"/>
            <w:bottom w:w="0" w:type="dxa"/>
            <w:right w:w="108" w:type="dxa"/>
          </w:tblCellMar>
        </w:tblPrEx>
        <w:trPr>
          <w:trHeight w:val="499" w:hRule="atLeast"/>
          <w:jc w:val="center"/>
        </w:trPr>
        <w:tc>
          <w:tcPr>
            <w:tcW w:w="4357" w:type="dxa"/>
            <w:tcBorders>
              <w:top w:val="single" w:color="auto" w:sz="4" w:space="0"/>
              <w:left w:val="single" w:color="auto" w:sz="4" w:space="0"/>
              <w:bottom w:val="single" w:color="auto" w:sz="4" w:space="0"/>
              <w:right w:val="single" w:color="auto" w:sz="4" w:space="0"/>
            </w:tcBorders>
            <w:vAlign w:val="center"/>
          </w:tcPr>
          <w:p w14:paraId="40A65D70">
            <w:pPr>
              <w:widowControl/>
              <w:suppressAutoHyphens/>
              <w:spacing w:line="380" w:lineRule="exact"/>
              <w:jc w:val="center"/>
              <w:rPr>
                <w:rFonts w:ascii="宋体" w:hAnsi="宋体" w:eastAsia="宋体" w:cs="Times New Roman"/>
                <w:color w:val="auto"/>
                <w:kern w:val="0"/>
                <w:szCs w:val="21"/>
                <w:highlight w:val="none"/>
                <w:lang w:eastAsia="ar-SA"/>
              </w:rPr>
            </w:pPr>
            <w:r>
              <w:rPr>
                <w:rFonts w:ascii="宋体" w:hAnsi="宋体" w:eastAsia="宋体" w:cs="Times New Roman"/>
                <w:color w:val="auto"/>
                <w:kern w:val="0"/>
                <w:szCs w:val="21"/>
                <w:highlight w:val="none"/>
              </w:rPr>
              <w:t>400000≤M＜500000</w:t>
            </w:r>
          </w:p>
        </w:tc>
        <w:tc>
          <w:tcPr>
            <w:tcW w:w="3122" w:type="dxa"/>
            <w:tcBorders>
              <w:top w:val="single" w:color="auto" w:sz="4" w:space="0"/>
              <w:left w:val="nil"/>
              <w:bottom w:val="single" w:color="auto" w:sz="4" w:space="0"/>
              <w:right w:val="single" w:color="auto" w:sz="4" w:space="0"/>
            </w:tcBorders>
            <w:vAlign w:val="center"/>
          </w:tcPr>
          <w:p w14:paraId="4821B2E5">
            <w:pPr>
              <w:widowControl/>
              <w:suppressAutoHyphens/>
              <w:spacing w:line="380" w:lineRule="exact"/>
              <w:jc w:val="center"/>
              <w:rPr>
                <w:rFonts w:ascii="宋体" w:hAnsi="宋体" w:eastAsia="宋体" w:cs="Times New Roman"/>
                <w:color w:val="auto"/>
                <w:kern w:val="0"/>
                <w:szCs w:val="21"/>
                <w:highlight w:val="none"/>
                <w:lang w:eastAsia="ar-SA"/>
              </w:rPr>
            </w:pPr>
            <w:r>
              <w:rPr>
                <w:rFonts w:ascii="宋体" w:hAnsi="宋体" w:eastAsia="宋体" w:cs="Times New Roman"/>
                <w:color w:val="auto"/>
                <w:kern w:val="0"/>
                <w:szCs w:val="21"/>
                <w:highlight w:val="none"/>
              </w:rPr>
              <w:t>0.1</w:t>
            </w:r>
          </w:p>
        </w:tc>
      </w:tr>
      <w:tr w14:paraId="79E41106">
        <w:tblPrEx>
          <w:tblCellMar>
            <w:top w:w="0" w:type="dxa"/>
            <w:left w:w="108" w:type="dxa"/>
            <w:bottom w:w="0" w:type="dxa"/>
            <w:right w:w="108" w:type="dxa"/>
          </w:tblCellMar>
        </w:tblPrEx>
        <w:trPr>
          <w:trHeight w:val="499" w:hRule="atLeast"/>
          <w:jc w:val="center"/>
        </w:trPr>
        <w:tc>
          <w:tcPr>
            <w:tcW w:w="4357" w:type="dxa"/>
            <w:tcBorders>
              <w:top w:val="single" w:color="auto" w:sz="4" w:space="0"/>
              <w:left w:val="single" w:color="auto" w:sz="4" w:space="0"/>
              <w:bottom w:val="single" w:color="auto" w:sz="4" w:space="0"/>
              <w:right w:val="single" w:color="auto" w:sz="4" w:space="0"/>
            </w:tcBorders>
            <w:vAlign w:val="center"/>
          </w:tcPr>
          <w:p w14:paraId="1A3803EA">
            <w:pPr>
              <w:widowControl/>
              <w:suppressAutoHyphens/>
              <w:spacing w:line="380" w:lineRule="exact"/>
              <w:jc w:val="center"/>
              <w:rPr>
                <w:rFonts w:ascii="宋体" w:hAnsi="宋体" w:eastAsia="宋体" w:cs="Times New Roman"/>
                <w:color w:val="auto"/>
                <w:kern w:val="0"/>
                <w:szCs w:val="21"/>
                <w:highlight w:val="none"/>
                <w:lang w:eastAsia="ar-SA"/>
              </w:rPr>
            </w:pPr>
            <w:r>
              <w:rPr>
                <w:rFonts w:ascii="宋体" w:hAnsi="宋体" w:eastAsia="宋体" w:cs="Times New Roman"/>
                <w:color w:val="auto"/>
                <w:kern w:val="0"/>
                <w:szCs w:val="21"/>
                <w:highlight w:val="none"/>
              </w:rPr>
              <w:t>500000≤M</w:t>
            </w:r>
          </w:p>
        </w:tc>
        <w:tc>
          <w:tcPr>
            <w:tcW w:w="3122" w:type="dxa"/>
            <w:tcBorders>
              <w:top w:val="single" w:color="auto" w:sz="4" w:space="0"/>
              <w:left w:val="nil"/>
              <w:bottom w:val="single" w:color="auto" w:sz="4" w:space="0"/>
              <w:right w:val="single" w:color="auto" w:sz="4" w:space="0"/>
            </w:tcBorders>
            <w:vAlign w:val="center"/>
          </w:tcPr>
          <w:p w14:paraId="3B4D353B">
            <w:pPr>
              <w:widowControl/>
              <w:suppressAutoHyphens/>
              <w:spacing w:line="380" w:lineRule="exact"/>
              <w:jc w:val="center"/>
              <w:rPr>
                <w:rFonts w:ascii="宋体" w:hAnsi="宋体" w:eastAsia="宋体" w:cs="Times New Roman"/>
                <w:color w:val="auto"/>
                <w:kern w:val="0"/>
                <w:szCs w:val="21"/>
                <w:highlight w:val="none"/>
                <w:lang w:eastAsia="ar-SA"/>
              </w:rPr>
            </w:pPr>
            <w:r>
              <w:rPr>
                <w:rFonts w:ascii="宋体" w:hAnsi="宋体" w:eastAsia="宋体" w:cs="Times New Roman"/>
                <w:color w:val="auto"/>
                <w:kern w:val="0"/>
                <w:szCs w:val="21"/>
                <w:highlight w:val="none"/>
              </w:rPr>
              <w:t>0.08</w:t>
            </w:r>
          </w:p>
        </w:tc>
      </w:tr>
    </w:tbl>
    <w:p w14:paraId="6742B102">
      <w:pPr>
        <w:spacing w:line="380" w:lineRule="exact"/>
        <w:rPr>
          <w:rFonts w:ascii="宋体" w:hAnsi="宋体" w:eastAsia="宋体" w:cs="宋体"/>
          <w:color w:val="auto"/>
          <w:szCs w:val="21"/>
          <w:highlight w:val="none"/>
        </w:rPr>
      </w:pPr>
    </w:p>
    <w:p w14:paraId="0FB1BBC7">
      <w:pPr>
        <w:spacing w:after="120" w:line="360" w:lineRule="auto"/>
        <w:rPr>
          <w:rFonts w:ascii="Arial Unicode MS" w:hAnsi="Arial Unicode MS" w:eastAsia="Arial Unicode MS" w:cs="Arial Unicode MS"/>
          <w:color w:val="auto"/>
          <w:sz w:val="32"/>
          <w:szCs w:val="32"/>
          <w:highlight w:val="none"/>
        </w:rPr>
      </w:pPr>
      <w:r>
        <w:rPr>
          <w:rFonts w:hint="eastAsia" w:ascii="宋体" w:hAnsi="宋体" w:eastAsia="宋体" w:cs="宋体"/>
          <w:color w:val="auto"/>
          <w:szCs w:val="24"/>
          <w:highlight w:val="none"/>
        </w:rPr>
        <w:br w:type="page"/>
      </w: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w:t>
      </w:r>
    </w:p>
    <w:p w14:paraId="7F6AEFA5">
      <w:pPr>
        <w:spacing w:line="528" w:lineRule="exact"/>
        <w:ind w:left="1871"/>
        <w:rPr>
          <w:rFonts w:ascii="Arial Unicode MS" w:hAnsi="Arial Unicode MS" w:eastAsia="Arial Unicode MS" w:cs="Arial Unicode MS"/>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32"/>
        <w:tblW w:w="0" w:type="auto"/>
        <w:tblInd w:w="250" w:type="dxa"/>
        <w:tblLayout w:type="fixed"/>
        <w:tblCellMar>
          <w:top w:w="0" w:type="dxa"/>
          <w:left w:w="108" w:type="dxa"/>
          <w:bottom w:w="0" w:type="dxa"/>
          <w:right w:w="108" w:type="dxa"/>
        </w:tblCellMar>
      </w:tblPr>
      <w:tblGrid>
        <w:gridCol w:w="1701"/>
        <w:gridCol w:w="1384"/>
        <w:gridCol w:w="913"/>
        <w:gridCol w:w="1620"/>
        <w:gridCol w:w="1440"/>
        <w:gridCol w:w="1164"/>
      </w:tblGrid>
      <w:tr w14:paraId="6F12BE2E">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2CCD015D">
            <w:pPr>
              <w:widowControl/>
              <w:jc w:val="left"/>
              <w:rPr>
                <w:rFonts w:ascii="仿宋_GB2312" w:hAnsi="仿宋" w:eastAsia="仿宋_GB2312" w:cs="宋体"/>
                <w:b/>
                <w:color w:val="auto"/>
                <w:kern w:val="0"/>
                <w:sz w:val="24"/>
                <w:szCs w:val="24"/>
                <w:highlight w:val="none"/>
              </w:rPr>
            </w:pPr>
            <w:r>
              <w:rPr>
                <w:rFonts w:hint="eastAsia" w:ascii="仿宋_GB2312" w:hAnsi="仿宋" w:eastAsia="仿宋_GB2312" w:cs="宋体"/>
                <w:b/>
                <w:color w:val="auto"/>
                <w:kern w:val="0"/>
                <w:sz w:val="24"/>
                <w:szCs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77111926">
            <w:pPr>
              <w:widowControl/>
              <w:jc w:val="left"/>
              <w:rPr>
                <w:rFonts w:ascii="仿宋_GB2312" w:hAnsi="仿宋" w:eastAsia="仿宋_GB2312" w:cs="宋体"/>
                <w:b/>
                <w:color w:val="auto"/>
                <w:kern w:val="0"/>
                <w:sz w:val="24"/>
                <w:szCs w:val="24"/>
                <w:highlight w:val="none"/>
              </w:rPr>
            </w:pPr>
            <w:r>
              <w:rPr>
                <w:rFonts w:hint="eastAsia" w:ascii="仿宋_GB2312" w:hAnsi="仿宋" w:eastAsia="仿宋_GB2312" w:cs="宋体"/>
                <w:b/>
                <w:color w:val="auto"/>
                <w:kern w:val="0"/>
                <w:sz w:val="24"/>
                <w:szCs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28443148">
            <w:pPr>
              <w:widowControl/>
              <w:jc w:val="left"/>
              <w:rPr>
                <w:rFonts w:ascii="仿宋_GB2312" w:hAnsi="仿宋" w:eastAsia="仿宋_GB2312" w:cs="宋体"/>
                <w:b/>
                <w:color w:val="auto"/>
                <w:kern w:val="0"/>
                <w:sz w:val="24"/>
                <w:szCs w:val="24"/>
                <w:highlight w:val="none"/>
              </w:rPr>
            </w:pPr>
            <w:r>
              <w:rPr>
                <w:rFonts w:hint="eastAsia" w:ascii="仿宋_GB2312" w:hAnsi="仿宋" w:eastAsia="仿宋_GB2312" w:cs="宋体"/>
                <w:b/>
                <w:color w:val="auto"/>
                <w:kern w:val="0"/>
                <w:sz w:val="24"/>
                <w:szCs w:val="24"/>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3FC570EF">
            <w:pPr>
              <w:widowControl/>
              <w:jc w:val="left"/>
              <w:rPr>
                <w:rFonts w:ascii="仿宋_GB2312" w:hAnsi="仿宋" w:eastAsia="仿宋_GB2312" w:cs="宋体"/>
                <w:b/>
                <w:color w:val="auto"/>
                <w:kern w:val="0"/>
                <w:sz w:val="24"/>
                <w:szCs w:val="24"/>
                <w:highlight w:val="none"/>
              </w:rPr>
            </w:pPr>
            <w:r>
              <w:rPr>
                <w:rFonts w:hint="eastAsia" w:ascii="仿宋_GB2312" w:hAnsi="仿宋" w:eastAsia="仿宋_GB2312" w:cs="宋体"/>
                <w:b/>
                <w:color w:val="auto"/>
                <w:kern w:val="0"/>
                <w:sz w:val="24"/>
                <w:szCs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7C4527C6">
            <w:pPr>
              <w:widowControl/>
              <w:jc w:val="left"/>
              <w:rPr>
                <w:rFonts w:ascii="仿宋_GB2312" w:hAnsi="仿宋" w:eastAsia="仿宋_GB2312" w:cs="宋体"/>
                <w:b/>
                <w:color w:val="auto"/>
                <w:kern w:val="0"/>
                <w:sz w:val="24"/>
                <w:szCs w:val="24"/>
                <w:highlight w:val="none"/>
              </w:rPr>
            </w:pPr>
            <w:r>
              <w:rPr>
                <w:rFonts w:hint="eastAsia" w:ascii="仿宋_GB2312" w:hAnsi="仿宋" w:eastAsia="仿宋_GB2312" w:cs="宋体"/>
                <w:b/>
                <w:color w:val="auto"/>
                <w:kern w:val="0"/>
                <w:sz w:val="24"/>
                <w:szCs w:val="24"/>
                <w:highlight w:val="none"/>
              </w:rPr>
              <w:t>小型</w:t>
            </w:r>
          </w:p>
        </w:tc>
        <w:tc>
          <w:tcPr>
            <w:tcW w:w="1164" w:type="dxa"/>
            <w:tcBorders>
              <w:top w:val="single" w:color="auto" w:sz="4" w:space="0"/>
              <w:left w:val="nil"/>
              <w:bottom w:val="single" w:color="auto" w:sz="4" w:space="0"/>
              <w:right w:val="single" w:color="auto" w:sz="4" w:space="0"/>
            </w:tcBorders>
            <w:vAlign w:val="center"/>
          </w:tcPr>
          <w:p w14:paraId="3031059D">
            <w:pPr>
              <w:widowControl/>
              <w:jc w:val="left"/>
              <w:rPr>
                <w:rFonts w:ascii="仿宋_GB2312" w:hAnsi="仿宋" w:eastAsia="仿宋_GB2312" w:cs="宋体"/>
                <w:b/>
                <w:color w:val="auto"/>
                <w:kern w:val="0"/>
                <w:sz w:val="24"/>
                <w:szCs w:val="24"/>
                <w:highlight w:val="none"/>
              </w:rPr>
            </w:pPr>
            <w:r>
              <w:rPr>
                <w:rFonts w:hint="eastAsia" w:ascii="仿宋_GB2312" w:hAnsi="仿宋" w:eastAsia="仿宋_GB2312" w:cs="宋体"/>
                <w:b/>
                <w:color w:val="auto"/>
                <w:kern w:val="0"/>
                <w:sz w:val="24"/>
                <w:szCs w:val="24"/>
                <w:highlight w:val="none"/>
              </w:rPr>
              <w:t>微型</w:t>
            </w:r>
          </w:p>
        </w:tc>
      </w:tr>
      <w:tr w14:paraId="421CD4AC">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1F656FE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1EF8400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285A34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B3F1EA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76DB662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64" w:type="dxa"/>
            <w:tcBorders>
              <w:top w:val="nil"/>
              <w:left w:val="nil"/>
              <w:bottom w:val="single" w:color="auto" w:sz="4" w:space="0"/>
              <w:right w:val="single" w:color="auto" w:sz="4" w:space="0"/>
            </w:tcBorders>
            <w:vAlign w:val="center"/>
          </w:tcPr>
          <w:p w14:paraId="4081B89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63C31F4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22A712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649B9DB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E261D0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C78771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05C9624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64" w:type="dxa"/>
            <w:tcBorders>
              <w:top w:val="nil"/>
              <w:left w:val="nil"/>
              <w:bottom w:val="single" w:color="auto" w:sz="4" w:space="0"/>
              <w:right w:val="single" w:color="auto" w:sz="4" w:space="0"/>
            </w:tcBorders>
            <w:vAlign w:val="center"/>
          </w:tcPr>
          <w:p w14:paraId="6A695A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3605FC6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2ACA70A">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D95A3E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07B6D6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77A128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27B167B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64" w:type="dxa"/>
            <w:tcBorders>
              <w:top w:val="nil"/>
              <w:left w:val="nil"/>
              <w:bottom w:val="single" w:color="auto" w:sz="4" w:space="0"/>
              <w:right w:val="single" w:color="auto" w:sz="4" w:space="0"/>
            </w:tcBorders>
            <w:vAlign w:val="center"/>
          </w:tcPr>
          <w:p w14:paraId="291810F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71F9C6B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9C8436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12490F2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C89AF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82200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2904F2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64" w:type="dxa"/>
            <w:tcBorders>
              <w:top w:val="nil"/>
              <w:left w:val="nil"/>
              <w:bottom w:val="single" w:color="auto" w:sz="4" w:space="0"/>
              <w:right w:val="single" w:color="auto" w:sz="4" w:space="0"/>
            </w:tcBorders>
            <w:vAlign w:val="center"/>
          </w:tcPr>
          <w:p w14:paraId="61447C9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6242F93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96905C4">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FA3B47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6718397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9E24B8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0A1DFC6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64" w:type="dxa"/>
            <w:tcBorders>
              <w:top w:val="nil"/>
              <w:left w:val="nil"/>
              <w:bottom w:val="single" w:color="auto" w:sz="4" w:space="0"/>
              <w:right w:val="single" w:color="auto" w:sz="4" w:space="0"/>
            </w:tcBorders>
            <w:vAlign w:val="center"/>
          </w:tcPr>
          <w:p w14:paraId="197B4B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055A70D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B561FE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0C6546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0C76D1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0EF18D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386635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64" w:type="dxa"/>
            <w:tcBorders>
              <w:top w:val="nil"/>
              <w:left w:val="nil"/>
              <w:bottom w:val="single" w:color="auto" w:sz="4" w:space="0"/>
              <w:right w:val="single" w:color="auto" w:sz="4" w:space="0"/>
            </w:tcBorders>
            <w:vAlign w:val="center"/>
          </w:tcPr>
          <w:p w14:paraId="23A632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4D2C09C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268BA8C">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E4B1C1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B6D7E4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0A2A6A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713C0D1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64" w:type="dxa"/>
            <w:tcBorders>
              <w:top w:val="nil"/>
              <w:left w:val="nil"/>
              <w:bottom w:val="single" w:color="auto" w:sz="4" w:space="0"/>
              <w:right w:val="single" w:color="auto" w:sz="4" w:space="0"/>
            </w:tcBorders>
            <w:vAlign w:val="center"/>
          </w:tcPr>
          <w:p w14:paraId="04BFD99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6D293BE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83DBDE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223A17B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1CBE10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2246F6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52A90F0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64" w:type="dxa"/>
            <w:tcBorders>
              <w:top w:val="nil"/>
              <w:left w:val="nil"/>
              <w:bottom w:val="single" w:color="auto" w:sz="4" w:space="0"/>
              <w:right w:val="single" w:color="auto" w:sz="4" w:space="0"/>
            </w:tcBorders>
            <w:vAlign w:val="center"/>
          </w:tcPr>
          <w:p w14:paraId="6FD4DAA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3C36A1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7F9D438">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C0DAC7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3E401E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365616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7A14813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64" w:type="dxa"/>
            <w:tcBorders>
              <w:top w:val="nil"/>
              <w:left w:val="nil"/>
              <w:bottom w:val="single" w:color="auto" w:sz="4" w:space="0"/>
              <w:right w:val="single" w:color="auto" w:sz="4" w:space="0"/>
            </w:tcBorders>
            <w:vAlign w:val="center"/>
          </w:tcPr>
          <w:p w14:paraId="71CD951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5C31CD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D41FC9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5B16A0A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95AA73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A1326D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696C07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64" w:type="dxa"/>
            <w:tcBorders>
              <w:top w:val="nil"/>
              <w:left w:val="nil"/>
              <w:bottom w:val="single" w:color="auto" w:sz="4" w:space="0"/>
              <w:right w:val="single" w:color="auto" w:sz="4" w:space="0"/>
            </w:tcBorders>
            <w:vAlign w:val="center"/>
          </w:tcPr>
          <w:p w14:paraId="2C0D49D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F0EED3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7041448">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B6F06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AA3748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0D4E63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49DA7A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64" w:type="dxa"/>
            <w:tcBorders>
              <w:top w:val="nil"/>
              <w:left w:val="nil"/>
              <w:bottom w:val="single" w:color="auto" w:sz="4" w:space="0"/>
              <w:right w:val="single" w:color="auto" w:sz="4" w:space="0"/>
            </w:tcBorders>
            <w:vAlign w:val="center"/>
          </w:tcPr>
          <w:p w14:paraId="760BE8C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5E679FE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D9EED8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5F0F89F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396337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90D24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3D4981F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64" w:type="dxa"/>
            <w:tcBorders>
              <w:top w:val="nil"/>
              <w:left w:val="nil"/>
              <w:bottom w:val="single" w:color="auto" w:sz="4" w:space="0"/>
              <w:right w:val="single" w:color="auto" w:sz="4" w:space="0"/>
            </w:tcBorders>
            <w:vAlign w:val="center"/>
          </w:tcPr>
          <w:p w14:paraId="46C930B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EFEFC6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E62F373">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3B736D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480667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E5D753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006C53E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64" w:type="dxa"/>
            <w:tcBorders>
              <w:top w:val="nil"/>
              <w:left w:val="nil"/>
              <w:bottom w:val="single" w:color="auto" w:sz="4" w:space="0"/>
              <w:right w:val="single" w:color="auto" w:sz="4" w:space="0"/>
            </w:tcBorders>
            <w:vAlign w:val="center"/>
          </w:tcPr>
          <w:p w14:paraId="698C8E4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0800BE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A00B70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2EE51E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ACC9B3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307465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5411DCF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64" w:type="dxa"/>
            <w:tcBorders>
              <w:top w:val="nil"/>
              <w:left w:val="nil"/>
              <w:bottom w:val="single" w:color="auto" w:sz="4" w:space="0"/>
              <w:right w:val="single" w:color="auto" w:sz="4" w:space="0"/>
            </w:tcBorders>
            <w:vAlign w:val="center"/>
          </w:tcPr>
          <w:p w14:paraId="38198A1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3A9FE5A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61F0575">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DAF725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A4A1BC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186366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4457209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64" w:type="dxa"/>
            <w:tcBorders>
              <w:top w:val="nil"/>
              <w:left w:val="nil"/>
              <w:bottom w:val="single" w:color="auto" w:sz="4" w:space="0"/>
              <w:right w:val="single" w:color="auto" w:sz="4" w:space="0"/>
            </w:tcBorders>
            <w:vAlign w:val="center"/>
          </w:tcPr>
          <w:p w14:paraId="62CC94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BD4FF1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8813AE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2BAA371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347726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AECC5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554E9BB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64" w:type="dxa"/>
            <w:tcBorders>
              <w:top w:val="nil"/>
              <w:left w:val="nil"/>
              <w:bottom w:val="single" w:color="auto" w:sz="4" w:space="0"/>
              <w:right w:val="single" w:color="auto" w:sz="4" w:space="0"/>
            </w:tcBorders>
            <w:vAlign w:val="center"/>
          </w:tcPr>
          <w:p w14:paraId="0256B5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97A664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A687A65">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33A68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801FD8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9CAAEC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52D723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64" w:type="dxa"/>
            <w:tcBorders>
              <w:top w:val="nil"/>
              <w:left w:val="nil"/>
              <w:bottom w:val="single" w:color="auto" w:sz="4" w:space="0"/>
              <w:right w:val="single" w:color="auto" w:sz="4" w:space="0"/>
            </w:tcBorders>
            <w:vAlign w:val="center"/>
          </w:tcPr>
          <w:p w14:paraId="162AF46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118FB2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FDB7B9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1D267A4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5AACCF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735A78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4B74CCF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64" w:type="dxa"/>
            <w:tcBorders>
              <w:top w:val="nil"/>
              <w:left w:val="nil"/>
              <w:bottom w:val="single" w:color="auto" w:sz="4" w:space="0"/>
              <w:right w:val="single" w:color="auto" w:sz="4" w:space="0"/>
            </w:tcBorders>
            <w:vAlign w:val="center"/>
          </w:tcPr>
          <w:p w14:paraId="222B8F4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76CB44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DA9B1EF">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BD7834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40687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F895A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376647F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64" w:type="dxa"/>
            <w:tcBorders>
              <w:top w:val="nil"/>
              <w:left w:val="nil"/>
              <w:bottom w:val="single" w:color="auto" w:sz="4" w:space="0"/>
              <w:right w:val="single" w:color="auto" w:sz="4" w:space="0"/>
            </w:tcBorders>
            <w:vAlign w:val="center"/>
          </w:tcPr>
          <w:p w14:paraId="1CCC413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AE734D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0B36AE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6256053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1AD5D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6067A4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0B6814E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64" w:type="dxa"/>
            <w:tcBorders>
              <w:top w:val="nil"/>
              <w:left w:val="nil"/>
              <w:bottom w:val="single" w:color="auto" w:sz="4" w:space="0"/>
              <w:right w:val="single" w:color="auto" w:sz="4" w:space="0"/>
            </w:tcBorders>
            <w:vAlign w:val="center"/>
          </w:tcPr>
          <w:p w14:paraId="034584E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7E052A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F7F3851">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E3DD17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E79D07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1B436B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4078DEE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64" w:type="dxa"/>
            <w:tcBorders>
              <w:top w:val="nil"/>
              <w:left w:val="nil"/>
              <w:bottom w:val="single" w:color="auto" w:sz="4" w:space="0"/>
              <w:right w:val="single" w:color="auto" w:sz="4" w:space="0"/>
            </w:tcBorders>
            <w:vAlign w:val="center"/>
          </w:tcPr>
          <w:p w14:paraId="2250CBF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E39AE0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DCEA44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084FDCC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D08C01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901CDF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6C0D7C4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64" w:type="dxa"/>
            <w:tcBorders>
              <w:top w:val="nil"/>
              <w:left w:val="nil"/>
              <w:bottom w:val="single" w:color="auto" w:sz="4" w:space="0"/>
              <w:right w:val="single" w:color="auto" w:sz="4" w:space="0"/>
            </w:tcBorders>
            <w:vAlign w:val="center"/>
          </w:tcPr>
          <w:p w14:paraId="298FE6C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816006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93B07DE">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F97740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53C528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5087EE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39FB9B1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64" w:type="dxa"/>
            <w:tcBorders>
              <w:top w:val="nil"/>
              <w:left w:val="nil"/>
              <w:bottom w:val="single" w:color="auto" w:sz="4" w:space="0"/>
              <w:right w:val="single" w:color="auto" w:sz="4" w:space="0"/>
            </w:tcBorders>
            <w:vAlign w:val="center"/>
          </w:tcPr>
          <w:p w14:paraId="2C97F9A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0B6718A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4404BB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49E452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A6F88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FD8972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5160B9B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64" w:type="dxa"/>
            <w:tcBorders>
              <w:top w:val="nil"/>
              <w:left w:val="nil"/>
              <w:bottom w:val="single" w:color="auto" w:sz="4" w:space="0"/>
              <w:right w:val="single" w:color="auto" w:sz="4" w:space="0"/>
            </w:tcBorders>
            <w:vAlign w:val="center"/>
          </w:tcPr>
          <w:p w14:paraId="3A579D1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3C13AA3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8A6E590">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308E6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70C80A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CB8E62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029BF6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64" w:type="dxa"/>
            <w:tcBorders>
              <w:top w:val="nil"/>
              <w:left w:val="nil"/>
              <w:bottom w:val="single" w:color="auto" w:sz="4" w:space="0"/>
              <w:right w:val="single" w:color="auto" w:sz="4" w:space="0"/>
            </w:tcBorders>
            <w:vAlign w:val="center"/>
          </w:tcPr>
          <w:p w14:paraId="20E1B48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70643F3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BD1DA3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068C2AA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B071C3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E9FCE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1D53AF2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64" w:type="dxa"/>
            <w:tcBorders>
              <w:top w:val="nil"/>
              <w:left w:val="nil"/>
              <w:bottom w:val="single" w:color="auto" w:sz="4" w:space="0"/>
              <w:right w:val="single" w:color="auto" w:sz="4" w:space="0"/>
            </w:tcBorders>
            <w:vAlign w:val="center"/>
          </w:tcPr>
          <w:p w14:paraId="23B5BE4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72F0C97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441F89D">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0F96C5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6FA9E3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EBCE43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71BF77C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64" w:type="dxa"/>
            <w:tcBorders>
              <w:top w:val="nil"/>
              <w:left w:val="nil"/>
              <w:bottom w:val="single" w:color="auto" w:sz="4" w:space="0"/>
              <w:right w:val="single" w:color="auto" w:sz="4" w:space="0"/>
            </w:tcBorders>
            <w:vAlign w:val="center"/>
          </w:tcPr>
          <w:p w14:paraId="2040446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561660F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7FF1161">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04F8CE5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E0D02C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72C62B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072C44B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64" w:type="dxa"/>
            <w:tcBorders>
              <w:top w:val="nil"/>
              <w:left w:val="nil"/>
              <w:bottom w:val="single" w:color="auto" w:sz="4" w:space="0"/>
              <w:right w:val="single" w:color="auto" w:sz="4" w:space="0"/>
            </w:tcBorders>
            <w:vAlign w:val="center"/>
          </w:tcPr>
          <w:p w14:paraId="467468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D90713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DE4A40F">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6BB013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10DAF8D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41015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3765511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64" w:type="dxa"/>
            <w:tcBorders>
              <w:top w:val="nil"/>
              <w:left w:val="nil"/>
              <w:bottom w:val="single" w:color="auto" w:sz="4" w:space="0"/>
              <w:right w:val="single" w:color="auto" w:sz="4" w:space="0"/>
            </w:tcBorders>
            <w:vAlign w:val="center"/>
          </w:tcPr>
          <w:p w14:paraId="418CE7B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4C44494">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49C476A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77EDE6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33330B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5407C9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4FFF6B7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64" w:type="dxa"/>
            <w:tcBorders>
              <w:top w:val="nil"/>
              <w:left w:val="nil"/>
              <w:bottom w:val="single" w:color="auto" w:sz="4" w:space="0"/>
              <w:right w:val="single" w:color="auto" w:sz="4" w:space="0"/>
            </w:tcBorders>
            <w:vAlign w:val="center"/>
          </w:tcPr>
          <w:p w14:paraId="4F03FC4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122451F9">
      <w:pPr>
        <w:spacing w:line="360" w:lineRule="auto"/>
        <w:ind w:firstLine="525" w:firstLineChars="250"/>
        <w:rPr>
          <w:rFonts w:ascii="仿宋_GB2312" w:hAnsi="仿宋" w:eastAsia="仿宋_GB2312" w:cs="Times New Roman"/>
          <w:color w:val="auto"/>
          <w:szCs w:val="21"/>
          <w:highlight w:val="none"/>
        </w:rPr>
      </w:pPr>
      <w:r>
        <w:rPr>
          <w:rFonts w:hint="eastAsia" w:ascii="仿宋_GB2312" w:hAnsi="仿宋" w:eastAsia="仿宋_GB2312" w:cs="Times New Roman"/>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12F1DE5">
      <w:pPr>
        <w:jc w:val="center"/>
        <w:outlineLvl w:val="0"/>
        <w:rPr>
          <w:rFonts w:ascii="宋体" w:hAnsi="宋体" w:eastAsia="宋体" w:cs="Times New Roman"/>
          <w:color w:val="auto"/>
          <w:szCs w:val="20"/>
          <w:highlight w:val="none"/>
        </w:rPr>
        <w:sectPr>
          <w:pgSz w:w="11906" w:h="16838"/>
          <w:pgMar w:top="1134" w:right="1134" w:bottom="1134" w:left="1134" w:header="720" w:footer="720" w:gutter="0"/>
          <w:cols w:space="720" w:num="1"/>
          <w:docGrid w:type="lines" w:linePitch="331" w:charSpace="0"/>
        </w:sectPr>
      </w:pPr>
    </w:p>
    <w:p w14:paraId="548EF080">
      <w:pPr>
        <w:jc w:val="center"/>
        <w:outlineLvl w:val="0"/>
        <w:rPr>
          <w:rFonts w:ascii="宋体" w:hAnsi="宋体" w:eastAsia="宋体" w:cs="宋体"/>
          <w:b/>
          <w:color w:val="auto"/>
          <w:sz w:val="36"/>
          <w:szCs w:val="36"/>
          <w:highlight w:val="none"/>
        </w:rPr>
      </w:pPr>
      <w:bookmarkStart w:id="49" w:name="_Toc80092992"/>
      <w:bookmarkStart w:id="50" w:name="_Toc532545044"/>
      <w:bookmarkStart w:id="51" w:name="_Toc7604"/>
      <w:bookmarkStart w:id="52" w:name="_Toc146703280"/>
      <w:r>
        <w:rPr>
          <w:rFonts w:hint="eastAsia" w:ascii="宋体" w:hAnsi="宋体" w:eastAsia="宋体" w:cs="宋体"/>
          <w:b/>
          <w:color w:val="auto"/>
          <w:sz w:val="36"/>
          <w:szCs w:val="20"/>
          <w:highlight w:val="none"/>
        </w:rPr>
        <w:t>第三章  供应商须知</w:t>
      </w:r>
      <w:bookmarkEnd w:id="49"/>
      <w:bookmarkEnd w:id="50"/>
      <w:bookmarkEnd w:id="51"/>
      <w:bookmarkEnd w:id="52"/>
    </w:p>
    <w:p w14:paraId="31F9F3C4">
      <w:pPr>
        <w:spacing w:line="720" w:lineRule="auto"/>
        <w:jc w:val="center"/>
        <w:outlineLvl w:val="1"/>
        <w:rPr>
          <w:rFonts w:ascii="宋体" w:hAnsi="宋体" w:eastAsia="宋体" w:cs="宋体"/>
          <w:b/>
          <w:color w:val="auto"/>
          <w:sz w:val="30"/>
          <w:szCs w:val="30"/>
          <w:highlight w:val="none"/>
        </w:rPr>
      </w:pPr>
      <w:bookmarkStart w:id="53" w:name="_Toc80092993"/>
      <w:bookmarkStart w:id="54" w:name="_Toc13651"/>
      <w:bookmarkStart w:id="55" w:name="_Toc146703281"/>
      <w:r>
        <w:rPr>
          <w:rFonts w:hint="eastAsia" w:ascii="宋体" w:hAnsi="宋体" w:eastAsia="宋体" w:cs="宋体"/>
          <w:b/>
          <w:color w:val="auto"/>
          <w:sz w:val="30"/>
          <w:szCs w:val="30"/>
          <w:highlight w:val="none"/>
        </w:rPr>
        <w:t>第一节 供应商须知前附表</w:t>
      </w:r>
      <w:bookmarkEnd w:id="53"/>
      <w:bookmarkEnd w:id="54"/>
      <w:bookmarkEnd w:id="55"/>
    </w:p>
    <w:tbl>
      <w:tblPr>
        <w:tblStyle w:val="3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2D7BE8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DD82235">
            <w:pPr>
              <w:keepNext w:val="0"/>
              <w:keepLines w:val="0"/>
              <w:pageBreakBefore w:val="0"/>
              <w:widowControl w:val="0"/>
              <w:kinsoku/>
              <w:wordWrap/>
              <w:overflowPunct/>
              <w:topLinePunct w:val="0"/>
              <w:bidi w:val="0"/>
              <w:snapToGrid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vAlign w:val="center"/>
          </w:tcPr>
          <w:p w14:paraId="1E697B9C">
            <w:pPr>
              <w:keepNext w:val="0"/>
              <w:keepLines w:val="0"/>
              <w:pageBreakBefore w:val="0"/>
              <w:widowControl w:val="0"/>
              <w:kinsoku/>
              <w:wordWrap/>
              <w:overflowPunct/>
              <w:topLinePunct w:val="0"/>
              <w:bidi w:val="0"/>
              <w:snapToGrid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14:paraId="415384E0">
            <w:pPr>
              <w:keepNext w:val="0"/>
              <w:keepLines w:val="0"/>
              <w:pageBreakBefore w:val="0"/>
              <w:widowControl w:val="0"/>
              <w:kinsoku/>
              <w:wordWrap/>
              <w:overflowPunct/>
              <w:topLinePunct w:val="0"/>
              <w:bidi w:val="0"/>
              <w:snapToGrid w:val="0"/>
              <w:spacing w:line="36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编列内容</w:t>
            </w:r>
          </w:p>
        </w:tc>
      </w:tr>
      <w:tr w14:paraId="571493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E7AD313">
            <w:pPr>
              <w:keepNext w:val="0"/>
              <w:keepLines w:val="0"/>
              <w:pageBreakBefore w:val="0"/>
              <w:widowControl w:val="0"/>
              <w:kinsoku/>
              <w:wordWrap/>
              <w:overflowPunct/>
              <w:topLinePunct w:val="0"/>
              <w:bidi w:val="0"/>
              <w:snapToGrid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268" w:type="dxa"/>
            <w:tcBorders>
              <w:top w:val="single" w:color="auto" w:sz="4" w:space="0"/>
              <w:left w:val="single" w:color="auto" w:sz="4" w:space="0"/>
              <w:bottom w:val="single" w:color="auto" w:sz="4" w:space="0"/>
              <w:right w:val="single" w:color="auto" w:sz="4" w:space="0"/>
            </w:tcBorders>
            <w:vAlign w:val="center"/>
          </w:tcPr>
          <w:p w14:paraId="5F3B8A81">
            <w:pPr>
              <w:keepNext w:val="0"/>
              <w:keepLines w:val="0"/>
              <w:pageBreakBefore w:val="0"/>
              <w:widowControl w:val="0"/>
              <w:kinsoku/>
              <w:wordWrap/>
              <w:overflowPunct/>
              <w:topLinePunct w:val="0"/>
              <w:bidi w:val="0"/>
              <w:snapToGrid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征集人</w:t>
            </w:r>
          </w:p>
        </w:tc>
        <w:tc>
          <w:tcPr>
            <w:tcW w:w="7297" w:type="dxa"/>
            <w:tcBorders>
              <w:top w:val="single" w:color="auto" w:sz="4" w:space="0"/>
              <w:left w:val="single" w:color="auto" w:sz="4" w:space="0"/>
              <w:bottom w:val="single" w:color="auto" w:sz="4" w:space="0"/>
              <w:right w:val="single" w:color="auto" w:sz="4" w:space="0"/>
            </w:tcBorders>
            <w:vAlign w:val="center"/>
          </w:tcPr>
          <w:p w14:paraId="02BE0A9F">
            <w:pPr>
              <w:keepNext w:val="0"/>
              <w:keepLines w:val="0"/>
              <w:pageBreakBefore w:val="0"/>
              <w:widowControl w:val="0"/>
              <w:kinsoku/>
              <w:wordWrap/>
              <w:overflowPunct/>
              <w:topLinePunct w:val="0"/>
              <w:bidi w:val="0"/>
              <w:snapToGrid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南宁市邕宁区财政局</w:t>
            </w:r>
          </w:p>
        </w:tc>
      </w:tr>
      <w:tr w14:paraId="1A0278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334C14D">
            <w:pPr>
              <w:keepNext w:val="0"/>
              <w:keepLines w:val="0"/>
              <w:pageBreakBefore w:val="0"/>
              <w:widowControl w:val="0"/>
              <w:kinsoku/>
              <w:wordWrap/>
              <w:overflowPunct/>
              <w:topLinePunct w:val="0"/>
              <w:bidi w:val="0"/>
              <w:snapToGrid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2268" w:type="dxa"/>
            <w:tcBorders>
              <w:top w:val="single" w:color="auto" w:sz="4" w:space="0"/>
              <w:left w:val="single" w:color="auto" w:sz="4" w:space="0"/>
              <w:bottom w:val="single" w:color="auto" w:sz="4" w:space="0"/>
              <w:right w:val="single" w:color="auto" w:sz="4" w:space="0"/>
            </w:tcBorders>
            <w:vAlign w:val="center"/>
          </w:tcPr>
          <w:p w14:paraId="277BD869">
            <w:pPr>
              <w:keepNext w:val="0"/>
              <w:keepLines w:val="0"/>
              <w:pageBreakBefore w:val="0"/>
              <w:widowControl w:val="0"/>
              <w:kinsoku/>
              <w:wordWrap/>
              <w:overflowPunct/>
              <w:topLinePunct w:val="0"/>
              <w:bidi w:val="0"/>
              <w:snapToGrid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采购代理机构</w:t>
            </w:r>
          </w:p>
        </w:tc>
        <w:tc>
          <w:tcPr>
            <w:tcW w:w="7297" w:type="dxa"/>
            <w:tcBorders>
              <w:top w:val="single" w:color="auto" w:sz="4" w:space="0"/>
              <w:left w:val="single" w:color="auto" w:sz="4" w:space="0"/>
              <w:bottom w:val="single" w:color="auto" w:sz="4" w:space="0"/>
              <w:right w:val="single" w:color="auto" w:sz="4" w:space="0"/>
            </w:tcBorders>
            <w:vAlign w:val="center"/>
          </w:tcPr>
          <w:p w14:paraId="506A5911">
            <w:pPr>
              <w:keepNext w:val="0"/>
              <w:keepLines w:val="0"/>
              <w:pageBreakBefore w:val="0"/>
              <w:widowControl w:val="0"/>
              <w:kinsoku/>
              <w:wordWrap/>
              <w:overflowPunct/>
              <w:topLinePunct w:val="0"/>
              <w:bidi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广西科文招标有限公司</w:t>
            </w:r>
          </w:p>
        </w:tc>
      </w:tr>
      <w:tr w14:paraId="5C0D7B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E1DCFC8">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268" w:type="dxa"/>
            <w:tcBorders>
              <w:top w:val="single" w:color="auto" w:sz="4" w:space="0"/>
              <w:left w:val="single" w:color="auto" w:sz="4" w:space="0"/>
              <w:bottom w:val="single" w:color="auto" w:sz="4" w:space="0"/>
              <w:right w:val="single" w:color="auto" w:sz="4" w:space="0"/>
            </w:tcBorders>
            <w:vAlign w:val="center"/>
          </w:tcPr>
          <w:p w14:paraId="0FDDAFED">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bookmarkStart w:id="56" w:name="_5"/>
            <w:bookmarkEnd w:id="56"/>
            <w:bookmarkStart w:id="57" w:name="_8.1"/>
            <w:bookmarkEnd w:id="57"/>
            <w:bookmarkStart w:id="58" w:name="_9.2"/>
            <w:bookmarkEnd w:id="58"/>
            <w:r>
              <w:rPr>
                <w:rFonts w:hint="eastAsia" w:ascii="宋体" w:hAnsi="宋体" w:eastAsia="宋体" w:cs="宋体"/>
                <w:color w:val="auto"/>
                <w:szCs w:val="21"/>
                <w:highlight w:val="none"/>
              </w:rPr>
              <w:t>是否接受联合体响应</w:t>
            </w:r>
          </w:p>
        </w:tc>
        <w:tc>
          <w:tcPr>
            <w:tcW w:w="7297" w:type="dxa"/>
            <w:tcBorders>
              <w:top w:val="single" w:color="auto" w:sz="4" w:space="0"/>
              <w:left w:val="single" w:color="auto" w:sz="4" w:space="0"/>
              <w:bottom w:val="single" w:color="auto" w:sz="4" w:space="0"/>
              <w:right w:val="single" w:color="auto" w:sz="4" w:space="0"/>
            </w:tcBorders>
            <w:vAlign w:val="center"/>
          </w:tcPr>
          <w:p w14:paraId="3A666F28">
            <w:pPr>
              <w:keepNext w:val="0"/>
              <w:keepLines w:val="0"/>
              <w:pageBreakBefore w:val="0"/>
              <w:widowControl w:val="0"/>
              <w:kinsoku/>
              <w:wordWrap/>
              <w:overflowPunct/>
              <w:topLinePunct w:val="0"/>
              <w:bidi w:val="0"/>
              <w:spacing w:line="360" w:lineRule="exact"/>
              <w:jc w:val="left"/>
              <w:rPr>
                <w:rFonts w:ascii="宋体" w:hAnsi="宋体" w:eastAsia="宋体" w:cs="宋体"/>
                <w:color w:val="auto"/>
                <w:szCs w:val="21"/>
                <w:highlight w:val="none"/>
              </w:rPr>
            </w:pPr>
            <w:bookmarkStart w:id="59" w:name="PO_3000001866_PM007"/>
            <w:r>
              <w:rPr>
                <w:rFonts w:hint="eastAsia" w:ascii="宋体" w:hAnsi="宋体" w:eastAsia="宋体" w:cs="宋体"/>
                <w:color w:val="auto"/>
                <w:szCs w:val="21"/>
                <w:highlight w:val="none"/>
              </w:rPr>
              <w:t>不接受联合体</w:t>
            </w:r>
            <w:bookmarkEnd w:id="59"/>
            <w:r>
              <w:rPr>
                <w:rFonts w:hint="eastAsia" w:ascii="宋体" w:hAnsi="宋体" w:eastAsia="宋体" w:cs="宋体"/>
                <w:color w:val="auto"/>
                <w:szCs w:val="21"/>
                <w:highlight w:val="none"/>
              </w:rPr>
              <w:t>响应。</w:t>
            </w:r>
          </w:p>
        </w:tc>
      </w:tr>
      <w:tr w14:paraId="77B139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A8180A2">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2268" w:type="dxa"/>
            <w:tcBorders>
              <w:top w:val="single" w:color="auto" w:sz="4" w:space="0"/>
              <w:left w:val="single" w:color="auto" w:sz="4" w:space="0"/>
              <w:bottom w:val="single" w:color="auto" w:sz="4" w:space="0"/>
              <w:right w:val="single" w:color="auto" w:sz="4" w:space="0"/>
            </w:tcBorders>
            <w:vAlign w:val="center"/>
          </w:tcPr>
          <w:p w14:paraId="6C2C9EA6">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联合体响应要求</w:t>
            </w:r>
          </w:p>
        </w:tc>
        <w:tc>
          <w:tcPr>
            <w:tcW w:w="7297" w:type="dxa"/>
            <w:tcBorders>
              <w:top w:val="single" w:color="auto" w:sz="4" w:space="0"/>
              <w:left w:val="single" w:color="auto" w:sz="4" w:space="0"/>
              <w:bottom w:val="single" w:color="auto" w:sz="4" w:space="0"/>
              <w:right w:val="single" w:color="auto" w:sz="4" w:space="0"/>
            </w:tcBorders>
            <w:vAlign w:val="center"/>
          </w:tcPr>
          <w:p w14:paraId="2DD836B5">
            <w:pPr>
              <w:keepNext w:val="0"/>
              <w:keepLines w:val="0"/>
              <w:pageBreakBefore w:val="0"/>
              <w:widowControl w:val="0"/>
              <w:kinsoku/>
              <w:wordWrap/>
              <w:overflowPunct/>
              <w:topLinePunct w:val="0"/>
              <w:bidi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3C4C6C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62B7BBA">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7.2</w:t>
            </w:r>
          </w:p>
        </w:tc>
        <w:tc>
          <w:tcPr>
            <w:tcW w:w="2268" w:type="dxa"/>
            <w:tcBorders>
              <w:top w:val="single" w:color="auto" w:sz="4" w:space="0"/>
              <w:left w:val="single" w:color="auto" w:sz="4" w:space="0"/>
              <w:bottom w:val="single" w:color="auto" w:sz="4" w:space="0"/>
              <w:right w:val="single" w:color="auto" w:sz="4" w:space="0"/>
            </w:tcBorders>
            <w:vAlign w:val="center"/>
          </w:tcPr>
          <w:p w14:paraId="402688CB">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vAlign w:val="center"/>
          </w:tcPr>
          <w:p w14:paraId="04CD3AC2">
            <w:pPr>
              <w:keepNext w:val="0"/>
              <w:keepLines w:val="0"/>
              <w:pageBreakBefore w:val="0"/>
              <w:widowControl w:val="0"/>
              <w:kinsoku/>
              <w:wordWrap/>
              <w:overflowPunct/>
              <w:topLinePunct w:val="0"/>
              <w:bidi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不允许转包/分包</w:t>
            </w:r>
          </w:p>
        </w:tc>
      </w:tr>
      <w:tr w14:paraId="6D1C0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2B905D8">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11.4</w:t>
            </w:r>
          </w:p>
        </w:tc>
        <w:tc>
          <w:tcPr>
            <w:tcW w:w="2268" w:type="dxa"/>
            <w:tcBorders>
              <w:top w:val="single" w:color="auto" w:sz="4" w:space="0"/>
              <w:left w:val="single" w:color="auto" w:sz="4" w:space="0"/>
              <w:bottom w:val="single" w:color="auto" w:sz="4" w:space="0"/>
              <w:right w:val="single" w:color="auto" w:sz="4" w:space="0"/>
            </w:tcBorders>
            <w:vAlign w:val="center"/>
          </w:tcPr>
          <w:p w14:paraId="65D4ABBF">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14:paraId="13D059F2">
            <w:pPr>
              <w:keepNext w:val="0"/>
              <w:keepLines w:val="0"/>
              <w:pageBreakBefore w:val="0"/>
              <w:widowControl w:val="0"/>
              <w:kinsoku/>
              <w:wordWrap/>
              <w:overflowPunct/>
              <w:topLinePunct w:val="0"/>
              <w:bidi w:val="0"/>
              <w:spacing w:line="360" w:lineRule="exact"/>
              <w:rPr>
                <w:rFonts w:ascii="宋体" w:hAnsi="宋体" w:eastAsia="宋体" w:cs="宋体"/>
                <w:color w:val="auto"/>
                <w:sz w:val="28"/>
                <w:szCs w:val="18"/>
                <w:highlight w:val="none"/>
              </w:rPr>
            </w:pPr>
            <w:r>
              <w:rPr>
                <w:rFonts w:hint="eastAsia" w:ascii="宋体" w:hAnsi="宋体" w:eastAsia="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eastAsia="宋体" w:cs="宋体"/>
                <w:color w:val="auto"/>
                <w:kern w:val="0"/>
                <w:szCs w:val="21"/>
                <w:highlight w:val="none"/>
              </w:rPr>
              <w:t>。</w:t>
            </w:r>
          </w:p>
        </w:tc>
      </w:tr>
      <w:tr w14:paraId="5E176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D53741F">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11.6</w:t>
            </w:r>
          </w:p>
        </w:tc>
        <w:tc>
          <w:tcPr>
            <w:tcW w:w="2268" w:type="dxa"/>
            <w:tcBorders>
              <w:top w:val="single" w:color="auto" w:sz="4" w:space="0"/>
              <w:left w:val="single" w:color="auto" w:sz="4" w:space="0"/>
              <w:bottom w:val="single" w:color="auto" w:sz="4" w:space="0"/>
              <w:right w:val="single" w:color="auto" w:sz="4" w:space="0"/>
            </w:tcBorders>
            <w:vAlign w:val="center"/>
          </w:tcPr>
          <w:p w14:paraId="220E5A6C">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14:paraId="56941795">
            <w:pPr>
              <w:keepNext w:val="0"/>
              <w:keepLines w:val="0"/>
              <w:pageBreakBefore w:val="0"/>
              <w:widowControl w:val="0"/>
              <w:kinsoku/>
              <w:wordWrap/>
              <w:overflowPunct/>
              <w:topLinePunct w:val="0"/>
              <w:bidi w:val="0"/>
              <w:snapToGrid w:val="0"/>
              <w:spacing w:line="360" w:lineRule="exact"/>
              <w:rPr>
                <w:rFonts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不组织召开开标前答疑会</w:t>
            </w:r>
          </w:p>
        </w:tc>
      </w:tr>
      <w:tr w14:paraId="4748E6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left w:val="single" w:color="auto" w:sz="4" w:space="0"/>
              <w:right w:val="single" w:color="auto" w:sz="4" w:space="0"/>
            </w:tcBorders>
            <w:vAlign w:val="center"/>
          </w:tcPr>
          <w:p w14:paraId="46AA1632">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13.1</w:t>
            </w:r>
          </w:p>
        </w:tc>
        <w:tc>
          <w:tcPr>
            <w:tcW w:w="2268" w:type="dxa"/>
            <w:tcBorders>
              <w:top w:val="single" w:color="auto" w:sz="4" w:space="0"/>
              <w:left w:val="single" w:color="auto" w:sz="4" w:space="0"/>
              <w:bottom w:val="single" w:color="auto" w:sz="4" w:space="0"/>
              <w:right w:val="single" w:color="auto" w:sz="4" w:space="0"/>
            </w:tcBorders>
            <w:vAlign w:val="center"/>
          </w:tcPr>
          <w:p w14:paraId="30238175">
            <w:pPr>
              <w:keepNext w:val="0"/>
              <w:keepLines w:val="0"/>
              <w:pageBreakBefore w:val="0"/>
              <w:widowControl w:val="0"/>
              <w:kinsoku/>
              <w:wordWrap/>
              <w:overflowPunct/>
              <w:topLinePunct w:val="0"/>
              <w:bidi w:val="0"/>
              <w:snapToGrid w:val="0"/>
              <w:spacing w:line="360" w:lineRule="exact"/>
              <w:jc w:val="left"/>
              <w:rPr>
                <w:rFonts w:ascii="宋体" w:hAnsi="宋体" w:eastAsia="宋体" w:cs="宋体"/>
                <w:color w:val="auto"/>
                <w:szCs w:val="21"/>
                <w:highlight w:val="none"/>
              </w:rPr>
            </w:pPr>
            <w:bookmarkStart w:id="60" w:name="_13.2"/>
            <w:bookmarkEnd w:id="60"/>
            <w:r>
              <w:rPr>
                <w:rFonts w:hint="eastAsia" w:ascii="宋体" w:hAnsi="宋体" w:eastAsia="宋体" w:cs="宋体"/>
                <w:color w:val="auto"/>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037DEE9C">
            <w:pPr>
              <w:keepNext w:val="0"/>
              <w:keepLines w:val="0"/>
              <w:pageBreakBefore w:val="0"/>
              <w:widowControl w:val="0"/>
              <w:kinsoku/>
              <w:wordWrap/>
              <w:overflowPunct/>
              <w:topLinePunct w:val="0"/>
              <w:bidi w:val="0"/>
              <w:snapToGrid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1、供应商为法人或者其他组织的，提供营业执照等证明文件（如营业执照或者事业单位法人证书或者</w:t>
            </w:r>
            <w:r>
              <w:rPr>
                <w:rFonts w:ascii="宋体" w:hAnsi="宋体" w:eastAsia="宋体" w:cs="宋体"/>
                <w:color w:val="auto"/>
                <w:sz w:val="22"/>
                <w:szCs w:val="21"/>
                <w:highlight w:val="none"/>
                <w:lang w:val="zh-CN" w:bidi="zh-CN"/>
              </w:rPr>
              <w:t>执业许可证</w:t>
            </w:r>
            <w:r>
              <w:rPr>
                <w:rFonts w:hint="eastAsia" w:ascii="宋体" w:hAnsi="宋体" w:eastAsia="宋体" w:cs="宋体"/>
                <w:color w:val="auto"/>
                <w:szCs w:val="21"/>
                <w:highlight w:val="none"/>
              </w:rPr>
              <w:t>等），供应商为自然人的，提供身份证复印件；（</w:t>
            </w:r>
            <w:r>
              <w:rPr>
                <w:rFonts w:hint="eastAsia" w:ascii="宋体" w:hAnsi="宋体" w:eastAsia="宋体" w:cs="宋体"/>
                <w:b/>
                <w:color w:val="auto"/>
                <w:szCs w:val="21"/>
                <w:highlight w:val="none"/>
              </w:rPr>
              <w:t>必须提供，否则作无效响应处理</w:t>
            </w:r>
            <w:r>
              <w:rPr>
                <w:rFonts w:hint="eastAsia" w:ascii="宋体" w:hAnsi="宋体" w:eastAsia="宋体" w:cs="宋体"/>
                <w:color w:val="auto"/>
                <w:szCs w:val="21"/>
                <w:highlight w:val="none"/>
              </w:rPr>
              <w:t>）</w:t>
            </w:r>
          </w:p>
          <w:p w14:paraId="10AF7783">
            <w:pPr>
              <w:keepNext w:val="0"/>
              <w:keepLines w:val="0"/>
              <w:pageBreakBefore w:val="0"/>
              <w:widowControl w:val="0"/>
              <w:kinsoku/>
              <w:wordWrap/>
              <w:overflowPunct/>
              <w:topLinePunct w:val="0"/>
              <w:bidi w:val="0"/>
              <w:snapToGrid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2、供应商依法缴纳税收的相关材料提交[ 截标前半年内]任意连续 三 个月的依法缴纳税收的凭据复印件；依法免税的供应商，必须提供相应文件证明其依法免税。从取得营业执照时间起到响应文件提交截止时间为止不足要求月数的，只需提供从取得营业执照起的依法缴纳税收相应证明文件）；（必须提供，否则作无效响应处理）</w:t>
            </w:r>
          </w:p>
          <w:p w14:paraId="204BBF80">
            <w:pPr>
              <w:keepNext w:val="0"/>
              <w:keepLines w:val="0"/>
              <w:pageBreakBefore w:val="0"/>
              <w:widowControl w:val="0"/>
              <w:kinsoku/>
              <w:wordWrap/>
              <w:overflowPunct/>
              <w:topLinePunct w:val="0"/>
              <w:bidi w:val="0"/>
              <w:snapToGrid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3、供应商依法缴纳社会保障资金的相关材料提交[ 截标前半年内]任意连续 三 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必须提供，否则作无效响应处理）</w:t>
            </w:r>
          </w:p>
          <w:p w14:paraId="10133C05">
            <w:pPr>
              <w:keepNext w:val="0"/>
              <w:keepLines w:val="0"/>
              <w:pageBreakBefore w:val="0"/>
              <w:widowControl w:val="0"/>
              <w:kinsoku/>
              <w:wordWrap/>
              <w:overflowPunct/>
              <w:topLinePunct w:val="0"/>
              <w:bidi w:val="0"/>
              <w:snapToGrid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4、供应商财务状况报告</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财务状况报告复印件，供应商成立不满一年的应提供上一个月的财务状况报告复印件（上述财务状况</w:t>
            </w:r>
            <w:r>
              <w:rPr>
                <w:rFonts w:hint="eastAsia" w:ascii="宋体" w:hAnsi="宋体" w:cs="宋体"/>
                <w:color w:val="auto"/>
                <w:szCs w:val="21"/>
                <w:highlight w:val="none"/>
                <w:lang w:val="en-US" w:eastAsia="zh-CN"/>
              </w:rPr>
              <w:t>报告</w:t>
            </w:r>
            <w:r>
              <w:rPr>
                <w:rFonts w:hint="eastAsia" w:ascii="宋体" w:hAnsi="宋体" w:cs="宋体"/>
                <w:color w:val="auto"/>
                <w:szCs w:val="21"/>
                <w:highlight w:val="none"/>
              </w:rPr>
              <w:t>包括：</w:t>
            </w:r>
            <w:r>
              <w:rPr>
                <w:rFonts w:hint="eastAsia" w:ascii="宋体" w:hAnsi="宋体" w:cs="宋体"/>
                <w:b/>
                <w:bCs/>
                <w:color w:val="auto"/>
                <w:szCs w:val="21"/>
                <w:highlight w:val="none"/>
              </w:rPr>
              <w:t>供应商执行《企业会计准则》的</w:t>
            </w:r>
            <w:r>
              <w:rPr>
                <w:rFonts w:hint="eastAsia" w:ascii="宋体" w:hAnsi="宋体" w:cs="宋体"/>
                <w:color w:val="auto"/>
                <w:szCs w:val="21"/>
                <w:highlight w:val="none"/>
              </w:rPr>
              <w:t>，提供资产负债表、利润表、现金流量表、所有者权益变动表及其附注（以下称“四表一注”）；</w:t>
            </w:r>
            <w:r>
              <w:rPr>
                <w:rFonts w:hint="eastAsia" w:ascii="宋体" w:hAnsi="宋体" w:cs="宋体"/>
                <w:b/>
                <w:bCs/>
                <w:color w:val="auto"/>
                <w:szCs w:val="21"/>
                <w:highlight w:val="none"/>
              </w:rPr>
              <w:t>供应商执行《小企业会计准则》的</w:t>
            </w:r>
            <w:r>
              <w:rPr>
                <w:rFonts w:hint="eastAsia" w:ascii="宋体" w:hAnsi="宋体" w:cs="宋体"/>
                <w:color w:val="auto"/>
                <w:szCs w:val="21"/>
                <w:highlight w:val="none"/>
              </w:rPr>
              <w:t>，提供资产负债表、利润表、现金流量表及其附注（以下称“三表一注”）]；</w:t>
            </w:r>
            <w:r>
              <w:rPr>
                <w:rFonts w:hint="eastAsia" w:ascii="宋体" w:hAnsi="宋体" w:cs="宋体"/>
                <w:b/>
                <w:bCs/>
                <w:color w:val="auto"/>
                <w:szCs w:val="21"/>
                <w:highlight w:val="none"/>
              </w:rPr>
              <w:t>供应商执行《政府会计制度》的</w:t>
            </w:r>
            <w:r>
              <w:rPr>
                <w:rFonts w:hint="eastAsia" w:ascii="宋体" w:hAnsi="宋体" w:cs="宋体"/>
                <w:color w:val="auto"/>
                <w:szCs w:val="21"/>
                <w:highlight w:val="none"/>
              </w:rPr>
              <w:t>，提供资产负债表、收入费用表和净资产变动表及其附注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必须提供，否则作无效响应处理</w:t>
            </w:r>
            <w:r>
              <w:rPr>
                <w:rFonts w:hint="eastAsia" w:ascii="宋体" w:hAnsi="宋体" w:eastAsia="宋体" w:cs="宋体"/>
                <w:color w:val="auto"/>
                <w:szCs w:val="21"/>
                <w:highlight w:val="none"/>
              </w:rPr>
              <w:t>）</w:t>
            </w:r>
          </w:p>
          <w:p w14:paraId="4D04285D">
            <w:pPr>
              <w:keepNext w:val="0"/>
              <w:keepLines w:val="0"/>
              <w:pageBreakBefore w:val="0"/>
              <w:widowControl w:val="0"/>
              <w:kinsoku/>
              <w:wordWrap/>
              <w:overflowPunct/>
              <w:topLinePunct w:val="0"/>
              <w:bidi w:val="0"/>
              <w:snapToGrid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5、供应商直接控股、管理关系信息表；（</w:t>
            </w:r>
            <w:r>
              <w:rPr>
                <w:rFonts w:hint="eastAsia" w:ascii="宋体" w:hAnsi="宋体" w:eastAsia="宋体" w:cs="宋体"/>
                <w:b/>
                <w:color w:val="auto"/>
                <w:szCs w:val="21"/>
                <w:highlight w:val="none"/>
              </w:rPr>
              <w:t>必须提供，否则作无效响应处理</w:t>
            </w:r>
            <w:r>
              <w:rPr>
                <w:rFonts w:hint="eastAsia" w:ascii="宋体" w:hAnsi="宋体" w:eastAsia="宋体" w:cs="宋体"/>
                <w:color w:val="auto"/>
                <w:szCs w:val="21"/>
                <w:highlight w:val="none"/>
              </w:rPr>
              <w:t>）</w:t>
            </w:r>
          </w:p>
          <w:p w14:paraId="2C5A5279">
            <w:pPr>
              <w:keepNext w:val="0"/>
              <w:keepLines w:val="0"/>
              <w:pageBreakBefore w:val="0"/>
              <w:widowControl w:val="0"/>
              <w:numPr>
                <w:ilvl w:val="0"/>
                <w:numId w:val="1"/>
              </w:numPr>
              <w:kinsoku/>
              <w:wordWrap/>
              <w:overflowPunct/>
              <w:topLinePunct w:val="0"/>
              <w:bidi w:val="0"/>
              <w:snapToGrid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响应资格声明；（</w:t>
            </w:r>
            <w:r>
              <w:rPr>
                <w:rFonts w:hint="eastAsia" w:ascii="宋体" w:hAnsi="宋体" w:eastAsia="宋体" w:cs="宋体"/>
                <w:b/>
                <w:color w:val="auto"/>
                <w:szCs w:val="21"/>
                <w:highlight w:val="none"/>
              </w:rPr>
              <w:t>必须提供，否则作无效响应处理</w:t>
            </w:r>
            <w:r>
              <w:rPr>
                <w:rFonts w:hint="eastAsia" w:ascii="宋体" w:hAnsi="宋体" w:eastAsia="宋体" w:cs="宋体"/>
                <w:color w:val="auto"/>
                <w:szCs w:val="21"/>
                <w:highlight w:val="none"/>
              </w:rPr>
              <w:t>）</w:t>
            </w:r>
          </w:p>
          <w:p w14:paraId="59067B88">
            <w:pPr>
              <w:keepNext w:val="0"/>
              <w:keepLines w:val="0"/>
              <w:pageBreakBefore w:val="0"/>
              <w:widowControl w:val="0"/>
              <w:numPr>
                <w:ilvl w:val="0"/>
                <w:numId w:val="1"/>
              </w:numPr>
              <w:kinsoku/>
              <w:wordWrap/>
              <w:overflowPunct/>
              <w:topLinePunct w:val="0"/>
              <w:bidi w:val="0"/>
              <w:snapToGrid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联合体协议书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本项目无须提供</w:t>
            </w:r>
            <w:r>
              <w:rPr>
                <w:rFonts w:hint="eastAsia" w:ascii="宋体" w:hAnsi="宋体" w:eastAsia="宋体" w:cs="宋体"/>
                <w:color w:val="auto"/>
                <w:szCs w:val="21"/>
                <w:highlight w:val="none"/>
              </w:rPr>
              <w:t>）</w:t>
            </w:r>
          </w:p>
          <w:p w14:paraId="04A57AA7">
            <w:pPr>
              <w:keepNext w:val="0"/>
              <w:keepLines w:val="0"/>
              <w:pageBreakBefore w:val="0"/>
              <w:widowControl w:val="0"/>
              <w:kinsoku/>
              <w:wordWrap/>
              <w:overflowPunct/>
              <w:topLinePunct w:val="0"/>
              <w:bidi w:val="0"/>
              <w:snapToGrid w:val="0"/>
              <w:spacing w:line="360" w:lineRule="exact"/>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Times New Roman"/>
                <w:color w:val="auto"/>
                <w:szCs w:val="21"/>
                <w:highlight w:val="none"/>
              </w:rPr>
              <w:t>根据招标公告对应的特定条件设置供应商提供的资格证明材料</w:t>
            </w: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rPr>
              <w:t>（按特定条件要求提供承诺函（供应商是否属于已签订</w:t>
            </w:r>
            <w:r>
              <w:rPr>
                <w:rFonts w:hint="eastAsia" w:ascii="宋体" w:hAnsi="宋体" w:eastAsia="宋体" w:cs="宋体"/>
                <w:b/>
                <w:bCs/>
                <w:color w:val="auto"/>
                <w:sz w:val="21"/>
                <w:szCs w:val="21"/>
                <w:highlight w:val="none"/>
                <w:lang w:eastAsia="zh-CN"/>
              </w:rPr>
              <w:t>《邕宁区2024-2026年政府投资建设项目竣工结算审核服务框架协议采购》</w:t>
            </w:r>
            <w:r>
              <w:rPr>
                <w:rFonts w:hint="eastAsia" w:ascii="宋体" w:hAnsi="宋体" w:eastAsia="宋体" w:cs="宋体"/>
                <w:b/>
                <w:bCs/>
                <w:color w:val="auto"/>
                <w:sz w:val="21"/>
                <w:szCs w:val="21"/>
                <w:highlight w:val="none"/>
                <w:lang w:val="en-US" w:eastAsia="zh-CN"/>
              </w:rPr>
              <w:t>或</w:t>
            </w:r>
            <w:r>
              <w:rPr>
                <w:rFonts w:hint="eastAsia" w:ascii="宋体" w:hAnsi="宋体" w:eastAsia="宋体" w:cs="宋体"/>
                <w:b/>
                <w:bCs/>
                <w:color w:val="auto"/>
                <w:sz w:val="21"/>
                <w:szCs w:val="21"/>
                <w:highlight w:val="none"/>
              </w:rPr>
              <w:t>《邕宁区202</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年度政府投资建设项目预算编制服务框架协议采购》</w:t>
            </w:r>
            <w:r>
              <w:rPr>
                <w:rFonts w:hint="eastAsia" w:ascii="宋体" w:hAnsi="宋体" w:eastAsia="宋体" w:cs="宋体"/>
                <w:b/>
                <w:bCs/>
                <w:color w:val="auto"/>
                <w:sz w:val="21"/>
                <w:szCs w:val="21"/>
                <w:highlight w:val="none"/>
                <w:lang w:eastAsia="zh-CN"/>
              </w:rPr>
              <w:t>的入围</w:t>
            </w:r>
            <w:r>
              <w:rPr>
                <w:rFonts w:hint="eastAsia" w:ascii="宋体" w:hAnsi="宋体" w:eastAsia="宋体" w:cs="宋体"/>
                <w:b/>
                <w:bCs/>
                <w:color w:val="auto"/>
                <w:sz w:val="21"/>
                <w:szCs w:val="21"/>
                <w:highlight w:val="none"/>
              </w:rPr>
              <w:t>供应商</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w:t>
            </w:r>
            <w:r>
              <w:rPr>
                <w:rFonts w:hint="eastAsia" w:ascii="宋体" w:hAnsi="宋体" w:eastAsia="宋体" w:cs="Times New Roman"/>
                <w:b/>
                <w:color w:val="auto"/>
                <w:szCs w:val="21"/>
                <w:highlight w:val="none"/>
              </w:rPr>
              <w:t>必须提供，否则按无效响应处理</w:t>
            </w:r>
            <w:r>
              <w:rPr>
                <w:rFonts w:hint="eastAsia" w:ascii="宋体" w:hAnsi="宋体" w:eastAsia="宋体" w:cs="Times New Roman"/>
                <w:color w:val="auto"/>
                <w:szCs w:val="21"/>
                <w:highlight w:val="none"/>
              </w:rPr>
              <w:t>）</w:t>
            </w:r>
          </w:p>
          <w:p w14:paraId="677C9C2B">
            <w:pPr>
              <w:keepNext w:val="0"/>
              <w:keepLines w:val="0"/>
              <w:pageBreakBefore w:val="0"/>
              <w:widowControl w:val="0"/>
              <w:kinsoku/>
              <w:wordWrap/>
              <w:overflowPunct/>
              <w:topLinePunct w:val="0"/>
              <w:bidi w:val="0"/>
              <w:snapToGrid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9、除征集文件规定必须提供以外，供应商认为需要提供的其他证明材料。</w:t>
            </w:r>
          </w:p>
          <w:p w14:paraId="5EE883B9">
            <w:pPr>
              <w:keepNext w:val="0"/>
              <w:keepLines w:val="0"/>
              <w:pageBreakBefore w:val="0"/>
              <w:widowControl w:val="0"/>
              <w:kinsoku/>
              <w:wordWrap/>
              <w:overflowPunct/>
              <w:topLinePunct w:val="0"/>
              <w:bidi w:val="0"/>
              <w:snapToGrid w:val="0"/>
              <w:spacing w:line="360" w:lineRule="exact"/>
              <w:jc w:val="left"/>
              <w:rPr>
                <w:rFonts w:ascii="宋体" w:hAnsi="宋体" w:eastAsia="宋体" w:cs="宋体"/>
                <w:b/>
                <w:color w:val="auto"/>
                <w:szCs w:val="21"/>
                <w:highlight w:val="none"/>
              </w:rPr>
            </w:pPr>
            <w:r>
              <w:rPr>
                <w:rFonts w:hint="eastAsia" w:ascii="宋体" w:hAnsi="宋体" w:eastAsia="宋体" w:cs="宋体"/>
                <w:b/>
                <w:bCs/>
                <w:color w:val="auto"/>
                <w:szCs w:val="21"/>
                <w:highlight w:val="none"/>
              </w:rPr>
              <w:t>注：1.</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以上要求提供的电子资料，必须加盖供应商电子公章，否则</w:t>
            </w:r>
            <w:r>
              <w:rPr>
                <w:rFonts w:hint="eastAsia" w:ascii="宋体" w:hAnsi="宋体" w:eastAsia="宋体" w:cs="宋体"/>
                <w:b/>
                <w:color w:val="auto"/>
                <w:szCs w:val="21"/>
                <w:highlight w:val="none"/>
              </w:rPr>
              <w:t>作无效响应处理。</w:t>
            </w:r>
          </w:p>
          <w:p w14:paraId="6DE72FD6">
            <w:pPr>
              <w:keepNext w:val="0"/>
              <w:keepLines w:val="0"/>
              <w:pageBreakBefore w:val="0"/>
              <w:widowControl w:val="0"/>
              <w:kinsoku/>
              <w:wordWrap/>
              <w:overflowPunct/>
              <w:topLinePunct w:val="0"/>
              <w:bidi w:val="0"/>
              <w:snapToGrid w:val="0"/>
              <w:spacing w:line="360" w:lineRule="exact"/>
              <w:ind w:firstLine="422" w:firstLineChars="200"/>
              <w:jc w:val="left"/>
              <w:rPr>
                <w:rFonts w:ascii="宋体" w:hAnsi="宋体" w:eastAsia="宋体" w:cs="宋体"/>
                <w:b/>
                <w:bCs/>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bCs/>
                <w:color w:val="auto"/>
                <w:szCs w:val="21"/>
                <w:highlight w:val="none"/>
              </w:rPr>
              <w:t>.联合体响应时，第1-5项资格证明文件联合体各方均必须分别提供，联合体各方分别盖章和签字，否则响应文件按无效响应处理。</w:t>
            </w:r>
          </w:p>
        </w:tc>
      </w:tr>
      <w:tr w14:paraId="5924C9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left w:val="single" w:color="auto" w:sz="4" w:space="0"/>
              <w:right w:val="single" w:color="auto" w:sz="4" w:space="0"/>
            </w:tcBorders>
            <w:vAlign w:val="center"/>
          </w:tcPr>
          <w:p w14:paraId="6AFB8654">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D8FF1F5">
            <w:pPr>
              <w:keepNext w:val="0"/>
              <w:keepLines w:val="0"/>
              <w:pageBreakBefore w:val="0"/>
              <w:widowControl w:val="0"/>
              <w:kinsoku/>
              <w:wordWrap/>
              <w:overflowPunct/>
              <w:topLinePunct w:val="0"/>
              <w:bidi w:val="0"/>
              <w:snapToGrid w:val="0"/>
              <w:spacing w:line="360" w:lineRule="exact"/>
              <w:jc w:val="left"/>
              <w:rPr>
                <w:rFonts w:ascii="宋体" w:hAnsi="宋体" w:eastAsia="宋体" w:cs="宋体"/>
                <w:color w:val="auto"/>
                <w:szCs w:val="21"/>
                <w:highlight w:val="none"/>
              </w:rPr>
            </w:pPr>
            <w:bookmarkStart w:id="61" w:name="_13.3"/>
            <w:bookmarkEnd w:id="61"/>
            <w:r>
              <w:rPr>
                <w:rFonts w:hint="eastAsia" w:ascii="宋体" w:hAnsi="宋体" w:eastAsia="宋体" w:cs="宋体"/>
                <w:color w:val="auto"/>
                <w:szCs w:val="21"/>
                <w:highlight w:val="none"/>
              </w:rPr>
              <w:t>商务文件组成</w:t>
            </w:r>
          </w:p>
          <w:p w14:paraId="6DC3DB88">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15AEEC73">
            <w:pPr>
              <w:keepNext w:val="0"/>
              <w:keepLines w:val="0"/>
              <w:pageBreakBefore w:val="0"/>
              <w:widowControl w:val="0"/>
              <w:kinsoku/>
              <w:wordWrap/>
              <w:overflowPunct/>
              <w:topLinePunct w:val="0"/>
              <w:bidi w:val="0"/>
              <w:snapToGrid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1、无串通响应行为的承诺函；（</w:t>
            </w:r>
            <w:r>
              <w:rPr>
                <w:rFonts w:hint="eastAsia" w:ascii="宋体" w:hAnsi="宋体" w:eastAsia="宋体" w:cs="宋体"/>
                <w:b/>
                <w:color w:val="auto"/>
                <w:szCs w:val="21"/>
                <w:highlight w:val="none"/>
              </w:rPr>
              <w:t>必须提供，否则作无效响应处理</w:t>
            </w:r>
            <w:r>
              <w:rPr>
                <w:rFonts w:hint="eastAsia" w:ascii="宋体" w:hAnsi="宋体" w:eastAsia="宋体" w:cs="宋体"/>
                <w:color w:val="auto"/>
                <w:szCs w:val="21"/>
                <w:highlight w:val="none"/>
              </w:rPr>
              <w:t>）</w:t>
            </w:r>
          </w:p>
          <w:p w14:paraId="1E605468">
            <w:pPr>
              <w:keepNext w:val="0"/>
              <w:keepLines w:val="0"/>
              <w:pageBreakBefore w:val="0"/>
              <w:widowControl w:val="0"/>
              <w:kinsoku/>
              <w:wordWrap/>
              <w:overflowPunct/>
              <w:topLinePunct w:val="0"/>
              <w:bidi w:val="0"/>
              <w:snapToGrid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2、法定代表人身份证明及法定代表人有效身份证正反面复印件；（</w:t>
            </w:r>
            <w:r>
              <w:rPr>
                <w:rFonts w:hint="eastAsia" w:ascii="宋体" w:hAnsi="宋体" w:eastAsia="宋体" w:cs="宋体"/>
                <w:b/>
                <w:bCs/>
                <w:color w:val="auto"/>
                <w:szCs w:val="21"/>
                <w:highlight w:val="none"/>
              </w:rPr>
              <w:t>除自然人响应外</w:t>
            </w:r>
            <w:r>
              <w:rPr>
                <w:rFonts w:hint="eastAsia" w:ascii="宋体" w:hAnsi="宋体" w:eastAsia="宋体" w:cs="宋体"/>
                <w:b/>
                <w:color w:val="auto"/>
                <w:szCs w:val="21"/>
                <w:highlight w:val="none"/>
              </w:rPr>
              <w:t>必须提供，否则作无效响应处理</w:t>
            </w:r>
            <w:r>
              <w:rPr>
                <w:rFonts w:hint="eastAsia" w:ascii="宋体" w:hAnsi="宋体" w:eastAsia="宋体" w:cs="宋体"/>
                <w:color w:val="auto"/>
                <w:szCs w:val="21"/>
                <w:highlight w:val="none"/>
              </w:rPr>
              <w:t>）</w:t>
            </w:r>
          </w:p>
          <w:p w14:paraId="40E35A6F">
            <w:pPr>
              <w:keepNext w:val="0"/>
              <w:keepLines w:val="0"/>
              <w:pageBreakBefore w:val="0"/>
              <w:widowControl w:val="0"/>
              <w:kinsoku/>
              <w:wordWrap/>
              <w:overflowPunct/>
              <w:topLinePunct w:val="0"/>
              <w:bidi w:val="0"/>
              <w:snapToGrid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委托时必须提供，否则作无效响应处理</w:t>
            </w:r>
            <w:r>
              <w:rPr>
                <w:rFonts w:hint="eastAsia" w:ascii="宋体" w:hAnsi="宋体" w:eastAsia="宋体" w:cs="宋体"/>
                <w:color w:val="auto"/>
                <w:szCs w:val="21"/>
                <w:highlight w:val="none"/>
              </w:rPr>
              <w:t>）</w:t>
            </w:r>
          </w:p>
          <w:p w14:paraId="03372C95">
            <w:pPr>
              <w:keepNext w:val="0"/>
              <w:keepLines w:val="0"/>
              <w:pageBreakBefore w:val="0"/>
              <w:widowControl w:val="0"/>
              <w:kinsoku/>
              <w:wordWrap/>
              <w:overflowPunct/>
              <w:topLinePunct w:val="0"/>
              <w:bidi w:val="0"/>
              <w:snapToGrid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4、商务条款偏离表；（</w:t>
            </w:r>
            <w:r>
              <w:rPr>
                <w:rFonts w:hint="eastAsia" w:ascii="宋体" w:hAnsi="宋体" w:eastAsia="宋体" w:cs="宋体"/>
                <w:b/>
                <w:color w:val="auto"/>
                <w:szCs w:val="21"/>
                <w:highlight w:val="none"/>
              </w:rPr>
              <w:t>必须提供，否则作无效响应处理</w:t>
            </w:r>
            <w:r>
              <w:rPr>
                <w:rFonts w:hint="eastAsia" w:ascii="宋体" w:hAnsi="宋体" w:eastAsia="宋体" w:cs="宋体"/>
                <w:color w:val="auto"/>
                <w:szCs w:val="21"/>
                <w:highlight w:val="none"/>
              </w:rPr>
              <w:t>）</w:t>
            </w:r>
          </w:p>
          <w:p w14:paraId="7B3FDA38">
            <w:pPr>
              <w:keepNext w:val="0"/>
              <w:keepLines w:val="0"/>
              <w:pageBreakBefore w:val="0"/>
              <w:widowControl w:val="0"/>
              <w:kinsoku/>
              <w:wordWrap/>
              <w:overflowPunct/>
              <w:topLinePunct w:val="0"/>
              <w:bidi w:val="0"/>
              <w:snapToGrid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5、人员配备一览表；</w:t>
            </w:r>
          </w:p>
          <w:p w14:paraId="79225BD7">
            <w:pPr>
              <w:keepNext w:val="0"/>
              <w:keepLines w:val="0"/>
              <w:pageBreakBefore w:val="0"/>
              <w:widowControl w:val="0"/>
              <w:kinsoku/>
              <w:wordWrap/>
              <w:overflowPunct/>
              <w:topLinePunct w:val="0"/>
              <w:bidi w:val="0"/>
              <w:snapToGrid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6.供应商类似项目业绩证明文件；</w:t>
            </w:r>
          </w:p>
          <w:p w14:paraId="137F0C68">
            <w:pPr>
              <w:keepNext w:val="0"/>
              <w:keepLines w:val="0"/>
              <w:pageBreakBefore w:val="0"/>
              <w:widowControl w:val="0"/>
              <w:kinsoku/>
              <w:wordWrap/>
              <w:overflowPunct/>
              <w:topLinePunct w:val="0"/>
              <w:bidi w:val="0"/>
              <w:snapToGrid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7.企业信誉证明文件；</w:t>
            </w:r>
          </w:p>
          <w:p w14:paraId="0EFC194C">
            <w:pPr>
              <w:keepNext w:val="0"/>
              <w:keepLines w:val="0"/>
              <w:pageBreakBefore w:val="0"/>
              <w:widowControl w:val="0"/>
              <w:kinsoku/>
              <w:wordWrap/>
              <w:overflowPunct/>
              <w:topLinePunct w:val="0"/>
              <w:bidi w:val="0"/>
              <w:snapToGrid w:val="0"/>
              <w:spacing w:line="360" w:lineRule="exact"/>
              <w:jc w:val="left"/>
              <w:rPr>
                <w:rFonts w:ascii="宋体" w:hAnsi="宋体" w:eastAsia="宋体" w:cs="宋体"/>
                <w:b/>
                <w:bCs/>
                <w:color w:val="auto"/>
                <w:szCs w:val="21"/>
                <w:highlight w:val="none"/>
              </w:rPr>
            </w:pPr>
            <w:r>
              <w:rPr>
                <w:rFonts w:hint="eastAsia" w:ascii="宋体" w:hAnsi="宋体" w:eastAsia="宋体" w:cs="宋体"/>
                <w:color w:val="auto"/>
                <w:szCs w:val="21"/>
                <w:highlight w:val="none"/>
              </w:rPr>
              <w:t>8.供应商认为需要提供的其他证明材料。</w:t>
            </w:r>
          </w:p>
          <w:p w14:paraId="47529D06">
            <w:pPr>
              <w:keepNext w:val="0"/>
              <w:keepLines w:val="0"/>
              <w:pageBreakBefore w:val="0"/>
              <w:widowControl w:val="0"/>
              <w:kinsoku/>
              <w:wordWrap/>
              <w:overflowPunct/>
              <w:topLinePunct w:val="0"/>
              <w:bidi w:val="0"/>
              <w:snapToGrid w:val="0"/>
              <w:spacing w:line="36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注： 1.法定代表人授权委托书必须由法定代表人及委托代理人签字，并加盖供应商公章，否则作无效响应处理。</w:t>
            </w:r>
          </w:p>
          <w:p w14:paraId="1748C3DD">
            <w:pPr>
              <w:keepNext w:val="0"/>
              <w:keepLines w:val="0"/>
              <w:pageBreakBefore w:val="0"/>
              <w:widowControl w:val="0"/>
              <w:kinsoku/>
              <w:wordWrap/>
              <w:overflowPunct/>
              <w:topLinePunct w:val="0"/>
              <w:bidi w:val="0"/>
              <w:snapToGrid w:val="0"/>
              <w:spacing w:line="360" w:lineRule="exact"/>
              <w:ind w:firstLine="422" w:firstLineChars="200"/>
              <w:jc w:val="left"/>
              <w:rPr>
                <w:rFonts w:ascii="宋体" w:hAnsi="宋体" w:eastAsia="宋体" w:cs="宋体"/>
                <w:b/>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以上要求提供的电子资料，必须加盖供应商电子公章，否则</w:t>
            </w:r>
            <w:r>
              <w:rPr>
                <w:rFonts w:hint="eastAsia" w:ascii="宋体" w:hAnsi="宋体" w:eastAsia="宋体" w:cs="宋体"/>
                <w:b/>
                <w:color w:val="auto"/>
                <w:szCs w:val="21"/>
                <w:highlight w:val="none"/>
              </w:rPr>
              <w:t>作无效响应处理</w:t>
            </w:r>
            <w:r>
              <w:rPr>
                <w:rFonts w:hint="eastAsia" w:ascii="宋体" w:hAnsi="宋体" w:eastAsia="宋体" w:cs="宋体"/>
                <w:b/>
                <w:bCs/>
                <w:color w:val="auto"/>
                <w:szCs w:val="21"/>
                <w:highlight w:val="none"/>
              </w:rPr>
              <w:t>。</w:t>
            </w:r>
          </w:p>
        </w:tc>
      </w:tr>
      <w:tr w14:paraId="456445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left w:val="single" w:color="auto" w:sz="4" w:space="0"/>
              <w:right w:val="single" w:color="auto" w:sz="4" w:space="0"/>
            </w:tcBorders>
            <w:vAlign w:val="center"/>
          </w:tcPr>
          <w:p w14:paraId="196AD8BB">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D60953D">
            <w:pPr>
              <w:keepNext w:val="0"/>
              <w:keepLines w:val="0"/>
              <w:pageBreakBefore w:val="0"/>
              <w:widowControl w:val="0"/>
              <w:kinsoku/>
              <w:wordWrap/>
              <w:overflowPunct/>
              <w:topLinePunct w:val="0"/>
              <w:bidi w:val="0"/>
              <w:snapToGrid w:val="0"/>
              <w:spacing w:line="360" w:lineRule="exact"/>
              <w:jc w:val="left"/>
              <w:rPr>
                <w:rFonts w:ascii="宋体" w:hAnsi="宋体" w:eastAsia="宋体" w:cs="宋体"/>
                <w:color w:val="auto"/>
                <w:szCs w:val="21"/>
                <w:highlight w:val="none"/>
              </w:rPr>
            </w:pPr>
            <w:bookmarkStart w:id="62" w:name="_13.4"/>
            <w:bookmarkEnd w:id="62"/>
            <w:r>
              <w:rPr>
                <w:rFonts w:hint="eastAsia" w:ascii="宋体" w:hAnsi="宋体" w:eastAsia="宋体" w:cs="宋体"/>
                <w:color w:val="auto"/>
                <w:szCs w:val="21"/>
                <w:highlight w:val="none"/>
              </w:rPr>
              <w:t>技术文件组成</w:t>
            </w:r>
          </w:p>
          <w:p w14:paraId="2AE43EF2">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45A22314">
            <w:pPr>
              <w:keepNext w:val="0"/>
              <w:keepLines w:val="0"/>
              <w:pageBreakBefore w:val="0"/>
              <w:widowControl w:val="0"/>
              <w:kinsoku/>
              <w:wordWrap/>
              <w:overflowPunct/>
              <w:topLinePunct w:val="0"/>
              <w:bidi w:val="0"/>
              <w:snapToGrid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1、响应服务技术需求偏离表；（</w:t>
            </w:r>
            <w:r>
              <w:rPr>
                <w:rFonts w:hint="eastAsia" w:ascii="宋体" w:hAnsi="宋体" w:eastAsia="宋体" w:cs="宋体"/>
                <w:b/>
                <w:color w:val="auto"/>
                <w:szCs w:val="21"/>
                <w:highlight w:val="none"/>
              </w:rPr>
              <w:t>必须提供，否则作无效响应处理</w:t>
            </w:r>
            <w:r>
              <w:rPr>
                <w:rFonts w:hint="eastAsia" w:ascii="宋体" w:hAnsi="宋体" w:eastAsia="宋体" w:cs="宋体"/>
                <w:color w:val="auto"/>
                <w:szCs w:val="21"/>
                <w:highlight w:val="none"/>
              </w:rPr>
              <w:t>）</w:t>
            </w:r>
          </w:p>
          <w:p w14:paraId="45FAA67B">
            <w:pPr>
              <w:keepNext w:val="0"/>
              <w:keepLines w:val="0"/>
              <w:pageBreakBefore w:val="0"/>
              <w:widowControl w:val="0"/>
              <w:kinsoku/>
              <w:wordWrap/>
              <w:overflowPunct/>
              <w:topLinePunct w:val="0"/>
              <w:bidi w:val="0"/>
              <w:snapToGrid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2、实施方案（工作的程序与方法、质量管控措施、项目实施计划、廉洁措施、评审报告质量等，各供应商根据自身实际情况编写）；</w:t>
            </w:r>
          </w:p>
          <w:p w14:paraId="69DB9010">
            <w:pPr>
              <w:keepNext w:val="0"/>
              <w:keepLines w:val="0"/>
              <w:pageBreakBefore w:val="0"/>
              <w:widowControl w:val="0"/>
              <w:kinsoku/>
              <w:wordWrap/>
              <w:overflowPunct/>
              <w:topLinePunct w:val="0"/>
              <w:bidi w:val="0"/>
              <w:snapToGrid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3、售后服务承诺；</w:t>
            </w:r>
          </w:p>
          <w:p w14:paraId="7D016426">
            <w:pPr>
              <w:keepNext w:val="0"/>
              <w:keepLines w:val="0"/>
              <w:pageBreakBefore w:val="0"/>
              <w:widowControl w:val="0"/>
              <w:kinsoku/>
              <w:wordWrap/>
              <w:overflowPunct/>
              <w:topLinePunct w:val="0"/>
              <w:bidi w:val="0"/>
              <w:snapToGrid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4、除征集文件规定必须提供以外，供应商需要说明的其他文件和说明。</w:t>
            </w:r>
          </w:p>
          <w:p w14:paraId="5C7B5B28">
            <w:pPr>
              <w:keepNext w:val="0"/>
              <w:keepLines w:val="0"/>
              <w:pageBreakBefore w:val="0"/>
              <w:widowControl w:val="0"/>
              <w:kinsoku/>
              <w:wordWrap/>
              <w:overflowPunct/>
              <w:topLinePunct w:val="0"/>
              <w:bidi w:val="0"/>
              <w:snapToGrid w:val="0"/>
              <w:spacing w:line="36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注：以上要求提供的电子资料，必须加盖供应商电子公章，否则</w:t>
            </w:r>
            <w:r>
              <w:rPr>
                <w:rFonts w:hint="eastAsia" w:ascii="宋体" w:hAnsi="宋体" w:eastAsia="宋体" w:cs="宋体"/>
                <w:b/>
                <w:color w:val="auto"/>
                <w:szCs w:val="21"/>
                <w:highlight w:val="none"/>
              </w:rPr>
              <w:t>作无效响应处理</w:t>
            </w:r>
            <w:r>
              <w:rPr>
                <w:rFonts w:hint="eastAsia" w:ascii="宋体" w:hAnsi="宋体" w:eastAsia="宋体" w:cs="宋体"/>
                <w:b/>
                <w:bCs/>
                <w:color w:val="auto"/>
                <w:szCs w:val="21"/>
                <w:highlight w:val="none"/>
              </w:rPr>
              <w:t>。</w:t>
            </w:r>
          </w:p>
        </w:tc>
      </w:tr>
      <w:tr w14:paraId="567B23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left w:val="single" w:color="auto" w:sz="4" w:space="0"/>
              <w:bottom w:val="single" w:color="auto" w:sz="4" w:space="0"/>
              <w:right w:val="single" w:color="auto" w:sz="4" w:space="0"/>
            </w:tcBorders>
            <w:vAlign w:val="center"/>
          </w:tcPr>
          <w:p w14:paraId="5E70C2C0">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CFBD41C">
            <w:pPr>
              <w:keepNext w:val="0"/>
              <w:keepLines w:val="0"/>
              <w:pageBreakBefore w:val="0"/>
              <w:widowControl w:val="0"/>
              <w:kinsoku/>
              <w:wordWrap/>
              <w:overflowPunct/>
              <w:topLinePunct w:val="0"/>
              <w:bidi w:val="0"/>
              <w:snapToGrid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295A34CF">
            <w:pPr>
              <w:keepNext w:val="0"/>
              <w:keepLines w:val="0"/>
              <w:pageBreakBefore w:val="0"/>
              <w:widowControl w:val="0"/>
              <w:tabs>
                <w:tab w:val="left" w:pos="459"/>
              </w:tabs>
              <w:kinsoku/>
              <w:wordWrap/>
              <w:overflowPunct/>
              <w:topLinePunct w:val="0"/>
              <w:bidi w:val="0"/>
              <w:snapToGrid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（必须提供，否则作无效响应处理）</w:t>
            </w:r>
          </w:p>
          <w:p w14:paraId="3E665FA2">
            <w:pPr>
              <w:keepNext w:val="0"/>
              <w:keepLines w:val="0"/>
              <w:pageBreakBefore w:val="0"/>
              <w:widowControl w:val="0"/>
              <w:tabs>
                <w:tab w:val="left" w:pos="459"/>
              </w:tabs>
              <w:kinsoku/>
              <w:wordWrap/>
              <w:overflowPunct/>
              <w:topLinePunct w:val="0"/>
              <w:bidi w:val="0"/>
              <w:snapToGrid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2、开标一览表；（</w:t>
            </w:r>
            <w:r>
              <w:rPr>
                <w:rFonts w:hint="eastAsia" w:ascii="宋体" w:hAnsi="宋体" w:eastAsia="宋体" w:cs="宋体"/>
                <w:b/>
                <w:color w:val="auto"/>
                <w:szCs w:val="21"/>
                <w:highlight w:val="none"/>
              </w:rPr>
              <w:t>必须提供，否则作无效响应处理</w:t>
            </w:r>
            <w:r>
              <w:rPr>
                <w:rFonts w:hint="eastAsia" w:ascii="宋体" w:hAnsi="宋体" w:eastAsia="宋体" w:cs="宋体"/>
                <w:color w:val="auto"/>
                <w:szCs w:val="21"/>
                <w:highlight w:val="none"/>
              </w:rPr>
              <w:t>）</w:t>
            </w:r>
          </w:p>
          <w:p w14:paraId="2C21E298">
            <w:pPr>
              <w:keepNext w:val="0"/>
              <w:keepLines w:val="0"/>
              <w:pageBreakBefore w:val="0"/>
              <w:widowControl w:val="0"/>
              <w:tabs>
                <w:tab w:val="left" w:pos="459"/>
              </w:tabs>
              <w:kinsoku/>
              <w:wordWrap/>
              <w:overflowPunct/>
              <w:topLinePunct w:val="0"/>
              <w:bidi w:val="0"/>
              <w:snapToGrid w:val="0"/>
              <w:spacing w:line="36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3、供应商针对报价需要说明的其他文件和说明。</w:t>
            </w:r>
          </w:p>
          <w:p w14:paraId="44FA77AF">
            <w:pPr>
              <w:keepNext w:val="0"/>
              <w:keepLines w:val="0"/>
              <w:pageBreakBefore w:val="0"/>
              <w:widowControl w:val="0"/>
              <w:kinsoku/>
              <w:wordWrap/>
              <w:overflowPunct/>
              <w:topLinePunct w:val="0"/>
              <w:bidi w:val="0"/>
              <w:snapToGrid w:val="0"/>
              <w:spacing w:line="360" w:lineRule="exact"/>
              <w:jc w:val="left"/>
              <w:rPr>
                <w:rFonts w:ascii="宋体" w:hAnsi="宋体" w:eastAsia="宋体" w:cs="宋体"/>
                <w:color w:val="auto"/>
                <w:szCs w:val="24"/>
                <w:highlight w:val="none"/>
              </w:rPr>
            </w:pPr>
            <w:r>
              <w:rPr>
                <w:rFonts w:hint="eastAsia" w:ascii="宋体" w:hAnsi="宋体" w:eastAsia="宋体" w:cs="宋体"/>
                <w:b/>
                <w:bCs/>
                <w:color w:val="auto"/>
                <w:szCs w:val="21"/>
                <w:highlight w:val="none"/>
              </w:rPr>
              <w:t>注：以上要求提供的电子资料，必须加盖供应商电子公章，否则作无效响应处理。</w:t>
            </w:r>
          </w:p>
        </w:tc>
      </w:tr>
      <w:tr w14:paraId="446282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E580622">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268" w:type="dxa"/>
            <w:tcBorders>
              <w:top w:val="single" w:color="auto" w:sz="4" w:space="0"/>
              <w:left w:val="single" w:color="auto" w:sz="4" w:space="0"/>
              <w:bottom w:val="single" w:color="auto" w:sz="4" w:space="0"/>
              <w:right w:val="single" w:color="auto" w:sz="4" w:space="0"/>
            </w:tcBorders>
            <w:vAlign w:val="center"/>
          </w:tcPr>
          <w:p w14:paraId="79A22B8F">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bookmarkStart w:id="63" w:name="_16.2"/>
            <w:bookmarkEnd w:id="63"/>
            <w:r>
              <w:rPr>
                <w:rFonts w:hint="eastAsia" w:ascii="宋体" w:hAnsi="宋体" w:eastAsia="宋体" w:cs="宋体"/>
                <w:color w:val="auto"/>
                <w:szCs w:val="21"/>
                <w:highlight w:val="none"/>
              </w:rPr>
              <w:t>响应报价要求</w:t>
            </w:r>
          </w:p>
        </w:tc>
        <w:tc>
          <w:tcPr>
            <w:tcW w:w="7297" w:type="dxa"/>
            <w:tcBorders>
              <w:top w:val="single" w:color="auto" w:sz="4" w:space="0"/>
              <w:left w:val="single" w:color="auto" w:sz="4" w:space="0"/>
              <w:bottom w:val="single" w:color="auto" w:sz="4" w:space="0"/>
              <w:right w:val="single" w:color="auto" w:sz="4" w:space="0"/>
            </w:tcBorders>
            <w:vAlign w:val="center"/>
          </w:tcPr>
          <w:p w14:paraId="0B6EFE69">
            <w:pPr>
              <w:keepNext w:val="0"/>
              <w:keepLines w:val="0"/>
              <w:pageBreakBefore w:val="0"/>
              <w:widowControl w:val="0"/>
              <w:kinsoku/>
              <w:wordWrap/>
              <w:overflowPunct/>
              <w:topLinePunct w:val="0"/>
              <w:bidi w:val="0"/>
              <w:snapToGrid w:val="0"/>
              <w:spacing w:line="360" w:lineRule="exac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响应报价是履行合同的最终价格，供应商在响应报价时，</w:t>
            </w:r>
            <w:r>
              <w:rPr>
                <w:rFonts w:hint="eastAsia" w:ascii="Times New Roman" w:hAnsi="Times New Roman" w:eastAsia="宋体" w:cs="Times New Roman"/>
                <w:color w:val="auto"/>
                <w:szCs w:val="24"/>
                <w:highlight w:val="none"/>
              </w:rPr>
              <w:t>必须承诺按最高限制单价</w:t>
            </w:r>
            <w:r>
              <w:rPr>
                <w:rFonts w:hint="eastAsia" w:ascii="宋体" w:hAnsi="宋体"/>
                <w:color w:val="auto"/>
                <w:szCs w:val="21"/>
                <w:highlight w:val="none"/>
              </w:rPr>
              <w:t>（含固定下浮系数）</w:t>
            </w:r>
            <w:r>
              <w:rPr>
                <w:rFonts w:hint="eastAsia" w:ascii="Times New Roman" w:hAnsi="Times New Roman" w:eastAsia="宋体" w:cs="Times New Roman"/>
                <w:color w:val="auto"/>
                <w:szCs w:val="24"/>
                <w:highlight w:val="none"/>
              </w:rPr>
              <w:t>的计费方式和费率计算审核服务费，超过最高限制单价的响应报价为无效响应报价</w:t>
            </w:r>
            <w:r>
              <w:rPr>
                <w:rFonts w:ascii="Times New Roman" w:hAnsi="Times New Roman" w:eastAsia="宋体" w:cs="Times New Roman"/>
                <w:color w:val="auto"/>
                <w:szCs w:val="24"/>
                <w:highlight w:val="none"/>
              </w:rPr>
              <w:t>。供应商的报价已包括了实施和完成审核工作所需的劳务费、技术服务费、交通、通讯、办公场地、管理费、税费和利润等费用和政策性文件规定及合同包含的所有风险、责任等各项应有的费用。合同期内，费率不再调整。采购人不再向成交供应商支付其响应报价之外的任何费用。</w:t>
            </w:r>
          </w:p>
          <w:p w14:paraId="2FA82B4C">
            <w:pPr>
              <w:keepNext w:val="0"/>
              <w:keepLines w:val="0"/>
              <w:pageBreakBefore w:val="0"/>
              <w:widowControl w:val="0"/>
              <w:kinsoku/>
              <w:wordWrap/>
              <w:overflowPunct/>
              <w:topLinePunct w:val="0"/>
              <w:bidi w:val="0"/>
              <w:snapToGrid w:val="0"/>
              <w:spacing w:line="360" w:lineRule="exact"/>
              <w:rPr>
                <w:rFonts w:ascii="Times New Roman" w:hAnsi="Times New Roman" w:eastAsia="宋体" w:cs="Times New Roman"/>
                <w:color w:val="auto"/>
                <w:szCs w:val="24"/>
                <w:highlight w:val="none"/>
              </w:rPr>
            </w:pPr>
            <w:r>
              <w:rPr>
                <w:rFonts w:ascii="Times New Roman" w:hAnsi="Times New Roman" w:eastAsia="宋体" w:cs="Times New Roman"/>
                <w:b/>
                <w:bCs/>
                <w:color w:val="auto"/>
                <w:szCs w:val="24"/>
                <w:highlight w:val="none"/>
              </w:rPr>
              <w:t>注：文件中若需要填写数字价格的地方均填写“0.00”，此填写仅为了</w:t>
            </w:r>
            <w:r>
              <w:rPr>
                <w:rFonts w:hint="eastAsia" w:ascii="Times New Roman" w:hAnsi="Times New Roman" w:eastAsia="宋体" w:cs="Times New Roman"/>
                <w:b/>
                <w:bCs/>
                <w:color w:val="auto"/>
                <w:szCs w:val="24"/>
                <w:highlight w:val="none"/>
              </w:rPr>
              <w:t>响应</w:t>
            </w:r>
            <w:r>
              <w:rPr>
                <w:rFonts w:ascii="Times New Roman" w:hAnsi="Times New Roman" w:eastAsia="宋体" w:cs="Times New Roman"/>
                <w:b/>
                <w:bCs/>
                <w:color w:val="auto"/>
                <w:szCs w:val="24"/>
                <w:highlight w:val="none"/>
              </w:rPr>
              <w:t>文件完整性，计费方式按上述所示。</w:t>
            </w:r>
            <w:r>
              <w:rPr>
                <w:rFonts w:hint="eastAsia" w:ascii="Times New Roman" w:hAnsi="Times New Roman" w:eastAsia="宋体" w:cs="Times New Roman"/>
                <w:b/>
                <w:bCs/>
                <w:color w:val="auto"/>
                <w:szCs w:val="24"/>
                <w:highlight w:val="none"/>
              </w:rPr>
              <w:t>本文件若有其他关于报价的描述与本条不符，均以本条为准。</w:t>
            </w:r>
          </w:p>
        </w:tc>
      </w:tr>
      <w:tr w14:paraId="7C5260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443A79F">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17.2</w:t>
            </w:r>
          </w:p>
        </w:tc>
        <w:tc>
          <w:tcPr>
            <w:tcW w:w="2268" w:type="dxa"/>
            <w:tcBorders>
              <w:top w:val="single" w:color="auto" w:sz="4" w:space="0"/>
              <w:left w:val="single" w:color="auto" w:sz="4" w:space="0"/>
              <w:bottom w:val="single" w:color="auto" w:sz="4" w:space="0"/>
              <w:right w:val="single" w:color="auto" w:sz="4" w:space="0"/>
            </w:tcBorders>
            <w:vAlign w:val="center"/>
          </w:tcPr>
          <w:p w14:paraId="498A85D4">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bookmarkStart w:id="64" w:name="_17.1"/>
            <w:bookmarkEnd w:id="64"/>
            <w:r>
              <w:rPr>
                <w:rFonts w:hint="eastAsia" w:ascii="宋体" w:hAnsi="宋体" w:eastAsia="宋体" w:cs="宋体"/>
                <w:color w:val="auto"/>
                <w:szCs w:val="21"/>
                <w:highlight w:val="none"/>
              </w:rPr>
              <w:t>响应有效期</w:t>
            </w:r>
          </w:p>
        </w:tc>
        <w:tc>
          <w:tcPr>
            <w:tcW w:w="7297" w:type="dxa"/>
            <w:tcBorders>
              <w:top w:val="single" w:color="auto" w:sz="4" w:space="0"/>
              <w:left w:val="single" w:color="auto" w:sz="4" w:space="0"/>
              <w:bottom w:val="single" w:color="auto" w:sz="4" w:space="0"/>
              <w:right w:val="single" w:color="auto" w:sz="4" w:space="0"/>
            </w:tcBorders>
            <w:vAlign w:val="center"/>
          </w:tcPr>
          <w:p w14:paraId="3C70724F">
            <w:pPr>
              <w:keepNext w:val="0"/>
              <w:keepLines w:val="0"/>
              <w:pageBreakBefore w:val="0"/>
              <w:widowControl w:val="0"/>
              <w:kinsoku/>
              <w:wordWrap/>
              <w:overflowPunct/>
              <w:topLinePunct w:val="0"/>
              <w:bidi w:val="0"/>
              <w:snapToGrid w:val="0"/>
              <w:spacing w:line="360" w:lineRule="exac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自响应截止之日起</w:t>
            </w:r>
            <w:r>
              <w:rPr>
                <w:rFonts w:hint="eastAsia" w:ascii="Times New Roman" w:hAnsi="Times New Roman" w:eastAsia="宋体" w:cs="Times New Roman"/>
                <w:color w:val="auto"/>
                <w:szCs w:val="24"/>
                <w:highlight w:val="none"/>
              </w:rPr>
              <w:t xml:space="preserve"> </w:t>
            </w:r>
            <w:r>
              <w:rPr>
                <w:rFonts w:ascii="Times New Roman" w:hAnsi="Times New Roman" w:eastAsia="宋体" w:cs="Times New Roman"/>
                <w:color w:val="auto"/>
                <w:szCs w:val="24"/>
                <w:highlight w:val="none"/>
              </w:rPr>
              <w:t>60</w:t>
            </w:r>
            <w:r>
              <w:rPr>
                <w:rFonts w:hint="eastAsia" w:ascii="Times New Roman" w:hAnsi="Times New Roman" w:eastAsia="宋体" w:cs="Times New Roman"/>
                <w:color w:val="auto"/>
                <w:szCs w:val="24"/>
                <w:highlight w:val="none"/>
              </w:rPr>
              <w:t xml:space="preserve"> </w:t>
            </w:r>
            <w:r>
              <w:rPr>
                <w:rFonts w:ascii="Times New Roman" w:hAnsi="Times New Roman" w:eastAsia="宋体" w:cs="Times New Roman"/>
                <w:color w:val="auto"/>
                <w:szCs w:val="24"/>
                <w:highlight w:val="none"/>
              </w:rPr>
              <w:t>日。</w:t>
            </w:r>
          </w:p>
        </w:tc>
      </w:tr>
      <w:tr w14:paraId="579F0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E6229E6">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2268" w:type="dxa"/>
            <w:tcBorders>
              <w:top w:val="single" w:color="auto" w:sz="4" w:space="0"/>
              <w:left w:val="single" w:color="auto" w:sz="4" w:space="0"/>
              <w:bottom w:val="single" w:color="auto" w:sz="4" w:space="0"/>
              <w:right w:val="single" w:color="auto" w:sz="4" w:space="0"/>
            </w:tcBorders>
            <w:vAlign w:val="center"/>
          </w:tcPr>
          <w:p w14:paraId="7AA218FB">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bookmarkStart w:id="65" w:name="_18"/>
            <w:bookmarkEnd w:id="65"/>
            <w:r>
              <w:rPr>
                <w:rFonts w:hint="eastAsia" w:ascii="宋体" w:hAnsi="宋体" w:eastAsia="宋体" w:cs="宋体"/>
                <w:color w:val="auto"/>
                <w:szCs w:val="21"/>
                <w:highlight w:val="none"/>
              </w:rPr>
              <w:t>响应保证金金额</w:t>
            </w:r>
          </w:p>
        </w:tc>
        <w:tc>
          <w:tcPr>
            <w:tcW w:w="7297" w:type="dxa"/>
            <w:tcBorders>
              <w:top w:val="single" w:color="auto" w:sz="4" w:space="0"/>
              <w:left w:val="single" w:color="auto" w:sz="4" w:space="0"/>
              <w:bottom w:val="single" w:color="auto" w:sz="4" w:space="0"/>
              <w:right w:val="single" w:color="auto" w:sz="4" w:space="0"/>
            </w:tcBorders>
            <w:vAlign w:val="center"/>
          </w:tcPr>
          <w:p w14:paraId="39BAE862">
            <w:pPr>
              <w:keepNext w:val="0"/>
              <w:keepLines w:val="0"/>
              <w:pageBreakBefore w:val="0"/>
              <w:widowControl w:val="0"/>
              <w:kinsoku/>
              <w:wordWrap/>
              <w:overflowPunct/>
              <w:topLinePunct w:val="0"/>
              <w:autoSpaceDE w:val="0"/>
              <w:autoSpaceDN w:val="0"/>
              <w:bidi w:val="0"/>
              <w:snapToGrid w:val="0"/>
              <w:spacing w:line="360" w:lineRule="exact"/>
              <w:textAlignment w:val="bottom"/>
              <w:rPr>
                <w:rFonts w:ascii="宋体" w:hAnsi="宋体" w:eastAsia="宋体" w:cs="宋体"/>
                <w:color w:val="auto"/>
                <w:szCs w:val="21"/>
                <w:highlight w:val="none"/>
              </w:rPr>
            </w:pPr>
            <w:r>
              <w:rPr>
                <w:rFonts w:hint="eastAsia" w:ascii="宋体" w:hAnsi="宋体" w:eastAsia="宋体" w:cs="宋体"/>
                <w:color w:val="auto"/>
                <w:szCs w:val="21"/>
                <w:highlight w:val="none"/>
              </w:rPr>
              <w:t>本项目不收取响应保证金。</w:t>
            </w:r>
          </w:p>
        </w:tc>
      </w:tr>
      <w:tr w14:paraId="3D00C7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CF2F182">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19.1</w:t>
            </w:r>
          </w:p>
        </w:tc>
        <w:tc>
          <w:tcPr>
            <w:tcW w:w="2268" w:type="dxa"/>
            <w:tcBorders>
              <w:top w:val="single" w:color="auto" w:sz="4" w:space="0"/>
              <w:left w:val="single" w:color="auto" w:sz="4" w:space="0"/>
              <w:bottom w:val="single" w:color="auto" w:sz="4" w:space="0"/>
              <w:right w:val="single" w:color="auto" w:sz="4" w:space="0"/>
            </w:tcBorders>
            <w:vAlign w:val="center"/>
          </w:tcPr>
          <w:p w14:paraId="5DC7744F">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响应文件编制要求</w:t>
            </w:r>
          </w:p>
        </w:tc>
        <w:tc>
          <w:tcPr>
            <w:tcW w:w="7297" w:type="dxa"/>
            <w:tcBorders>
              <w:top w:val="single" w:color="auto" w:sz="4" w:space="0"/>
              <w:left w:val="single" w:color="auto" w:sz="4" w:space="0"/>
              <w:bottom w:val="single" w:color="auto" w:sz="4" w:space="0"/>
              <w:right w:val="single" w:color="auto" w:sz="4" w:space="0"/>
            </w:tcBorders>
            <w:vAlign w:val="center"/>
          </w:tcPr>
          <w:p w14:paraId="1455539E">
            <w:pPr>
              <w:keepNext w:val="0"/>
              <w:keepLines w:val="0"/>
              <w:pageBreakBefore w:val="0"/>
              <w:widowControl w:val="0"/>
              <w:kinsoku/>
              <w:wordWrap/>
              <w:overflowPunct/>
              <w:topLinePunct w:val="0"/>
              <w:bidi w:val="0"/>
              <w:spacing w:line="360" w:lineRule="exact"/>
              <w:rPr>
                <w:rFonts w:ascii="宋体" w:hAnsi="宋体" w:eastAsia="宋体" w:cs="宋体"/>
                <w:b/>
                <w:color w:val="auto"/>
                <w:szCs w:val="21"/>
                <w:highlight w:val="none"/>
                <w:u w:val="single"/>
              </w:rPr>
            </w:pPr>
            <w:r>
              <w:rPr>
                <w:rFonts w:hint="eastAsia" w:ascii="宋体" w:hAnsi="宋体" w:eastAsia="宋体" w:cs="宋体"/>
                <w:color w:val="auto"/>
                <w:szCs w:val="21"/>
                <w:highlight w:val="none"/>
              </w:rPr>
              <w:t>响应文件应按报价文件、资格证明文件、商务文件、技术文件分别编制，报价文件、资格证明文件分别生成电子文件，商务文件和技术文件按顺序合并生成电子文件。</w:t>
            </w:r>
            <w:r>
              <w:rPr>
                <w:rFonts w:hint="eastAsia" w:ascii="宋体" w:hAnsi="宋体" w:eastAsia="宋体" w:cs="宋体"/>
                <w:b/>
                <w:color w:val="auto"/>
                <w:szCs w:val="21"/>
                <w:highlight w:val="none"/>
                <w:u w:val="single"/>
              </w:rPr>
              <w:t>电子版响应文件制作方式见征集公告附件。</w:t>
            </w:r>
          </w:p>
        </w:tc>
      </w:tr>
      <w:tr w14:paraId="657FC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3DC4215">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2268" w:type="dxa"/>
            <w:tcBorders>
              <w:top w:val="single" w:color="auto" w:sz="4" w:space="0"/>
              <w:left w:val="single" w:color="auto" w:sz="4" w:space="0"/>
              <w:bottom w:val="single" w:color="auto" w:sz="4" w:space="0"/>
              <w:right w:val="single" w:color="auto" w:sz="4" w:space="0"/>
            </w:tcBorders>
            <w:vAlign w:val="center"/>
          </w:tcPr>
          <w:p w14:paraId="45B06408">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7297" w:type="dxa"/>
            <w:tcBorders>
              <w:top w:val="single" w:color="auto" w:sz="4" w:space="0"/>
              <w:left w:val="single" w:color="auto" w:sz="4" w:space="0"/>
              <w:bottom w:val="single" w:color="auto" w:sz="4" w:space="0"/>
              <w:right w:val="single" w:color="auto" w:sz="4" w:space="0"/>
            </w:tcBorders>
            <w:vAlign w:val="center"/>
          </w:tcPr>
          <w:p w14:paraId="2CD9E8B8">
            <w:pPr>
              <w:keepNext w:val="0"/>
              <w:keepLines w:val="0"/>
              <w:pageBreakBefore w:val="0"/>
              <w:widowControl w:val="0"/>
              <w:kinsoku/>
              <w:wordWrap/>
              <w:overflowPunct/>
              <w:topLinePunct w:val="0"/>
              <w:autoSpaceDE w:val="0"/>
              <w:autoSpaceDN w:val="0"/>
              <w:bidi w:val="0"/>
              <w:snapToGrid w:val="0"/>
              <w:spacing w:line="360" w:lineRule="exact"/>
              <w:textAlignment w:val="bottom"/>
              <w:rPr>
                <w:rFonts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475AF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right w:val="single" w:color="auto" w:sz="4" w:space="0"/>
            </w:tcBorders>
            <w:vAlign w:val="center"/>
          </w:tcPr>
          <w:p w14:paraId="6CBBFE04">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2268" w:type="dxa"/>
            <w:tcBorders>
              <w:top w:val="single" w:color="auto" w:sz="4" w:space="0"/>
              <w:left w:val="single" w:color="auto" w:sz="4" w:space="0"/>
              <w:bottom w:val="single" w:color="auto" w:sz="4" w:space="0"/>
              <w:right w:val="single" w:color="auto" w:sz="4" w:space="0"/>
            </w:tcBorders>
            <w:vAlign w:val="center"/>
          </w:tcPr>
          <w:p w14:paraId="50090E40">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bookmarkStart w:id="66" w:name="_21.1"/>
            <w:bookmarkEnd w:id="66"/>
            <w:r>
              <w:rPr>
                <w:rFonts w:hint="eastAsia" w:ascii="宋体" w:hAnsi="宋体" w:eastAsia="宋体" w:cs="宋体"/>
                <w:color w:val="auto"/>
                <w:szCs w:val="21"/>
                <w:highlight w:val="none"/>
              </w:rPr>
              <w:t>响应截止时间</w:t>
            </w:r>
          </w:p>
        </w:tc>
        <w:tc>
          <w:tcPr>
            <w:tcW w:w="7297" w:type="dxa"/>
            <w:tcBorders>
              <w:top w:val="single" w:color="auto" w:sz="4" w:space="0"/>
              <w:left w:val="single" w:color="auto" w:sz="4" w:space="0"/>
              <w:bottom w:val="single" w:color="auto" w:sz="4" w:space="0"/>
              <w:right w:val="single" w:color="auto" w:sz="4" w:space="0"/>
            </w:tcBorders>
            <w:vAlign w:val="center"/>
          </w:tcPr>
          <w:p w14:paraId="740F4911">
            <w:pPr>
              <w:keepNext w:val="0"/>
              <w:keepLines w:val="0"/>
              <w:pageBreakBefore w:val="0"/>
              <w:widowControl w:val="0"/>
              <w:kinsoku/>
              <w:wordWrap/>
              <w:overflowPunct/>
              <w:topLinePunct w:val="0"/>
              <w:bidi w:val="0"/>
              <w:snapToGrid w:val="0"/>
              <w:spacing w:line="360" w:lineRule="exact"/>
              <w:rPr>
                <w:rFonts w:ascii="宋体" w:hAnsi="宋体" w:eastAsia="宋体" w:cs="宋体"/>
                <w:color w:val="auto"/>
                <w:szCs w:val="21"/>
                <w:highlight w:val="none"/>
                <w:u w:val="single"/>
              </w:rPr>
            </w:pPr>
            <w:r>
              <w:rPr>
                <w:rFonts w:hint="eastAsia" w:ascii="宋体" w:hAnsi="宋体" w:eastAsia="宋体" w:cs="宋体"/>
                <w:color w:val="auto"/>
                <w:szCs w:val="21"/>
                <w:highlight w:val="none"/>
              </w:rPr>
              <w:t>详见征集公告</w:t>
            </w:r>
          </w:p>
        </w:tc>
      </w:tr>
      <w:tr w14:paraId="54CB1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left w:val="single" w:color="auto" w:sz="4" w:space="0"/>
              <w:right w:val="single" w:color="auto" w:sz="4" w:space="0"/>
            </w:tcBorders>
            <w:vAlign w:val="center"/>
          </w:tcPr>
          <w:p w14:paraId="73FA586E">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52DE7BE">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响应文件提交起止时间</w:t>
            </w:r>
          </w:p>
        </w:tc>
        <w:tc>
          <w:tcPr>
            <w:tcW w:w="7297" w:type="dxa"/>
            <w:tcBorders>
              <w:top w:val="single" w:color="auto" w:sz="4" w:space="0"/>
              <w:left w:val="single" w:color="auto" w:sz="4" w:space="0"/>
              <w:bottom w:val="single" w:color="auto" w:sz="4" w:space="0"/>
              <w:right w:val="single" w:color="auto" w:sz="4" w:space="0"/>
            </w:tcBorders>
            <w:vAlign w:val="center"/>
          </w:tcPr>
          <w:p w14:paraId="426BA6B6">
            <w:pPr>
              <w:keepNext w:val="0"/>
              <w:keepLines w:val="0"/>
              <w:pageBreakBefore w:val="0"/>
              <w:widowControl w:val="0"/>
              <w:kinsoku/>
              <w:wordWrap/>
              <w:overflowPunct/>
              <w:topLinePunct w:val="0"/>
              <w:bidi w:val="0"/>
              <w:snapToGrid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详见征集公告</w:t>
            </w:r>
          </w:p>
        </w:tc>
      </w:tr>
      <w:tr w14:paraId="6D813D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left w:val="single" w:color="auto" w:sz="4" w:space="0"/>
              <w:right w:val="single" w:color="auto" w:sz="4" w:space="0"/>
            </w:tcBorders>
            <w:vAlign w:val="center"/>
          </w:tcPr>
          <w:p w14:paraId="3BA31175">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BCF9FA5">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响应地点</w:t>
            </w:r>
          </w:p>
        </w:tc>
        <w:tc>
          <w:tcPr>
            <w:tcW w:w="7297" w:type="dxa"/>
            <w:tcBorders>
              <w:top w:val="single" w:color="auto" w:sz="4" w:space="0"/>
              <w:left w:val="single" w:color="auto" w:sz="4" w:space="0"/>
              <w:bottom w:val="single" w:color="auto" w:sz="4" w:space="0"/>
              <w:right w:val="single" w:color="auto" w:sz="4" w:space="0"/>
            </w:tcBorders>
            <w:vAlign w:val="center"/>
          </w:tcPr>
          <w:p w14:paraId="5F112B9C">
            <w:pPr>
              <w:keepNext w:val="0"/>
              <w:keepLines w:val="0"/>
              <w:pageBreakBefore w:val="0"/>
              <w:widowControl w:val="0"/>
              <w:kinsoku/>
              <w:wordWrap/>
              <w:overflowPunct/>
              <w:topLinePunct w:val="0"/>
              <w:bidi w:val="0"/>
              <w:snapToGrid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详见征集公告</w:t>
            </w:r>
          </w:p>
        </w:tc>
      </w:tr>
      <w:tr w14:paraId="39EB1A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left w:val="single" w:color="auto" w:sz="4" w:space="0"/>
              <w:right w:val="single" w:color="auto" w:sz="4" w:space="0"/>
            </w:tcBorders>
            <w:vAlign w:val="center"/>
          </w:tcPr>
          <w:p w14:paraId="38D0A7A9">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3052301">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供应商递交响应样品截止时间及地点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14:paraId="22F651B3">
            <w:pPr>
              <w:keepNext w:val="0"/>
              <w:keepLines w:val="0"/>
              <w:pageBreakBefore w:val="0"/>
              <w:widowControl w:val="0"/>
              <w:kinsoku/>
              <w:wordWrap/>
              <w:overflowPunct/>
              <w:topLinePunct w:val="0"/>
              <w:bidi w:val="0"/>
              <w:snapToGrid w:val="0"/>
              <w:spacing w:line="360" w:lineRule="exact"/>
              <w:rPr>
                <w:rFonts w:ascii="宋体" w:hAnsi="宋体" w:eastAsia="宋体" w:cs="宋体"/>
                <w:color w:val="auto"/>
                <w:szCs w:val="21"/>
                <w:highlight w:val="none"/>
              </w:rPr>
            </w:pPr>
            <w:r>
              <w:rPr>
                <w:rFonts w:hint="eastAsia" w:ascii="宋体" w:hAnsi="宋体" w:eastAsia="宋体" w:cs="宋体"/>
                <w:bCs/>
                <w:color w:val="auto"/>
                <w:szCs w:val="21"/>
                <w:highlight w:val="none"/>
              </w:rPr>
              <w:t>/</w:t>
            </w:r>
          </w:p>
        </w:tc>
      </w:tr>
      <w:tr w14:paraId="25DF87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96F36D0">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2268" w:type="dxa"/>
            <w:tcBorders>
              <w:top w:val="single" w:color="auto" w:sz="4" w:space="0"/>
              <w:left w:val="single" w:color="auto" w:sz="4" w:space="0"/>
              <w:bottom w:val="single" w:color="auto" w:sz="4" w:space="0"/>
              <w:right w:val="single" w:color="auto" w:sz="4" w:space="0"/>
            </w:tcBorders>
            <w:vAlign w:val="center"/>
          </w:tcPr>
          <w:p w14:paraId="4F51DBAA">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bookmarkStart w:id="67" w:name="_23"/>
            <w:bookmarkEnd w:id="67"/>
            <w:r>
              <w:rPr>
                <w:rFonts w:hint="eastAsia" w:ascii="宋体" w:hAnsi="宋体" w:eastAsia="宋体" w:cs="宋体"/>
                <w:color w:val="auto"/>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14:paraId="1687ACCD">
            <w:pPr>
              <w:keepNext w:val="0"/>
              <w:keepLines w:val="0"/>
              <w:pageBreakBefore w:val="0"/>
              <w:widowControl w:val="0"/>
              <w:kinsoku/>
              <w:wordWrap/>
              <w:overflowPunct/>
              <w:topLinePunct w:val="0"/>
              <w:bidi w:val="0"/>
              <w:snapToGrid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详见征集公告 </w:t>
            </w:r>
          </w:p>
        </w:tc>
      </w:tr>
      <w:tr w14:paraId="6C2A81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40E54A1">
            <w:pPr>
              <w:keepNext w:val="0"/>
              <w:keepLines w:val="0"/>
              <w:pageBreakBefore w:val="0"/>
              <w:widowControl w:val="0"/>
              <w:kinsoku/>
              <w:wordWrap/>
              <w:overflowPunct/>
              <w:topLinePunct w:val="0"/>
              <w:autoSpaceDE w:val="0"/>
              <w:autoSpaceDN w:val="0"/>
              <w:bidi w:val="0"/>
              <w:adjustRightInd w:val="0"/>
              <w:spacing w:line="36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24.2</w:t>
            </w:r>
          </w:p>
          <w:p w14:paraId="6AF88E78">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14:paraId="360E8EF1">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b/>
                <w:color w:val="auto"/>
                <w:szCs w:val="21"/>
                <w:highlight w:val="none"/>
              </w:rPr>
              <w:t>解密电子响应文件</w:t>
            </w:r>
          </w:p>
        </w:tc>
        <w:tc>
          <w:tcPr>
            <w:tcW w:w="7297" w:type="dxa"/>
            <w:tcBorders>
              <w:top w:val="single" w:color="auto" w:sz="4" w:space="0"/>
              <w:left w:val="single" w:color="auto" w:sz="4" w:space="0"/>
              <w:bottom w:val="single" w:color="auto" w:sz="4" w:space="0"/>
              <w:right w:val="single" w:color="auto" w:sz="4" w:space="0"/>
            </w:tcBorders>
            <w:vAlign w:val="center"/>
          </w:tcPr>
          <w:p w14:paraId="52E96D05">
            <w:pPr>
              <w:keepNext w:val="0"/>
              <w:keepLines w:val="0"/>
              <w:pageBreakBefore w:val="0"/>
              <w:widowControl w:val="0"/>
              <w:kinsoku/>
              <w:wordWrap/>
              <w:overflowPunct/>
              <w:topLinePunct w:val="0"/>
              <w:bidi w:val="0"/>
              <w:snapToGrid w:val="0"/>
              <w:spacing w:line="360" w:lineRule="exact"/>
              <w:rPr>
                <w:rFonts w:ascii="宋体" w:hAnsi="宋体" w:eastAsia="宋体" w:cs="宋体"/>
                <w:color w:val="auto"/>
                <w:szCs w:val="21"/>
                <w:highlight w:val="none"/>
              </w:rPr>
            </w:pPr>
            <w:r>
              <w:rPr>
                <w:rFonts w:hint="eastAsia" w:ascii="宋体" w:hAnsi="宋体" w:eastAsia="宋体" w:cs="宋体"/>
                <w:color w:val="auto"/>
                <w:kern w:val="0"/>
                <w:szCs w:val="21"/>
                <w:highlight w:val="none"/>
              </w:rPr>
              <w:t>电子响应文件解密时间： 30 分钟</w:t>
            </w:r>
          </w:p>
        </w:tc>
      </w:tr>
      <w:tr w14:paraId="317856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right w:val="single" w:color="auto" w:sz="4" w:space="0"/>
            </w:tcBorders>
            <w:vAlign w:val="center"/>
          </w:tcPr>
          <w:p w14:paraId="39D1C32D">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25.3（2）</w:t>
            </w:r>
          </w:p>
        </w:tc>
        <w:tc>
          <w:tcPr>
            <w:tcW w:w="2268" w:type="dxa"/>
            <w:tcBorders>
              <w:top w:val="single" w:color="auto" w:sz="4" w:space="0"/>
              <w:left w:val="single" w:color="auto" w:sz="4" w:space="0"/>
              <w:bottom w:val="single" w:color="auto" w:sz="4" w:space="0"/>
              <w:right w:val="single" w:color="auto" w:sz="4" w:space="0"/>
            </w:tcBorders>
            <w:vAlign w:val="center"/>
          </w:tcPr>
          <w:p w14:paraId="66490646">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bookmarkStart w:id="68" w:name="_25.3"/>
            <w:bookmarkEnd w:id="68"/>
            <w:r>
              <w:rPr>
                <w:rFonts w:hint="eastAsia" w:ascii="宋体" w:hAnsi="宋体" w:eastAsia="宋体" w:cs="宋体"/>
                <w:color w:val="auto"/>
                <w:szCs w:val="21"/>
                <w:highlight w:val="none"/>
              </w:rPr>
              <w:t>供应商信用查询渠道</w:t>
            </w:r>
          </w:p>
        </w:tc>
        <w:tc>
          <w:tcPr>
            <w:tcW w:w="7297" w:type="dxa"/>
            <w:tcBorders>
              <w:top w:val="single" w:color="auto" w:sz="4" w:space="0"/>
              <w:left w:val="single" w:color="auto" w:sz="4" w:space="0"/>
              <w:bottom w:val="single" w:color="auto" w:sz="4" w:space="0"/>
              <w:right w:val="single" w:color="auto" w:sz="4" w:space="0"/>
            </w:tcBorders>
            <w:vAlign w:val="center"/>
          </w:tcPr>
          <w:p w14:paraId="7575C1D1">
            <w:pPr>
              <w:keepNext w:val="0"/>
              <w:keepLines w:val="0"/>
              <w:pageBreakBefore w:val="0"/>
              <w:widowControl w:val="0"/>
              <w:kinsoku/>
              <w:wordWrap/>
              <w:overflowPunct/>
              <w:topLinePunct w:val="0"/>
              <w:bidi w:val="0"/>
              <w:snapToGrid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征集人或者采购代理机构在资格审查结束前，对供应商进行信用查询。</w:t>
            </w:r>
          </w:p>
          <w:p w14:paraId="5084E401">
            <w:pPr>
              <w:keepNext w:val="0"/>
              <w:keepLines w:val="0"/>
              <w:pageBreakBefore w:val="0"/>
              <w:widowControl w:val="0"/>
              <w:kinsoku/>
              <w:wordWrap/>
              <w:overflowPunct/>
              <w:topLinePunct w:val="0"/>
              <w:bidi w:val="0"/>
              <w:snapToGrid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查询渠道：“信用中国”网站(www.creditchina.gov.cn) 、中国政府采购网(www.ccgp.gov.cn)。</w:t>
            </w:r>
          </w:p>
        </w:tc>
      </w:tr>
      <w:tr w14:paraId="6F5B6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6871F969">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4722D1E">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14:paraId="435F0E6B">
            <w:pPr>
              <w:keepNext w:val="0"/>
              <w:keepLines w:val="0"/>
              <w:pageBreakBefore w:val="0"/>
              <w:widowControl w:val="0"/>
              <w:kinsoku/>
              <w:wordWrap/>
              <w:overflowPunct/>
              <w:topLinePunct w:val="0"/>
              <w:bidi w:val="0"/>
              <w:snapToGrid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资格审查结束前</w:t>
            </w:r>
          </w:p>
        </w:tc>
      </w:tr>
      <w:tr w14:paraId="0B5347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left w:val="single" w:color="auto" w:sz="4" w:space="0"/>
              <w:right w:val="single" w:color="auto" w:sz="4" w:space="0"/>
            </w:tcBorders>
            <w:vAlign w:val="center"/>
          </w:tcPr>
          <w:p w14:paraId="137314CC">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A4B323E">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14:paraId="0D577349">
            <w:pPr>
              <w:keepNext w:val="0"/>
              <w:keepLines w:val="0"/>
              <w:pageBreakBefore w:val="0"/>
              <w:widowControl w:val="0"/>
              <w:kinsoku/>
              <w:wordWrap/>
              <w:overflowPunct/>
              <w:topLinePunct w:val="0"/>
              <w:bidi w:val="0"/>
              <w:snapToGrid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在查询网站中直接截图查询记录，截图作为在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作为附件上传保存。</w:t>
            </w:r>
          </w:p>
        </w:tc>
      </w:tr>
      <w:tr w14:paraId="7D1717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left w:val="single" w:color="auto" w:sz="4" w:space="0"/>
              <w:bottom w:val="single" w:color="auto" w:sz="4" w:space="0"/>
              <w:right w:val="single" w:color="auto" w:sz="4" w:space="0"/>
            </w:tcBorders>
            <w:vAlign w:val="center"/>
          </w:tcPr>
          <w:p w14:paraId="01F81D7F">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B4F052D">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14:paraId="05FB0F8B">
            <w:pPr>
              <w:keepNext w:val="0"/>
              <w:keepLines w:val="0"/>
              <w:pageBreakBefore w:val="0"/>
              <w:widowControl w:val="0"/>
              <w:kinsoku/>
              <w:wordWrap/>
              <w:overflowPunct/>
              <w:topLinePunct w:val="0"/>
              <w:bidi w:val="0"/>
              <w:snapToGrid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征集人或者采购代理机构</w:t>
            </w:r>
            <w:r>
              <w:rPr>
                <w:rFonts w:hint="eastAsia" w:ascii="宋体" w:hAnsi="宋体" w:eastAsia="宋体" w:cs="宋体"/>
                <w:color w:val="auto"/>
                <w:sz w:val="22"/>
                <w:highlight w:val="none"/>
              </w:rPr>
              <w:t>应当拒绝其参与政府采购活动</w:t>
            </w:r>
            <w:r>
              <w:rPr>
                <w:rFonts w:hint="eastAsia" w:ascii="宋体" w:hAnsi="宋体" w:eastAsia="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B067F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tcBorders>
              <w:left w:val="single" w:color="auto" w:sz="4" w:space="0"/>
              <w:bottom w:val="single" w:color="auto" w:sz="4" w:space="0"/>
              <w:right w:val="single" w:color="auto" w:sz="4" w:space="0"/>
            </w:tcBorders>
            <w:vAlign w:val="center"/>
          </w:tcPr>
          <w:p w14:paraId="0E5956B6">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26. </w:t>
            </w:r>
          </w:p>
        </w:tc>
        <w:tc>
          <w:tcPr>
            <w:tcW w:w="2268" w:type="dxa"/>
            <w:tcBorders>
              <w:top w:val="single" w:color="auto" w:sz="4" w:space="0"/>
              <w:left w:val="single" w:color="auto" w:sz="4" w:space="0"/>
              <w:bottom w:val="single" w:color="auto" w:sz="4" w:space="0"/>
              <w:right w:val="single" w:color="auto" w:sz="4" w:space="0"/>
            </w:tcBorders>
            <w:vAlign w:val="center"/>
          </w:tcPr>
          <w:p w14:paraId="71199F83">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组建评审委员会</w:t>
            </w:r>
          </w:p>
        </w:tc>
        <w:tc>
          <w:tcPr>
            <w:tcW w:w="7297" w:type="dxa"/>
            <w:tcBorders>
              <w:top w:val="single" w:color="auto" w:sz="4" w:space="0"/>
              <w:left w:val="single" w:color="auto" w:sz="4" w:space="0"/>
              <w:bottom w:val="single" w:color="auto" w:sz="4" w:space="0"/>
              <w:right w:val="single" w:color="auto" w:sz="4" w:space="0"/>
            </w:tcBorders>
            <w:vAlign w:val="center"/>
          </w:tcPr>
          <w:p w14:paraId="785F24F1">
            <w:pPr>
              <w:keepNext w:val="0"/>
              <w:keepLines w:val="0"/>
              <w:pageBreakBefore w:val="0"/>
              <w:widowControl w:val="0"/>
              <w:kinsoku/>
              <w:wordWrap/>
              <w:overflowPunct/>
              <w:topLinePunct w:val="0"/>
              <w:bidi w:val="0"/>
              <w:snapToGrid w:val="0"/>
              <w:spacing w:line="360" w:lineRule="exact"/>
              <w:rPr>
                <w:rFonts w:ascii="宋体" w:hAnsi="宋体" w:eastAsia="宋体" w:cs="宋体"/>
                <w:color w:val="auto"/>
                <w:szCs w:val="21"/>
                <w:highlight w:val="none"/>
              </w:rPr>
            </w:pPr>
            <w:r>
              <w:rPr>
                <w:rFonts w:hint="eastAsia" w:ascii="宋体" w:hAnsi="宋体" w:eastAsia="宋体" w:cs="宋体"/>
                <w:color w:val="auto"/>
                <w:kern w:val="0"/>
                <w:szCs w:val="21"/>
                <w:highlight w:val="none"/>
              </w:rPr>
              <w:t>评审小组的人数：5人或以上单数组成。</w:t>
            </w:r>
          </w:p>
        </w:tc>
      </w:tr>
      <w:tr w14:paraId="7A3BE6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38C40E2">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2268" w:type="dxa"/>
            <w:tcBorders>
              <w:top w:val="single" w:color="auto" w:sz="4" w:space="0"/>
              <w:left w:val="single" w:color="auto" w:sz="4" w:space="0"/>
              <w:bottom w:val="single" w:color="auto" w:sz="4" w:space="0"/>
              <w:right w:val="single" w:color="auto" w:sz="4" w:space="0"/>
            </w:tcBorders>
            <w:vAlign w:val="center"/>
          </w:tcPr>
          <w:p w14:paraId="5F7E68BC">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bookmarkStart w:id="69" w:name="_28.3"/>
            <w:bookmarkEnd w:id="69"/>
            <w:bookmarkStart w:id="70" w:name="_26"/>
            <w:bookmarkEnd w:id="70"/>
            <w:r>
              <w:rPr>
                <w:rFonts w:hint="eastAsia" w:ascii="宋体" w:hAnsi="宋体" w:eastAsia="宋体" w:cs="宋体"/>
                <w:color w:val="auto"/>
                <w:szCs w:val="21"/>
                <w:highlight w:val="none"/>
              </w:rPr>
              <w:t>评审方法</w:t>
            </w:r>
          </w:p>
        </w:tc>
        <w:tc>
          <w:tcPr>
            <w:tcW w:w="7297" w:type="dxa"/>
            <w:tcBorders>
              <w:top w:val="single" w:color="auto" w:sz="4" w:space="0"/>
              <w:left w:val="single" w:color="auto" w:sz="4" w:space="0"/>
              <w:bottom w:val="single" w:color="auto" w:sz="4" w:space="0"/>
              <w:right w:val="single" w:color="auto" w:sz="4" w:space="0"/>
            </w:tcBorders>
            <w:vAlign w:val="center"/>
          </w:tcPr>
          <w:p w14:paraId="7A63CF6A">
            <w:pPr>
              <w:keepNext w:val="0"/>
              <w:keepLines w:val="0"/>
              <w:pageBreakBefore w:val="0"/>
              <w:widowControl w:val="0"/>
              <w:kinsoku/>
              <w:wordWrap/>
              <w:overflowPunct/>
              <w:topLinePunct w:val="0"/>
              <w:autoSpaceDE w:val="0"/>
              <w:autoSpaceDN w:val="0"/>
              <w:bidi w:val="0"/>
              <w:snapToGrid w:val="0"/>
              <w:spacing w:line="360" w:lineRule="exact"/>
              <w:textAlignment w:val="bottom"/>
              <w:rPr>
                <w:rFonts w:ascii="宋体" w:hAnsi="宋体" w:eastAsia="宋体" w:cs="宋体"/>
                <w:color w:val="auto"/>
                <w:szCs w:val="21"/>
                <w:highlight w:val="none"/>
              </w:rPr>
            </w:pPr>
            <w:r>
              <w:rPr>
                <w:rFonts w:hint="eastAsia" w:ascii="宋体" w:hAnsi="宋体" w:eastAsia="宋体" w:cs="宋体"/>
                <w:color w:val="auto"/>
                <w:szCs w:val="21"/>
                <w:highlight w:val="none"/>
              </w:rPr>
              <w:t>质量优先法</w:t>
            </w:r>
          </w:p>
        </w:tc>
      </w:tr>
      <w:tr w14:paraId="3F44B3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75" w:type="dxa"/>
            <w:tcBorders>
              <w:top w:val="single" w:color="auto" w:sz="4" w:space="0"/>
              <w:left w:val="single" w:color="auto" w:sz="4" w:space="0"/>
              <w:right w:val="single" w:color="auto" w:sz="4" w:space="0"/>
            </w:tcBorders>
            <w:vAlign w:val="center"/>
          </w:tcPr>
          <w:p w14:paraId="49CCEB3E">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29.2</w:t>
            </w:r>
          </w:p>
        </w:tc>
        <w:tc>
          <w:tcPr>
            <w:tcW w:w="2268" w:type="dxa"/>
            <w:tcBorders>
              <w:top w:val="single" w:color="auto" w:sz="4" w:space="0"/>
              <w:left w:val="single" w:color="auto" w:sz="4" w:space="0"/>
              <w:right w:val="single" w:color="auto" w:sz="4" w:space="0"/>
            </w:tcBorders>
            <w:vAlign w:val="center"/>
          </w:tcPr>
          <w:p w14:paraId="770EFC74">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bookmarkStart w:id="71" w:name="_29.2.2（2）"/>
            <w:bookmarkEnd w:id="71"/>
            <w:r>
              <w:rPr>
                <w:rFonts w:hint="eastAsia" w:ascii="宋体" w:hAnsi="宋体" w:eastAsia="宋体" w:cs="宋体"/>
                <w:color w:val="auto"/>
                <w:szCs w:val="21"/>
                <w:highlight w:val="none"/>
              </w:rPr>
              <w:t>允许负偏离项</w:t>
            </w:r>
          </w:p>
        </w:tc>
        <w:tc>
          <w:tcPr>
            <w:tcW w:w="7297" w:type="dxa"/>
            <w:tcBorders>
              <w:top w:val="single" w:color="auto" w:sz="4" w:space="0"/>
              <w:left w:val="single" w:color="auto" w:sz="4" w:space="0"/>
              <w:right w:val="single" w:color="auto" w:sz="4" w:space="0"/>
            </w:tcBorders>
            <w:vAlign w:val="center"/>
          </w:tcPr>
          <w:p w14:paraId="62D562BE">
            <w:pPr>
              <w:keepNext w:val="0"/>
              <w:keepLines w:val="0"/>
              <w:pageBreakBefore w:val="0"/>
              <w:widowControl w:val="0"/>
              <w:kinsoku/>
              <w:wordWrap/>
              <w:overflowPunct/>
              <w:topLinePunct w:val="0"/>
              <w:bidi w:val="0"/>
              <w:snapToGrid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0 </w:t>
            </w:r>
            <w:r>
              <w:rPr>
                <w:rFonts w:hint="eastAsia" w:ascii="宋体" w:hAnsi="宋体" w:eastAsia="宋体" w:cs="宋体"/>
                <w:color w:val="auto"/>
                <w:szCs w:val="21"/>
                <w:highlight w:val="none"/>
              </w:rPr>
              <w:t>项。</w:t>
            </w:r>
          </w:p>
          <w:p w14:paraId="22922E2C">
            <w:pPr>
              <w:keepNext w:val="0"/>
              <w:keepLines w:val="0"/>
              <w:pageBreakBefore w:val="0"/>
              <w:widowControl w:val="0"/>
              <w:kinsoku/>
              <w:wordWrap/>
              <w:overflowPunct/>
              <w:topLinePunct w:val="0"/>
              <w:bidi w:val="0"/>
              <w:snapToGrid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技术需求评审中允许负偏离的条款数为</w:t>
            </w:r>
            <w:r>
              <w:rPr>
                <w:rFonts w:hint="eastAsia" w:ascii="宋体" w:hAnsi="宋体" w:eastAsia="宋体" w:cs="宋体"/>
                <w:color w:val="auto"/>
                <w:szCs w:val="21"/>
                <w:highlight w:val="none"/>
                <w:u w:val="single"/>
              </w:rPr>
              <w:t xml:space="preserve"> 0 </w:t>
            </w:r>
            <w:r>
              <w:rPr>
                <w:rFonts w:hint="eastAsia" w:ascii="宋体" w:hAnsi="宋体" w:eastAsia="宋体" w:cs="宋体"/>
                <w:color w:val="auto"/>
                <w:szCs w:val="21"/>
                <w:highlight w:val="none"/>
              </w:rPr>
              <w:t>项。</w:t>
            </w:r>
          </w:p>
        </w:tc>
      </w:tr>
      <w:tr w14:paraId="2F625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7028FDB">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30.1</w:t>
            </w:r>
          </w:p>
        </w:tc>
        <w:tc>
          <w:tcPr>
            <w:tcW w:w="2268" w:type="dxa"/>
            <w:tcBorders>
              <w:top w:val="single" w:color="auto" w:sz="4" w:space="0"/>
              <w:left w:val="single" w:color="auto" w:sz="4" w:space="0"/>
              <w:bottom w:val="single" w:color="auto" w:sz="4" w:space="0"/>
              <w:right w:val="single" w:color="auto" w:sz="4" w:space="0"/>
            </w:tcBorders>
            <w:vAlign w:val="center"/>
          </w:tcPr>
          <w:p w14:paraId="4C84F036">
            <w:pPr>
              <w:keepNext w:val="0"/>
              <w:keepLines w:val="0"/>
              <w:pageBreakBefore w:val="0"/>
              <w:widowControl w:val="0"/>
              <w:kinsoku/>
              <w:wordWrap/>
              <w:overflowPunct/>
              <w:topLinePunct w:val="0"/>
              <w:autoSpaceDE w:val="0"/>
              <w:autoSpaceDN w:val="0"/>
              <w:bidi w:val="0"/>
              <w:snapToGrid w:val="0"/>
              <w:spacing w:line="360" w:lineRule="exact"/>
              <w:textAlignment w:val="bottom"/>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确定供应商时，出现入围候选人分数并列的情形，确定供应商方式 </w:t>
            </w:r>
          </w:p>
        </w:tc>
        <w:tc>
          <w:tcPr>
            <w:tcW w:w="7297" w:type="dxa"/>
            <w:tcBorders>
              <w:top w:val="single" w:color="auto" w:sz="4" w:space="0"/>
              <w:left w:val="single" w:color="auto" w:sz="4" w:space="0"/>
              <w:bottom w:val="single" w:color="auto" w:sz="4" w:space="0"/>
              <w:right w:val="single" w:color="auto" w:sz="4" w:space="0"/>
            </w:tcBorders>
            <w:vAlign w:val="center"/>
          </w:tcPr>
          <w:p w14:paraId="2F3BBA69">
            <w:pPr>
              <w:keepNext w:val="0"/>
              <w:keepLines w:val="0"/>
              <w:pageBreakBefore w:val="0"/>
              <w:widowControl w:val="0"/>
              <w:kinsoku/>
              <w:wordWrap/>
              <w:overflowPunct/>
              <w:topLinePunct w:val="0"/>
              <w:autoSpaceDE w:val="0"/>
              <w:autoSpaceDN w:val="0"/>
              <w:bidi w:val="0"/>
              <w:snapToGrid w:val="0"/>
              <w:spacing w:line="360" w:lineRule="exact"/>
              <w:textAlignment w:val="bottom"/>
              <w:rPr>
                <w:rFonts w:ascii="宋体" w:hAnsi="宋体" w:eastAsia="宋体" w:cs="宋体"/>
                <w:b/>
                <w:color w:val="auto"/>
                <w:szCs w:val="21"/>
                <w:highlight w:val="none"/>
              </w:rPr>
            </w:pPr>
            <w:r>
              <w:rPr>
                <w:rFonts w:hint="eastAsia" w:ascii="宋体" w:hAnsi="宋体" w:eastAsia="宋体" w:cs="宋体"/>
                <w:color w:val="auto"/>
                <w:szCs w:val="21"/>
                <w:highlight w:val="none"/>
              </w:rPr>
              <w:t>质量优先法，按总得分从高分到低分进行排名，按排名先后顺序确定入围供应商，如出现总得分相等时</w:t>
            </w:r>
            <w:r>
              <w:rPr>
                <w:rFonts w:hint="eastAsia" w:ascii="宋体" w:hAnsi="宋体" w:eastAsia="宋体" w:cs="宋体"/>
                <w:color w:val="auto"/>
                <w:szCs w:val="24"/>
                <w:highlight w:val="none"/>
              </w:rPr>
              <w:t>，按商务分高优先</w:t>
            </w:r>
            <w:r>
              <w:rPr>
                <w:rFonts w:hint="eastAsia" w:ascii="宋体" w:hAnsi="宋体" w:eastAsia="宋体" w:cs="宋体"/>
                <w:color w:val="auto"/>
                <w:szCs w:val="21"/>
                <w:highlight w:val="none"/>
              </w:rPr>
              <w:t>，如商务分得分亦相等时，则由评委无记名投票确定入围供应商。</w:t>
            </w:r>
          </w:p>
        </w:tc>
      </w:tr>
      <w:tr w14:paraId="386E38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53924DCF">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2268" w:type="dxa"/>
            <w:tcBorders>
              <w:top w:val="single" w:color="auto" w:sz="4" w:space="0"/>
              <w:left w:val="single" w:color="auto" w:sz="4" w:space="0"/>
              <w:bottom w:val="single" w:color="auto" w:sz="4" w:space="0"/>
              <w:right w:val="single" w:color="auto" w:sz="4" w:space="0"/>
            </w:tcBorders>
            <w:vAlign w:val="center"/>
          </w:tcPr>
          <w:p w14:paraId="3E2DA1C2">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bookmarkStart w:id="72" w:name="_39.1"/>
            <w:bookmarkEnd w:id="72"/>
            <w:r>
              <w:rPr>
                <w:rFonts w:hint="eastAsia" w:ascii="宋体" w:hAnsi="宋体" w:eastAsia="宋体" w:cs="宋体"/>
                <w:color w:val="auto"/>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14:paraId="76431DDC">
            <w:pPr>
              <w:keepNext w:val="0"/>
              <w:keepLines w:val="0"/>
              <w:pageBreakBefore w:val="0"/>
              <w:widowControl w:val="0"/>
              <w:kinsoku/>
              <w:wordWrap/>
              <w:overflowPunct/>
              <w:topLinePunct w:val="0"/>
              <w:autoSpaceDE w:val="0"/>
              <w:autoSpaceDN w:val="0"/>
              <w:bidi w:val="0"/>
              <w:snapToGrid w:val="0"/>
              <w:spacing w:line="360" w:lineRule="exact"/>
              <w:jc w:val="left"/>
              <w:textAlignment w:val="bottom"/>
              <w:rPr>
                <w:rFonts w:ascii="宋体" w:hAnsi="宋体" w:eastAsia="宋体" w:cs="宋体"/>
                <w:color w:val="auto"/>
                <w:szCs w:val="21"/>
                <w:highlight w:val="none"/>
              </w:rPr>
            </w:pPr>
            <w:r>
              <w:rPr>
                <w:rFonts w:hint="eastAsia" w:ascii="宋体" w:hAnsi="宋体" w:eastAsia="宋体" w:cs="宋体"/>
                <w:color w:val="auto"/>
                <w:kern w:val="0"/>
                <w:szCs w:val="21"/>
                <w:highlight w:val="none"/>
              </w:rPr>
              <w:t>本项目不收取履约保证金。</w:t>
            </w:r>
          </w:p>
        </w:tc>
      </w:tr>
      <w:tr w14:paraId="5809FA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B002015">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36.1</w:t>
            </w:r>
          </w:p>
        </w:tc>
        <w:tc>
          <w:tcPr>
            <w:tcW w:w="2268" w:type="dxa"/>
            <w:tcBorders>
              <w:top w:val="single" w:color="auto" w:sz="4" w:space="0"/>
              <w:left w:val="single" w:color="auto" w:sz="4" w:space="0"/>
              <w:bottom w:val="single" w:color="auto" w:sz="4" w:space="0"/>
              <w:right w:val="single" w:color="auto" w:sz="4" w:space="0"/>
            </w:tcBorders>
            <w:vAlign w:val="center"/>
          </w:tcPr>
          <w:p w14:paraId="7C54E160">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bookmarkStart w:id="73" w:name="_40.1"/>
            <w:bookmarkEnd w:id="73"/>
            <w:r>
              <w:rPr>
                <w:rFonts w:hint="eastAsia" w:ascii="宋体" w:hAnsi="宋体" w:eastAsia="宋体" w:cs="宋体"/>
                <w:color w:val="auto"/>
                <w:szCs w:val="21"/>
                <w:highlight w:val="none"/>
              </w:rPr>
              <w:t>签订电子合同携带的材料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14:paraId="41821280">
            <w:pPr>
              <w:keepNext w:val="0"/>
              <w:keepLines w:val="0"/>
              <w:pageBreakBefore w:val="0"/>
              <w:widowControl w:val="0"/>
              <w:kinsoku/>
              <w:wordWrap/>
              <w:overflowPunct/>
              <w:topLinePunct w:val="0"/>
              <w:autoSpaceDE w:val="0"/>
              <w:autoSpaceDN w:val="0"/>
              <w:bidi w:val="0"/>
              <w:snapToGrid w:val="0"/>
              <w:spacing w:line="360" w:lineRule="exact"/>
              <w:textAlignment w:val="bottom"/>
              <w:rPr>
                <w:rFonts w:ascii="宋体" w:hAnsi="宋体" w:eastAsia="宋体" w:cs="宋体"/>
                <w:color w:val="auto"/>
                <w:szCs w:val="21"/>
                <w:highlight w:val="none"/>
              </w:rPr>
            </w:pPr>
            <w:r>
              <w:rPr>
                <w:rFonts w:hint="eastAsia" w:ascii="宋体" w:hAnsi="宋体" w:eastAsia="宋体" w:cs="宋体"/>
                <w:color w:val="auto"/>
                <w:szCs w:val="21"/>
                <w:highlight w:val="none"/>
              </w:rPr>
              <w:t>电子采购合同需要供应商通过有效CA证书进行电子签名与签章</w:t>
            </w:r>
          </w:p>
        </w:tc>
      </w:tr>
      <w:tr w14:paraId="228759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right w:val="single" w:color="auto" w:sz="4" w:space="0"/>
            </w:tcBorders>
            <w:vAlign w:val="center"/>
          </w:tcPr>
          <w:p w14:paraId="2000BB11">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38.2.1</w:t>
            </w:r>
          </w:p>
        </w:tc>
        <w:tc>
          <w:tcPr>
            <w:tcW w:w="2268" w:type="dxa"/>
            <w:tcBorders>
              <w:top w:val="single" w:color="auto" w:sz="4" w:space="0"/>
              <w:left w:val="single" w:color="auto" w:sz="4" w:space="0"/>
              <w:bottom w:val="single" w:color="auto" w:sz="4" w:space="0"/>
              <w:right w:val="single" w:color="auto" w:sz="4" w:space="0"/>
            </w:tcBorders>
            <w:vAlign w:val="center"/>
          </w:tcPr>
          <w:p w14:paraId="1011545C">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14:paraId="2D24CD04">
            <w:pPr>
              <w:keepNext w:val="0"/>
              <w:keepLines w:val="0"/>
              <w:pageBreakBefore w:val="0"/>
              <w:widowControl w:val="0"/>
              <w:kinsoku/>
              <w:wordWrap/>
              <w:overflowPunct/>
              <w:topLinePunct w:val="0"/>
              <w:bidi w:val="0"/>
              <w:snapToGrid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01D96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left w:val="single" w:color="auto" w:sz="4" w:space="0"/>
              <w:right w:val="single" w:color="auto" w:sz="4" w:space="0"/>
            </w:tcBorders>
            <w:vAlign w:val="center"/>
          </w:tcPr>
          <w:p w14:paraId="7D4A24B9">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424A2E5A">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14:paraId="0EE1CB5D">
            <w:pPr>
              <w:keepNext w:val="0"/>
              <w:keepLines w:val="0"/>
              <w:pageBreakBefore w:val="0"/>
              <w:widowControl w:val="0"/>
              <w:kinsoku/>
              <w:wordWrap/>
              <w:overflowPunct/>
              <w:topLinePunct w:val="0"/>
              <w:bidi w:val="0"/>
              <w:snapToGrid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u w:val="single"/>
              </w:rPr>
              <w:t>（1）</w:t>
            </w:r>
            <w:r>
              <w:rPr>
                <w:rFonts w:hint="eastAsia" w:ascii="宋体" w:hAnsi="宋体" w:eastAsia="宋体" w:cs="宋体"/>
                <w:color w:val="auto"/>
                <w:szCs w:val="21"/>
                <w:highlight w:val="none"/>
                <w:u w:val="single"/>
                <w:lang w:eastAsia="zh-CN"/>
              </w:rPr>
              <w:t>广西科文招标有限公司</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6E8064F">
            <w:pPr>
              <w:keepNext w:val="0"/>
              <w:keepLines w:val="0"/>
              <w:pageBreakBefore w:val="0"/>
              <w:widowControl w:val="0"/>
              <w:kinsoku/>
              <w:wordWrap/>
              <w:overflowPunct/>
              <w:topLinePunct w:val="0"/>
              <w:bidi w:val="0"/>
              <w:snapToGrid w:val="0"/>
              <w:spacing w:line="3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lang w:eastAsia="zh-CN"/>
              </w:rPr>
              <w:t>0771-2023873</w:t>
            </w:r>
          </w:p>
          <w:p w14:paraId="3376304B">
            <w:pPr>
              <w:keepNext w:val="0"/>
              <w:keepLines w:val="0"/>
              <w:pageBreakBefore w:val="0"/>
              <w:widowControl w:val="0"/>
              <w:kinsoku/>
              <w:wordWrap/>
              <w:overflowPunct/>
              <w:topLinePunct w:val="0"/>
              <w:bidi w:val="0"/>
              <w:snapToGrid w:val="0"/>
              <w:spacing w:line="3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w:t>
            </w:r>
            <w:r>
              <w:rPr>
                <w:rFonts w:hint="eastAsia" w:ascii="宋体" w:hAnsi="宋体" w:eastAsia="宋体" w:cs="宋体"/>
                <w:color w:val="auto"/>
                <w:szCs w:val="21"/>
                <w:highlight w:val="none"/>
                <w:u w:val="single"/>
                <w:lang w:eastAsia="zh-CN"/>
              </w:rPr>
              <w:t>南宁市民族大道141号中鼎万象东方D区5层</w:t>
            </w:r>
          </w:p>
        </w:tc>
      </w:tr>
      <w:tr w14:paraId="686A06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left w:val="single" w:color="auto" w:sz="4" w:space="0"/>
              <w:bottom w:val="single" w:color="auto" w:sz="4" w:space="0"/>
              <w:right w:val="single" w:color="auto" w:sz="4" w:space="0"/>
            </w:tcBorders>
            <w:vAlign w:val="center"/>
          </w:tcPr>
          <w:p w14:paraId="7051C513">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0649097">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4"/>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14:paraId="60B5AF21">
            <w:pPr>
              <w:keepNext w:val="0"/>
              <w:keepLines w:val="0"/>
              <w:pageBreakBefore w:val="0"/>
              <w:widowControl w:val="0"/>
              <w:kinsoku/>
              <w:wordWrap/>
              <w:overflowPunct/>
              <w:topLinePunct w:val="0"/>
              <w:bidi w:val="0"/>
              <w:snapToGrid w:val="0"/>
              <w:spacing w:line="360" w:lineRule="exact"/>
              <w:rPr>
                <w:rFonts w:ascii="宋体" w:hAnsi="宋体" w:eastAsia="宋体" w:cs="宋体"/>
                <w:color w:val="auto"/>
                <w:szCs w:val="21"/>
                <w:highlight w:val="none"/>
              </w:rPr>
            </w:pPr>
            <w:r>
              <w:rPr>
                <w:rFonts w:hint="eastAsia" w:ascii="宋体" w:hAnsi="宋体" w:eastAsia="宋体" w:cs="宋体"/>
                <w:color w:val="auto"/>
                <w:szCs w:val="24"/>
                <w:highlight w:val="none"/>
              </w:rPr>
              <w:t>质疑期内每个工作日</w:t>
            </w:r>
            <w:r>
              <w:rPr>
                <w:rFonts w:hint="eastAsia" w:ascii="宋体" w:hAnsi="宋体" w:eastAsia="宋体" w:cs="宋体"/>
                <w:color w:val="auto"/>
                <w:szCs w:val="24"/>
                <w:highlight w:val="none"/>
                <w:u w:val="single"/>
              </w:rPr>
              <w:t xml:space="preserve"> 9 </w:t>
            </w:r>
            <w:r>
              <w:rPr>
                <w:rFonts w:hint="eastAsia" w:ascii="宋体" w:hAnsi="宋体" w:eastAsia="宋体" w:cs="宋体"/>
                <w:color w:val="auto"/>
                <w:szCs w:val="24"/>
                <w:highlight w:val="none"/>
              </w:rPr>
              <w:t>时</w:t>
            </w:r>
            <w:r>
              <w:rPr>
                <w:rFonts w:hint="eastAsia" w:ascii="宋体" w:hAnsi="宋体" w:eastAsia="宋体" w:cs="宋体"/>
                <w:color w:val="auto"/>
                <w:szCs w:val="24"/>
                <w:highlight w:val="none"/>
                <w:u w:val="single"/>
              </w:rPr>
              <w:t xml:space="preserve"> 00 </w:t>
            </w:r>
            <w:r>
              <w:rPr>
                <w:rFonts w:hint="eastAsia" w:ascii="宋体" w:hAnsi="宋体" w:eastAsia="宋体" w:cs="宋体"/>
                <w:color w:val="auto"/>
                <w:szCs w:val="24"/>
                <w:highlight w:val="none"/>
              </w:rPr>
              <w:t>分到</w:t>
            </w:r>
            <w:r>
              <w:rPr>
                <w:rFonts w:hint="eastAsia" w:ascii="宋体" w:hAnsi="宋体" w:eastAsia="宋体" w:cs="宋体"/>
                <w:color w:val="auto"/>
                <w:szCs w:val="24"/>
                <w:highlight w:val="none"/>
                <w:u w:val="single"/>
              </w:rPr>
              <w:t xml:space="preserve"> 12 </w:t>
            </w:r>
            <w:r>
              <w:rPr>
                <w:rFonts w:hint="eastAsia" w:ascii="宋体" w:hAnsi="宋体" w:eastAsia="宋体" w:cs="宋体"/>
                <w:color w:val="auto"/>
                <w:szCs w:val="24"/>
                <w:highlight w:val="none"/>
              </w:rPr>
              <w:t>时</w:t>
            </w:r>
            <w:r>
              <w:rPr>
                <w:rFonts w:hint="eastAsia" w:ascii="宋体" w:hAnsi="宋体" w:eastAsia="宋体" w:cs="宋体"/>
                <w:color w:val="auto"/>
                <w:szCs w:val="24"/>
                <w:highlight w:val="none"/>
                <w:u w:val="single"/>
              </w:rPr>
              <w:t xml:space="preserve"> 00 </w:t>
            </w:r>
            <w:r>
              <w:rPr>
                <w:rFonts w:hint="eastAsia" w:ascii="宋体" w:hAnsi="宋体" w:eastAsia="宋体" w:cs="宋体"/>
                <w:color w:val="auto"/>
                <w:szCs w:val="24"/>
                <w:highlight w:val="none"/>
              </w:rPr>
              <w:t>分，</w:t>
            </w:r>
            <w:r>
              <w:rPr>
                <w:rFonts w:hint="eastAsia" w:ascii="宋体" w:hAnsi="宋体" w:eastAsia="宋体" w:cs="宋体"/>
                <w:color w:val="auto"/>
                <w:szCs w:val="24"/>
                <w:highlight w:val="none"/>
                <w:u w:val="single"/>
              </w:rPr>
              <w:t xml:space="preserve"> 15 </w:t>
            </w:r>
            <w:r>
              <w:rPr>
                <w:rFonts w:hint="eastAsia" w:ascii="宋体" w:hAnsi="宋体" w:eastAsia="宋体" w:cs="宋体"/>
                <w:color w:val="auto"/>
                <w:szCs w:val="24"/>
                <w:highlight w:val="none"/>
              </w:rPr>
              <w:t>时</w:t>
            </w:r>
            <w:r>
              <w:rPr>
                <w:rFonts w:hint="eastAsia" w:ascii="宋体" w:hAnsi="宋体" w:eastAsia="宋体" w:cs="宋体"/>
                <w:color w:val="auto"/>
                <w:szCs w:val="24"/>
                <w:highlight w:val="none"/>
                <w:u w:val="single"/>
              </w:rPr>
              <w:t xml:space="preserve"> 00</w:t>
            </w:r>
            <w:r>
              <w:rPr>
                <w:rFonts w:hint="eastAsia" w:ascii="宋体" w:hAnsi="宋体" w:eastAsia="宋体" w:cs="宋体"/>
                <w:color w:val="auto"/>
                <w:szCs w:val="24"/>
                <w:highlight w:val="none"/>
              </w:rPr>
              <w:t>分到</w:t>
            </w:r>
            <w:r>
              <w:rPr>
                <w:rFonts w:hint="eastAsia" w:ascii="宋体" w:hAnsi="宋体" w:eastAsia="宋体" w:cs="宋体"/>
                <w:color w:val="auto"/>
                <w:szCs w:val="24"/>
                <w:highlight w:val="none"/>
                <w:u w:val="single"/>
              </w:rPr>
              <w:t xml:space="preserve"> 17 </w:t>
            </w:r>
            <w:r>
              <w:rPr>
                <w:rFonts w:hint="eastAsia" w:ascii="宋体" w:hAnsi="宋体" w:eastAsia="宋体" w:cs="宋体"/>
                <w:color w:val="auto"/>
                <w:szCs w:val="24"/>
                <w:highlight w:val="none"/>
              </w:rPr>
              <w:t>时30</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分</w:t>
            </w:r>
          </w:p>
        </w:tc>
      </w:tr>
      <w:tr w14:paraId="561838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left w:val="single" w:color="auto" w:sz="4" w:space="0"/>
              <w:bottom w:val="single" w:color="auto" w:sz="4" w:space="0"/>
              <w:right w:val="single" w:color="auto" w:sz="4" w:space="0"/>
            </w:tcBorders>
            <w:vAlign w:val="center"/>
          </w:tcPr>
          <w:p w14:paraId="12E6B189">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38.3.1</w:t>
            </w:r>
          </w:p>
        </w:tc>
        <w:tc>
          <w:tcPr>
            <w:tcW w:w="2268" w:type="dxa"/>
            <w:tcBorders>
              <w:top w:val="single" w:color="auto" w:sz="4" w:space="0"/>
              <w:left w:val="single" w:color="auto" w:sz="4" w:space="0"/>
              <w:bottom w:val="single" w:color="auto" w:sz="4" w:space="0"/>
              <w:right w:val="single" w:color="auto" w:sz="4" w:space="0"/>
            </w:tcBorders>
            <w:vAlign w:val="center"/>
          </w:tcPr>
          <w:p w14:paraId="71F185C1">
            <w:pPr>
              <w:keepNext w:val="0"/>
              <w:keepLines w:val="0"/>
              <w:pageBreakBefore w:val="0"/>
              <w:widowControl w:val="0"/>
              <w:kinsoku/>
              <w:wordWrap/>
              <w:overflowPunct/>
              <w:topLinePunct w:val="0"/>
              <w:bidi w:val="0"/>
              <w:spacing w:line="360" w:lineRule="exact"/>
              <w:rPr>
                <w:rFonts w:ascii="宋体" w:hAnsi="宋体" w:eastAsia="宋体" w:cs="宋体"/>
                <w:color w:val="auto"/>
                <w:szCs w:val="24"/>
                <w:highlight w:val="none"/>
              </w:rPr>
            </w:pPr>
            <w:r>
              <w:rPr>
                <w:rFonts w:hint="eastAsia" w:ascii="宋体" w:hAnsi="宋体" w:eastAsia="宋体" w:cs="宋体"/>
                <w:color w:val="auto"/>
                <w:szCs w:val="24"/>
                <w:highlight w:val="none"/>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14:paraId="4B9451A8">
            <w:pPr>
              <w:keepNext w:val="0"/>
              <w:keepLines w:val="0"/>
              <w:pageBreakBefore w:val="0"/>
              <w:widowControl w:val="0"/>
              <w:kinsoku/>
              <w:wordWrap/>
              <w:overflowPunct/>
              <w:topLinePunct w:val="0"/>
              <w:bidi w:val="0"/>
              <w:snapToGrid w:val="0"/>
              <w:spacing w:line="360" w:lineRule="exact"/>
              <w:rPr>
                <w:rFonts w:ascii="宋体" w:hAnsi="宋体" w:eastAsia="宋体" w:cs="宋体"/>
                <w:color w:val="auto"/>
                <w:szCs w:val="24"/>
                <w:highlight w:val="none"/>
              </w:rPr>
            </w:pPr>
            <w:r>
              <w:rPr>
                <w:rFonts w:hint="eastAsia" w:ascii="宋体" w:hAnsi="宋体" w:eastAsia="宋体" w:cs="宋体"/>
                <w:color w:val="auto"/>
                <w:szCs w:val="24"/>
                <w:highlight w:val="none"/>
              </w:rPr>
              <w:t>1、受理方式：纸质方式受理，投诉书正、副本（经过质疑的事项才可投诉）。</w:t>
            </w:r>
          </w:p>
          <w:p w14:paraId="79947556">
            <w:pPr>
              <w:keepNext w:val="0"/>
              <w:keepLines w:val="0"/>
              <w:pageBreakBefore w:val="0"/>
              <w:widowControl w:val="0"/>
              <w:kinsoku/>
              <w:wordWrap/>
              <w:overflowPunct/>
              <w:topLinePunct w:val="0"/>
              <w:bidi w:val="0"/>
              <w:snapToGrid w:val="0"/>
              <w:spacing w:line="360" w:lineRule="exact"/>
              <w:rPr>
                <w:rFonts w:ascii="宋体" w:hAnsi="宋体" w:eastAsia="宋体" w:cs="宋体"/>
                <w:color w:val="auto"/>
                <w:szCs w:val="24"/>
                <w:highlight w:val="none"/>
              </w:rPr>
            </w:pPr>
            <w:r>
              <w:rPr>
                <w:rFonts w:hint="eastAsia" w:ascii="宋体" w:hAnsi="宋体" w:eastAsia="宋体" w:cs="宋体"/>
                <w:color w:val="auto"/>
                <w:szCs w:val="24"/>
                <w:highlight w:val="none"/>
              </w:rPr>
              <w:t>2、邮寄地址：</w:t>
            </w:r>
          </w:p>
          <w:p w14:paraId="0617E24D">
            <w:pPr>
              <w:keepNext w:val="0"/>
              <w:keepLines w:val="0"/>
              <w:pageBreakBefore w:val="0"/>
              <w:widowControl w:val="0"/>
              <w:kinsoku/>
              <w:wordWrap/>
              <w:overflowPunct/>
              <w:topLinePunct w:val="0"/>
              <w:bidi w:val="0"/>
              <w:snapToGrid w:val="0"/>
              <w:spacing w:line="360" w:lineRule="exact"/>
              <w:rPr>
                <w:rFonts w:ascii="宋体" w:hAnsi="宋体" w:eastAsia="宋体" w:cs="宋体"/>
                <w:color w:val="auto"/>
                <w:szCs w:val="24"/>
                <w:highlight w:val="none"/>
              </w:rPr>
            </w:pPr>
            <w:r>
              <w:rPr>
                <w:rFonts w:hint="eastAsia" w:ascii="宋体" w:hAnsi="宋体" w:eastAsia="宋体" w:cs="宋体"/>
                <w:color w:val="auto"/>
                <w:szCs w:val="24"/>
                <w:highlight w:val="none"/>
              </w:rPr>
              <w:t>名称：</w:t>
            </w:r>
            <w:r>
              <w:rPr>
                <w:rFonts w:hint="eastAsia" w:ascii="宋体" w:hAnsi="宋体" w:eastAsia="宋体" w:cs="宋体"/>
                <w:color w:val="auto"/>
                <w:szCs w:val="21"/>
                <w:highlight w:val="none"/>
                <w:u w:val="single"/>
              </w:rPr>
              <w:t>南宁市邕宁区财政局</w:t>
            </w:r>
          </w:p>
          <w:p w14:paraId="595FB595">
            <w:pPr>
              <w:keepNext w:val="0"/>
              <w:keepLines w:val="0"/>
              <w:pageBreakBefore w:val="0"/>
              <w:widowControl w:val="0"/>
              <w:kinsoku/>
              <w:wordWrap/>
              <w:overflowPunct/>
              <w:topLinePunct w:val="0"/>
              <w:bidi w:val="0"/>
              <w:snapToGrid w:val="0"/>
              <w:spacing w:line="360" w:lineRule="exact"/>
              <w:rPr>
                <w:rFonts w:ascii="宋体" w:hAnsi="宋体" w:eastAsia="宋体" w:cs="宋体"/>
                <w:color w:val="auto"/>
                <w:szCs w:val="24"/>
                <w:highlight w:val="none"/>
              </w:rPr>
            </w:pPr>
            <w:r>
              <w:rPr>
                <w:rFonts w:hint="eastAsia" w:ascii="宋体" w:hAnsi="宋体" w:eastAsia="宋体" w:cs="宋体"/>
                <w:color w:val="auto"/>
                <w:szCs w:val="24"/>
                <w:highlight w:val="none"/>
              </w:rPr>
              <w:t>地址：</w:t>
            </w:r>
            <w:r>
              <w:rPr>
                <w:rFonts w:hint="eastAsia" w:ascii="宋体" w:hAnsi="宋体" w:eastAsia="宋体" w:cs="宋体"/>
                <w:color w:val="auto"/>
                <w:szCs w:val="21"/>
                <w:highlight w:val="none"/>
                <w:u w:val="single"/>
              </w:rPr>
              <w:t>南宁市青秀区彩虹路41号</w:t>
            </w:r>
          </w:p>
          <w:p w14:paraId="6B8F1DF1">
            <w:pPr>
              <w:keepNext w:val="0"/>
              <w:keepLines w:val="0"/>
              <w:pageBreakBefore w:val="0"/>
              <w:widowControl w:val="0"/>
              <w:kinsoku/>
              <w:wordWrap/>
              <w:overflowPunct/>
              <w:topLinePunct w:val="0"/>
              <w:bidi w:val="0"/>
              <w:snapToGrid w:val="0"/>
              <w:spacing w:line="360" w:lineRule="exact"/>
              <w:rPr>
                <w:rFonts w:ascii="宋体" w:hAnsi="宋体" w:eastAsia="宋体" w:cs="宋体"/>
                <w:color w:val="auto"/>
                <w:szCs w:val="24"/>
                <w:highlight w:val="none"/>
              </w:rPr>
            </w:pPr>
            <w:r>
              <w:rPr>
                <w:rFonts w:hint="eastAsia" w:ascii="宋体" w:hAnsi="宋体" w:eastAsia="宋体" w:cs="宋体"/>
                <w:color w:val="auto"/>
                <w:szCs w:val="24"/>
                <w:highlight w:val="none"/>
              </w:rPr>
              <w:t>联系电话：</w:t>
            </w:r>
            <w:r>
              <w:rPr>
                <w:rFonts w:ascii="宋体" w:hAnsi="宋体" w:eastAsia="宋体" w:cs="宋体"/>
                <w:color w:val="auto"/>
                <w:szCs w:val="21"/>
                <w:highlight w:val="none"/>
                <w:u w:val="single"/>
              </w:rPr>
              <w:t>0771-4790503</w:t>
            </w:r>
          </w:p>
        </w:tc>
      </w:tr>
      <w:tr w14:paraId="6334E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75" w:type="dxa"/>
            <w:vMerge w:val="restart"/>
            <w:tcBorders>
              <w:top w:val="single" w:color="auto" w:sz="4" w:space="0"/>
              <w:left w:val="single" w:color="auto" w:sz="4" w:space="0"/>
              <w:right w:val="single" w:color="auto" w:sz="4" w:space="0"/>
            </w:tcBorders>
            <w:vAlign w:val="center"/>
          </w:tcPr>
          <w:p w14:paraId="75BF50ED">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41</w:t>
            </w:r>
          </w:p>
        </w:tc>
        <w:tc>
          <w:tcPr>
            <w:tcW w:w="2268" w:type="dxa"/>
            <w:tcBorders>
              <w:top w:val="single" w:color="auto" w:sz="4" w:space="0"/>
              <w:left w:val="single" w:color="auto" w:sz="4" w:space="0"/>
              <w:bottom w:val="single" w:color="auto" w:sz="4" w:space="0"/>
              <w:right w:val="single" w:color="auto" w:sz="4" w:space="0"/>
            </w:tcBorders>
            <w:vAlign w:val="center"/>
          </w:tcPr>
          <w:p w14:paraId="5E9176D9">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bookmarkStart w:id="74" w:name="_42"/>
            <w:bookmarkEnd w:id="74"/>
            <w:bookmarkStart w:id="75" w:name="_41"/>
            <w:bookmarkEnd w:id="75"/>
            <w:r>
              <w:rPr>
                <w:rFonts w:hint="eastAsia" w:ascii="宋体" w:hAnsi="宋体" w:eastAsia="宋体" w:cs="宋体"/>
                <w:color w:val="auto"/>
                <w:szCs w:val="24"/>
                <w:highlight w:val="none"/>
              </w:rPr>
              <w:t>采购代理费支付方式</w:t>
            </w:r>
          </w:p>
        </w:tc>
        <w:tc>
          <w:tcPr>
            <w:tcW w:w="7297" w:type="dxa"/>
            <w:tcBorders>
              <w:top w:val="single" w:color="auto" w:sz="4" w:space="0"/>
              <w:left w:val="single" w:color="auto" w:sz="4" w:space="0"/>
              <w:bottom w:val="single" w:color="auto" w:sz="4" w:space="0"/>
              <w:right w:val="single" w:color="auto" w:sz="4" w:space="0"/>
            </w:tcBorders>
            <w:vAlign w:val="center"/>
          </w:tcPr>
          <w:p w14:paraId="4C9AA369">
            <w:pPr>
              <w:keepNext w:val="0"/>
              <w:keepLines w:val="0"/>
              <w:pageBreakBefore w:val="0"/>
              <w:widowControl w:val="0"/>
              <w:kinsoku/>
              <w:wordWrap/>
              <w:overflowPunct/>
              <w:topLinePunct w:val="0"/>
              <w:bidi w:val="0"/>
              <w:snapToGrid w:val="0"/>
              <w:spacing w:line="360" w:lineRule="exact"/>
              <w:rPr>
                <w:rFonts w:ascii="宋体" w:hAnsi="宋体" w:eastAsia="宋体" w:cs="宋体"/>
                <w:color w:val="auto"/>
                <w:szCs w:val="20"/>
                <w:highlight w:val="none"/>
              </w:rPr>
            </w:pPr>
            <w:r>
              <w:rPr>
                <w:rFonts w:hint="eastAsia" w:ascii="宋体" w:hAnsi="宋体" w:eastAsia="宋体" w:cs="宋体"/>
                <w:color w:val="auto"/>
                <w:szCs w:val="20"/>
                <w:highlight w:val="none"/>
              </w:rPr>
              <w:sym w:font="Wingdings 2" w:char="0052"/>
            </w:r>
            <w:r>
              <w:rPr>
                <w:rFonts w:hint="eastAsia" w:ascii="宋体" w:hAnsi="宋体" w:eastAsia="宋体" w:cs="宋体"/>
                <w:color w:val="auto"/>
                <w:szCs w:val="20"/>
                <w:highlight w:val="none"/>
              </w:rPr>
              <w:t>本项目代理服务费由</w:t>
            </w:r>
            <w:r>
              <w:rPr>
                <w:rFonts w:hint="eastAsia" w:ascii="宋体" w:hAnsi="宋体" w:eastAsia="宋体" w:cs="宋体"/>
                <w:color w:val="auto"/>
                <w:szCs w:val="20"/>
                <w:highlight w:val="none"/>
                <w:u w:val="single"/>
              </w:rPr>
              <w:t>供应商</w:t>
            </w:r>
            <w:r>
              <w:rPr>
                <w:rFonts w:hint="eastAsia" w:ascii="宋体" w:hAnsi="宋体" w:eastAsia="宋体" w:cs="宋体"/>
                <w:color w:val="auto"/>
                <w:szCs w:val="20"/>
                <w:highlight w:val="none"/>
              </w:rPr>
              <w:t>在领取入围通知书前，一次性向采购代理机构支付。</w:t>
            </w:r>
          </w:p>
        </w:tc>
      </w:tr>
      <w:tr w14:paraId="07770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75" w:type="dxa"/>
            <w:vMerge w:val="continue"/>
            <w:tcBorders>
              <w:left w:val="single" w:color="auto" w:sz="4" w:space="0"/>
              <w:right w:val="single" w:color="auto" w:sz="4" w:space="0"/>
            </w:tcBorders>
            <w:vAlign w:val="center"/>
          </w:tcPr>
          <w:p w14:paraId="53EDBC0C">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42147CE8">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4"/>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vAlign w:val="center"/>
          </w:tcPr>
          <w:p w14:paraId="5FB4FDA4">
            <w:pPr>
              <w:keepNext w:val="0"/>
              <w:keepLines w:val="0"/>
              <w:pageBreakBefore w:val="0"/>
              <w:widowControl w:val="0"/>
              <w:kinsoku/>
              <w:wordWrap/>
              <w:overflowPunct/>
              <w:topLinePunct w:val="0"/>
              <w:bidi w:val="0"/>
              <w:snapToGrid w:val="0"/>
              <w:spacing w:line="360" w:lineRule="exact"/>
              <w:rPr>
                <w:rFonts w:ascii="宋体" w:hAnsi="宋体" w:eastAsia="宋体" w:cs="宋体"/>
                <w:color w:val="auto"/>
                <w:szCs w:val="20"/>
                <w:highlight w:val="none"/>
                <w:u w:val="single"/>
              </w:rPr>
            </w:pPr>
            <w:r>
              <w:rPr>
                <w:rFonts w:hint="eastAsia" w:ascii="宋体" w:hAnsi="宋体" w:eastAsia="宋体" w:cs="宋体"/>
                <w:color w:val="auto"/>
                <w:szCs w:val="20"/>
                <w:highlight w:val="none"/>
              </w:rPr>
              <w:t>固定采购代理收费</w:t>
            </w:r>
            <w:r>
              <w:rPr>
                <w:rFonts w:hint="eastAsia" w:ascii="宋体" w:hAnsi="宋体" w:eastAsia="宋体" w:cs="宋体"/>
                <w:color w:val="auto"/>
                <w:szCs w:val="20"/>
                <w:highlight w:val="none"/>
                <w:u w:val="single"/>
              </w:rPr>
              <w:t>8000.00元/家 。</w:t>
            </w:r>
          </w:p>
        </w:tc>
      </w:tr>
      <w:tr w14:paraId="5F3BB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675" w:type="dxa"/>
            <w:vMerge w:val="continue"/>
            <w:tcBorders>
              <w:left w:val="single" w:color="auto" w:sz="4" w:space="0"/>
              <w:bottom w:val="single" w:color="auto" w:sz="4" w:space="0"/>
              <w:right w:val="single" w:color="auto" w:sz="4" w:space="0"/>
            </w:tcBorders>
            <w:vAlign w:val="center"/>
          </w:tcPr>
          <w:p w14:paraId="7E77DD2D">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2ED199C">
            <w:pPr>
              <w:keepNext w:val="0"/>
              <w:keepLines w:val="0"/>
              <w:pageBreakBefore w:val="0"/>
              <w:widowControl w:val="0"/>
              <w:kinsoku/>
              <w:wordWrap/>
              <w:overflowPunct/>
              <w:topLinePunct w:val="0"/>
              <w:bidi w:val="0"/>
              <w:spacing w:line="360" w:lineRule="exact"/>
              <w:rPr>
                <w:rFonts w:ascii="宋体" w:hAnsi="宋体" w:eastAsia="宋体" w:cs="宋体"/>
                <w:color w:val="auto"/>
                <w:szCs w:val="21"/>
                <w:highlight w:val="none"/>
              </w:rPr>
            </w:pPr>
            <w:r>
              <w:rPr>
                <w:rFonts w:hint="eastAsia" w:ascii="宋体" w:hAnsi="宋体" w:eastAsia="宋体" w:cs="宋体"/>
                <w:color w:val="auto"/>
                <w:szCs w:val="24"/>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14:paraId="45F1B057">
            <w:pPr>
              <w:keepNext w:val="0"/>
              <w:keepLines w:val="0"/>
              <w:pageBreakBefore w:val="0"/>
              <w:widowControl w:val="0"/>
              <w:kinsoku/>
              <w:wordWrap/>
              <w:overflowPunct/>
              <w:topLinePunct w:val="0"/>
              <w:bidi w:val="0"/>
              <w:snapToGrid w:val="0"/>
              <w:spacing w:line="360" w:lineRule="exact"/>
              <w:rPr>
                <w:rFonts w:hint="eastAsia" w:ascii="宋体" w:hAnsi="宋体" w:eastAsia="宋体" w:cs="宋体"/>
                <w:color w:val="auto"/>
                <w:szCs w:val="20"/>
                <w:highlight w:val="none"/>
              </w:rPr>
            </w:pPr>
            <w:r>
              <w:rPr>
                <w:rFonts w:hint="eastAsia" w:ascii="宋体" w:hAnsi="宋体" w:eastAsia="宋体" w:cs="宋体"/>
                <w:color w:val="auto"/>
                <w:szCs w:val="20"/>
                <w:highlight w:val="none"/>
              </w:rPr>
              <w:t>开户名称：广西科文招标有限公司南宁六分公司</w:t>
            </w:r>
          </w:p>
          <w:p w14:paraId="1A25E784">
            <w:pPr>
              <w:keepNext w:val="0"/>
              <w:keepLines w:val="0"/>
              <w:pageBreakBefore w:val="0"/>
              <w:widowControl w:val="0"/>
              <w:kinsoku/>
              <w:wordWrap/>
              <w:overflowPunct/>
              <w:topLinePunct w:val="0"/>
              <w:bidi w:val="0"/>
              <w:snapToGrid w:val="0"/>
              <w:spacing w:line="360" w:lineRule="exact"/>
              <w:rPr>
                <w:rFonts w:hint="eastAsia" w:ascii="宋体" w:hAnsi="宋体" w:eastAsia="宋体" w:cs="宋体"/>
                <w:color w:val="auto"/>
                <w:szCs w:val="20"/>
                <w:highlight w:val="none"/>
              </w:rPr>
            </w:pPr>
            <w:r>
              <w:rPr>
                <w:rFonts w:hint="eastAsia" w:ascii="宋体" w:hAnsi="宋体" w:eastAsia="宋体" w:cs="宋体"/>
                <w:color w:val="auto"/>
                <w:szCs w:val="20"/>
                <w:highlight w:val="none"/>
              </w:rPr>
              <w:t>开户银行：广西北部湾银行股份有限公司南宁市云景支行</w:t>
            </w:r>
          </w:p>
          <w:p w14:paraId="00535BB0">
            <w:pPr>
              <w:keepNext w:val="0"/>
              <w:keepLines w:val="0"/>
              <w:pageBreakBefore w:val="0"/>
              <w:widowControl w:val="0"/>
              <w:kinsoku/>
              <w:wordWrap/>
              <w:overflowPunct/>
              <w:topLinePunct w:val="0"/>
              <w:bidi w:val="0"/>
              <w:snapToGrid w:val="0"/>
              <w:spacing w:line="360" w:lineRule="exact"/>
              <w:rPr>
                <w:rFonts w:ascii="宋体" w:hAnsi="宋体" w:eastAsia="宋体" w:cs="宋体"/>
                <w:color w:val="auto"/>
                <w:szCs w:val="20"/>
                <w:highlight w:val="none"/>
              </w:rPr>
            </w:pPr>
            <w:r>
              <w:rPr>
                <w:rFonts w:hint="eastAsia" w:ascii="宋体" w:hAnsi="宋体" w:eastAsia="宋体" w:cs="宋体"/>
                <w:color w:val="auto"/>
                <w:szCs w:val="20"/>
                <w:highlight w:val="none"/>
              </w:rPr>
              <w:t>银行账号：8050 3274 93 00001</w:t>
            </w:r>
          </w:p>
        </w:tc>
      </w:tr>
      <w:tr w14:paraId="5895C1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AFACCD3">
            <w:pPr>
              <w:keepNext w:val="0"/>
              <w:keepLines w:val="0"/>
              <w:pageBreakBefore w:val="0"/>
              <w:widowControl w:val="0"/>
              <w:kinsoku/>
              <w:wordWrap/>
              <w:overflowPunct/>
              <w:topLinePunct w:val="0"/>
              <w:bidi w:val="0"/>
              <w:snapToGrid w:val="0"/>
              <w:spacing w:line="36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42.1</w:t>
            </w:r>
          </w:p>
        </w:tc>
        <w:tc>
          <w:tcPr>
            <w:tcW w:w="2268" w:type="dxa"/>
            <w:tcBorders>
              <w:top w:val="single" w:color="auto" w:sz="4" w:space="0"/>
              <w:left w:val="single" w:color="auto" w:sz="4" w:space="0"/>
              <w:bottom w:val="single" w:color="auto" w:sz="4" w:space="0"/>
              <w:right w:val="single" w:color="auto" w:sz="4" w:space="0"/>
            </w:tcBorders>
            <w:vAlign w:val="center"/>
          </w:tcPr>
          <w:p w14:paraId="2C405847">
            <w:pPr>
              <w:keepNext w:val="0"/>
              <w:keepLines w:val="0"/>
              <w:pageBreakBefore w:val="0"/>
              <w:widowControl w:val="0"/>
              <w:kinsoku/>
              <w:wordWrap/>
              <w:overflowPunct/>
              <w:topLinePunct w:val="0"/>
              <w:bidi w:val="0"/>
              <w:snapToGrid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vAlign w:val="center"/>
          </w:tcPr>
          <w:p w14:paraId="4F2F5757">
            <w:pPr>
              <w:keepNext w:val="0"/>
              <w:keepLines w:val="0"/>
              <w:pageBreakBefore w:val="0"/>
              <w:widowControl w:val="0"/>
              <w:kinsoku/>
              <w:wordWrap/>
              <w:overflowPunct/>
              <w:topLinePunct w:val="0"/>
              <w:bidi w:val="0"/>
              <w:snapToGrid w:val="0"/>
              <w:spacing w:line="360" w:lineRule="exact"/>
              <w:rPr>
                <w:rFonts w:ascii="宋体" w:hAnsi="宋体" w:eastAsia="宋体" w:cs="宋体"/>
                <w:b/>
                <w:color w:val="auto"/>
                <w:szCs w:val="21"/>
                <w:highlight w:val="none"/>
              </w:rPr>
            </w:pPr>
            <w:r>
              <w:rPr>
                <w:rFonts w:hint="eastAsia" w:ascii="宋体" w:hAnsi="宋体" w:eastAsia="宋体" w:cs="宋体"/>
                <w:b/>
                <w:color w:val="auto"/>
                <w:szCs w:val="21"/>
                <w:highlight w:val="none"/>
              </w:rPr>
              <w:t>解释权：</w:t>
            </w:r>
            <w:r>
              <w:rPr>
                <w:rFonts w:hint="eastAsia" w:ascii="宋体" w:hAnsi="宋体" w:eastAsia="宋体" w:cs="宋体"/>
                <w:color w:val="auto"/>
                <w:szCs w:val="21"/>
                <w:highlight w:val="none"/>
              </w:rPr>
              <w:t>构成本征集文件的各个组成文件应互为解释，互为说明；除征集文件中有特别规定外，仅适用于征集响应阶段的规定，按更正公告（澄清公告）、征集公告、采购需求、供应商须知、评审方法及评审标准、拟签订的合同文本、响应文件格式的先后顺序解释；同一组成文件中就同一事项的规定或者约定不一致的，以编排顺序在后者为准；同一组成文件不同版本之间有不一致的，以形成时间在后者为准；更正公告（澄清公告）与同步更新的征集文件不一致时以更正公告（澄清公告）为准。按本款前述规定仍不能形成结论的</w:t>
            </w:r>
            <w:r>
              <w:rPr>
                <w:rFonts w:hint="eastAsia" w:ascii="宋体" w:hAnsi="宋体" w:eastAsia="宋体" w:cs="宋体"/>
                <w:b/>
                <w:color w:val="auto"/>
                <w:szCs w:val="21"/>
                <w:highlight w:val="none"/>
              </w:rPr>
              <w:t>，由征集人或者采购代理机构负责解释。</w:t>
            </w:r>
          </w:p>
          <w:p w14:paraId="100C2A4E">
            <w:pPr>
              <w:keepNext w:val="0"/>
              <w:keepLines w:val="0"/>
              <w:pageBreakBefore w:val="0"/>
              <w:widowControl w:val="0"/>
              <w:kinsoku/>
              <w:wordWrap/>
              <w:overflowPunct/>
              <w:topLinePunct w:val="0"/>
              <w:bidi w:val="0"/>
              <w:snapToGrid w:val="0"/>
              <w:spacing w:line="360" w:lineRule="exact"/>
              <w:rPr>
                <w:rFonts w:ascii="宋体" w:hAnsi="宋体" w:eastAsia="宋体" w:cs="宋体"/>
                <w:color w:val="auto"/>
                <w:szCs w:val="21"/>
                <w:highlight w:val="none"/>
              </w:rPr>
            </w:pPr>
            <w:r>
              <w:rPr>
                <w:rFonts w:hint="eastAsia" w:ascii="宋体" w:hAnsi="宋体" w:eastAsia="宋体" w:cs="宋体"/>
                <w:b/>
                <w:color w:val="auto"/>
                <w:szCs w:val="21"/>
                <w:highlight w:val="none"/>
              </w:rPr>
              <w:t>法律责任：</w:t>
            </w:r>
            <w:r>
              <w:rPr>
                <w:rFonts w:hint="eastAsia" w:ascii="宋体" w:hAnsi="宋体" w:eastAsia="宋体" w:cs="宋体"/>
                <w:color w:val="auto"/>
                <w:szCs w:val="21"/>
                <w:highlight w:val="none"/>
              </w:rPr>
              <w:t>本征集文件根据《中华人民共和国政府采购法》、《中华人民共和国民法典》；《中华人民共和国政府采购法实施条例》、</w:t>
            </w:r>
            <w:r>
              <w:rPr>
                <w:rFonts w:hint="eastAsia" w:ascii="宋体" w:hAnsi="宋体" w:eastAsia="宋体" w:cs="Times New Roman"/>
                <w:color w:val="auto"/>
                <w:szCs w:val="21"/>
                <w:highlight w:val="none"/>
              </w:rPr>
              <w:t>《政府采购货物和服务招标投标管理办法》</w:t>
            </w:r>
            <w:r>
              <w:rPr>
                <w:rFonts w:hint="eastAsia" w:ascii="宋体" w:hAnsi="宋体" w:eastAsia="宋体" w:cs="宋体"/>
                <w:color w:val="auto"/>
                <w:szCs w:val="21"/>
                <w:highlight w:val="none"/>
              </w:rPr>
              <w:t>等有关法律、法规编制，参与本项目的各政府采购当事人依法享有上述法律法规所赋予的权利与义务。</w:t>
            </w:r>
          </w:p>
        </w:tc>
      </w:tr>
      <w:tr w14:paraId="678B53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4C2DA0C">
            <w:pPr>
              <w:keepNext w:val="0"/>
              <w:keepLines w:val="0"/>
              <w:pageBreakBefore w:val="0"/>
              <w:widowControl w:val="0"/>
              <w:kinsoku/>
              <w:wordWrap/>
              <w:overflowPunct/>
              <w:topLinePunct w:val="0"/>
              <w:bidi w:val="0"/>
              <w:snapToGrid w:val="0"/>
              <w:spacing w:line="36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42.2</w:t>
            </w:r>
          </w:p>
        </w:tc>
        <w:tc>
          <w:tcPr>
            <w:tcW w:w="2268" w:type="dxa"/>
            <w:tcBorders>
              <w:top w:val="single" w:color="auto" w:sz="4" w:space="0"/>
              <w:left w:val="single" w:color="auto" w:sz="4" w:space="0"/>
              <w:bottom w:val="single" w:color="auto" w:sz="4" w:space="0"/>
              <w:right w:val="single" w:color="auto" w:sz="4" w:space="0"/>
            </w:tcBorders>
            <w:vAlign w:val="center"/>
          </w:tcPr>
          <w:p w14:paraId="4382F4F1">
            <w:pPr>
              <w:keepNext w:val="0"/>
              <w:keepLines w:val="0"/>
              <w:pageBreakBefore w:val="0"/>
              <w:widowControl w:val="0"/>
              <w:kinsoku/>
              <w:wordWrap/>
              <w:overflowPunct/>
              <w:topLinePunct w:val="0"/>
              <w:bidi w:val="0"/>
              <w:snapToGrid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14:paraId="19A73C6E">
            <w:pPr>
              <w:keepNext w:val="0"/>
              <w:keepLines w:val="0"/>
              <w:pageBreakBefore w:val="0"/>
              <w:widowControl w:val="0"/>
              <w:kinsoku/>
              <w:wordWrap/>
              <w:overflowPunct/>
              <w:topLinePunct w:val="0"/>
              <w:bidi w:val="0"/>
              <w:snapToGrid w:val="0"/>
              <w:spacing w:line="360" w:lineRule="exact"/>
              <w:rPr>
                <w:rFonts w:ascii="宋体" w:hAnsi="宋体" w:eastAsia="宋体" w:cs="宋体"/>
                <w:b/>
                <w:bCs/>
                <w:color w:val="auto"/>
                <w:szCs w:val="20"/>
                <w:highlight w:val="none"/>
              </w:rPr>
            </w:pPr>
            <w:r>
              <w:rPr>
                <w:rFonts w:hint="eastAsia" w:ascii="宋体" w:hAnsi="宋体" w:eastAsia="宋体" w:cs="宋体"/>
                <w:b/>
                <w:bCs/>
                <w:color w:val="auto"/>
                <w:szCs w:val="20"/>
                <w:highlight w:val="none"/>
              </w:rPr>
              <w:t>1.本征集文件中描述供应商的“公章”是指根据我国对公章的管理规定，用供应商法定主体行为名称制作的印章，除本征集文件有特殊规定外，供应商的财务章、部门章、分公司章、工会章、合同章、响应专用章、业务专用章及银行的转账章、现金收讫章、现金付讫章等其他形式印章均不能代替公章。</w:t>
            </w:r>
          </w:p>
          <w:p w14:paraId="6E4F45C4">
            <w:pPr>
              <w:keepNext w:val="0"/>
              <w:keepLines w:val="0"/>
              <w:pageBreakBefore w:val="0"/>
              <w:widowControl w:val="0"/>
              <w:kinsoku/>
              <w:wordWrap/>
              <w:overflowPunct/>
              <w:topLinePunct w:val="0"/>
              <w:bidi w:val="0"/>
              <w:snapToGrid w:val="0"/>
              <w:spacing w:line="360" w:lineRule="exact"/>
              <w:rPr>
                <w:rFonts w:ascii="宋体" w:hAnsi="宋体" w:eastAsia="宋体" w:cs="宋体"/>
                <w:b/>
                <w:bCs/>
                <w:color w:val="auto"/>
                <w:szCs w:val="20"/>
                <w:highlight w:val="none"/>
              </w:rPr>
            </w:pPr>
            <w:r>
              <w:rPr>
                <w:rFonts w:hint="eastAsia" w:ascii="宋体" w:hAnsi="宋体" w:eastAsia="宋体" w:cs="宋体"/>
                <w:b/>
                <w:bCs/>
                <w:color w:val="auto"/>
                <w:szCs w:val="20"/>
                <w:highlight w:val="none"/>
              </w:rPr>
              <w:t>2.供应商为其他组织或者自然人时，本征集文件规定的法定代表人指负责人或者自然人。本征集文件所称负责人是指参加响应的其他组织营业执照上的负责人，本征集文件所称自然人指参与响应的自然人本人。</w:t>
            </w:r>
          </w:p>
          <w:p w14:paraId="6AE0974D">
            <w:pPr>
              <w:keepNext w:val="0"/>
              <w:keepLines w:val="0"/>
              <w:pageBreakBefore w:val="0"/>
              <w:widowControl w:val="0"/>
              <w:kinsoku/>
              <w:wordWrap/>
              <w:overflowPunct/>
              <w:topLinePunct w:val="0"/>
              <w:bidi w:val="0"/>
              <w:snapToGrid w:val="0"/>
              <w:spacing w:line="360" w:lineRule="exact"/>
              <w:rPr>
                <w:rFonts w:ascii="宋体" w:hAnsi="宋体" w:eastAsia="宋体" w:cs="宋体"/>
                <w:b/>
                <w:bCs/>
                <w:color w:val="auto"/>
                <w:szCs w:val="20"/>
                <w:highlight w:val="none"/>
              </w:rPr>
            </w:pPr>
            <w:r>
              <w:rPr>
                <w:rFonts w:hint="eastAsia" w:ascii="宋体" w:hAnsi="宋体" w:eastAsia="宋体" w:cs="宋体"/>
                <w:b/>
                <w:bCs/>
                <w:color w:val="auto"/>
                <w:szCs w:val="20"/>
                <w:highlight w:val="none"/>
              </w:rPr>
              <w:t>3.本征集文件中描述供应商的“签字”是指供应商的法定代表人或者委托代理人亲自在文件规定签署处亲笔写上个人的名字的行为，私章、签字章、印鉴、影印等其他形式均不能代替亲笔签字。</w:t>
            </w:r>
          </w:p>
          <w:p w14:paraId="19C9A52E">
            <w:pPr>
              <w:keepNext w:val="0"/>
              <w:keepLines w:val="0"/>
              <w:pageBreakBefore w:val="0"/>
              <w:widowControl w:val="0"/>
              <w:kinsoku/>
              <w:wordWrap/>
              <w:overflowPunct/>
              <w:topLinePunct w:val="0"/>
              <w:bidi w:val="0"/>
              <w:snapToGrid w:val="0"/>
              <w:spacing w:line="360" w:lineRule="exact"/>
              <w:rPr>
                <w:rFonts w:ascii="宋体" w:hAnsi="宋体" w:eastAsia="宋体" w:cs="宋体"/>
                <w:b/>
                <w:bCs/>
                <w:color w:val="auto"/>
                <w:szCs w:val="20"/>
                <w:highlight w:val="none"/>
              </w:rPr>
            </w:pPr>
            <w:r>
              <w:rPr>
                <w:rFonts w:hint="eastAsia" w:ascii="宋体" w:hAnsi="宋体" w:eastAsia="宋体" w:cs="宋体"/>
                <w:b/>
                <w:bCs/>
                <w:color w:val="auto"/>
                <w:szCs w:val="20"/>
                <w:highlight w:val="none"/>
              </w:rPr>
              <w:t>4.自然人响应的，征集文件规定盖公章处由自然人摁手指指印。</w:t>
            </w:r>
          </w:p>
          <w:p w14:paraId="1877C5E3">
            <w:pPr>
              <w:keepNext w:val="0"/>
              <w:keepLines w:val="0"/>
              <w:pageBreakBefore w:val="0"/>
              <w:widowControl w:val="0"/>
              <w:kinsoku/>
              <w:wordWrap/>
              <w:overflowPunct/>
              <w:topLinePunct w:val="0"/>
              <w:bidi w:val="0"/>
              <w:spacing w:line="360" w:lineRule="exact"/>
              <w:jc w:val="left"/>
              <w:rPr>
                <w:rFonts w:ascii="宋体" w:hAnsi="宋体" w:eastAsia="宋体" w:cs="宋体"/>
                <w:color w:val="auto"/>
                <w:szCs w:val="21"/>
                <w:highlight w:val="none"/>
              </w:rPr>
            </w:pPr>
            <w:r>
              <w:rPr>
                <w:rFonts w:hint="eastAsia" w:ascii="宋体" w:hAnsi="宋体" w:eastAsia="宋体" w:cs="宋体"/>
                <w:b/>
                <w:bCs/>
                <w:color w:val="auto"/>
                <w:szCs w:val="21"/>
                <w:highlight w:val="none"/>
              </w:rPr>
              <w:t>5.本征集文件所称的“以上”“以下”“以内”“届满”，包括本数；所称的“不满”“超过”“以外”，不包括本数。</w:t>
            </w:r>
          </w:p>
        </w:tc>
      </w:tr>
    </w:tbl>
    <w:p w14:paraId="62591D06">
      <w:pPr>
        <w:keepNext/>
        <w:keepLines/>
        <w:spacing w:before="260" w:after="260" w:line="413" w:lineRule="auto"/>
        <w:outlineLvl w:val="1"/>
        <w:rPr>
          <w:rFonts w:ascii="宋体" w:hAnsi="宋体" w:eastAsia="宋体" w:cs="宋体"/>
          <w:b/>
          <w:bCs/>
          <w:color w:val="auto"/>
          <w:sz w:val="32"/>
          <w:szCs w:val="32"/>
          <w:highlight w:val="none"/>
        </w:rPr>
        <w:sectPr>
          <w:footerReference r:id="rId5" w:type="default"/>
          <w:pgSz w:w="11906" w:h="16838"/>
          <w:pgMar w:top="1134" w:right="1134" w:bottom="1134" w:left="1134" w:header="720" w:footer="720" w:gutter="0"/>
          <w:cols w:space="720" w:num="1"/>
          <w:docGrid w:type="lines" w:linePitch="331" w:charSpace="0"/>
        </w:sectPr>
      </w:pPr>
    </w:p>
    <w:p w14:paraId="3C74C88B">
      <w:pPr>
        <w:rPr>
          <w:rFonts w:ascii="宋体" w:hAnsi="宋体" w:eastAsia="宋体" w:cs="宋体"/>
          <w:color w:val="auto"/>
          <w:szCs w:val="24"/>
          <w:highlight w:val="none"/>
        </w:rPr>
      </w:pPr>
    </w:p>
    <w:p w14:paraId="65C12D2B">
      <w:pPr>
        <w:keepNext/>
        <w:keepLines/>
        <w:spacing w:before="260" w:after="260" w:line="413" w:lineRule="auto"/>
        <w:jc w:val="center"/>
        <w:outlineLvl w:val="1"/>
        <w:rPr>
          <w:rFonts w:ascii="宋体" w:hAnsi="宋体" w:eastAsia="宋体" w:cs="宋体"/>
          <w:b/>
          <w:bCs/>
          <w:color w:val="auto"/>
          <w:sz w:val="32"/>
          <w:szCs w:val="32"/>
          <w:highlight w:val="none"/>
        </w:rPr>
      </w:pPr>
      <w:bookmarkStart w:id="76" w:name="_Toc80092994"/>
      <w:bookmarkStart w:id="77" w:name="_Toc146703282"/>
      <w:bookmarkStart w:id="78" w:name="_Toc18965"/>
      <w:r>
        <w:rPr>
          <w:rFonts w:hint="eastAsia" w:ascii="宋体" w:hAnsi="宋体" w:eastAsia="宋体" w:cs="宋体"/>
          <w:b/>
          <w:bCs/>
          <w:color w:val="auto"/>
          <w:sz w:val="32"/>
          <w:szCs w:val="32"/>
          <w:highlight w:val="none"/>
        </w:rPr>
        <w:t>第二节 供应商须知正文</w:t>
      </w:r>
      <w:bookmarkEnd w:id="76"/>
      <w:bookmarkEnd w:id="77"/>
      <w:bookmarkEnd w:id="78"/>
    </w:p>
    <w:p w14:paraId="4210E5DB">
      <w:pPr>
        <w:spacing w:line="400" w:lineRule="exact"/>
        <w:ind w:firstLine="643" w:firstLineChars="200"/>
        <w:jc w:val="center"/>
        <w:outlineLvl w:val="2"/>
        <w:rPr>
          <w:rFonts w:ascii="宋体" w:hAnsi="宋体" w:eastAsia="宋体" w:cs="宋体"/>
          <w:b/>
          <w:bCs/>
          <w:color w:val="auto"/>
          <w:sz w:val="32"/>
          <w:szCs w:val="32"/>
          <w:highlight w:val="none"/>
        </w:rPr>
      </w:pPr>
      <w:bookmarkStart w:id="79" w:name="_Toc80092995"/>
      <w:bookmarkStart w:id="80" w:name="_Toc18912"/>
      <w:bookmarkStart w:id="81" w:name="_Toc146703283"/>
      <w:r>
        <w:rPr>
          <w:rFonts w:hint="eastAsia" w:ascii="宋体" w:hAnsi="宋体" w:eastAsia="宋体" w:cs="宋体"/>
          <w:b/>
          <w:bCs/>
          <w:color w:val="auto"/>
          <w:sz w:val="32"/>
          <w:szCs w:val="32"/>
          <w:highlight w:val="none"/>
        </w:rPr>
        <w:t>一、总  则</w:t>
      </w:r>
      <w:bookmarkEnd w:id="79"/>
      <w:bookmarkEnd w:id="80"/>
      <w:bookmarkEnd w:id="81"/>
    </w:p>
    <w:p w14:paraId="35731A64">
      <w:pPr>
        <w:spacing w:line="360" w:lineRule="auto"/>
        <w:ind w:firstLine="480" w:firstLineChars="200"/>
        <w:rPr>
          <w:rFonts w:ascii="宋体" w:hAnsi="宋体" w:eastAsia="宋体" w:cs="宋体"/>
          <w:color w:val="auto"/>
          <w:sz w:val="24"/>
          <w:szCs w:val="24"/>
          <w:highlight w:val="none"/>
        </w:rPr>
      </w:pPr>
      <w:bookmarkStart w:id="82" w:name="_Toc254970668"/>
      <w:bookmarkStart w:id="83" w:name="_Toc254970527"/>
      <w:r>
        <w:rPr>
          <w:rFonts w:hint="eastAsia" w:ascii="宋体" w:hAnsi="宋体" w:eastAsia="宋体" w:cs="宋体"/>
          <w:color w:val="auto"/>
          <w:sz w:val="24"/>
          <w:szCs w:val="24"/>
          <w:highlight w:val="none"/>
        </w:rPr>
        <w:t>1.适用范围</w:t>
      </w:r>
      <w:bookmarkEnd w:id="82"/>
      <w:bookmarkEnd w:id="83"/>
    </w:p>
    <w:p w14:paraId="2E1D5B6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适用法律：本项目征集人、采购代理机构、供应商、评审委员会的相关行为均受《中华人民共和国政府采购法》、《中华人民共和国政府采购法实施条例》、《政府采购货物和服务征集响应管理办法》及本项目本级和上级财政部门政府采购有关规定的约束和保护。</w:t>
      </w:r>
    </w:p>
    <w:p w14:paraId="188B564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1.2本征集文件</w:t>
      </w:r>
      <w:r>
        <w:rPr>
          <w:rFonts w:hint="eastAsia" w:ascii="宋体" w:hAnsi="宋体" w:eastAsia="宋体" w:cs="宋体"/>
          <w:color w:val="auto"/>
          <w:spacing w:val="-6"/>
          <w:szCs w:val="21"/>
          <w:highlight w:val="none"/>
        </w:rPr>
        <w:t>适用于本项目的所有采购程序和环节（法律、法规另有规定的，从其规定）。</w:t>
      </w:r>
    </w:p>
    <w:p w14:paraId="59B8F658">
      <w:pPr>
        <w:spacing w:line="360" w:lineRule="auto"/>
        <w:ind w:firstLine="480" w:firstLineChars="200"/>
        <w:rPr>
          <w:rFonts w:ascii="宋体" w:hAnsi="宋体" w:eastAsia="宋体" w:cs="宋体"/>
          <w:color w:val="auto"/>
          <w:sz w:val="24"/>
          <w:szCs w:val="24"/>
          <w:highlight w:val="none"/>
        </w:rPr>
      </w:pPr>
      <w:bookmarkStart w:id="84" w:name="_Toc254970669"/>
      <w:bookmarkStart w:id="85" w:name="_Toc254970528"/>
      <w:r>
        <w:rPr>
          <w:rFonts w:hint="eastAsia" w:ascii="宋体" w:hAnsi="宋体" w:eastAsia="宋体" w:cs="宋体"/>
          <w:color w:val="auto"/>
          <w:sz w:val="24"/>
          <w:szCs w:val="24"/>
          <w:highlight w:val="none"/>
        </w:rPr>
        <w:t>2.定义</w:t>
      </w:r>
      <w:bookmarkEnd w:id="84"/>
      <w:bookmarkEnd w:id="85"/>
    </w:p>
    <w:p w14:paraId="63631C81">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2.1“征集人”是指依法进行政府采购的国家机关、事业单位、团体组织。</w:t>
      </w:r>
    </w:p>
    <w:p w14:paraId="710E854F">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2.2“采购代理机构” 指政府采购集中采购机构和集中采购机构以外的采购代理机构。</w:t>
      </w:r>
    </w:p>
    <w:p w14:paraId="681125EB">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2.3“供应商”是指向征集人、采购人提供货物、工程或者服务的法人、其他组织或者自然人。</w:t>
      </w:r>
    </w:p>
    <w:p w14:paraId="05C0FA00">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2.4“采购人”是指依法在框架协议范围内选定成交供应商并委托其开展相关服务工作的国家机关、事业单位、团体组织、企业等</w:t>
      </w:r>
      <w:r>
        <w:rPr>
          <w:rFonts w:hint="eastAsia" w:ascii="宋体" w:hAnsi="宋体" w:eastAsia="宋体" w:cs="宋体"/>
          <w:color w:val="auto"/>
          <w:szCs w:val="21"/>
          <w:highlight w:val="none"/>
        </w:rPr>
        <w:t>。</w:t>
      </w:r>
    </w:p>
    <w:p w14:paraId="5CF3969A">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2.5“服务”是指除货物和工程以外的其他政府采购对象。</w:t>
      </w:r>
    </w:p>
    <w:p w14:paraId="74409A57">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2.6“书面形式”是指合同书、信件和数据电文（包括电报、电传、传真、短信、电子数据交换和电子邮件）等可以有形地表现所载内容的形式。</w:t>
      </w:r>
    </w:p>
    <w:p w14:paraId="10944A19">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2.7“实质性要求”是指征集文件中已经指明不满足则响应无效的条款，或者不能负偏离的条款，或者采购需求中带“</w:t>
      </w:r>
      <w:r>
        <w:rPr>
          <w:rFonts w:hint="eastAsia" w:ascii="宋体" w:hAnsi="宋体" w:eastAsia="宋体" w:cs="宋体"/>
          <w:b/>
          <w:bCs/>
          <w:color w:val="auto"/>
          <w:szCs w:val="21"/>
          <w:highlight w:val="none"/>
        </w:rPr>
        <w:t>▲</w:t>
      </w:r>
      <w:r>
        <w:rPr>
          <w:rFonts w:hint="eastAsia" w:ascii="宋体" w:hAnsi="宋体" w:eastAsia="宋体" w:cs="宋体"/>
          <w:b/>
          <w:color w:val="auto"/>
          <w:szCs w:val="21"/>
          <w:highlight w:val="none"/>
        </w:rPr>
        <w:t>”的条款。</w:t>
      </w:r>
    </w:p>
    <w:p w14:paraId="592550C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2.8“正偏离”，是指响应文件对征集文件“采购需求”中有关条款作出的响应优于条款要求并有利于征集人的情形。</w:t>
      </w:r>
    </w:p>
    <w:p w14:paraId="6704714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2.9“负偏离”，是指响应文件对征集文件“采购需求”中有关条款作出的响应不满足条款要求，导致采购人要求不能得到满足的情形。</w:t>
      </w:r>
    </w:p>
    <w:p w14:paraId="7C88B08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bookmarkStart w:id="86" w:name="_Toc254970529"/>
      <w:bookmarkStart w:id="87" w:name="_Toc254970670"/>
    </w:p>
    <w:p w14:paraId="2B18B3C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End w:id="86"/>
      <w:bookmarkEnd w:id="87"/>
      <w:r>
        <w:rPr>
          <w:rFonts w:hint="eastAsia" w:ascii="宋体" w:hAnsi="宋体" w:eastAsia="宋体" w:cs="宋体"/>
          <w:color w:val="auto"/>
          <w:sz w:val="24"/>
          <w:szCs w:val="24"/>
          <w:highlight w:val="none"/>
        </w:rPr>
        <w:t>供应商的资格要求</w:t>
      </w:r>
    </w:p>
    <w:p w14:paraId="20583F3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供应商的资格要求详见“征集公告”。</w:t>
      </w:r>
    </w:p>
    <w:p w14:paraId="2A1CC921">
      <w:pPr>
        <w:spacing w:line="360" w:lineRule="auto"/>
        <w:ind w:firstLine="480" w:firstLineChars="200"/>
        <w:rPr>
          <w:rFonts w:ascii="宋体" w:hAnsi="宋体" w:eastAsia="宋体" w:cs="宋体"/>
          <w:color w:val="auto"/>
          <w:sz w:val="24"/>
          <w:szCs w:val="24"/>
          <w:highlight w:val="none"/>
        </w:rPr>
      </w:pPr>
      <w:bookmarkStart w:id="88" w:name="_Toc254970671"/>
      <w:bookmarkStart w:id="89" w:name="_Toc254970530"/>
      <w:r>
        <w:rPr>
          <w:rFonts w:hint="eastAsia" w:ascii="宋体" w:hAnsi="宋体" w:eastAsia="宋体" w:cs="宋体"/>
          <w:color w:val="auto"/>
          <w:sz w:val="24"/>
          <w:szCs w:val="24"/>
          <w:highlight w:val="none"/>
        </w:rPr>
        <w:t>4.响应委托</w:t>
      </w:r>
      <w:bookmarkEnd w:id="88"/>
      <w:bookmarkEnd w:id="89"/>
    </w:p>
    <w:p w14:paraId="573EACD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供应商代表参加响应活动过程中必须携带个人有效身份证件。如供应商代表不是法定代表人，须持有法定代表人授权委托书（正本用原件，副本用复印件，按第六章要求格式填写）。</w:t>
      </w:r>
    </w:p>
    <w:p w14:paraId="4B92437D">
      <w:pPr>
        <w:spacing w:line="360" w:lineRule="auto"/>
        <w:ind w:firstLine="480" w:firstLineChars="200"/>
        <w:rPr>
          <w:rFonts w:ascii="宋体" w:hAnsi="宋体" w:eastAsia="宋体" w:cs="宋体"/>
          <w:color w:val="auto"/>
          <w:sz w:val="24"/>
          <w:szCs w:val="24"/>
          <w:highlight w:val="none"/>
        </w:rPr>
      </w:pPr>
      <w:bookmarkStart w:id="90" w:name="_5.投标费用"/>
      <w:bookmarkEnd w:id="90"/>
      <w:bookmarkStart w:id="91" w:name="_Toc254970531"/>
      <w:bookmarkStart w:id="92" w:name="_Toc254970672"/>
      <w:r>
        <w:rPr>
          <w:rFonts w:hint="eastAsia" w:ascii="宋体" w:hAnsi="宋体" w:eastAsia="宋体" w:cs="宋体"/>
          <w:color w:val="auto"/>
          <w:sz w:val="24"/>
          <w:szCs w:val="24"/>
          <w:highlight w:val="none"/>
        </w:rPr>
        <w:t>5.响应费用</w:t>
      </w:r>
      <w:bookmarkEnd w:id="91"/>
      <w:bookmarkEnd w:id="92"/>
    </w:p>
    <w:p w14:paraId="5F9CF0B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响应费用：供应商应承担参与本次采购活动有关的所有费用，包括但不限于勘查现场、编制响应文件、参加澄清说明、签订合同等，不论响应结果如何，均应自行承担。</w:t>
      </w:r>
    </w:p>
    <w:p w14:paraId="56BA5C9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6.联合体响应</w:t>
      </w:r>
    </w:p>
    <w:p w14:paraId="145A2A1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6.1本项目是否接受联合体响应，详见“供应商须知前附表”。</w:t>
      </w:r>
    </w:p>
    <w:p w14:paraId="1B5FD127">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6.2如接受联合体响应，联合体响应要求详见“供应商须知前附表”。</w:t>
      </w:r>
    </w:p>
    <w:p w14:paraId="281BA43E">
      <w:pPr>
        <w:spacing w:line="360" w:lineRule="auto"/>
        <w:ind w:firstLine="420" w:firstLineChars="200"/>
        <w:rPr>
          <w:rFonts w:ascii="宋体" w:hAnsi="宋体" w:eastAsia="宋体" w:cs="宋体"/>
          <w:color w:val="auto"/>
          <w:sz w:val="24"/>
          <w:szCs w:val="24"/>
          <w:highlight w:val="none"/>
          <w:shd w:val="clear" w:color="auto" w:fill="FFFFFF"/>
        </w:rPr>
      </w:pPr>
      <w:r>
        <w:rPr>
          <w:rFonts w:hint="eastAsia" w:ascii="宋体" w:hAnsi="宋体" w:eastAsia="宋体" w:cs="宋体"/>
          <w:bCs/>
          <w:color w:val="auto"/>
          <w:szCs w:val="21"/>
          <w:highlight w:val="none"/>
        </w:rPr>
        <w:t>6.3</w:t>
      </w:r>
      <w:r>
        <w:rPr>
          <w:rFonts w:hint="eastAsia" w:ascii="宋体" w:hAnsi="宋体" w:eastAsia="宋体" w:cs="Times New Roman"/>
          <w:bCs/>
          <w:color w:val="auto"/>
          <w:szCs w:val="21"/>
          <w:highlight w:val="none"/>
        </w:rPr>
        <w:t>根据《政府采购促进中小企业发展管理办法》（财库[2020]46号）第九条、《广西壮族自治区财政厅关于进一步发挥政府采购政策功能促进企业发展的通知》（桂财采〔2022〕30号）及《广西壮族自治区财政厅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r>
        <w:rPr>
          <w:rFonts w:ascii="宋体" w:hAnsi="宋体" w:eastAsia="宋体" w:cs="Times New Roman"/>
          <w:bCs/>
          <w:color w:val="auto"/>
          <w:szCs w:val="21"/>
          <w:highlight w:val="none"/>
        </w:rPr>
        <w:t>。</w:t>
      </w:r>
    </w:p>
    <w:p w14:paraId="1BF98F0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7.转包与分包             </w:t>
      </w:r>
    </w:p>
    <w:p w14:paraId="22A5B85A">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7.1本项目是否允许分包详见“供应商须知前附表”。</w:t>
      </w:r>
    </w:p>
    <w:p w14:paraId="1863D59F">
      <w:pPr>
        <w:spacing w:line="360" w:lineRule="auto"/>
        <w:ind w:firstLine="420" w:firstLineChars="200"/>
        <w:rPr>
          <w:rFonts w:ascii="宋体" w:hAnsi="宋体" w:eastAsia="宋体" w:cs="Times New Roman"/>
          <w:bCs/>
          <w:color w:val="auto"/>
          <w:szCs w:val="21"/>
          <w:highlight w:val="none"/>
        </w:rPr>
      </w:pPr>
      <w:r>
        <w:rPr>
          <w:rFonts w:hint="eastAsia" w:ascii="宋体" w:hAnsi="宋体" w:eastAsia="宋体" w:cs="宋体"/>
          <w:bCs/>
          <w:color w:val="auto"/>
          <w:szCs w:val="21"/>
          <w:highlight w:val="none"/>
        </w:rPr>
        <w:t>7.2</w:t>
      </w:r>
      <w:r>
        <w:rPr>
          <w:rFonts w:hint="eastAsia" w:ascii="宋体" w:hAnsi="宋体" w:eastAsia="宋体" w:cs="Times New Roman"/>
          <w:bCs/>
          <w:color w:val="auto"/>
          <w:szCs w:val="21"/>
          <w:highlight w:val="none"/>
        </w:rPr>
        <w:t>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r>
        <w:rPr>
          <w:rFonts w:ascii="宋体" w:hAnsi="宋体" w:eastAsia="宋体" w:cs="Times New Roman"/>
          <w:bCs/>
          <w:color w:val="auto"/>
          <w:szCs w:val="21"/>
          <w:highlight w:val="none"/>
        </w:rPr>
        <w:t>。</w:t>
      </w:r>
    </w:p>
    <w:p w14:paraId="4AEC89BE">
      <w:pPr>
        <w:spacing w:line="360" w:lineRule="auto"/>
        <w:ind w:firstLine="480" w:firstLineChars="200"/>
        <w:rPr>
          <w:rFonts w:ascii="宋体" w:hAnsi="宋体" w:eastAsia="宋体" w:cs="宋体"/>
          <w:color w:val="auto"/>
          <w:sz w:val="24"/>
          <w:szCs w:val="24"/>
          <w:highlight w:val="none"/>
        </w:rPr>
      </w:pPr>
      <w:bookmarkStart w:id="93" w:name="_Toc254970673"/>
      <w:bookmarkStart w:id="94" w:name="_Toc254970532"/>
      <w:r>
        <w:rPr>
          <w:rFonts w:hint="eastAsia" w:ascii="宋体" w:hAnsi="宋体" w:eastAsia="宋体" w:cs="宋体"/>
          <w:color w:val="auto"/>
          <w:sz w:val="24"/>
          <w:szCs w:val="24"/>
          <w:highlight w:val="none"/>
        </w:rPr>
        <w:t>8.特别说明：</w:t>
      </w:r>
      <w:bookmarkEnd w:id="93"/>
      <w:bookmarkEnd w:id="94"/>
      <w:bookmarkStart w:id="95" w:name="_8.1提供相同品牌产品且通过资格审查、符合性审查的不同投标人参加同一合"/>
      <w:bookmarkEnd w:id="95"/>
    </w:p>
    <w:p w14:paraId="7FABCB5B">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8.1如果本征集文件要求供应商提供资格、信誉、荣誉、业绩与企业认证等材料的，则供应商所提供的以上材料必须为供应商所拥有。</w:t>
      </w:r>
    </w:p>
    <w:p w14:paraId="5AD58EC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8.2供应商应仔细阅读征集文件的所有内容，按照征集文件的要求提交响应文件，并对所提供的全部资料的真实性承担法律责任。</w:t>
      </w:r>
    </w:p>
    <w:p w14:paraId="37030FFD">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8.3供应商在响应活动中提供任何虚假材料，将报监管部门查处；入围后发现的，供应商须依照《中华人民共和国消费者权益保护法》规定赔偿征集人，且民事赔偿并不免除违法供应商的行政与刑事责任。</w:t>
      </w:r>
    </w:p>
    <w:p w14:paraId="4613564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9.回避与串通响应</w:t>
      </w:r>
    </w:p>
    <w:p w14:paraId="73C563F1">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9.1在政府采购活动中，征集人员及相关人员与供应商有下列利害关系之一的，应当回避：</w:t>
      </w:r>
    </w:p>
    <w:p w14:paraId="56DBB456">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（1）参加采购活动前3年内与供应商存在劳动关系；</w:t>
      </w:r>
    </w:p>
    <w:p w14:paraId="54EC07B5">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（2）参加采购活动前3年内担任供应商的董事、监事；</w:t>
      </w:r>
    </w:p>
    <w:p w14:paraId="08F78792">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（3）参加采购活动前3年内是供应商的控股股东或者实际控制人；</w:t>
      </w:r>
    </w:p>
    <w:p w14:paraId="223E0B36">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（4）与供应商的法定代表人或者负责人有夫妻、直系血亲、三代以内旁系血亲或者近姻亲关系；</w:t>
      </w:r>
    </w:p>
    <w:p w14:paraId="53701FC2">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（5）与供应商有其他可能影响政府采购活动公平、公正进行的关系。</w:t>
      </w:r>
    </w:p>
    <w:p w14:paraId="1A7BC3DE">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2125D1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9.2有下列情形之一的视为供应商相互串通响应，响应文件将被视为无效：</w:t>
      </w:r>
    </w:p>
    <w:p w14:paraId="5F613F03">
      <w:pPr>
        <w:spacing w:line="360" w:lineRule="auto"/>
        <w:ind w:firstLine="422" w:firstLineChars="200"/>
        <w:rPr>
          <w:rFonts w:ascii="宋体" w:hAnsi="宋体" w:eastAsia="宋体" w:cs="宋体"/>
          <w:b/>
          <w:color w:val="auto"/>
          <w:szCs w:val="24"/>
          <w:highlight w:val="none"/>
        </w:rPr>
      </w:pPr>
      <w:r>
        <w:rPr>
          <w:rFonts w:hint="eastAsia" w:ascii="宋体" w:hAnsi="宋体" w:eastAsia="宋体" w:cs="宋体"/>
          <w:b/>
          <w:color w:val="auto"/>
          <w:szCs w:val="24"/>
          <w:highlight w:val="none"/>
        </w:rPr>
        <w:t>（1）不同供应商的响应文件由同一单位或者个人编制；或者不同供应商报名的IP地址一致的；</w:t>
      </w:r>
    </w:p>
    <w:p w14:paraId="7FFFE788">
      <w:pPr>
        <w:spacing w:line="360" w:lineRule="auto"/>
        <w:ind w:firstLine="422" w:firstLineChars="200"/>
        <w:rPr>
          <w:rFonts w:ascii="宋体" w:hAnsi="宋体" w:eastAsia="宋体" w:cs="宋体"/>
          <w:b/>
          <w:color w:val="auto"/>
          <w:szCs w:val="24"/>
          <w:highlight w:val="none"/>
        </w:rPr>
      </w:pPr>
      <w:r>
        <w:rPr>
          <w:rFonts w:hint="eastAsia" w:ascii="宋体" w:hAnsi="宋体" w:eastAsia="宋体" w:cs="宋体"/>
          <w:b/>
          <w:color w:val="auto"/>
          <w:szCs w:val="24"/>
          <w:highlight w:val="none"/>
        </w:rPr>
        <w:t>（2）不同供应商委托同一单位或者个人办理响应事宜；</w:t>
      </w:r>
    </w:p>
    <w:p w14:paraId="70660B86">
      <w:pPr>
        <w:spacing w:line="360" w:lineRule="auto"/>
        <w:ind w:firstLine="422" w:firstLineChars="200"/>
        <w:rPr>
          <w:rFonts w:ascii="宋体" w:hAnsi="宋体" w:eastAsia="宋体" w:cs="宋体"/>
          <w:b/>
          <w:color w:val="auto"/>
          <w:szCs w:val="24"/>
          <w:highlight w:val="none"/>
        </w:rPr>
      </w:pPr>
      <w:r>
        <w:rPr>
          <w:rFonts w:hint="eastAsia" w:ascii="宋体" w:hAnsi="宋体" w:eastAsia="宋体" w:cs="宋体"/>
          <w:b/>
          <w:color w:val="auto"/>
          <w:szCs w:val="24"/>
          <w:highlight w:val="none"/>
        </w:rPr>
        <w:t>（3）不同的供应商的响应文件载明的项目管理员为同一个人；</w:t>
      </w:r>
    </w:p>
    <w:p w14:paraId="64DB0751">
      <w:pPr>
        <w:spacing w:line="360" w:lineRule="auto"/>
        <w:ind w:firstLine="422" w:firstLineChars="200"/>
        <w:rPr>
          <w:rFonts w:ascii="宋体" w:hAnsi="宋体" w:eastAsia="宋体" w:cs="宋体"/>
          <w:b/>
          <w:color w:val="auto"/>
          <w:szCs w:val="24"/>
          <w:highlight w:val="none"/>
        </w:rPr>
      </w:pPr>
      <w:r>
        <w:rPr>
          <w:rFonts w:hint="eastAsia" w:ascii="宋体" w:hAnsi="宋体" w:eastAsia="宋体" w:cs="宋体"/>
          <w:b/>
          <w:color w:val="auto"/>
          <w:szCs w:val="24"/>
          <w:highlight w:val="none"/>
        </w:rPr>
        <w:t>（4）不同供应商的电子或纸质响应文件异常一致或者响应报价呈规律性差异；</w:t>
      </w:r>
    </w:p>
    <w:p w14:paraId="37FBC343">
      <w:pPr>
        <w:spacing w:line="360" w:lineRule="auto"/>
        <w:ind w:firstLine="422" w:firstLineChars="200"/>
        <w:rPr>
          <w:rFonts w:ascii="宋体" w:hAnsi="宋体" w:eastAsia="宋体" w:cs="宋体"/>
          <w:b/>
          <w:color w:val="auto"/>
          <w:szCs w:val="24"/>
          <w:highlight w:val="none"/>
        </w:rPr>
      </w:pPr>
      <w:r>
        <w:rPr>
          <w:rFonts w:hint="eastAsia" w:ascii="宋体" w:hAnsi="宋体" w:eastAsia="宋体" w:cs="宋体"/>
          <w:b/>
          <w:color w:val="auto"/>
          <w:szCs w:val="24"/>
          <w:highlight w:val="none"/>
        </w:rPr>
        <w:t>（5）不同供应商的纸质响应文件相互混装；</w:t>
      </w:r>
    </w:p>
    <w:p w14:paraId="7D99F91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9.3供应商有下列情形之一的，属于恶意串通行为，将报同级监督管理部门：</w:t>
      </w:r>
    </w:p>
    <w:p w14:paraId="7F1C9E91">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（1）供应商直接或者间接从征集人或者采购代理机构处获得其他供应商的相关信息并修改其响应文件或者响应文件；</w:t>
      </w:r>
    </w:p>
    <w:p w14:paraId="561DDD36">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（2）供应商按照采购人或者采购代理机构的授意撤换、修改响应文件或者响应文件；</w:t>
      </w:r>
    </w:p>
    <w:p w14:paraId="26EBF335">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（3）供应商之间协商报价、技术方案等响应文件或者响应文件的实质性内容；</w:t>
      </w:r>
    </w:p>
    <w:p w14:paraId="56D9A747">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（4）属于同一集团、协会、商会等组织成员的供应商按照该组织要求协同参加政府采购活动；</w:t>
      </w:r>
    </w:p>
    <w:p w14:paraId="6F53711E">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（5）供应商之间事先约定一致抬高或者压低响应报价，或者在征集项目中事先约定轮流以高价位或者低价位入围，或者事先约定由某一特定供应商入围，然后再参加响应；</w:t>
      </w:r>
    </w:p>
    <w:p w14:paraId="6C7AFD63">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（6）供应商之间商定部分供应商放弃参加政府采购活动或者放弃入围；</w:t>
      </w:r>
    </w:p>
    <w:p w14:paraId="1A227F96">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（7）供应商与征集人或者采购代理机构之间、供应商相互之间，为谋求特定供应商入围或者排斥其他供应商的其他串通行为。</w:t>
      </w:r>
    </w:p>
    <w:p w14:paraId="582ECC5D">
      <w:pPr>
        <w:snapToGrid w:val="0"/>
        <w:spacing w:line="360" w:lineRule="auto"/>
        <w:ind w:left="2" w:leftChars="1" w:firstLine="422" w:firstLineChars="200"/>
        <w:rPr>
          <w:rFonts w:ascii="宋体" w:hAnsi="宋体" w:eastAsia="宋体" w:cs="宋体"/>
          <w:b/>
          <w:color w:val="auto"/>
          <w:szCs w:val="20"/>
          <w:highlight w:val="none"/>
        </w:rPr>
      </w:pPr>
      <w:r>
        <w:rPr>
          <w:rFonts w:hint="eastAsia" w:ascii="宋体" w:hAnsi="宋体" w:eastAsia="宋体" w:cs="宋体"/>
          <w:b/>
          <w:color w:val="auto"/>
          <w:szCs w:val="20"/>
          <w:highlight w:val="none"/>
        </w:rPr>
        <w:br w:type="page"/>
      </w:r>
    </w:p>
    <w:p w14:paraId="3ADCA36E">
      <w:pPr>
        <w:spacing w:line="400" w:lineRule="exact"/>
        <w:ind w:firstLine="643" w:firstLineChars="200"/>
        <w:jc w:val="center"/>
        <w:outlineLvl w:val="2"/>
        <w:rPr>
          <w:rFonts w:ascii="宋体" w:hAnsi="宋体" w:eastAsia="宋体" w:cs="宋体"/>
          <w:b/>
          <w:bCs/>
          <w:color w:val="auto"/>
          <w:sz w:val="32"/>
          <w:szCs w:val="32"/>
          <w:highlight w:val="none"/>
        </w:rPr>
      </w:pPr>
      <w:bookmarkStart w:id="96" w:name="_Toc254970675"/>
      <w:bookmarkStart w:id="97" w:name="_Toc254970534"/>
      <w:bookmarkStart w:id="98" w:name="_Toc80092996"/>
      <w:bookmarkStart w:id="99" w:name="_Toc23932"/>
      <w:bookmarkStart w:id="100" w:name="_Toc146703284"/>
      <w:r>
        <w:rPr>
          <w:rFonts w:hint="eastAsia" w:ascii="宋体" w:hAnsi="宋体" w:eastAsia="宋体" w:cs="宋体"/>
          <w:b/>
          <w:bCs/>
          <w:color w:val="auto"/>
          <w:sz w:val="32"/>
          <w:szCs w:val="32"/>
          <w:highlight w:val="none"/>
        </w:rPr>
        <w:t>二、</w:t>
      </w:r>
      <w:bookmarkEnd w:id="96"/>
      <w:bookmarkEnd w:id="97"/>
      <w:bookmarkEnd w:id="98"/>
      <w:r>
        <w:rPr>
          <w:rFonts w:hint="eastAsia" w:ascii="宋体" w:hAnsi="宋体" w:eastAsia="宋体" w:cs="宋体"/>
          <w:b/>
          <w:bCs/>
          <w:color w:val="auto"/>
          <w:sz w:val="32"/>
          <w:szCs w:val="32"/>
          <w:highlight w:val="none"/>
        </w:rPr>
        <w:t>第一阶段（入围阶段）</w:t>
      </w:r>
      <w:bookmarkEnd w:id="99"/>
      <w:bookmarkEnd w:id="100"/>
    </w:p>
    <w:p w14:paraId="520CA3E2">
      <w:pPr>
        <w:spacing w:line="400" w:lineRule="exact"/>
        <w:ind w:firstLine="643" w:firstLineChars="200"/>
        <w:jc w:val="center"/>
        <w:outlineLvl w:val="2"/>
        <w:rPr>
          <w:rFonts w:ascii="宋体" w:hAnsi="宋体" w:eastAsia="宋体" w:cs="宋体"/>
          <w:b/>
          <w:bCs/>
          <w:color w:val="auto"/>
          <w:sz w:val="32"/>
          <w:szCs w:val="32"/>
          <w:highlight w:val="none"/>
        </w:rPr>
      </w:pPr>
      <w:bookmarkStart w:id="101" w:name="_Toc146703285"/>
      <w:bookmarkStart w:id="102" w:name="_Toc16933"/>
      <w:r>
        <w:rPr>
          <w:rFonts w:hint="eastAsia" w:ascii="宋体" w:hAnsi="宋体" w:eastAsia="宋体" w:cs="宋体"/>
          <w:b/>
          <w:bCs/>
          <w:color w:val="auto"/>
          <w:sz w:val="32"/>
          <w:szCs w:val="32"/>
          <w:highlight w:val="none"/>
        </w:rPr>
        <w:t>（一）征集文件</w:t>
      </w:r>
      <w:bookmarkEnd w:id="101"/>
      <w:bookmarkEnd w:id="102"/>
    </w:p>
    <w:p w14:paraId="666246DF">
      <w:pPr>
        <w:rPr>
          <w:rFonts w:ascii="宋体" w:hAnsi="宋体" w:eastAsia="宋体" w:cs="宋体"/>
          <w:color w:val="auto"/>
          <w:szCs w:val="24"/>
          <w:highlight w:val="none"/>
        </w:rPr>
      </w:pPr>
    </w:p>
    <w:p w14:paraId="2282620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10.征集文件的组成</w:t>
      </w:r>
    </w:p>
    <w:p w14:paraId="0118742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第一章 征集公告；</w:t>
      </w:r>
    </w:p>
    <w:p w14:paraId="6A29237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第二章 采购需求； </w:t>
      </w:r>
    </w:p>
    <w:p w14:paraId="4A07425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第三章 供应商须知；</w:t>
      </w:r>
    </w:p>
    <w:p w14:paraId="2E59D27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第四章 评审方法及评审标准；</w:t>
      </w:r>
    </w:p>
    <w:p w14:paraId="4EC7422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第五章 拟签订的</w:t>
      </w:r>
      <w:r>
        <w:rPr>
          <w:rFonts w:hint="eastAsia" w:ascii="宋体" w:hAnsi="宋体" w:eastAsia="宋体" w:cs="宋体"/>
          <w:color w:val="auto"/>
          <w:kern w:val="0"/>
          <w:szCs w:val="21"/>
          <w:highlight w:val="none"/>
        </w:rPr>
        <w:t>框架协议文本和采购合同文本</w:t>
      </w:r>
      <w:r>
        <w:rPr>
          <w:rFonts w:hint="eastAsia" w:ascii="宋体" w:hAnsi="宋体" w:eastAsia="宋体" w:cs="宋体"/>
          <w:color w:val="auto"/>
          <w:szCs w:val="21"/>
          <w:highlight w:val="none"/>
        </w:rPr>
        <w:t>；</w:t>
      </w:r>
    </w:p>
    <w:p w14:paraId="0F06333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第六章 响应文件格式；</w:t>
      </w:r>
    </w:p>
    <w:p w14:paraId="4983F45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第七章 质疑、投诉材料格式</w:t>
      </w:r>
    </w:p>
    <w:p w14:paraId="71F63348">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根据本章第11.1项的规定对公开征集文件所做的澄清、修改，构成征集文件的组成部分。当公开征集文件与征集文件的澄清和修改就同一内容的表述不一致时，以最后澄清或修改公告为准。</w:t>
      </w:r>
    </w:p>
    <w:p w14:paraId="6FC8745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11.征集文件的澄清、修改 、现场考察和答疑会</w:t>
      </w:r>
    </w:p>
    <w:p w14:paraId="1191CF1D">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 11.1征集人或者采购代理机构可以对已发出的征集文件进行必要的澄清或者修改，但不得改变采购标的和资格条件。澄清或者修改应当在原公告发布媒体上发布澄清公告。澄清或者修改的内容为征集文件的组成部分。</w:t>
      </w:r>
    </w:p>
    <w:p w14:paraId="22964805">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11.2 供应商应认真审阅本公开征集文件，如有疑问，或发现其中有误或有要求不合理的，应在供应商须知前附表规定的</w:t>
      </w:r>
      <w:r>
        <w:rPr>
          <w:rFonts w:hint="eastAsia" w:ascii="宋体" w:hAnsi="宋体" w:eastAsia="宋体" w:cs="宋体"/>
          <w:color w:val="auto"/>
          <w:kern w:val="0"/>
          <w:szCs w:val="21"/>
          <w:highlight w:val="none"/>
        </w:rPr>
        <w:t>响应截止时间</w:t>
      </w:r>
      <w:r>
        <w:rPr>
          <w:rFonts w:hint="eastAsia" w:ascii="宋体" w:hAnsi="宋体" w:eastAsia="宋体" w:cs="宋体"/>
          <w:color w:val="auto"/>
          <w:szCs w:val="24"/>
          <w:highlight w:val="none"/>
        </w:rPr>
        <w:t>前以书面形式要求征集人或采购代理机构对征集文件予以澄清；否则，由此产生的后果由供应商自行负责。</w:t>
      </w:r>
    </w:p>
    <w:p w14:paraId="7A54ACDE">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11.3 征集人或者采购代理机构可以对已发出的征集文件进行必要的澄清或者修改。澄清或者修改的内容可能影响响应文件编制的，征集人或者采购代理机构应当在响应截止时间至少15日前，以书面形式通知(在“</w:t>
      </w:r>
      <w:r>
        <w:rPr>
          <w:rFonts w:hint="eastAsia" w:ascii="宋体" w:hAnsi="宋体" w:eastAsia="宋体" w:cs="宋体"/>
          <w:color w:val="auto"/>
          <w:szCs w:val="21"/>
          <w:highlight w:val="none"/>
        </w:rPr>
        <w:t>供应商须知前附表”</w:t>
      </w:r>
      <w:r>
        <w:rPr>
          <w:rFonts w:hint="eastAsia" w:ascii="宋体" w:hAnsi="宋体" w:eastAsia="宋体" w:cs="宋体"/>
          <w:color w:val="auto"/>
          <w:szCs w:val="24"/>
          <w:highlight w:val="none"/>
        </w:rPr>
        <w:t>规定的政府采购信息发布媒体上发布更正公告及平台短信通知)所有获取征集文件的潜在供应商；不足15日的，征集人或者采购代理机构应当顺延提交响应文件的截止时间。发出的澄清或者修改不影响响应文件编制的也应在截标前3日发出。</w:t>
      </w:r>
    </w:p>
    <w:p w14:paraId="776F3B6A">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11.4 征集人和采购代理机构可以视采购具体情况，变更响应截止时间和开标时间，将变更时间将在“</w:t>
      </w:r>
      <w:r>
        <w:rPr>
          <w:rFonts w:hint="eastAsia" w:ascii="宋体" w:hAnsi="宋体" w:eastAsia="宋体" w:cs="宋体"/>
          <w:color w:val="auto"/>
          <w:szCs w:val="21"/>
          <w:highlight w:val="none"/>
        </w:rPr>
        <w:t>供应商须知前附表”</w:t>
      </w:r>
      <w:r>
        <w:rPr>
          <w:rFonts w:hint="eastAsia" w:ascii="宋体" w:hAnsi="宋体" w:eastAsia="宋体" w:cs="宋体"/>
          <w:color w:val="auto"/>
          <w:kern w:val="0"/>
          <w:szCs w:val="21"/>
          <w:highlight w:val="none"/>
        </w:rPr>
        <w:t>规定的政府采购信息发布媒体上</w:t>
      </w:r>
      <w:r>
        <w:rPr>
          <w:rFonts w:hint="eastAsia" w:ascii="宋体" w:hAnsi="宋体" w:eastAsia="宋体" w:cs="宋体"/>
          <w:color w:val="auto"/>
          <w:szCs w:val="24"/>
          <w:highlight w:val="none"/>
        </w:rPr>
        <w:t>发布更正公告。</w:t>
      </w:r>
    </w:p>
    <w:p w14:paraId="7EDA21C1">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11.</w:t>
      </w:r>
      <w:bookmarkStart w:id="103" w:name="_Hlk53134511"/>
      <w:r>
        <w:rPr>
          <w:rFonts w:hint="eastAsia" w:ascii="宋体" w:hAnsi="宋体" w:eastAsia="宋体" w:cs="宋体"/>
          <w:color w:val="auto"/>
          <w:szCs w:val="24"/>
          <w:highlight w:val="none"/>
        </w:rPr>
        <w:t>5征集人或者采购代理机构可以在征集文件提供期限截止后，组织已获取征集文件的潜在供应商现场考察或者召开开标前答疑会，具体详见“供应商须知前附表”。</w:t>
      </w:r>
    </w:p>
    <w:bookmarkEnd w:id="103"/>
    <w:p w14:paraId="59683527">
      <w:pPr>
        <w:spacing w:line="400" w:lineRule="exact"/>
        <w:ind w:firstLine="643" w:firstLineChars="200"/>
        <w:jc w:val="center"/>
        <w:outlineLvl w:val="2"/>
        <w:rPr>
          <w:rFonts w:ascii="宋体" w:hAnsi="宋体" w:eastAsia="宋体" w:cs="宋体"/>
          <w:b/>
          <w:bCs/>
          <w:color w:val="auto"/>
          <w:sz w:val="32"/>
          <w:szCs w:val="32"/>
          <w:highlight w:val="none"/>
        </w:rPr>
      </w:pPr>
      <w:bookmarkStart w:id="104" w:name="_Toc80092997"/>
      <w:bookmarkStart w:id="105" w:name="_Toc254970535"/>
      <w:bookmarkStart w:id="106" w:name="_Toc146703286"/>
      <w:bookmarkStart w:id="107" w:name="_Toc27742"/>
      <w:bookmarkStart w:id="108" w:name="_Toc254970676"/>
      <w:r>
        <w:rPr>
          <w:rFonts w:hint="eastAsia" w:ascii="宋体" w:hAnsi="宋体" w:eastAsia="宋体" w:cs="宋体"/>
          <w:b/>
          <w:bCs/>
          <w:color w:val="auto"/>
          <w:sz w:val="32"/>
          <w:szCs w:val="32"/>
          <w:highlight w:val="none"/>
        </w:rPr>
        <w:t>（二）响应文件的编制</w:t>
      </w:r>
      <w:bookmarkEnd w:id="104"/>
      <w:bookmarkEnd w:id="105"/>
      <w:bookmarkEnd w:id="106"/>
      <w:bookmarkEnd w:id="107"/>
      <w:bookmarkEnd w:id="108"/>
    </w:p>
    <w:p w14:paraId="4867EF80">
      <w:pPr>
        <w:spacing w:line="360" w:lineRule="auto"/>
        <w:ind w:firstLine="480" w:firstLineChars="200"/>
        <w:rPr>
          <w:rFonts w:ascii="宋体" w:hAnsi="宋体" w:eastAsia="宋体" w:cs="宋体"/>
          <w:color w:val="auto"/>
          <w:sz w:val="24"/>
          <w:szCs w:val="24"/>
          <w:highlight w:val="none"/>
        </w:rPr>
      </w:pPr>
      <w:bookmarkStart w:id="109" w:name="_Toc254970536"/>
      <w:bookmarkStart w:id="110" w:name="_Toc254970677"/>
      <w:r>
        <w:rPr>
          <w:rFonts w:hint="eastAsia" w:ascii="宋体" w:hAnsi="宋体" w:eastAsia="宋体" w:cs="宋体"/>
          <w:color w:val="auto"/>
          <w:sz w:val="24"/>
          <w:szCs w:val="24"/>
          <w:highlight w:val="none"/>
        </w:rPr>
        <w:t>12.响应文件的编制原则</w:t>
      </w:r>
    </w:p>
    <w:p w14:paraId="16A944C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12.1供应商必须按照征集文件的要求编制响应文件。响应文件必须对征集文件提出的要求和条件作出明确响应。</w:t>
      </w:r>
    </w:p>
    <w:p w14:paraId="2EB49A8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12.2供应商应根据自身实际情况如实响应征集文件，不得仅将征集文件内容简单复制粘贴作为响应，还应当提供相关证明材料，否则将作无效响应处理（定制采购项目不适用本条款）。对于重要技术条款或技术参数应当在响应文件中提供技术支持资料，技术支持资料以征集文件中规定的形式为准，否则将视为无效技术支持资料。</w:t>
      </w:r>
    </w:p>
    <w:p w14:paraId="1C9B5B5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13.响应文件的组成</w:t>
      </w:r>
      <w:bookmarkEnd w:id="109"/>
      <w:bookmarkEnd w:id="110"/>
    </w:p>
    <w:p w14:paraId="1D56C52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13.1响应文件由报价文件、资格证明文件、商务文件、技术文件四部分组成。</w:t>
      </w:r>
    </w:p>
    <w:p w14:paraId="6166A239">
      <w:pPr>
        <w:spacing w:line="360" w:lineRule="auto"/>
        <w:ind w:firstLine="420" w:firstLineChars="200"/>
        <w:rPr>
          <w:rFonts w:ascii="宋体" w:hAnsi="宋体" w:eastAsia="宋体" w:cs="宋体"/>
          <w:bCs/>
          <w:color w:val="auto"/>
          <w:szCs w:val="21"/>
          <w:highlight w:val="none"/>
        </w:rPr>
      </w:pPr>
      <w:bookmarkStart w:id="111" w:name="_13.1报价文件:_具体材料见“投标人须知前附表”。"/>
      <w:bookmarkEnd w:id="111"/>
      <w:bookmarkStart w:id="112" w:name="_13.2资格证明文件：具体材料见“投标人须知前附表”。"/>
      <w:bookmarkEnd w:id="112"/>
      <w:r>
        <w:rPr>
          <w:rFonts w:hint="eastAsia" w:ascii="宋体" w:hAnsi="宋体" w:eastAsia="宋体" w:cs="宋体"/>
          <w:bCs/>
          <w:color w:val="auto"/>
          <w:szCs w:val="21"/>
          <w:highlight w:val="none"/>
        </w:rPr>
        <w:t>（1）资格证明文件：具体材料见“供应商须知前附表”。</w:t>
      </w:r>
    </w:p>
    <w:p w14:paraId="46EF3D16">
      <w:pPr>
        <w:spacing w:line="360" w:lineRule="auto"/>
        <w:ind w:firstLine="420" w:firstLineChars="200"/>
        <w:rPr>
          <w:rFonts w:ascii="宋体" w:hAnsi="宋体" w:eastAsia="宋体" w:cs="宋体"/>
          <w:bCs/>
          <w:color w:val="auto"/>
          <w:szCs w:val="21"/>
          <w:highlight w:val="none"/>
        </w:rPr>
      </w:pPr>
      <w:bookmarkStart w:id="113" w:name="_13.3商务文件:_具体材料见“投标人须知前附表”。"/>
      <w:bookmarkEnd w:id="113"/>
      <w:r>
        <w:rPr>
          <w:rFonts w:hint="eastAsia" w:ascii="宋体" w:hAnsi="宋体" w:eastAsia="宋体" w:cs="宋体"/>
          <w:bCs/>
          <w:color w:val="auto"/>
          <w:szCs w:val="21"/>
          <w:highlight w:val="none"/>
        </w:rPr>
        <w:t>（2）商务文件：具体材料见“供应商须知前附表”。</w:t>
      </w:r>
    </w:p>
    <w:p w14:paraId="17F34AE1">
      <w:pPr>
        <w:spacing w:line="360" w:lineRule="auto"/>
        <w:ind w:firstLine="420" w:firstLineChars="200"/>
        <w:rPr>
          <w:rFonts w:ascii="宋体" w:hAnsi="宋体" w:eastAsia="宋体" w:cs="宋体"/>
          <w:bCs/>
          <w:color w:val="auto"/>
          <w:szCs w:val="21"/>
          <w:highlight w:val="none"/>
        </w:rPr>
      </w:pPr>
      <w:bookmarkStart w:id="114" w:name="_13.4技术文件：具体材料见“投标人须知前附表”。"/>
      <w:bookmarkEnd w:id="114"/>
      <w:r>
        <w:rPr>
          <w:rFonts w:hint="eastAsia" w:ascii="宋体" w:hAnsi="宋体" w:eastAsia="宋体" w:cs="宋体"/>
          <w:bCs/>
          <w:color w:val="auto"/>
          <w:szCs w:val="21"/>
          <w:highlight w:val="none"/>
        </w:rPr>
        <w:t xml:space="preserve">（3）技术文件：具体材料见“供应商须知前附表”。 </w:t>
      </w:r>
    </w:p>
    <w:p w14:paraId="12A8E8E4">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（4）报价文件： 具体材料见“供应商须知前附表”。</w:t>
      </w:r>
    </w:p>
    <w:p w14:paraId="01E82E26">
      <w:pPr>
        <w:spacing w:line="360" w:lineRule="auto"/>
        <w:ind w:firstLine="420" w:firstLineChars="200"/>
        <w:rPr>
          <w:rFonts w:ascii="宋体" w:hAnsi="宋体" w:eastAsia="宋体" w:cs="宋体"/>
          <w:bCs/>
          <w:color w:val="auto"/>
          <w:szCs w:val="21"/>
          <w:highlight w:val="none"/>
        </w:rPr>
      </w:pPr>
      <w:bookmarkStart w:id="115" w:name="_13.5投标文件电子版：具体材料见“投标人须知前附表”。"/>
      <w:bookmarkEnd w:id="115"/>
      <w:r>
        <w:rPr>
          <w:rFonts w:hint="eastAsia" w:ascii="宋体" w:hAnsi="宋体" w:eastAsia="宋体" w:cs="宋体"/>
          <w:bCs/>
          <w:color w:val="auto"/>
          <w:szCs w:val="21"/>
          <w:highlight w:val="none"/>
        </w:rPr>
        <w:t>13.2响应文件电子版：具体要求见本节19.响应文件编制。</w:t>
      </w:r>
    </w:p>
    <w:p w14:paraId="5227CE61">
      <w:pPr>
        <w:spacing w:line="360" w:lineRule="auto"/>
        <w:ind w:firstLine="480" w:firstLineChars="200"/>
        <w:rPr>
          <w:rFonts w:ascii="宋体" w:hAnsi="宋体" w:eastAsia="宋体" w:cs="宋体"/>
          <w:color w:val="auto"/>
          <w:sz w:val="24"/>
          <w:szCs w:val="24"/>
          <w:highlight w:val="none"/>
        </w:rPr>
      </w:pPr>
      <w:bookmarkStart w:id="116" w:name="_Toc254970537"/>
      <w:bookmarkStart w:id="117" w:name="_Toc254970678"/>
      <w:r>
        <w:rPr>
          <w:rFonts w:hint="eastAsia" w:ascii="宋体" w:hAnsi="宋体" w:eastAsia="宋体" w:cs="宋体"/>
          <w:color w:val="auto"/>
          <w:sz w:val="24"/>
          <w:szCs w:val="24"/>
          <w:highlight w:val="none"/>
        </w:rPr>
        <w:t>14.响应文件的语言及计量</w:t>
      </w:r>
      <w:bookmarkEnd w:id="116"/>
      <w:bookmarkEnd w:id="117"/>
    </w:p>
    <w:p w14:paraId="7E193B4C">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14.1语言文字</w:t>
      </w:r>
    </w:p>
    <w:p w14:paraId="76644A80">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响应文件以及供应商与征集人就有关响应事宜的所有来往函电，均应以中文书写（除专用术语外，与征集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46F48489">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14.2响应计量单位</w:t>
      </w:r>
    </w:p>
    <w:p w14:paraId="5AD53270">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征集文件已有明确规定的，使用征集文件规定的计量单位；征集文件没有规定的，应采用中华人民共和国法定计量单位，货币种类为人民币，否则视同未响应。</w:t>
      </w:r>
    </w:p>
    <w:p w14:paraId="7A61138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15.响应的风险</w:t>
      </w:r>
    </w:p>
    <w:p w14:paraId="051DCD09">
      <w:pPr>
        <w:spacing w:line="360" w:lineRule="auto"/>
        <w:ind w:firstLine="420" w:firstLineChars="200"/>
        <w:rPr>
          <w:rFonts w:ascii="宋体" w:hAnsi="宋体" w:eastAsia="宋体" w:cs="宋体"/>
          <w:b/>
          <w:bCs/>
          <w:color w:val="auto"/>
          <w:szCs w:val="24"/>
          <w:highlight w:val="none"/>
        </w:rPr>
      </w:pPr>
      <w:r>
        <w:rPr>
          <w:rFonts w:hint="eastAsia" w:ascii="宋体" w:hAnsi="宋体" w:eastAsia="宋体" w:cs="宋体"/>
          <w:color w:val="auto"/>
          <w:szCs w:val="24"/>
          <w:highlight w:val="none"/>
        </w:rPr>
        <w:t>响应文件分为资格文件、商务和技术文件、报价文件三部分。各供应商在编制响应文件时请按照征集文件规定的格式进行，混乱的编排导致响应文件被误读或评审委员会查找不到有效文件是造成供应商响应文件无效的风险。▲</w:t>
      </w:r>
      <w:r>
        <w:rPr>
          <w:rFonts w:hint="eastAsia" w:ascii="宋体" w:hAnsi="宋体" w:eastAsia="宋体" w:cs="宋体"/>
          <w:b/>
          <w:bCs/>
          <w:color w:val="auto"/>
          <w:szCs w:val="24"/>
          <w:highlight w:val="none"/>
        </w:rPr>
        <w:t>响应文件未按规定的格式编制的、没有按照征集文件要求提供全部资料、没有对征集文件作出实质性响应，响应无效；</w:t>
      </w:r>
    </w:p>
    <w:p w14:paraId="03E3BA46">
      <w:pPr>
        <w:spacing w:line="360" w:lineRule="auto"/>
        <w:ind w:firstLine="480" w:firstLineChars="200"/>
        <w:rPr>
          <w:rFonts w:ascii="宋体" w:hAnsi="宋体" w:eastAsia="宋体" w:cs="宋体"/>
          <w:color w:val="auto"/>
          <w:sz w:val="24"/>
          <w:szCs w:val="24"/>
          <w:highlight w:val="none"/>
        </w:rPr>
      </w:pPr>
      <w:bookmarkStart w:id="118" w:name="_Toc254970538"/>
      <w:bookmarkStart w:id="119" w:name="_Toc254970679"/>
      <w:r>
        <w:rPr>
          <w:rFonts w:hint="eastAsia" w:ascii="宋体" w:hAnsi="宋体" w:eastAsia="宋体" w:cs="宋体"/>
          <w:color w:val="auto"/>
          <w:sz w:val="24"/>
          <w:szCs w:val="24"/>
          <w:highlight w:val="none"/>
        </w:rPr>
        <w:t>16.响应报价</w:t>
      </w:r>
      <w:bookmarkEnd w:id="118"/>
      <w:bookmarkEnd w:id="119"/>
    </w:p>
    <w:p w14:paraId="20955037">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16.1响应报价应</w:t>
      </w:r>
      <w:r>
        <w:rPr>
          <w:rFonts w:hint="eastAsia" w:ascii="宋体" w:hAnsi="宋体" w:eastAsia="宋体" w:cs="宋体"/>
          <w:bCs/>
          <w:color w:val="auto"/>
          <w:szCs w:val="20"/>
          <w:highlight w:val="none"/>
        </w:rPr>
        <w:t>按“第六章　响应文件格式”中“开标一览表”格式填写。</w:t>
      </w:r>
    </w:p>
    <w:p w14:paraId="76CF74B3">
      <w:pPr>
        <w:spacing w:line="360" w:lineRule="auto"/>
        <w:ind w:firstLine="420" w:firstLineChars="200"/>
        <w:rPr>
          <w:rFonts w:ascii="宋体" w:hAnsi="宋体" w:eastAsia="宋体" w:cs="宋体"/>
          <w:bCs/>
          <w:color w:val="auto"/>
          <w:szCs w:val="21"/>
          <w:highlight w:val="none"/>
        </w:rPr>
      </w:pPr>
      <w:bookmarkStart w:id="120" w:name="_16.2投标报价具体定义见投标人须知前附表。"/>
      <w:bookmarkEnd w:id="120"/>
      <w:r>
        <w:rPr>
          <w:rFonts w:hint="eastAsia" w:ascii="宋体" w:hAnsi="宋体" w:eastAsia="宋体" w:cs="宋体"/>
          <w:bCs/>
          <w:color w:val="auto"/>
          <w:szCs w:val="21"/>
          <w:highlight w:val="none"/>
        </w:rPr>
        <w:t>16.2响应报价具体包括内容详见“供应商须知前附表”。</w:t>
      </w:r>
    </w:p>
    <w:p w14:paraId="42D2F555">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16.3供应商必须就所投每个分标的全部内容分别作完整唯一总价报价，不得存在漏项报价；供应商必须就所投分标的单项内容作唯一报价</w:t>
      </w:r>
      <w:r>
        <w:rPr>
          <w:rFonts w:hint="eastAsia" w:ascii="宋体" w:hAnsi="宋体" w:eastAsia="宋体" w:cs="宋体"/>
          <w:b/>
          <w:color w:val="auto"/>
          <w:szCs w:val="24"/>
          <w:highlight w:val="none"/>
        </w:rPr>
        <w:t>，附带有条件的报价将不予接受</w:t>
      </w:r>
      <w:r>
        <w:rPr>
          <w:rFonts w:hint="eastAsia" w:ascii="宋体" w:hAnsi="宋体" w:eastAsia="宋体" w:cs="宋体"/>
          <w:bCs/>
          <w:color w:val="auto"/>
          <w:szCs w:val="21"/>
          <w:highlight w:val="none"/>
        </w:rPr>
        <w:t>。</w:t>
      </w:r>
    </w:p>
    <w:p w14:paraId="67C6488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17.响应有效期</w:t>
      </w:r>
    </w:p>
    <w:p w14:paraId="45AF3A54">
      <w:pPr>
        <w:spacing w:line="360" w:lineRule="auto"/>
        <w:ind w:firstLine="420" w:firstLineChars="200"/>
        <w:rPr>
          <w:rFonts w:ascii="宋体" w:hAnsi="宋体" w:eastAsia="宋体" w:cs="宋体"/>
          <w:bCs/>
          <w:color w:val="auto"/>
          <w:szCs w:val="21"/>
          <w:highlight w:val="none"/>
        </w:rPr>
      </w:pPr>
      <w:bookmarkStart w:id="121" w:name="_17.1投标有效期应按“投标人须知中的前附表”规定的期限。"/>
      <w:bookmarkEnd w:id="121"/>
      <w:r>
        <w:rPr>
          <w:rFonts w:hint="eastAsia" w:ascii="宋体" w:hAnsi="宋体" w:eastAsia="宋体" w:cs="宋体"/>
          <w:bCs/>
          <w:color w:val="auto"/>
          <w:szCs w:val="21"/>
          <w:highlight w:val="none"/>
        </w:rPr>
        <w:t>17.1响应有效期是指为保证征集人有足够的时间在开标后完成评审、定标、合同签订等工作而要求供应商提交的响应文件在一定时间内保持有效的期限。</w:t>
      </w:r>
    </w:p>
    <w:p w14:paraId="7C7D3CFC">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17.2</w:t>
      </w:r>
      <w:bookmarkStart w:id="122" w:name="_Toc254970540"/>
      <w:bookmarkStart w:id="123" w:name="_Toc254970681"/>
      <w:r>
        <w:rPr>
          <w:rFonts w:hint="eastAsia" w:ascii="宋体" w:hAnsi="宋体" w:eastAsia="宋体" w:cs="宋体"/>
          <w:bCs/>
          <w:color w:val="auto"/>
          <w:szCs w:val="21"/>
          <w:highlight w:val="none"/>
        </w:rPr>
        <w:t xml:space="preserve"> 响应有效期应按规定的期限作出承诺，具体详见“供应商须知前附表”。</w:t>
      </w:r>
    </w:p>
    <w:p w14:paraId="6A05B4D0">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17.3供应商的响应文件在响应有效期内均保持有效。</w:t>
      </w:r>
      <w:bookmarkEnd w:id="122"/>
      <w:bookmarkEnd w:id="123"/>
    </w:p>
    <w:p w14:paraId="1CF14B3B">
      <w:pPr>
        <w:spacing w:line="360" w:lineRule="auto"/>
        <w:ind w:firstLine="480" w:firstLineChars="200"/>
        <w:rPr>
          <w:rFonts w:ascii="宋体" w:hAnsi="宋体" w:eastAsia="宋体" w:cs="宋体"/>
          <w:color w:val="auto"/>
          <w:sz w:val="24"/>
          <w:szCs w:val="24"/>
          <w:highlight w:val="none"/>
        </w:rPr>
      </w:pPr>
      <w:bookmarkStart w:id="124" w:name="_18.投标保证金"/>
      <w:bookmarkEnd w:id="124"/>
      <w:bookmarkStart w:id="125" w:name="_Toc254970541"/>
      <w:bookmarkStart w:id="126" w:name="_Toc254970682"/>
      <w:r>
        <w:rPr>
          <w:rFonts w:hint="eastAsia" w:ascii="宋体" w:hAnsi="宋体" w:eastAsia="宋体" w:cs="宋体"/>
          <w:color w:val="auto"/>
          <w:sz w:val="24"/>
          <w:szCs w:val="24"/>
          <w:highlight w:val="none"/>
        </w:rPr>
        <w:t>18.响应保证金</w:t>
      </w:r>
      <w:bookmarkEnd w:id="125"/>
      <w:bookmarkEnd w:id="126"/>
    </w:p>
    <w:p w14:paraId="2C01E736">
      <w:pPr>
        <w:spacing w:line="360" w:lineRule="auto"/>
        <w:ind w:firstLine="420" w:firstLineChars="200"/>
        <w:rPr>
          <w:rFonts w:ascii="宋体" w:hAnsi="宋体" w:eastAsia="宋体" w:cs="宋体"/>
          <w:color w:val="auto"/>
          <w:szCs w:val="21"/>
          <w:highlight w:val="none"/>
        </w:rPr>
      </w:pPr>
      <w:bookmarkStart w:id="127" w:name="_Toc254970542"/>
      <w:bookmarkStart w:id="128" w:name="_Toc254970683"/>
      <w:r>
        <w:rPr>
          <w:rFonts w:hint="eastAsia" w:ascii="宋体" w:hAnsi="宋体" w:eastAsia="宋体" w:cs="宋体"/>
          <w:color w:val="auto"/>
          <w:szCs w:val="21"/>
          <w:highlight w:val="none"/>
        </w:rPr>
        <w:t>见“供应商须知前附表”。</w:t>
      </w:r>
    </w:p>
    <w:p w14:paraId="539D980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19.响应文件的</w:t>
      </w:r>
      <w:bookmarkEnd w:id="127"/>
      <w:bookmarkEnd w:id="128"/>
      <w:r>
        <w:rPr>
          <w:rFonts w:hint="eastAsia" w:ascii="宋体" w:hAnsi="宋体" w:eastAsia="宋体" w:cs="宋体"/>
          <w:color w:val="auto"/>
          <w:sz w:val="24"/>
          <w:szCs w:val="24"/>
          <w:highlight w:val="none"/>
        </w:rPr>
        <w:t>编制</w:t>
      </w:r>
    </w:p>
    <w:p w14:paraId="2F13B7EA">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19.1响应文件编制要求详见“供应商须知前附表”。供应商应按本征集文件规定的格式和顺序编制、装订响应文件并标注页码，响应文件内容不完整、编排混乱导致响应文件被误读、漏读或者查找不到相关内容的，由此引发的后果由供应商承担。</w:t>
      </w:r>
      <w:bookmarkStart w:id="129" w:name="_19.2投标文件应按报价文件、资格证明文件、商务文件、技术文件分别编制"/>
      <w:bookmarkEnd w:id="129"/>
      <w:r>
        <w:rPr>
          <w:rFonts w:hint="eastAsia" w:ascii="宋体" w:hAnsi="宋体" w:eastAsia="宋体" w:cs="宋体"/>
          <w:color w:val="auto"/>
          <w:szCs w:val="24"/>
          <w:highlight w:val="none"/>
        </w:rPr>
        <w:t>特别注意响应报价不得出现在资格文件、技术文件、商务文件中。</w:t>
      </w:r>
      <w:r>
        <w:rPr>
          <w:rFonts w:hint="eastAsia" w:ascii="宋体" w:hAnsi="宋体" w:eastAsia="宋体" w:cs="宋体"/>
          <w:color w:val="auto"/>
          <w:szCs w:val="21"/>
          <w:highlight w:val="none"/>
        </w:rPr>
        <w:t xml:space="preserve"> </w:t>
      </w:r>
    </w:p>
    <w:p w14:paraId="32CD9FD7">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19.2响应文件按照征集文件第六章格式要求在规定位置进行签署、盖章。供应商的响应文件未按照征集文件要求签署、盖章的，</w:t>
      </w:r>
      <w:r>
        <w:rPr>
          <w:rFonts w:hint="eastAsia" w:ascii="宋体" w:hAnsi="宋体" w:eastAsia="宋体" w:cs="宋体"/>
          <w:b/>
          <w:color w:val="auto"/>
          <w:szCs w:val="21"/>
          <w:highlight w:val="none"/>
        </w:rPr>
        <w:t>其响应无效。</w:t>
      </w:r>
      <w:r>
        <w:rPr>
          <w:rFonts w:hint="eastAsia" w:ascii="宋体" w:hAnsi="宋体" w:eastAsia="宋体" w:cs="宋体"/>
          <w:color w:val="auto"/>
          <w:szCs w:val="21"/>
          <w:highlight w:val="none"/>
        </w:rPr>
        <w:t>骑缝盖公章不视为在规定位置盖章。</w:t>
      </w:r>
    </w:p>
    <w:p w14:paraId="6E60D82C">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19.3为确保网上操作合法、有效和安全，供应商应当在响应截止时间前完成在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的身份认证，确保在电子响应过程中能够对相关数据电文进行加密和使用电子签名。</w:t>
      </w:r>
    </w:p>
    <w:p w14:paraId="6EF08BAA">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19.4响应文件入围注的供应商名称应与主体资格证明（如营业执照、事业单位法人证书、执业许可证、自然人身份证等）及公章一致，</w:t>
      </w:r>
      <w:r>
        <w:rPr>
          <w:rFonts w:hint="eastAsia" w:ascii="宋体" w:hAnsi="宋体" w:eastAsia="宋体" w:cs="宋体"/>
          <w:color w:val="auto"/>
          <w:szCs w:val="21"/>
          <w:highlight w:val="none"/>
        </w:rPr>
        <w:t>否则作无效响应处理</w:t>
      </w:r>
      <w:r>
        <w:rPr>
          <w:rFonts w:hint="eastAsia" w:ascii="宋体" w:hAnsi="宋体" w:eastAsia="宋体" w:cs="宋体"/>
          <w:b/>
          <w:color w:val="auto"/>
          <w:szCs w:val="21"/>
          <w:highlight w:val="none"/>
        </w:rPr>
        <w:t>。</w:t>
      </w:r>
    </w:p>
    <w:p w14:paraId="16489DB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19.5响应文件应避免涂改、行间插字或者删除，</w:t>
      </w:r>
      <w:r>
        <w:rPr>
          <w:rFonts w:hint="eastAsia" w:ascii="宋体" w:hAnsi="宋体" w:eastAsia="宋体" w:cs="宋体"/>
          <w:b/>
          <w:color w:val="auto"/>
          <w:szCs w:val="21"/>
          <w:highlight w:val="none"/>
        </w:rPr>
        <w:t>否则其响应无效。</w:t>
      </w:r>
    </w:p>
    <w:p w14:paraId="0DEF50D0">
      <w:pPr>
        <w:spacing w:line="360" w:lineRule="auto"/>
        <w:ind w:firstLine="525" w:firstLineChars="250"/>
        <w:rPr>
          <w:rFonts w:ascii="宋体" w:hAnsi="宋体" w:eastAsia="宋体" w:cs="宋体"/>
          <w:color w:val="auto"/>
          <w:szCs w:val="24"/>
          <w:highlight w:val="none"/>
        </w:rPr>
      </w:pPr>
      <w:r>
        <w:rPr>
          <w:rFonts w:hint="eastAsia" w:ascii="宋体" w:hAnsi="宋体" w:eastAsia="宋体" w:cs="宋体"/>
          <w:color w:val="auto"/>
          <w:szCs w:val="24"/>
          <w:highlight w:val="none"/>
        </w:rPr>
        <w:t>19.6 对征集文件的实质性要求和条件作出响应是指供应商必须对征集文件入围注为实质性要求和条件的</w:t>
      </w:r>
      <w:r>
        <w:rPr>
          <w:rFonts w:hint="eastAsia" w:ascii="宋体" w:hAnsi="宋体" w:eastAsia="宋体" w:cs="宋体"/>
          <w:color w:val="auto"/>
          <w:szCs w:val="21"/>
          <w:highlight w:val="none"/>
        </w:rPr>
        <w:t>服务内容及要求</w:t>
      </w:r>
      <w:r>
        <w:rPr>
          <w:rFonts w:hint="eastAsia" w:ascii="宋体" w:hAnsi="宋体" w:eastAsia="宋体" w:cs="宋体"/>
          <w:color w:val="auto"/>
          <w:szCs w:val="24"/>
          <w:highlight w:val="none"/>
        </w:rPr>
        <w:t>、商务条款及其它内容</w:t>
      </w:r>
      <w:r>
        <w:rPr>
          <w:rFonts w:hint="eastAsia" w:ascii="宋体" w:hAnsi="宋体" w:eastAsia="宋体" w:cs="宋体"/>
          <w:b/>
          <w:color w:val="auto"/>
          <w:szCs w:val="24"/>
          <w:highlight w:val="none"/>
        </w:rPr>
        <w:t>作出满足或者优于原要求和条件的承诺</w:t>
      </w:r>
      <w:r>
        <w:rPr>
          <w:rFonts w:hint="eastAsia" w:ascii="宋体" w:hAnsi="宋体" w:eastAsia="宋体" w:cs="宋体"/>
          <w:color w:val="auto"/>
          <w:szCs w:val="24"/>
          <w:highlight w:val="none"/>
        </w:rPr>
        <w:t>。</w:t>
      </w:r>
    </w:p>
    <w:p w14:paraId="3CD20C50">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19.7本项目为南宁市全流程电子化项目，异常情况见“第二节 供应商须知正文”中“四、24.2开标程序。</w:t>
      </w:r>
    </w:p>
    <w:p w14:paraId="21B9798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20.备份响应文件</w:t>
      </w:r>
    </w:p>
    <w:p w14:paraId="60BE0249">
      <w:pPr>
        <w:spacing w:line="360" w:lineRule="auto"/>
        <w:ind w:firstLine="420" w:firstLineChars="200"/>
        <w:rPr>
          <w:rFonts w:ascii="宋体" w:hAnsi="宋体" w:eastAsia="宋体" w:cs="宋体"/>
          <w:color w:val="auto"/>
          <w:sz w:val="24"/>
          <w:szCs w:val="24"/>
          <w:highlight w:val="none"/>
        </w:rPr>
      </w:pPr>
      <w:r>
        <w:rPr>
          <w:rFonts w:hint="eastAsia" w:ascii="宋体" w:hAnsi="宋体" w:eastAsia="宋体" w:cs="宋体"/>
          <w:bCs/>
          <w:color w:val="auto"/>
          <w:szCs w:val="21"/>
          <w:highlight w:val="none"/>
        </w:rPr>
        <w:t>详见在“供应商须知前附表”。</w:t>
      </w:r>
    </w:p>
    <w:p w14:paraId="1A5E4B4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21.响应文件的提交</w:t>
      </w:r>
    </w:p>
    <w:p w14:paraId="3E01A474">
      <w:pPr>
        <w:spacing w:line="360" w:lineRule="auto"/>
        <w:ind w:firstLine="420" w:firstLineChars="200"/>
        <w:rPr>
          <w:rFonts w:ascii="宋体" w:hAnsi="宋体" w:eastAsia="宋体" w:cs="宋体"/>
          <w:b/>
          <w:color w:val="auto"/>
          <w:szCs w:val="24"/>
          <w:highlight w:val="none"/>
        </w:rPr>
      </w:pPr>
      <w:bookmarkStart w:id="130" w:name="_21.1投标人必须在“投标人须知中的前附表”规定的投标文件接收时间和投"/>
      <w:bookmarkEnd w:id="130"/>
      <w:r>
        <w:rPr>
          <w:rFonts w:hint="eastAsia" w:ascii="宋体" w:hAnsi="宋体" w:eastAsia="宋体" w:cs="宋体"/>
          <w:bCs/>
          <w:color w:val="auto"/>
          <w:szCs w:val="21"/>
          <w:highlight w:val="none"/>
        </w:rPr>
        <w:t xml:space="preserve">21.1供应商必须在“供应商须知前附表”规定的响应文件接收时间和响应地点提交电子版响应文件。电子响应文件应在制作完成后，在响应截止时间前通过有效数字证书（CA认证锁）进行电子签章、加密，然后通过网络将加密的电子响应文件递交至“南宁市政采云平台”。 </w:t>
      </w:r>
      <w:r>
        <w:rPr>
          <w:rFonts w:hint="eastAsia" w:ascii="宋体" w:hAnsi="宋体" w:eastAsia="宋体" w:cs="宋体"/>
          <w:b/>
          <w:color w:val="auto"/>
          <w:szCs w:val="24"/>
          <w:highlight w:val="none"/>
        </w:rPr>
        <w:t xml:space="preserve"> </w:t>
      </w:r>
    </w:p>
    <w:p w14:paraId="4AA52CC4">
      <w:pPr>
        <w:spacing w:line="360" w:lineRule="auto"/>
        <w:ind w:firstLine="422" w:firstLineChars="200"/>
        <w:rPr>
          <w:rFonts w:ascii="宋体" w:hAnsi="宋体" w:eastAsia="宋体" w:cs="宋体"/>
          <w:b/>
          <w:color w:val="auto"/>
          <w:szCs w:val="20"/>
          <w:highlight w:val="none"/>
        </w:rPr>
      </w:pPr>
      <w:r>
        <w:rPr>
          <w:rFonts w:hint="eastAsia" w:ascii="宋体" w:hAnsi="宋体" w:eastAsia="宋体" w:cs="宋体"/>
          <w:b/>
          <w:color w:val="auto"/>
          <w:szCs w:val="21"/>
          <w:highlight w:val="none"/>
        </w:rPr>
        <w:t>21.2未在规定时间内提交或者未按照征集文件要求密封或者标记的电子响应文件，</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将拒收。</w:t>
      </w:r>
    </w:p>
    <w:p w14:paraId="156CF83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21.3电子版响应文件提交方式见“征集公告”中“四、提交响应文件截止时间、开标时间和地点”</w:t>
      </w:r>
      <w:r>
        <w:rPr>
          <w:rFonts w:hint="eastAsia" w:ascii="宋体" w:hAnsi="宋体" w:eastAsia="宋体" w:cs="宋体"/>
          <w:b/>
          <w:color w:val="auto"/>
          <w:szCs w:val="21"/>
          <w:highlight w:val="none"/>
        </w:rPr>
        <w:t xml:space="preserve"> 。</w:t>
      </w:r>
    </w:p>
    <w:p w14:paraId="7E4A37E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 响应文件的补充、修改、撤回与退回</w:t>
      </w:r>
      <w:bookmarkStart w:id="131" w:name="_Toc254970684"/>
      <w:bookmarkStart w:id="132" w:name="_Toc254970543"/>
    </w:p>
    <w:p w14:paraId="635DCF30">
      <w:pPr>
        <w:spacing w:line="360" w:lineRule="auto"/>
        <w:ind w:firstLine="420" w:firstLineChars="200"/>
        <w:rPr>
          <w:rFonts w:ascii="宋体" w:hAnsi="宋体" w:eastAsia="宋体" w:cs="宋体"/>
          <w:color w:val="auto"/>
          <w:sz w:val="24"/>
          <w:szCs w:val="24"/>
          <w:highlight w:val="none"/>
        </w:rPr>
      </w:pPr>
      <w:r>
        <w:rPr>
          <w:rFonts w:hint="eastAsia" w:ascii="宋体" w:hAnsi="宋体" w:eastAsia="宋体" w:cs="宋体"/>
          <w:color w:val="auto"/>
          <w:szCs w:val="21"/>
          <w:highlight w:val="none"/>
        </w:rPr>
        <w:t>22.1 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将拒收。（补充、修改或者撤回方式见公告附件“电子响应文件制作与投送教程”）</w:t>
      </w:r>
    </w:p>
    <w:p w14:paraId="381D85A8">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22.2</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收到响应文件，将妥善保存并即时向供应商发出确认回执通知。在响应截止时间前，除供应商补充、修改或者撤回响应文件外，任何单位和个人不得解密或提取响应文件。</w:t>
      </w:r>
    </w:p>
    <w:bookmarkEnd w:id="131"/>
    <w:bookmarkEnd w:id="132"/>
    <w:p w14:paraId="029C8FA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22.3在响应截止时间止提交电子版响应文件的供应商不足3家时，电子版响应文件由代理机构在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操作退回，除此之外征集人和采购代理机构对已提交的响应文件概不退回。</w:t>
      </w:r>
    </w:p>
    <w:p w14:paraId="65C265A6">
      <w:pPr>
        <w:snapToGrid w:val="0"/>
        <w:spacing w:line="400" w:lineRule="exact"/>
        <w:ind w:firstLine="739"/>
        <w:rPr>
          <w:rFonts w:ascii="宋体" w:hAnsi="宋体" w:eastAsia="宋体" w:cs="宋体"/>
          <w:snapToGrid w:val="0"/>
          <w:color w:val="auto"/>
          <w:spacing w:val="-4"/>
          <w:szCs w:val="21"/>
          <w:highlight w:val="none"/>
        </w:rPr>
      </w:pPr>
    </w:p>
    <w:p w14:paraId="3285262D">
      <w:pPr>
        <w:spacing w:line="400" w:lineRule="exact"/>
        <w:ind w:firstLine="643" w:firstLineChars="200"/>
        <w:jc w:val="center"/>
        <w:outlineLvl w:val="2"/>
        <w:rPr>
          <w:rFonts w:ascii="宋体" w:hAnsi="宋体" w:eastAsia="宋体" w:cs="宋体"/>
          <w:b/>
          <w:bCs/>
          <w:color w:val="auto"/>
          <w:sz w:val="32"/>
          <w:szCs w:val="32"/>
          <w:highlight w:val="none"/>
        </w:rPr>
      </w:pPr>
      <w:bookmarkStart w:id="133" w:name="_Toc257"/>
      <w:bookmarkStart w:id="134" w:name="_Toc146703287"/>
      <w:bookmarkStart w:id="135" w:name="_Toc80092998"/>
      <w:bookmarkStart w:id="136" w:name="_Toc254970544"/>
      <w:bookmarkStart w:id="137" w:name="_Toc254970685"/>
      <w:r>
        <w:rPr>
          <w:rFonts w:hint="eastAsia" w:ascii="宋体" w:hAnsi="宋体" w:eastAsia="宋体" w:cs="宋体"/>
          <w:b/>
          <w:bCs/>
          <w:color w:val="auto"/>
          <w:sz w:val="32"/>
          <w:szCs w:val="32"/>
          <w:highlight w:val="none"/>
        </w:rPr>
        <w:t>（三）开    标</w:t>
      </w:r>
      <w:bookmarkEnd w:id="133"/>
      <w:bookmarkEnd w:id="134"/>
      <w:bookmarkEnd w:id="135"/>
      <w:bookmarkEnd w:id="136"/>
      <w:bookmarkEnd w:id="137"/>
    </w:p>
    <w:p w14:paraId="620C6E66">
      <w:pPr>
        <w:spacing w:line="360" w:lineRule="auto"/>
        <w:ind w:firstLine="480" w:firstLineChars="200"/>
        <w:rPr>
          <w:rFonts w:ascii="宋体" w:hAnsi="宋体" w:eastAsia="宋体" w:cs="宋体"/>
          <w:color w:val="auto"/>
          <w:sz w:val="24"/>
          <w:szCs w:val="24"/>
          <w:highlight w:val="none"/>
        </w:rPr>
      </w:pPr>
      <w:bookmarkStart w:id="138" w:name="_23.开标时间和地点"/>
      <w:bookmarkEnd w:id="138"/>
      <w:r>
        <w:rPr>
          <w:rFonts w:hint="eastAsia" w:ascii="宋体" w:hAnsi="宋体" w:eastAsia="宋体" w:cs="宋体"/>
          <w:color w:val="auto"/>
          <w:sz w:val="24"/>
          <w:szCs w:val="24"/>
          <w:highlight w:val="none"/>
        </w:rPr>
        <w:t>23.开标时间和地点</w:t>
      </w:r>
    </w:p>
    <w:p w14:paraId="6365A7C8">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23.1开标时间及地点详见“供应商须知前附表”</w:t>
      </w:r>
    </w:p>
    <w:p w14:paraId="714ADE76">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23.2如</w:t>
      </w:r>
      <w:r>
        <w:rPr>
          <w:rFonts w:hint="eastAsia" w:ascii="宋体" w:hAnsi="宋体" w:eastAsia="宋体" w:cs="宋体"/>
          <w:bCs/>
          <w:color w:val="auto"/>
          <w:szCs w:val="24"/>
          <w:highlight w:val="none"/>
        </w:rPr>
        <w:t>供应商成功解密响应文件，但未在</w:t>
      </w:r>
      <w:r>
        <w:rPr>
          <w:rFonts w:hint="eastAsia" w:ascii="宋体" w:hAnsi="宋体" w:eastAsia="宋体" w:cs="宋体"/>
          <w:bCs/>
          <w:color w:val="auto"/>
          <w:szCs w:val="24"/>
          <w:highlight w:val="none"/>
          <w:lang w:eastAsia="zh-CN"/>
        </w:rPr>
        <w:t>“广西政府采购云平台”</w:t>
      </w:r>
      <w:r>
        <w:rPr>
          <w:rFonts w:hint="eastAsia" w:ascii="宋体" w:hAnsi="宋体" w:eastAsia="宋体" w:cs="宋体"/>
          <w:bCs/>
          <w:color w:val="auto"/>
          <w:szCs w:val="24"/>
          <w:highlight w:val="none"/>
        </w:rPr>
        <w:t>电子开标大厅参加开标的，视同认可开标过程和结果，</w:t>
      </w:r>
      <w:r>
        <w:rPr>
          <w:rFonts w:hint="eastAsia" w:ascii="宋体" w:hAnsi="宋体" w:eastAsia="宋体" w:cs="宋体"/>
          <w:color w:val="auto"/>
          <w:szCs w:val="24"/>
          <w:highlight w:val="none"/>
        </w:rPr>
        <w:t>由此产生的后果由供应商自行负责。 供应商不足3家的，不得开标。</w:t>
      </w:r>
    </w:p>
    <w:p w14:paraId="68E9DF3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24.开标程序</w:t>
      </w:r>
    </w:p>
    <w:p w14:paraId="6026C049">
      <w:pPr>
        <w:autoSpaceDE w:val="0"/>
        <w:autoSpaceDN w:val="0"/>
        <w:adjustRightInd w:val="0"/>
        <w:spacing w:line="440" w:lineRule="exact"/>
        <w:ind w:firstLine="420" w:firstLineChars="200"/>
        <w:rPr>
          <w:rFonts w:ascii="宋体" w:hAnsi="宋体" w:eastAsia="宋体" w:cs="宋体"/>
          <w:color w:val="auto"/>
          <w:kern w:val="0"/>
          <w:szCs w:val="21"/>
          <w:highlight w:val="none"/>
        </w:rPr>
      </w:pPr>
      <w:r>
        <w:rPr>
          <w:rFonts w:hint="eastAsia" w:ascii="宋体" w:hAnsi="宋体" w:eastAsia="宋体" w:cs="宋体"/>
          <w:bCs/>
          <w:color w:val="auto"/>
          <w:szCs w:val="21"/>
          <w:highlight w:val="none"/>
        </w:rPr>
        <w:t>24.1</w:t>
      </w:r>
      <w:r>
        <w:rPr>
          <w:rFonts w:hint="eastAsia" w:ascii="宋体" w:hAnsi="宋体" w:eastAsia="宋体" w:cs="宋体"/>
          <w:color w:val="auto"/>
          <w:kern w:val="0"/>
          <w:szCs w:val="21"/>
          <w:highlight w:val="none"/>
        </w:rPr>
        <w:t>开标形式：</w:t>
      </w:r>
    </w:p>
    <w:p w14:paraId="3653DBE7">
      <w:pPr>
        <w:autoSpaceDE w:val="0"/>
        <w:autoSpaceDN w:val="0"/>
        <w:adjustRightInd w:val="0"/>
        <w:spacing w:line="440" w:lineRule="exact"/>
        <w:ind w:firstLine="420" w:firstLineChars="200"/>
        <w:rPr>
          <w:rFonts w:ascii="宋体" w:hAnsi="宋体" w:eastAsia="宋体" w:cs="宋体"/>
          <w:bCs/>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rPr>
        <w:t>开标的准备工作由采购代理机构负责落实，采购代理机构必须基于</w:t>
      </w: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bCs/>
          <w:color w:val="auto"/>
          <w:szCs w:val="21"/>
          <w:highlight w:val="none"/>
        </w:rPr>
        <w:t>选取评审专家，如采购代理机构未按规定选取专家的，视为本次开评审无效，应当重新采购；</w:t>
      </w:r>
    </w:p>
    <w:p w14:paraId="7966751C">
      <w:pPr>
        <w:autoSpaceDE w:val="0"/>
        <w:autoSpaceDN w:val="0"/>
        <w:adjustRightInd w:val="0"/>
        <w:spacing w:line="44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（2）采购代理机构将按照征集文件规定的时间通过</w:t>
      </w: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bCs/>
          <w:color w:val="auto"/>
          <w:szCs w:val="21"/>
          <w:highlight w:val="none"/>
        </w:rPr>
        <w:t>组织线上开标活动、开启响应文件，所有供应商均应当准时在线参加。供应商如不参加开标大会的，视同认可开标结果，事后不得对采购相关人员、开标过程和开标结果提出异议，同时供应商因未在线参加开标而导致响应文件无法按时解密等一切后果由供应商自己承担。</w:t>
      </w:r>
    </w:p>
    <w:p w14:paraId="60B333FC">
      <w:pPr>
        <w:autoSpaceDE w:val="0"/>
        <w:autoSpaceDN w:val="0"/>
        <w:adjustRightInd w:val="0"/>
        <w:spacing w:line="44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24.2开标程序：</w:t>
      </w:r>
    </w:p>
    <w:p w14:paraId="63C905F2">
      <w:pPr>
        <w:snapToGrid w:val="0"/>
        <w:spacing w:line="440" w:lineRule="exact"/>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（1）解密电子响应文件。</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color w:val="auto"/>
          <w:szCs w:val="21"/>
          <w:highlight w:val="none"/>
        </w:rPr>
        <w:t>按开标时间自动提取所有响应文件。采购代理机构依托</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向各供应商发出电子加密响应文件【开始解密】通知，由供应商按征集文件规定的时间内自行进行响应文件解密。供应商的法定代表人或其委托代理人</w:t>
      </w:r>
      <w:r>
        <w:rPr>
          <w:rFonts w:hint="eastAsia" w:ascii="宋体" w:hAnsi="宋体" w:eastAsia="宋体" w:cs="宋体"/>
          <w:b/>
          <w:color w:val="auto"/>
          <w:szCs w:val="21"/>
          <w:highlight w:val="none"/>
        </w:rPr>
        <w:t>须携带加密时所用的CA锁准时登录到</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电子开标大厅签到并对电子响应文件解密</w:t>
      </w:r>
      <w:r>
        <w:rPr>
          <w:rFonts w:hint="eastAsia" w:ascii="宋体" w:hAnsi="宋体" w:eastAsia="宋体" w:cs="宋体"/>
          <w:color w:val="auto"/>
          <w:szCs w:val="21"/>
          <w:highlight w:val="none"/>
        </w:rPr>
        <w:t>。开标后5分钟供应商还未进行解密的，代理机构要通知供应商。通知后，响应文件仍未按时解密，或者供应商没预留联系方式或预留联系方式无效，导致代理机构无法联系到供应商进行解密的，</w:t>
      </w:r>
      <w:r>
        <w:rPr>
          <w:rFonts w:hint="eastAsia" w:ascii="宋体" w:hAnsi="宋体" w:eastAsia="宋体" w:cs="宋体"/>
          <w:b/>
          <w:color w:val="auto"/>
          <w:szCs w:val="21"/>
          <w:highlight w:val="none"/>
        </w:rPr>
        <w:t>均视为无效响应。</w:t>
      </w:r>
    </w:p>
    <w:p w14:paraId="2C3886D4">
      <w:pPr>
        <w:snapToGrid w:val="0"/>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（解密</w:t>
      </w:r>
      <w:r>
        <w:rPr>
          <w:rFonts w:hint="eastAsia" w:ascii="宋体" w:hAnsi="宋体" w:eastAsia="宋体" w:cs="宋体"/>
          <w:bCs/>
          <w:color w:val="auto"/>
          <w:szCs w:val="21"/>
          <w:highlight w:val="none"/>
        </w:rPr>
        <w:t>异常情况处理：详见本章</w:t>
      </w:r>
      <w:r>
        <w:rPr>
          <w:rFonts w:hint="eastAsia" w:ascii="宋体" w:hAnsi="宋体" w:eastAsia="宋体" w:cs="宋体"/>
          <w:color w:val="auto"/>
          <w:szCs w:val="20"/>
          <w:highlight w:val="none"/>
        </w:rPr>
        <w:t>29.3 电子交易活动的中止。</w:t>
      </w:r>
      <w:r>
        <w:rPr>
          <w:rFonts w:hint="eastAsia" w:ascii="宋体" w:hAnsi="宋体" w:eastAsia="宋体" w:cs="宋体"/>
          <w:color w:val="auto"/>
          <w:szCs w:val="21"/>
          <w:highlight w:val="none"/>
        </w:rPr>
        <w:t>）</w:t>
      </w:r>
    </w:p>
    <w:p w14:paraId="4646124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color w:val="auto"/>
          <w:szCs w:val="21"/>
          <w:highlight w:val="none"/>
        </w:rPr>
        <w:t>电子唱标。</w:t>
      </w:r>
      <w:r>
        <w:rPr>
          <w:rFonts w:hint="eastAsia" w:ascii="宋体" w:hAnsi="宋体" w:eastAsia="宋体" w:cs="宋体"/>
          <w:color w:val="auto"/>
          <w:szCs w:val="21"/>
          <w:highlight w:val="none"/>
        </w:rPr>
        <w:t>响应文件解密结束，各响应供应商报价均在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远程不见面开标大厅展示；</w:t>
      </w:r>
    </w:p>
    <w:p w14:paraId="70C02F0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
          <w:color w:val="auto"/>
          <w:szCs w:val="21"/>
          <w:highlight w:val="none"/>
        </w:rPr>
        <w:t>签署电子《政府采购活动现场确认声明书》。</w:t>
      </w:r>
      <w:r>
        <w:rPr>
          <w:rFonts w:hint="eastAsia" w:ascii="宋体" w:hAnsi="宋体" w:eastAsia="宋体" w:cs="宋体"/>
          <w:color w:val="auto"/>
          <w:szCs w:val="21"/>
          <w:highlight w:val="none"/>
        </w:rPr>
        <w:t>通过邮件形式在远程不见面开标大厅发送各供应商签署电子《政府采购活动现场确认声明书》。</w:t>
      </w:r>
    </w:p>
    <w:p w14:paraId="751098FC">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（4）开标过程由采购代理机构如实记录，并电子留痕，由参加电子开标的各供应商代表对电子开标记录在开标记录公布后15分钟内进行当场校核及勘误，并线上确认，未确认的视同认可开标结果。</w:t>
      </w:r>
    </w:p>
    <w:p w14:paraId="505C8E49">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5）供应商代表对开标过程和开标记录有疑义，以及认为征集人、采购代理机构相关工作人员有需要回避的情形的，应当场提出在线询问或者回避申请。征集人、采购代理机构对供应商代表提出的询问或者回避申请应当及时处理。</w:t>
      </w:r>
    </w:p>
    <w:p w14:paraId="30CDFBF3">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（6）开标结束。</w:t>
      </w:r>
    </w:p>
    <w:p w14:paraId="2CDC0B0A">
      <w:pPr>
        <w:snapToGrid w:val="0"/>
        <w:spacing w:line="440" w:lineRule="exact"/>
        <w:ind w:firstLine="422"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rPr>
        <w:t>特别说明：</w:t>
      </w:r>
      <w:r>
        <w:rPr>
          <w:rFonts w:hint="eastAsia" w:ascii="宋体" w:hAnsi="宋体" w:eastAsia="宋体" w:cs="宋体"/>
          <w:color w:val="auto"/>
          <w:szCs w:val="21"/>
          <w:highlight w:val="none"/>
        </w:rPr>
        <w:t>如遇</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电子化开标或评审程序调整的，按调整后执行。</w:t>
      </w:r>
    </w:p>
    <w:p w14:paraId="042EDB49">
      <w:pPr>
        <w:snapToGrid w:val="0"/>
        <w:spacing w:line="400" w:lineRule="exact"/>
        <w:ind w:left="689" w:leftChars="228" w:hanging="210" w:hangingChars="100"/>
        <w:rPr>
          <w:rFonts w:ascii="宋体" w:hAnsi="宋体" w:eastAsia="宋体" w:cs="宋体"/>
          <w:color w:val="auto"/>
          <w:szCs w:val="20"/>
          <w:highlight w:val="none"/>
        </w:rPr>
      </w:pPr>
    </w:p>
    <w:p w14:paraId="4FC42567">
      <w:pPr>
        <w:spacing w:line="400" w:lineRule="exact"/>
        <w:ind w:firstLine="643" w:firstLineChars="200"/>
        <w:jc w:val="center"/>
        <w:outlineLvl w:val="2"/>
        <w:rPr>
          <w:rFonts w:ascii="宋体" w:hAnsi="宋体" w:eastAsia="宋体" w:cs="宋体"/>
          <w:b/>
          <w:bCs/>
          <w:color w:val="auto"/>
          <w:sz w:val="32"/>
          <w:szCs w:val="32"/>
          <w:highlight w:val="none"/>
        </w:rPr>
      </w:pPr>
      <w:bookmarkStart w:id="139" w:name="_Toc30050"/>
      <w:bookmarkStart w:id="140" w:name="_Toc146703288"/>
      <w:bookmarkStart w:id="141" w:name="_Toc80092999"/>
      <w:r>
        <w:rPr>
          <w:rFonts w:hint="eastAsia" w:ascii="宋体" w:hAnsi="宋体" w:eastAsia="宋体" w:cs="宋体"/>
          <w:b/>
          <w:bCs/>
          <w:color w:val="auto"/>
          <w:sz w:val="32"/>
          <w:szCs w:val="32"/>
          <w:highlight w:val="none"/>
        </w:rPr>
        <w:t>（四）资格审查</w:t>
      </w:r>
      <w:bookmarkEnd w:id="139"/>
      <w:bookmarkEnd w:id="140"/>
      <w:bookmarkEnd w:id="141"/>
    </w:p>
    <w:p w14:paraId="2E960D63">
      <w:pPr>
        <w:spacing w:line="360" w:lineRule="auto"/>
        <w:ind w:firstLine="482" w:firstLineChars="200"/>
        <w:outlineLvl w:val="4"/>
        <w:rPr>
          <w:rFonts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25.资格审查</w:t>
      </w:r>
    </w:p>
    <w:p w14:paraId="2E83324B">
      <w:pPr>
        <w:spacing w:line="360" w:lineRule="auto"/>
        <w:ind w:firstLine="422" w:firstLineChars="200"/>
        <w:rPr>
          <w:rFonts w:ascii="宋体" w:hAnsi="宋体" w:eastAsia="宋体" w:cs="宋体"/>
          <w:b/>
          <w:bCs/>
          <w:color w:val="auto"/>
          <w:szCs w:val="20"/>
          <w:highlight w:val="none"/>
        </w:rPr>
      </w:pPr>
      <w:r>
        <w:rPr>
          <w:rFonts w:hint="eastAsia" w:ascii="宋体" w:hAnsi="宋体" w:eastAsia="宋体" w:cs="宋体"/>
          <w:b/>
          <w:bCs/>
          <w:color w:val="auto"/>
          <w:szCs w:val="20"/>
          <w:highlight w:val="none"/>
        </w:rPr>
        <w:t xml:space="preserve"> 25.1</w:t>
      </w:r>
      <w:r>
        <w:rPr>
          <w:rFonts w:hint="eastAsia" w:ascii="宋体" w:hAnsi="宋体" w:eastAsia="宋体" w:cs="Times New Roman"/>
          <w:b/>
          <w:bCs/>
          <w:color w:val="auto"/>
          <w:szCs w:val="20"/>
          <w:highlight w:val="none"/>
        </w:rPr>
        <w:t>开标结束后，采购人或采购机构依法进行线上审查。</w:t>
      </w:r>
    </w:p>
    <w:p w14:paraId="3BE0F613">
      <w:pPr>
        <w:spacing w:line="360" w:lineRule="auto"/>
        <w:ind w:firstLine="422" w:firstLineChars="200"/>
        <w:rPr>
          <w:rFonts w:ascii="宋体" w:hAnsi="宋体" w:eastAsia="宋体" w:cs="宋体"/>
          <w:b/>
          <w:bCs/>
          <w:color w:val="auto"/>
          <w:szCs w:val="20"/>
          <w:highlight w:val="none"/>
        </w:rPr>
      </w:pPr>
      <w:r>
        <w:rPr>
          <w:rFonts w:hint="eastAsia" w:ascii="宋体" w:hAnsi="宋体" w:eastAsia="宋体" w:cs="宋体"/>
          <w:b/>
          <w:bCs/>
          <w:color w:val="auto"/>
          <w:szCs w:val="20"/>
          <w:highlight w:val="none"/>
        </w:rPr>
        <w:t xml:space="preserve"> 25.2征集人或采购机构依据法律法规和征集文件的规定，对供应商的基本资格条件、特定资格条件进行审查。</w:t>
      </w:r>
    </w:p>
    <w:p w14:paraId="0E6CBC8C">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25.3资格审查标准为本“征集文件”中“供应商须知前附表”13.1点载明对供应商资格要求的条件。本项目资格审查采用合格制，凡符合征集文件规定的供应商资格要求的供应商均通过资格审查。</w:t>
      </w:r>
    </w:p>
    <w:p w14:paraId="203EE407">
      <w:pPr>
        <w:spacing w:line="360" w:lineRule="auto"/>
        <w:ind w:firstLine="422" w:firstLineChars="200"/>
        <w:rPr>
          <w:rFonts w:ascii="宋体" w:hAnsi="宋体" w:eastAsia="宋体" w:cs="宋体"/>
          <w:b/>
          <w:bCs/>
          <w:color w:val="auto"/>
          <w:szCs w:val="20"/>
          <w:highlight w:val="none"/>
        </w:rPr>
      </w:pPr>
      <w:bookmarkStart w:id="142" w:name="_25.3_投标人有下列情形之一的，资格审查不通过而导致其投标无效："/>
      <w:bookmarkEnd w:id="142"/>
      <w:r>
        <w:rPr>
          <w:rFonts w:hint="eastAsia" w:ascii="宋体" w:hAnsi="宋体" w:eastAsia="宋体" w:cs="宋体"/>
          <w:b/>
          <w:bCs/>
          <w:color w:val="auto"/>
          <w:szCs w:val="20"/>
          <w:highlight w:val="none"/>
        </w:rPr>
        <w:t>25.4供应商有下列情形之一的，资格审查不通过，作无效响应处理：</w:t>
      </w:r>
    </w:p>
    <w:p w14:paraId="0E1E6A1E">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（1）不具备征集文件中规定的资格要求的；（注：其中信用查询规则见“供应商须知前附表”，</w:t>
      </w:r>
      <w:r>
        <w:rPr>
          <w:rFonts w:hint="eastAsia" w:ascii="宋体" w:hAnsi="宋体" w:eastAsia="宋体" w:cs="宋体"/>
          <w:color w:val="auto"/>
          <w:szCs w:val="24"/>
          <w:highlight w:val="none"/>
          <w:lang w:eastAsia="zh-CN"/>
        </w:rPr>
        <w:t>“广西政府采购云平台”</w:t>
      </w:r>
      <w:r>
        <w:rPr>
          <w:rFonts w:hint="eastAsia" w:ascii="宋体" w:hAnsi="宋体" w:eastAsia="宋体" w:cs="宋体"/>
          <w:color w:val="auto"/>
          <w:szCs w:val="24"/>
          <w:highlight w:val="none"/>
        </w:rPr>
        <w:t>已与“信用中国”平台做接口，审查专家可直接在线查询）</w:t>
      </w:r>
    </w:p>
    <w:p w14:paraId="30C3F5C1">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（2）响应文件未提供任一项“供应商须知前附表”资格证明文件规定的“必须提供”的文件资料的；</w:t>
      </w:r>
    </w:p>
    <w:p w14:paraId="73EB95A9">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（3）响应文件提供的资格证明文件出现任一项不符合“供应商须知前附表”资格证明文件规定的“必须提供”的文件资料要求或者无效的。</w:t>
      </w:r>
    </w:p>
    <w:p w14:paraId="007A650C">
      <w:pPr>
        <w:spacing w:line="360" w:lineRule="auto"/>
        <w:ind w:firstLine="420" w:firstLineChars="200"/>
        <w:outlineLvl w:val="4"/>
        <w:rPr>
          <w:rFonts w:ascii="宋体" w:hAnsi="宋体" w:eastAsia="宋体" w:cs="宋体"/>
          <w:color w:val="auto"/>
          <w:szCs w:val="20"/>
          <w:highlight w:val="none"/>
        </w:rPr>
      </w:pPr>
      <w:r>
        <w:rPr>
          <w:rFonts w:hint="eastAsia" w:ascii="宋体" w:hAnsi="宋体" w:eastAsia="宋体" w:cs="宋体"/>
          <w:color w:val="auto"/>
          <w:szCs w:val="20"/>
          <w:highlight w:val="none"/>
        </w:rPr>
        <w:t>25.5资格审查的合格供应商不足3家的，不得评审。</w:t>
      </w:r>
    </w:p>
    <w:p w14:paraId="687FAAEE">
      <w:pPr>
        <w:spacing w:line="360" w:lineRule="auto"/>
        <w:ind w:firstLine="643" w:firstLineChars="200"/>
        <w:jc w:val="center"/>
        <w:outlineLvl w:val="2"/>
        <w:rPr>
          <w:rFonts w:ascii="宋体" w:hAnsi="宋体" w:eastAsia="宋体" w:cs="宋体"/>
          <w:b/>
          <w:bCs/>
          <w:color w:val="auto"/>
          <w:sz w:val="32"/>
          <w:szCs w:val="32"/>
          <w:highlight w:val="none"/>
        </w:rPr>
      </w:pPr>
      <w:bookmarkStart w:id="143" w:name="_Toc146703289"/>
      <w:bookmarkStart w:id="144" w:name="_Toc80093000"/>
      <w:bookmarkStart w:id="145" w:name="_Toc31958"/>
      <w:r>
        <w:rPr>
          <w:rFonts w:hint="eastAsia" w:ascii="宋体" w:hAnsi="宋体" w:eastAsia="宋体" w:cs="宋体"/>
          <w:b/>
          <w:bCs/>
          <w:color w:val="auto"/>
          <w:sz w:val="32"/>
          <w:szCs w:val="32"/>
          <w:highlight w:val="none"/>
        </w:rPr>
        <w:t>（五）评   标</w:t>
      </w:r>
      <w:bookmarkEnd w:id="143"/>
      <w:bookmarkEnd w:id="144"/>
      <w:bookmarkEnd w:id="145"/>
    </w:p>
    <w:p w14:paraId="51126022">
      <w:pPr>
        <w:spacing w:line="360" w:lineRule="auto"/>
        <w:ind w:firstLine="480" w:firstLineChars="200"/>
        <w:rPr>
          <w:rFonts w:ascii="宋体" w:hAnsi="宋体" w:eastAsia="宋体" w:cs="宋体"/>
          <w:color w:val="auto"/>
          <w:sz w:val="24"/>
          <w:szCs w:val="24"/>
          <w:highlight w:val="none"/>
        </w:rPr>
      </w:pPr>
      <w:bookmarkStart w:id="146" w:name="_26.组建评标委员会"/>
      <w:bookmarkEnd w:id="146"/>
      <w:r>
        <w:rPr>
          <w:rFonts w:hint="eastAsia" w:ascii="宋体" w:hAnsi="宋体" w:eastAsia="宋体" w:cs="宋体"/>
          <w:color w:val="auto"/>
          <w:sz w:val="24"/>
          <w:szCs w:val="24"/>
          <w:highlight w:val="none"/>
        </w:rPr>
        <w:t>26.组建评审委员会</w:t>
      </w:r>
    </w:p>
    <w:p w14:paraId="215ECDAE">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评审委员会由征集人代表和评审专家组成，人数为5人以上单数，其中评审专家不得少于成员总数的三分之二。</w:t>
      </w:r>
    </w:p>
    <w:p w14:paraId="098F676F">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参加过采购项目前期咨询论证的专家，不得参加该采购项目的评审活动。</w:t>
      </w:r>
    </w:p>
    <w:p w14:paraId="6175D19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27.评审的依据</w:t>
      </w:r>
    </w:p>
    <w:p w14:paraId="10427790">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评审委员会以征集文件为依据对响应文件进行评审，“第四章 评审方法和评审标准”没有规定的方法、评审因素和标准，不作为评审依据。</w:t>
      </w:r>
    </w:p>
    <w:p w14:paraId="413F7C8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28.评审原则</w:t>
      </w:r>
    </w:p>
    <w:p w14:paraId="44E1660A">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28.1评审原则。评审委员会评审时必须公平、公正、客观，不带任何倾向性和启发性；不得向外界透露任何与评审有关的内容；任何单位和个人不得干扰、影响评审的正常进行；评审委员会及有关工作人员不得私下与供应商接触，不得收受利害关系人的财物或者其他好处。</w:t>
      </w:r>
    </w:p>
    <w:p w14:paraId="7E3549FA">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28.2评委表决。在评审过程中出现法律法规和征集文件均没有明确规定的情形时，由评审委员会现场协商解决，协商不一致的，由全体评委投票表决，以得票率二分之一以上专家的意见为准并由采购代理机构作记录。</w:t>
      </w:r>
      <w:bookmarkStart w:id="147" w:name="_28.3评标方法。本项目将按须知前附表规定的评标办法进行评标，具体评标"/>
      <w:bookmarkEnd w:id="147"/>
    </w:p>
    <w:p w14:paraId="15E9B356">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28.3评审的保密。征集人、采购代理机构应当采取必要措施，保证评审在严格保密（封闭式评审）的情况下进行。除征集人代表、评审现场组织人员外，征集人的其他工作人员以及与评审工作无关的人员不得进入评审现场。有关人员对评审情况以及在评审过程中获悉的国家秘密、商业秘密负有保密责任。</w:t>
      </w:r>
    </w:p>
    <w:p w14:paraId="277EB8D1">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28.4评审过程的监控。本项目电子评审过程实行网上留痕、全程录音、录像监控，供应商在评审过程中所进行的试图影响评审结果的不公正活动，可能导致其响应按无效处理。</w:t>
      </w:r>
    </w:p>
    <w:p w14:paraId="65C11B2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29.评审方法及评审标准</w:t>
      </w:r>
    </w:p>
    <w:p w14:paraId="7A9C9764">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29.1本项目的评审方法详见“供应商须知前附表”。</w:t>
      </w:r>
    </w:p>
    <w:p w14:paraId="0B13D51A">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29.2 评审委员会按照</w:t>
      </w:r>
      <w:r>
        <w:rPr>
          <w:rFonts w:hint="eastAsia" w:ascii="宋体" w:hAnsi="宋体" w:eastAsia="宋体" w:cs="宋体"/>
          <w:b/>
          <w:color w:val="auto"/>
          <w:szCs w:val="24"/>
          <w:highlight w:val="none"/>
        </w:rPr>
        <w:t>“第四章 评审方法和评审标准”</w:t>
      </w:r>
      <w:r>
        <w:rPr>
          <w:rFonts w:hint="eastAsia" w:ascii="宋体" w:hAnsi="宋体" w:eastAsia="宋体" w:cs="宋体"/>
          <w:color w:val="auto"/>
          <w:szCs w:val="24"/>
          <w:highlight w:val="none"/>
        </w:rPr>
        <w:t>规定的方法、评审因素、标准和程序对响应文件进行评审。</w:t>
      </w:r>
    </w:p>
    <w:p w14:paraId="6EADF5F1">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29.3 电子交易活动的中止。采购过程中出现以下情形，导致电子交易平台无法正常运行，或者无法保证电子交易的公平、公正和安全时，采购机构可中止电子交易活动：</w:t>
      </w:r>
    </w:p>
    <w:p w14:paraId="2C4CE36F">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（1）电子交易平台发生故障而无法登录访问的； </w:t>
      </w:r>
    </w:p>
    <w:p w14:paraId="2421F608">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（2）电子交易平台应用或数据库出现错误，不能进行正常操作的；</w:t>
      </w:r>
    </w:p>
    <w:p w14:paraId="625F98AD">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（3）电子交易平台发现严重安全漏洞，有潜在泄密危险的；</w:t>
      </w:r>
    </w:p>
    <w:p w14:paraId="6B04668A">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（4）病毒发作导致不能进行正常操作的； </w:t>
      </w:r>
    </w:p>
    <w:p w14:paraId="21B20D17">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（4）其他无法保证电子交易的公平、公正和安全的情况。</w:t>
      </w:r>
    </w:p>
    <w:p w14:paraId="26FB6735">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C229634">
      <w:pPr>
        <w:snapToGrid w:val="0"/>
        <w:spacing w:line="400" w:lineRule="exact"/>
        <w:ind w:firstLine="420" w:firstLineChars="200"/>
        <w:rPr>
          <w:rFonts w:ascii="宋体" w:hAnsi="宋体" w:eastAsia="宋体" w:cs="宋体"/>
          <w:color w:val="auto"/>
          <w:szCs w:val="20"/>
          <w:highlight w:val="none"/>
        </w:rPr>
      </w:pPr>
    </w:p>
    <w:p w14:paraId="5C0BB85B">
      <w:pPr>
        <w:spacing w:line="400" w:lineRule="exact"/>
        <w:ind w:firstLine="643" w:firstLineChars="200"/>
        <w:jc w:val="center"/>
        <w:outlineLvl w:val="2"/>
        <w:rPr>
          <w:rFonts w:ascii="宋体" w:hAnsi="宋体" w:eastAsia="宋体" w:cs="宋体"/>
          <w:b/>
          <w:bCs/>
          <w:color w:val="auto"/>
          <w:sz w:val="32"/>
          <w:szCs w:val="32"/>
          <w:highlight w:val="none"/>
        </w:rPr>
      </w:pPr>
      <w:bookmarkStart w:id="148" w:name="_Toc80093001"/>
      <w:bookmarkStart w:id="149" w:name="_Toc146703290"/>
      <w:bookmarkStart w:id="150" w:name="_Toc1634"/>
      <w:r>
        <w:rPr>
          <w:rFonts w:hint="eastAsia" w:ascii="宋体" w:hAnsi="宋体" w:eastAsia="宋体" w:cs="宋体"/>
          <w:b/>
          <w:bCs/>
          <w:color w:val="auto"/>
          <w:sz w:val="32"/>
          <w:szCs w:val="32"/>
          <w:highlight w:val="none"/>
        </w:rPr>
        <w:t>（六）</w:t>
      </w:r>
      <w:bookmarkEnd w:id="148"/>
      <w:r>
        <w:rPr>
          <w:rFonts w:hint="eastAsia" w:ascii="宋体" w:hAnsi="宋体" w:eastAsia="宋体" w:cs="宋体"/>
          <w:b/>
          <w:bCs/>
          <w:color w:val="auto"/>
          <w:sz w:val="32"/>
          <w:szCs w:val="32"/>
          <w:highlight w:val="none"/>
        </w:rPr>
        <w:t>入围和框架协议</w:t>
      </w:r>
      <w:bookmarkEnd w:id="149"/>
      <w:bookmarkEnd w:id="150"/>
    </w:p>
    <w:p w14:paraId="0347636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30.确定供应商</w:t>
      </w:r>
    </w:p>
    <w:p w14:paraId="66E55E64">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30.1本项目授权评审委员会直接按第四章“评审方法及评审标准”的规定排列入围候选人顺序，并依照次序确定供应商。</w:t>
      </w:r>
    </w:p>
    <w:p w14:paraId="7497538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30.2征集人、采购代理机构认为供应商对采购过程、入围结果提出的质疑成立且影响或者可能影响入围结果的，合格供应商符合法定数量时，可以从合格的入围候选人中另行确定供应商的，应当依法另行确定供应商；否则应当重新开展采购活动。</w:t>
      </w:r>
    </w:p>
    <w:p w14:paraId="5165869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30.3入围供应商无正当理由拒签合同的，根据《中华人民共和国政府采购法》第七十七条第一款规定处理。</w:t>
      </w:r>
    </w:p>
    <w:p w14:paraId="781CCD2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30.4根据《中华人民共和国民法典》</w:t>
      </w:r>
      <w:r>
        <w:rPr>
          <w:rFonts w:hint="eastAsia" w:ascii="宋体" w:hAnsi="宋体" w:eastAsia="宋体" w:cs="宋体"/>
          <w:color w:val="auto"/>
          <w:sz w:val="19"/>
          <w:szCs w:val="19"/>
          <w:highlight w:val="none"/>
        </w:rPr>
        <w:t>第五百六十三条</w:t>
      </w:r>
      <w:r>
        <w:rPr>
          <w:rFonts w:hint="eastAsia" w:ascii="宋体" w:hAnsi="宋体" w:eastAsia="宋体" w:cs="宋体"/>
          <w:color w:val="auto"/>
          <w:szCs w:val="21"/>
          <w:highlight w:val="none"/>
        </w:rPr>
        <w:t>，因不可抗力致使不能实现合同目的的，当事人可以解除合同。</w:t>
      </w:r>
    </w:p>
    <w:p w14:paraId="68DA596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 结果公告</w:t>
      </w:r>
    </w:p>
    <w:p w14:paraId="78340684">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1"/>
          <w:highlight w:val="none"/>
        </w:rPr>
        <w:t>31.1</w:t>
      </w:r>
      <w:r>
        <w:rPr>
          <w:rFonts w:hint="eastAsia" w:ascii="宋体" w:hAnsi="宋体" w:eastAsia="宋体" w:cs="宋体"/>
          <w:color w:val="auto"/>
          <w:szCs w:val="24"/>
          <w:highlight w:val="none"/>
        </w:rPr>
        <w:t>在入围供应商确定之日起2个工作日内，由采购代理机构</w:t>
      </w:r>
      <w:r>
        <w:rPr>
          <w:rFonts w:hint="eastAsia" w:ascii="宋体" w:hAnsi="宋体" w:eastAsia="宋体" w:cs="宋体"/>
          <w:b/>
          <w:color w:val="auto"/>
          <w:szCs w:val="21"/>
          <w:highlight w:val="none"/>
        </w:rPr>
        <w:t>在征集公告发布媒体上</w:t>
      </w:r>
      <w:r>
        <w:rPr>
          <w:rFonts w:hint="eastAsia" w:ascii="宋体" w:hAnsi="宋体" w:eastAsia="宋体" w:cs="宋体"/>
          <w:color w:val="auto"/>
          <w:szCs w:val="24"/>
          <w:highlight w:val="none"/>
        </w:rPr>
        <w:t>发布入围结果公告，入围结果公告期限为1个工作日，发布入围结果公告的同时向入围供应商发出入围通知书。</w:t>
      </w:r>
      <w:r>
        <w:rPr>
          <w:rFonts w:hint="eastAsia" w:ascii="宋体" w:hAnsi="宋体" w:eastAsia="宋体" w:cs="宋体"/>
          <w:b/>
          <w:color w:val="auto"/>
          <w:szCs w:val="21"/>
          <w:highlight w:val="none"/>
        </w:rPr>
        <w:t>采购代理机构发出入围通知书前，应当对供应商信用进行核实，对列入失信被执行人、重大税收违法案件当事人名单、政府采购严重违法失信行为记录名单及其他不符合《中华人民共和国政府采购法》第二十二条规定条件的供应商，取消其入围资格</w:t>
      </w:r>
      <w:r>
        <w:rPr>
          <w:rFonts w:hint="eastAsia" w:ascii="宋体" w:hAnsi="宋体" w:eastAsia="宋体" w:cs="宋体"/>
          <w:color w:val="auto"/>
          <w:szCs w:val="21"/>
          <w:highlight w:val="none"/>
        </w:rPr>
        <w:t>。</w:t>
      </w:r>
    </w:p>
    <w:p w14:paraId="7FF3278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以上信息查询记录及相关证据与征集文件一并保存。</w:t>
      </w:r>
    </w:p>
    <w:p w14:paraId="0FCDCB5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31.2中小企业在政府采购活动过程中，请根据企业的真实情况出具《中小企业声明函》。依法享受中小企业优惠政策的，征集人或者采购代理机构在公告入围结果时，同时公告其《中小企业声明函》，接受社会监督。</w:t>
      </w:r>
    </w:p>
    <w:p w14:paraId="4E0466E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32.发出入围通知书</w:t>
      </w:r>
    </w:p>
    <w:p w14:paraId="627BD8D3">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32.1在发布入围公告的同时，采购代理机构向供应商通过</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发出电子入围通知书。</w:t>
      </w:r>
    </w:p>
    <w:p w14:paraId="34115D2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 无义务解释未入围原因</w:t>
      </w:r>
    </w:p>
    <w:p w14:paraId="40D76520">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采购代理机构无义务向未入围的供应商解释未入围原因和退还响应文件。</w:t>
      </w:r>
    </w:p>
    <w:p w14:paraId="2D25E2C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 框架协议授予标准</w:t>
      </w:r>
    </w:p>
    <w:p w14:paraId="6EFE4F0F">
      <w:pPr>
        <w:spacing w:line="360" w:lineRule="auto"/>
        <w:ind w:firstLine="480" w:firstLineChars="200"/>
        <w:rPr>
          <w:rFonts w:ascii="宋体" w:hAnsi="宋体" w:eastAsia="宋体" w:cs="宋体"/>
          <w:color w:val="auto"/>
          <w:szCs w:val="21"/>
          <w:highlight w:val="none"/>
        </w:rPr>
      </w:pPr>
      <w:r>
        <w:rPr>
          <w:rFonts w:hint="eastAsia" w:ascii="宋体" w:hAnsi="宋体" w:eastAsia="宋体" w:cs="宋体"/>
          <w:color w:val="auto"/>
          <w:kern w:val="0"/>
          <w:sz w:val="24"/>
          <w:szCs w:val="24"/>
          <w:highlight w:val="none"/>
        </w:rPr>
        <w:t>框架协议</w:t>
      </w:r>
      <w:r>
        <w:rPr>
          <w:rFonts w:hint="eastAsia" w:ascii="宋体" w:hAnsi="宋体" w:eastAsia="宋体" w:cs="宋体"/>
          <w:color w:val="auto"/>
          <w:szCs w:val="21"/>
          <w:highlight w:val="none"/>
        </w:rPr>
        <w:t>将授予被确定实质上响应征集文件要求，具备履行</w:t>
      </w:r>
      <w:r>
        <w:rPr>
          <w:rFonts w:hint="eastAsia" w:ascii="宋体" w:hAnsi="宋体" w:eastAsia="宋体" w:cs="宋体"/>
          <w:color w:val="auto"/>
          <w:kern w:val="0"/>
          <w:sz w:val="24"/>
          <w:szCs w:val="24"/>
          <w:highlight w:val="none"/>
        </w:rPr>
        <w:t>框架协议</w:t>
      </w:r>
      <w:r>
        <w:rPr>
          <w:rFonts w:hint="eastAsia" w:ascii="宋体" w:hAnsi="宋体" w:eastAsia="宋体" w:cs="宋体"/>
          <w:color w:val="auto"/>
          <w:szCs w:val="21"/>
          <w:highlight w:val="none"/>
        </w:rPr>
        <w:t>能力的供应商（征集文件另有约定多名供应商的除外）。</w:t>
      </w:r>
    </w:p>
    <w:p w14:paraId="4CE680E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35.履约保证金</w:t>
      </w:r>
    </w:p>
    <w:p w14:paraId="11F82488">
      <w:pPr>
        <w:spacing w:line="360" w:lineRule="auto"/>
        <w:ind w:firstLine="420" w:firstLineChars="200"/>
        <w:rPr>
          <w:rFonts w:ascii="宋体" w:hAnsi="宋体" w:eastAsia="宋体" w:cs="宋体"/>
          <w:color w:val="auto"/>
          <w:szCs w:val="21"/>
          <w:highlight w:val="none"/>
        </w:rPr>
      </w:pPr>
      <w:bookmarkStart w:id="151" w:name="_39.1中标人须于签订合同前按本须知前附表规定的金额转账或电汇到指定账"/>
      <w:bookmarkEnd w:id="151"/>
      <w:r>
        <w:rPr>
          <w:rFonts w:hint="eastAsia" w:ascii="宋体" w:hAnsi="宋体" w:eastAsia="宋体" w:cs="宋体"/>
          <w:color w:val="auto"/>
          <w:szCs w:val="21"/>
          <w:highlight w:val="none"/>
        </w:rPr>
        <w:t>见“供应商须知前附表”。</w:t>
      </w:r>
    </w:p>
    <w:p w14:paraId="60D4EED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36.签订框架协议</w:t>
      </w:r>
    </w:p>
    <w:p w14:paraId="399B3D3A">
      <w:pPr>
        <w:adjustRightInd w:val="0"/>
        <w:snapToGrid w:val="0"/>
        <w:spacing w:line="360" w:lineRule="auto"/>
        <w:ind w:firstLine="422" w:firstLineChars="200"/>
        <w:rPr>
          <w:rFonts w:ascii="宋体" w:hAnsi="宋体" w:eastAsia="宋体" w:cs="宋体"/>
          <w:color w:val="auto"/>
          <w:kern w:val="0"/>
          <w:szCs w:val="21"/>
          <w:highlight w:val="none"/>
          <w:lang w:val="zh-CN"/>
        </w:rPr>
      </w:pPr>
      <w:bookmarkStart w:id="152" w:name="_40.1投标人接到中标通知书后，按须知前附表规定向采购人出示相关资格证"/>
      <w:bookmarkEnd w:id="152"/>
      <w:r>
        <w:rPr>
          <w:rFonts w:hint="eastAsia" w:ascii="宋体" w:hAnsi="宋体" w:eastAsia="宋体" w:cs="宋体"/>
          <w:b/>
          <w:color w:val="auto"/>
          <w:szCs w:val="21"/>
          <w:highlight w:val="none"/>
        </w:rPr>
        <w:t xml:space="preserve"> 36.1供应商领取电子入围通知书后，</w:t>
      </w:r>
      <w:r>
        <w:rPr>
          <w:rFonts w:hint="eastAsia" w:ascii="宋体" w:hAnsi="宋体" w:eastAsia="宋体" w:cs="宋体"/>
          <w:color w:val="auto"/>
          <w:kern w:val="0"/>
          <w:szCs w:val="21"/>
          <w:highlight w:val="none"/>
          <w:lang w:val="zh-CN"/>
        </w:rPr>
        <w:t>按规定的日期、时间、地点，由法定代表人或其授权代表与征集人代表签订框架协议。如供应商为联合体的，由联合体成员各方法定代表人或其授权代表与征集人代表签订框架协议，签订携带资料详见“供应商须知前附表”。</w:t>
      </w:r>
    </w:p>
    <w:p w14:paraId="58DC489E">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val="zh-CN"/>
        </w:rPr>
        <w:t>36.2</w:t>
      </w:r>
      <w:r>
        <w:rPr>
          <w:rFonts w:hint="eastAsia" w:ascii="宋体" w:hAnsi="宋体" w:eastAsia="宋体" w:cs="宋体"/>
          <w:color w:val="auto"/>
          <w:szCs w:val="21"/>
          <w:highlight w:val="none"/>
        </w:rPr>
        <w:t>框架协议由征集人与入围供应商根据征集文件、响应文件等内容通过政府采购电子交易平台在线签订，自动备案。</w:t>
      </w:r>
    </w:p>
    <w:p w14:paraId="385A7861">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36.3签订框架协议时间：入围通知书发出后30日内征集人与入围供应商签订框架协议。</w:t>
      </w:r>
    </w:p>
    <w:p w14:paraId="08B868B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36.4供应商拒绝与征集人签订框架协议的，征集人可以按照评审报告推荐的入围候选人名单排序，确定下一候选人为供应商，也可以重新开展政府采购活动。如征集人无正当理由拒签</w:t>
      </w:r>
      <w:r>
        <w:rPr>
          <w:rFonts w:hint="eastAsia" w:ascii="宋体" w:hAnsi="宋体" w:eastAsia="宋体" w:cs="宋体"/>
          <w:color w:val="auto"/>
          <w:kern w:val="0"/>
          <w:sz w:val="24"/>
          <w:szCs w:val="24"/>
          <w:highlight w:val="none"/>
        </w:rPr>
        <w:t>框架协议</w:t>
      </w:r>
      <w:r>
        <w:rPr>
          <w:rFonts w:hint="eastAsia" w:ascii="宋体" w:hAnsi="宋体" w:eastAsia="宋体" w:cs="宋体"/>
          <w:color w:val="auto"/>
          <w:szCs w:val="21"/>
          <w:highlight w:val="none"/>
        </w:rPr>
        <w:t>的，给入围供应商造成损失的，入围供应商可追究征集人承担相应的法律责任。</w:t>
      </w:r>
    </w:p>
    <w:p w14:paraId="36F1E9D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36.5政府采购合同是政府采购项目验收的依据，入围供应商和征集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C1842A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36.6征集人或入围供应商不得单方面向框架协议另一方提出任何征集文件没有约定的条件或不合理的要求，作为签订框架协议的条件；也不得协商另行订立背离征集文件和合同实质性内容的协议。</w:t>
      </w:r>
    </w:p>
    <w:p w14:paraId="7EE515D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36.7如签订框架协议并生效后，供应商无故拒绝或延期，除按照框架协议条款处理外，将承担相应的法律责任。</w:t>
      </w:r>
    </w:p>
    <w:p w14:paraId="16E476A1">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36.8征集人需追加与框架协议标的相同的货物或者服务的，在不改变原框架协议条款且已报财政部门批准落实资金的前提下，可从原入围供应商处添购， 所签订的补充添置框架协议的采购资金总额不超过原框架协议金额的10%。</w:t>
      </w:r>
    </w:p>
    <w:p w14:paraId="186E822A">
      <w:pPr>
        <w:spacing w:line="360" w:lineRule="auto"/>
        <w:ind w:firstLine="480" w:firstLineChars="200"/>
        <w:rPr>
          <w:rFonts w:ascii="宋体" w:hAnsi="宋体" w:eastAsia="宋体" w:cs="宋体"/>
          <w:color w:val="auto"/>
          <w:sz w:val="24"/>
          <w:szCs w:val="24"/>
          <w:highlight w:val="none"/>
        </w:rPr>
      </w:pPr>
      <w:bookmarkStart w:id="153" w:name="_41.政府采购合同公告"/>
      <w:bookmarkEnd w:id="153"/>
      <w:r>
        <w:rPr>
          <w:rFonts w:hint="eastAsia" w:ascii="宋体" w:hAnsi="宋体" w:eastAsia="宋体" w:cs="宋体"/>
          <w:color w:val="auto"/>
          <w:sz w:val="24"/>
          <w:szCs w:val="24"/>
          <w:highlight w:val="none"/>
        </w:rPr>
        <w:t>37.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sz w:val="24"/>
          <w:szCs w:val="24"/>
          <w:highlight w:val="none"/>
        </w:rPr>
        <w:t>框架协议公告</w:t>
      </w:r>
    </w:p>
    <w:p w14:paraId="36829EF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征集人或者受托采购代理机构应当自框架协议签订之日起2个工作日内，将框架协议在以下媒体上发布 “广西政府采购网”（http://zfcg.gxzf.gov.cn）上公告，但框架协议中涉及国家秘密、商业秘密的内容除外。</w:t>
      </w:r>
    </w:p>
    <w:p w14:paraId="4F17F86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38. 询问、质疑和投诉</w:t>
      </w:r>
    </w:p>
    <w:p w14:paraId="752ED050">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38.1询问</w:t>
      </w:r>
    </w:p>
    <w:p w14:paraId="2BAD5618">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38.1.1供应商对政府采购活动事项有疑问的，可以向征集人或采购代理机构项目负责人提出询问。</w:t>
      </w:r>
    </w:p>
    <w:p w14:paraId="70730FEF">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38.1.2征集人或征集人委托的采购代理机构自受理询问之日起3个工作日内对供应商依法提出的询问作出答复，</w:t>
      </w:r>
      <w:r>
        <w:rPr>
          <w:rFonts w:hint="eastAsia" w:ascii="宋体" w:hAnsi="宋体" w:eastAsia="宋体" w:cs="宋体"/>
          <w:color w:val="auto"/>
          <w:szCs w:val="24"/>
          <w:highlight w:val="none"/>
        </w:rPr>
        <w:t>但答复内容不得涉及商业秘密</w:t>
      </w:r>
      <w:r>
        <w:rPr>
          <w:rFonts w:hint="eastAsia" w:ascii="宋体" w:hAnsi="宋体" w:eastAsia="宋体" w:cs="宋体"/>
          <w:bCs/>
          <w:color w:val="auto"/>
          <w:szCs w:val="21"/>
          <w:highlight w:val="none"/>
        </w:rPr>
        <w:t>。</w:t>
      </w:r>
    </w:p>
    <w:p w14:paraId="7B381898">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38.1.3 询问事项可能影响入围、成交结果的，征集人应当暂停签订框架协议，已经签订框架协议的，应当中止履行框架协议。</w:t>
      </w:r>
    </w:p>
    <w:p w14:paraId="146A30D9">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38.2质疑</w:t>
      </w:r>
    </w:p>
    <w:p w14:paraId="140FF111">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38.2.1</w:t>
      </w:r>
      <w:r>
        <w:rPr>
          <w:rFonts w:hint="eastAsia" w:ascii="宋体" w:hAnsi="宋体" w:eastAsia="宋体" w:cs="宋体"/>
          <w:b/>
          <w:color w:val="auto"/>
          <w:szCs w:val="21"/>
          <w:highlight w:val="none"/>
        </w:rPr>
        <w:t xml:space="preserve">供应商认为征集文件、采购过程或者入围结果使自己的合法权益受到损害的，必须在知道或者应知其权益受到损害之日起7个工作日内，以书面形式向征集人、采购代理机构提出质疑，质疑有效期结束后，征集人或采购代理机构不再受理该项目质疑。征集人、采购代理机构接收质疑函的方式、联系部门、联系电话和通讯地址等信息详见“供应商须知前附表”。具体质疑起算时间及处理方式如下： </w:t>
      </w:r>
    </w:p>
    <w:p w14:paraId="7B44CD40">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（1）潜在供应商依法获取公开征集文件后，认为采购文件使自己的权益受到损害的，应当在公开征集文件公告期限届满之日起7个工作日内提出质疑。</w:t>
      </w:r>
      <w:r>
        <w:rPr>
          <w:rFonts w:hint="eastAsia" w:ascii="宋体" w:hAnsi="宋体" w:eastAsia="宋体" w:cs="宋体"/>
          <w:color w:val="auto"/>
          <w:szCs w:val="24"/>
          <w:highlight w:val="none"/>
        </w:rPr>
        <w:t>委托代理协议无特殊约定的，</w:t>
      </w:r>
      <w:r>
        <w:rPr>
          <w:rFonts w:hint="eastAsia" w:ascii="宋体" w:hAnsi="宋体" w:eastAsia="宋体" w:cs="宋体"/>
          <w:bCs/>
          <w:color w:val="auto"/>
          <w:szCs w:val="24"/>
          <w:highlight w:val="none"/>
        </w:rPr>
        <w:t>对公开征集文件中采购需求（含资格要求、采购预算和评分办法）的质疑由征集人受理并负责答复；对公开征集文件中的采购执行程序的质疑由采购代理机构受理并负责答复。</w:t>
      </w:r>
    </w:p>
    <w:p w14:paraId="4A53D9E6">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2）供应商认为采购过程使自己的权益受到损害的，应当在各采购程序环节结束之日起7个工作日内提出质疑。对采购过程中资格审查、符合性审查等具体评审情况的质疑应向征集人或代理机构提出，由征集人或代理机构受理并负责答复；对采购过程中采购执行程序的质疑由采购代理机构受理并负责答复。</w:t>
      </w:r>
    </w:p>
    <w:p w14:paraId="208F925E">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（3）供应商认为入围或者成交结果使自己的权益受到损害的，应当在入围或者成交结果公告期限届满之日起7个工作日内提出质疑，由征集人受理并负责答复。</w:t>
      </w:r>
    </w:p>
    <w:p w14:paraId="148B7F9D">
      <w:pPr>
        <w:spacing w:line="360" w:lineRule="auto"/>
        <w:ind w:firstLine="422" w:firstLineChars="200"/>
        <w:rPr>
          <w:rFonts w:ascii="宋体" w:hAnsi="宋体" w:eastAsia="宋体" w:cs="宋体"/>
          <w:bCs/>
          <w:color w:val="auto"/>
          <w:szCs w:val="21"/>
          <w:highlight w:val="none"/>
        </w:rPr>
      </w:pPr>
      <w:r>
        <w:rPr>
          <w:rFonts w:hint="eastAsia" w:ascii="宋体" w:hAnsi="宋体" w:eastAsia="宋体" w:cs="宋体"/>
          <w:b/>
          <w:bCs/>
          <w:color w:val="auto"/>
          <w:szCs w:val="21"/>
          <w:highlight w:val="none"/>
        </w:rPr>
        <w:t>38.2.2</w:t>
      </w:r>
      <w:r>
        <w:rPr>
          <w:rFonts w:hint="eastAsia" w:ascii="宋体" w:hAnsi="宋体" w:eastAsia="宋体" w:cs="宋体"/>
          <w:bCs/>
          <w:color w:val="auto"/>
          <w:szCs w:val="21"/>
          <w:highlight w:val="none"/>
        </w:rPr>
        <w:t>供应商质疑实行实名制，其质疑应当有具体的质疑事项及事实根据，质疑应当坚持依法依规、诚实信用原则，不得进行虚假、恶意质疑。</w:t>
      </w:r>
    </w:p>
    <w:p w14:paraId="141D3DC3">
      <w:pPr>
        <w:spacing w:line="360" w:lineRule="auto"/>
        <w:ind w:firstLine="422" w:firstLineChars="200"/>
        <w:rPr>
          <w:rFonts w:ascii="宋体" w:hAnsi="宋体" w:eastAsia="宋体" w:cs="宋体"/>
          <w:bCs/>
          <w:color w:val="auto"/>
          <w:szCs w:val="24"/>
          <w:highlight w:val="none"/>
        </w:rPr>
      </w:pPr>
      <w:r>
        <w:rPr>
          <w:rFonts w:hint="eastAsia" w:ascii="宋体" w:hAnsi="宋体" w:eastAsia="宋体" w:cs="宋体"/>
          <w:b/>
          <w:bCs/>
          <w:color w:val="auto"/>
          <w:szCs w:val="24"/>
          <w:highlight w:val="none"/>
        </w:rPr>
        <w:t>38.2.3</w:t>
      </w:r>
      <w:r>
        <w:rPr>
          <w:rFonts w:hint="eastAsia" w:ascii="宋体" w:hAnsi="宋体" w:eastAsia="宋体" w:cs="宋体"/>
          <w:bCs/>
          <w:color w:val="auto"/>
          <w:szCs w:val="24"/>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szCs w:val="24"/>
          <w:highlight w:val="none"/>
        </w:rPr>
        <w:t>。</w:t>
      </w:r>
    </w:p>
    <w:p w14:paraId="787536CF">
      <w:pPr>
        <w:spacing w:line="360" w:lineRule="auto"/>
        <w:ind w:firstLine="422" w:firstLineChars="200"/>
        <w:rPr>
          <w:rFonts w:ascii="宋体" w:hAnsi="宋体" w:eastAsia="宋体" w:cs="宋体"/>
          <w:b/>
          <w:bCs/>
          <w:color w:val="auto"/>
          <w:szCs w:val="24"/>
          <w:highlight w:val="none"/>
        </w:rPr>
      </w:pPr>
      <w:r>
        <w:rPr>
          <w:rFonts w:hint="eastAsia" w:ascii="宋体" w:hAnsi="宋体" w:eastAsia="宋体" w:cs="宋体"/>
          <w:b/>
          <w:bCs/>
          <w:color w:val="auto"/>
          <w:szCs w:val="24"/>
          <w:highlight w:val="none"/>
        </w:rPr>
        <w:t>38.2.4 质疑供应商提起质疑应当符合下列条件：</w:t>
      </w:r>
    </w:p>
    <w:p w14:paraId="3C772DC8">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（1）质疑供应商是参与所质疑</w:t>
      </w:r>
      <w:r>
        <w:rPr>
          <w:rFonts w:hint="eastAsia" w:ascii="宋体" w:hAnsi="宋体" w:eastAsia="宋体" w:cs="宋体"/>
          <w:bCs/>
          <w:color w:val="auto"/>
          <w:szCs w:val="21"/>
          <w:highlight w:val="none"/>
        </w:rPr>
        <w:t>项目</w:t>
      </w:r>
      <w:r>
        <w:rPr>
          <w:rFonts w:hint="eastAsia" w:ascii="宋体" w:hAnsi="宋体" w:eastAsia="宋体" w:cs="宋体"/>
          <w:bCs/>
          <w:color w:val="auto"/>
          <w:szCs w:val="24"/>
          <w:highlight w:val="none"/>
        </w:rPr>
        <w:t>采购活动的供应商（潜在供应商已依法获取征集文件的，可以对该征集文件质疑）；</w:t>
      </w:r>
    </w:p>
    <w:p w14:paraId="66FB0218">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（2）质疑函内容符合本章第38.2.5项的规定；</w:t>
      </w:r>
    </w:p>
    <w:p w14:paraId="090951F4">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（3）在质疑有效期限内提起质疑；</w:t>
      </w:r>
    </w:p>
    <w:p w14:paraId="335EF65C">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（4）属于所质疑的征集人或征集人委托的采购代理机构组织的采购活动；</w:t>
      </w:r>
    </w:p>
    <w:p w14:paraId="42B1E3D3">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 xml:space="preserve">（5）同一质疑事项未经征集人或征集人委托的采购代理机构质疑处理； </w:t>
      </w:r>
    </w:p>
    <w:p w14:paraId="5A98CCA1">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（6）供应商对同一采购程序环节的质疑应当在质疑有效期内一次性提出；</w:t>
      </w:r>
    </w:p>
    <w:p w14:paraId="50D8394C">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（7）供应商提交质疑应当提交必要的证明材料，证明材料应以合法手段取得；</w:t>
      </w:r>
    </w:p>
    <w:p w14:paraId="28599B35">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bCs/>
          <w:color w:val="auto"/>
          <w:szCs w:val="24"/>
          <w:highlight w:val="none"/>
        </w:rPr>
        <w:t>（8）财政部门规定的其他条件。</w:t>
      </w:r>
    </w:p>
    <w:p w14:paraId="5A73B7AA">
      <w:pPr>
        <w:spacing w:line="360" w:lineRule="auto"/>
        <w:ind w:firstLine="420" w:firstLineChars="200"/>
        <w:rPr>
          <w:rFonts w:ascii="宋体" w:hAnsi="宋体" w:eastAsia="宋体" w:cs="宋体"/>
          <w:b/>
          <w:color w:val="auto"/>
          <w:szCs w:val="21"/>
          <w:highlight w:val="none"/>
        </w:rPr>
      </w:pPr>
      <w:bookmarkStart w:id="154" w:name="_9.2质疑、投诉应当采用书面形式，质疑函、投诉书均应明确阐述招标文件、"/>
      <w:bookmarkEnd w:id="154"/>
      <w:r>
        <w:rPr>
          <w:rFonts w:hint="eastAsia" w:ascii="宋体" w:hAnsi="宋体" w:eastAsia="宋体" w:cs="宋体"/>
          <w:color w:val="auto"/>
          <w:szCs w:val="21"/>
          <w:highlight w:val="none"/>
        </w:rPr>
        <w:t xml:space="preserve"> 38.2.5 </w:t>
      </w:r>
      <w:r>
        <w:rPr>
          <w:rFonts w:hint="eastAsia" w:ascii="宋体" w:hAnsi="宋体" w:eastAsia="宋体" w:cs="宋体"/>
          <w:bCs/>
          <w:color w:val="auto"/>
          <w:szCs w:val="24"/>
          <w:highlight w:val="none"/>
        </w:rPr>
        <w:t>供应商提出质疑应当提交质疑函和必要的证明材料，针对同一采购程序环节的质疑必须在法定质疑期内一次性提出。质疑函应当包括下列内容（质疑函格式后附）：</w:t>
      </w:r>
    </w:p>
    <w:p w14:paraId="61097D0B">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（1）供应商的姓名或者名称、地址、邮编、联系人及联系电话；</w:t>
      </w:r>
    </w:p>
    <w:p w14:paraId="5915FF39">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（2）质疑项目的名称、编号；</w:t>
      </w:r>
    </w:p>
    <w:p w14:paraId="7A53B91C">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（3）具体、明确的质疑事项和与质疑事项相关的请求；</w:t>
      </w:r>
    </w:p>
    <w:p w14:paraId="769D63D2">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（4）事实依据（列明权益受到损害的事实和理由）；</w:t>
      </w:r>
    </w:p>
    <w:p w14:paraId="0C7C830B">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（5）必要的法律依据；</w:t>
      </w:r>
    </w:p>
    <w:p w14:paraId="49A07714">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（6）提出质疑的日期。</w:t>
      </w:r>
    </w:p>
    <w:p w14:paraId="1ACE1675">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7）附件材料：网上报名成功页面；营业执照副本内页复印件（要求证件有效并清晰反映企业法人经营范围）；近期连续三个月依法缴纳税收证明材料（复印件，原件备查）；近期连续三个月在职职工依法缴纳社会保障资金证明材料（复印件，原件备查）。</w:t>
      </w:r>
    </w:p>
    <w:p w14:paraId="4A42BF11">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供应商为自然人的，应当由本人签字；供应商为法人或者其他组织的，应当由法定代表人、主要负责人，或者其委托代理人签字或者盖章，并加盖公章。</w:t>
      </w:r>
    </w:p>
    <w:p w14:paraId="79C3845D">
      <w:pPr>
        <w:spacing w:line="360" w:lineRule="auto"/>
        <w:ind w:firstLine="422" w:firstLineChars="200"/>
        <w:rPr>
          <w:rFonts w:ascii="宋体" w:hAnsi="宋体" w:eastAsia="宋体" w:cs="宋体"/>
          <w:b/>
          <w:color w:val="auto"/>
          <w:szCs w:val="20"/>
          <w:highlight w:val="none"/>
        </w:rPr>
      </w:pPr>
      <w:r>
        <w:rPr>
          <w:rFonts w:hint="eastAsia" w:ascii="宋体" w:hAnsi="宋体" w:eastAsia="宋体" w:cs="宋体"/>
          <w:b/>
          <w:color w:val="auto"/>
          <w:szCs w:val="20"/>
          <w:highlight w:val="none"/>
        </w:rPr>
        <w:t>38.2.6征集人或征集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0AA8D246">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szCs w:val="21"/>
          <w:highlight w:val="none"/>
        </w:rPr>
        <w:t>8.2.7征集人、采购代理机构认为供应商质疑不成立，或者成立但未对入围结果构成影响的，继续开展采购活动；认为供应商质疑成立且影响或者可能影响入围结果的，按照下列情况处理：</w:t>
      </w:r>
    </w:p>
    <w:p w14:paraId="5F0B26B9">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（一）对征集文件提出的质疑，依法通过澄清或者修改可以继续开展采购活动的，澄清或者修改征集文件后继续开展采购活动；否则应当修改征集文件后重新开展采购活动。</w:t>
      </w:r>
    </w:p>
    <w:p w14:paraId="2B8C29B3">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（二）对采购过程、入围结果提出的质疑，合格供应商符合法定数量时，可以从合格的入围候选人中另行确定入围供应商的，应当依法另行确定入围供应商；否则应当重新开展采购活动。</w:t>
      </w:r>
    </w:p>
    <w:p w14:paraId="386BFE4D">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质疑答复导致入围结果改变的，征集人或者采购代理机构应当将有关情况书面报告本级财政部门。</w:t>
      </w:r>
    </w:p>
    <w:p w14:paraId="6FF37D09">
      <w:pPr>
        <w:spacing w:line="360" w:lineRule="auto"/>
        <w:ind w:firstLine="422" w:firstLineChars="200"/>
        <w:rPr>
          <w:rFonts w:ascii="宋体" w:hAnsi="宋体" w:eastAsia="宋体" w:cs="宋体"/>
          <w:b/>
          <w:color w:val="auto"/>
          <w:szCs w:val="24"/>
          <w:highlight w:val="none"/>
        </w:rPr>
      </w:pPr>
      <w:r>
        <w:rPr>
          <w:rFonts w:hint="eastAsia" w:ascii="宋体" w:hAnsi="宋体" w:eastAsia="宋体" w:cs="宋体"/>
          <w:b/>
          <w:color w:val="auto"/>
          <w:szCs w:val="24"/>
          <w:highlight w:val="none"/>
        </w:rPr>
        <w:t>38.3投诉</w:t>
      </w:r>
    </w:p>
    <w:p w14:paraId="378F5176">
      <w:pPr>
        <w:spacing w:line="360" w:lineRule="auto"/>
        <w:ind w:firstLine="422" w:firstLineChars="200"/>
        <w:rPr>
          <w:rFonts w:ascii="宋体" w:hAnsi="宋体" w:eastAsia="宋体" w:cs="宋体"/>
          <w:bCs/>
          <w:color w:val="auto"/>
          <w:szCs w:val="24"/>
          <w:highlight w:val="none"/>
        </w:rPr>
      </w:pPr>
      <w:r>
        <w:rPr>
          <w:rFonts w:hint="eastAsia" w:ascii="宋体" w:hAnsi="宋体" w:eastAsia="宋体" w:cs="宋体"/>
          <w:b/>
          <w:color w:val="auto"/>
          <w:szCs w:val="24"/>
          <w:highlight w:val="none"/>
        </w:rPr>
        <w:t>38.3</w:t>
      </w:r>
      <w:r>
        <w:rPr>
          <w:rFonts w:hint="eastAsia" w:ascii="宋体" w:hAnsi="宋体" w:eastAsia="宋体" w:cs="宋体"/>
          <w:bCs/>
          <w:color w:val="auto"/>
          <w:szCs w:val="24"/>
          <w:highlight w:val="none"/>
        </w:rPr>
        <w:t>.</w:t>
      </w:r>
      <w:r>
        <w:rPr>
          <w:rFonts w:hint="eastAsia" w:ascii="宋体" w:hAnsi="宋体" w:eastAsia="宋体" w:cs="宋体"/>
          <w:b/>
          <w:bCs/>
          <w:color w:val="auto"/>
          <w:szCs w:val="24"/>
          <w:highlight w:val="none"/>
        </w:rPr>
        <w:t xml:space="preserve">1 </w:t>
      </w:r>
      <w:r>
        <w:rPr>
          <w:rFonts w:hint="eastAsia" w:ascii="宋体" w:hAnsi="宋体" w:eastAsia="宋体" w:cs="宋体"/>
          <w:bCs/>
          <w:color w:val="auto"/>
          <w:szCs w:val="24"/>
          <w:highlight w:val="none"/>
        </w:rPr>
        <w:t xml:space="preserve"> 供应商认为征集文件、征集过程、入围和成交结果使自己的合法权益受到损害的，应当首先依法向征集人或征集人委托的</w:t>
      </w:r>
      <w:r>
        <w:rPr>
          <w:rFonts w:hint="eastAsia" w:ascii="宋体" w:hAnsi="宋体" w:eastAsia="宋体" w:cs="宋体"/>
          <w:color w:val="auto"/>
          <w:szCs w:val="24"/>
          <w:highlight w:val="none"/>
        </w:rPr>
        <w:t>采购代理机构</w:t>
      </w:r>
      <w:r>
        <w:rPr>
          <w:rFonts w:hint="eastAsia" w:ascii="宋体" w:hAnsi="宋体" w:eastAsia="宋体" w:cs="宋体"/>
          <w:bCs/>
          <w:color w:val="auto"/>
          <w:szCs w:val="24"/>
          <w:highlight w:val="none"/>
        </w:rPr>
        <w:t>提出质疑。对征集人、</w:t>
      </w:r>
      <w:r>
        <w:rPr>
          <w:rFonts w:hint="eastAsia" w:ascii="宋体" w:hAnsi="宋体" w:eastAsia="宋体" w:cs="宋体"/>
          <w:color w:val="auto"/>
          <w:szCs w:val="24"/>
          <w:highlight w:val="none"/>
        </w:rPr>
        <w:t>采购代理机构</w:t>
      </w:r>
      <w:r>
        <w:rPr>
          <w:rFonts w:hint="eastAsia" w:ascii="宋体" w:hAnsi="宋体" w:eastAsia="宋体" w:cs="宋体"/>
          <w:bCs/>
          <w:color w:val="auto"/>
          <w:szCs w:val="24"/>
          <w:highlight w:val="none"/>
        </w:rPr>
        <w:t>的答复不满意，或者征集人、</w:t>
      </w:r>
      <w:r>
        <w:rPr>
          <w:rFonts w:hint="eastAsia" w:ascii="宋体" w:hAnsi="宋体" w:eastAsia="宋体" w:cs="宋体"/>
          <w:color w:val="auto"/>
          <w:szCs w:val="24"/>
          <w:highlight w:val="none"/>
        </w:rPr>
        <w:t>采购代理机构</w:t>
      </w:r>
      <w:r>
        <w:rPr>
          <w:rFonts w:hint="eastAsia" w:ascii="宋体" w:hAnsi="宋体" w:eastAsia="宋体" w:cs="宋体"/>
          <w:bCs/>
          <w:color w:val="auto"/>
          <w:szCs w:val="24"/>
          <w:highlight w:val="none"/>
        </w:rPr>
        <w:t>未在规定期限内做出答复的，供应商可以在答复期满后15个工作日内向南宁市政府采购监督管理部门提起投诉，投诉方式见“供应商须知前附表”。</w:t>
      </w:r>
    </w:p>
    <w:p w14:paraId="2ACA11DF">
      <w:pPr>
        <w:spacing w:line="360" w:lineRule="auto"/>
        <w:ind w:firstLine="422" w:firstLineChars="200"/>
        <w:rPr>
          <w:rFonts w:ascii="宋体" w:hAnsi="宋体" w:eastAsia="宋体" w:cs="宋体"/>
          <w:bCs/>
          <w:color w:val="auto"/>
          <w:szCs w:val="24"/>
          <w:highlight w:val="none"/>
        </w:rPr>
      </w:pPr>
      <w:r>
        <w:rPr>
          <w:rFonts w:hint="eastAsia" w:ascii="宋体" w:hAnsi="宋体" w:eastAsia="宋体" w:cs="宋体"/>
          <w:b/>
          <w:color w:val="auto"/>
          <w:szCs w:val="24"/>
          <w:highlight w:val="none"/>
        </w:rPr>
        <w:t xml:space="preserve">38.3.2 </w:t>
      </w:r>
      <w:r>
        <w:rPr>
          <w:rFonts w:hint="eastAsia" w:ascii="宋体" w:hAnsi="宋体" w:eastAsia="宋体" w:cs="宋体"/>
          <w:color w:val="auto"/>
          <w:szCs w:val="24"/>
          <w:highlight w:val="none"/>
        </w:rPr>
        <w:t xml:space="preserve"> 投诉人投诉时，应当提交投诉书，并按照被投诉征集人、采购代理机构和与投诉事项有关的供应商数量提供投诉书的副本。投诉书</w:t>
      </w:r>
      <w:r>
        <w:rPr>
          <w:rFonts w:hint="eastAsia" w:ascii="宋体" w:hAnsi="宋体" w:eastAsia="宋体" w:cs="宋体"/>
          <w:color w:val="auto"/>
          <w:szCs w:val="21"/>
          <w:highlight w:val="none"/>
        </w:rPr>
        <w:t>应当包括下列主要内容</w:t>
      </w:r>
      <w:r>
        <w:rPr>
          <w:rFonts w:hint="eastAsia" w:ascii="宋体" w:hAnsi="宋体" w:eastAsia="宋体" w:cs="宋体"/>
          <w:color w:val="auto"/>
          <w:szCs w:val="24"/>
          <w:highlight w:val="none"/>
        </w:rPr>
        <w:t>（如材料中有外文资料应同时附上对应的中文译本）</w:t>
      </w:r>
      <w:r>
        <w:rPr>
          <w:rFonts w:hint="eastAsia" w:ascii="宋体" w:hAnsi="宋体" w:eastAsia="宋体" w:cs="宋体"/>
          <w:bCs/>
          <w:color w:val="auto"/>
          <w:szCs w:val="24"/>
          <w:highlight w:val="none"/>
        </w:rPr>
        <w:t>（投诉书格式后附）</w:t>
      </w:r>
      <w:r>
        <w:rPr>
          <w:rFonts w:hint="eastAsia" w:ascii="宋体" w:hAnsi="宋体" w:eastAsia="宋体" w:cs="宋体"/>
          <w:color w:val="auto"/>
          <w:szCs w:val="21"/>
          <w:highlight w:val="none"/>
        </w:rPr>
        <w:t>：</w:t>
      </w:r>
    </w:p>
    <w:p w14:paraId="078D38D9">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（1）投诉人和被投诉人的名称、地址、邮编、联系人及联系电话等； </w:t>
      </w:r>
    </w:p>
    <w:p w14:paraId="058053EC">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（2）质疑和质疑答复情况及相关证明材料； </w:t>
      </w:r>
    </w:p>
    <w:p w14:paraId="2EF90B8D">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（3）具体、明确的投诉事项和与投诉事项相关的投诉请求；</w:t>
      </w:r>
    </w:p>
    <w:p w14:paraId="3D3D2DC0">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（4）事实依据；</w:t>
      </w:r>
    </w:p>
    <w:p w14:paraId="44A257F7">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（5）法律依据；</w:t>
      </w:r>
    </w:p>
    <w:p w14:paraId="14E5474F">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（6）提起投诉的日期。</w:t>
      </w:r>
    </w:p>
    <w:p w14:paraId="7868FB75">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eastAsia="宋体" w:cs="宋体"/>
          <w:color w:val="auto"/>
          <w:szCs w:val="24"/>
          <w:highlight w:val="none"/>
        </w:rPr>
        <w:tab/>
      </w:r>
    </w:p>
    <w:p w14:paraId="6FCB535E">
      <w:pPr>
        <w:spacing w:line="360" w:lineRule="auto"/>
        <w:ind w:firstLine="422" w:firstLineChars="200"/>
        <w:rPr>
          <w:rFonts w:ascii="宋体" w:hAnsi="宋体" w:eastAsia="宋体" w:cs="宋体"/>
          <w:bCs/>
          <w:color w:val="auto"/>
          <w:szCs w:val="24"/>
          <w:highlight w:val="none"/>
        </w:rPr>
      </w:pPr>
      <w:r>
        <w:rPr>
          <w:rFonts w:hint="eastAsia" w:ascii="宋体" w:hAnsi="宋体" w:eastAsia="宋体" w:cs="宋体"/>
          <w:b/>
          <w:color w:val="auto"/>
          <w:szCs w:val="24"/>
          <w:highlight w:val="none"/>
        </w:rPr>
        <w:t xml:space="preserve">38.3.3  </w:t>
      </w:r>
      <w:r>
        <w:rPr>
          <w:rFonts w:hint="eastAsia" w:ascii="宋体" w:hAnsi="宋体" w:eastAsia="宋体" w:cs="宋体"/>
          <w:color w:val="auto"/>
          <w:szCs w:val="24"/>
          <w:highlight w:val="none"/>
        </w:rPr>
        <w:t>投诉人可以委托代理人办理投诉事务。</w:t>
      </w:r>
      <w:r>
        <w:rPr>
          <w:rFonts w:hint="eastAsia" w:ascii="宋体" w:hAnsi="宋体" w:eastAsia="宋体" w:cs="宋体"/>
          <w:bCs/>
          <w:color w:val="auto"/>
          <w:szCs w:val="24"/>
          <w:highlight w:val="none"/>
        </w:rPr>
        <w:t>委托代理人应熟悉相关业务情况。</w:t>
      </w:r>
      <w:r>
        <w:rPr>
          <w:rFonts w:hint="eastAsia" w:ascii="宋体" w:hAnsi="宋体" w:eastAsia="宋体" w:cs="宋体"/>
          <w:color w:val="auto"/>
          <w:szCs w:val="24"/>
          <w:highlight w:val="none"/>
        </w:rPr>
        <w:t>代理人办理投诉事务时，除提交投诉书外，还应当提交投诉人的授权委托书和委托代理人身份证明复印件。</w:t>
      </w:r>
    </w:p>
    <w:p w14:paraId="72816D3E">
      <w:pPr>
        <w:spacing w:line="360" w:lineRule="auto"/>
        <w:ind w:firstLine="422" w:firstLineChars="200"/>
        <w:rPr>
          <w:rFonts w:ascii="宋体" w:hAnsi="宋体" w:eastAsia="宋体" w:cs="宋体"/>
          <w:color w:val="auto"/>
          <w:szCs w:val="24"/>
          <w:highlight w:val="none"/>
        </w:rPr>
      </w:pPr>
      <w:r>
        <w:rPr>
          <w:rFonts w:hint="eastAsia" w:ascii="宋体" w:hAnsi="宋体" w:eastAsia="宋体" w:cs="宋体"/>
          <w:b/>
          <w:color w:val="auto"/>
          <w:szCs w:val="24"/>
          <w:highlight w:val="none"/>
        </w:rPr>
        <w:t>38.3.4</w:t>
      </w:r>
      <w:r>
        <w:rPr>
          <w:rFonts w:hint="eastAsia" w:ascii="宋体" w:hAnsi="宋体" w:eastAsia="宋体" w:cs="宋体"/>
          <w:color w:val="auto"/>
          <w:szCs w:val="24"/>
          <w:highlight w:val="none"/>
        </w:rPr>
        <w:t xml:space="preserve">  投诉人提起投诉应当符合下列条件：</w:t>
      </w:r>
    </w:p>
    <w:p w14:paraId="3700F437">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（1）投诉人是参与所投诉政府采购活动的供应商；</w:t>
      </w:r>
    </w:p>
    <w:p w14:paraId="3FF3CD98">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（2）提起投诉前已依法进行质疑；</w:t>
      </w:r>
    </w:p>
    <w:p w14:paraId="62679A43">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（3）投诉书内容符合本章第38.3.2项的规定；</w:t>
      </w:r>
    </w:p>
    <w:p w14:paraId="51FC28C0">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（4）在投诉有效期限内提起投诉；</w:t>
      </w:r>
    </w:p>
    <w:p w14:paraId="790DC488">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（5）属于南宁市政府采购监督管理部门管辖；</w:t>
      </w:r>
    </w:p>
    <w:p w14:paraId="7987FC95">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（6）同一投诉事项未经</w:t>
      </w:r>
      <w:r>
        <w:rPr>
          <w:rFonts w:hint="eastAsia" w:ascii="宋体" w:hAnsi="宋体" w:eastAsia="宋体" w:cs="宋体"/>
          <w:bCs/>
          <w:color w:val="auto"/>
          <w:szCs w:val="24"/>
          <w:highlight w:val="none"/>
        </w:rPr>
        <w:t>南宁市政府采购监督管理部门</w:t>
      </w:r>
      <w:r>
        <w:rPr>
          <w:rFonts w:hint="eastAsia" w:ascii="宋体" w:hAnsi="宋体" w:eastAsia="宋体" w:cs="宋体"/>
          <w:color w:val="auto"/>
          <w:szCs w:val="24"/>
          <w:highlight w:val="none"/>
        </w:rPr>
        <w:t>投诉处理；</w:t>
      </w:r>
    </w:p>
    <w:p w14:paraId="11EEE7FA">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（7）国务院财政部门规定的其他条件。</w:t>
      </w:r>
    </w:p>
    <w:p w14:paraId="746154EB">
      <w:pPr>
        <w:spacing w:line="360" w:lineRule="auto"/>
        <w:ind w:firstLine="422" w:firstLineChars="200"/>
        <w:rPr>
          <w:rFonts w:ascii="宋体" w:hAnsi="宋体" w:eastAsia="宋体" w:cs="宋体"/>
          <w:color w:val="auto"/>
          <w:szCs w:val="24"/>
          <w:highlight w:val="none"/>
        </w:rPr>
      </w:pPr>
      <w:r>
        <w:rPr>
          <w:rFonts w:hint="eastAsia" w:ascii="宋体" w:hAnsi="宋体" w:eastAsia="宋体" w:cs="宋体"/>
          <w:b/>
          <w:color w:val="auto"/>
          <w:szCs w:val="24"/>
          <w:highlight w:val="none"/>
        </w:rPr>
        <w:t>38.3.5</w:t>
      </w:r>
      <w:r>
        <w:rPr>
          <w:rFonts w:hint="eastAsia" w:ascii="宋体" w:hAnsi="宋体" w:eastAsia="宋体" w:cs="宋体"/>
          <w:color w:val="auto"/>
          <w:szCs w:val="24"/>
          <w:highlight w:val="none"/>
        </w:rPr>
        <w:t xml:space="preserve">  南宁市政府采购监督管理部门自受理投诉之日起30个工作日内，对投诉事项作出处理决定，并以书面形式通知投诉人、被投诉人及其他与投诉处理结果有利害关系的政府采购当事人。并将投诉结果在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szCs w:val="24"/>
          <w:highlight w:val="none"/>
        </w:rPr>
        <w:t>发布。</w:t>
      </w:r>
    </w:p>
    <w:p w14:paraId="6E94EC23">
      <w:pPr>
        <w:spacing w:line="360" w:lineRule="auto"/>
        <w:ind w:firstLine="422" w:firstLineChars="200"/>
        <w:rPr>
          <w:rFonts w:ascii="宋体" w:hAnsi="宋体" w:eastAsia="宋体" w:cs="宋体"/>
          <w:color w:val="auto"/>
          <w:szCs w:val="24"/>
          <w:highlight w:val="none"/>
        </w:rPr>
      </w:pPr>
      <w:r>
        <w:rPr>
          <w:rFonts w:hint="eastAsia" w:ascii="宋体" w:hAnsi="宋体" w:eastAsia="宋体" w:cs="宋体"/>
          <w:b/>
          <w:color w:val="auto"/>
          <w:szCs w:val="24"/>
          <w:highlight w:val="none"/>
        </w:rPr>
        <w:t>38.3.6</w:t>
      </w:r>
      <w:r>
        <w:rPr>
          <w:rFonts w:hint="eastAsia" w:ascii="宋体" w:hAnsi="宋体" w:eastAsia="宋体" w:cs="宋体"/>
          <w:color w:val="auto"/>
          <w:szCs w:val="24"/>
          <w:highlight w:val="none"/>
        </w:rPr>
        <w:t xml:space="preserve">  南宁市政府采购监督管理部门在处理投诉事项期间，可以视具体情况暂停采购活动。</w:t>
      </w:r>
    </w:p>
    <w:p w14:paraId="01C076BA">
      <w:pPr>
        <w:snapToGrid w:val="0"/>
        <w:spacing w:line="360" w:lineRule="auto"/>
        <w:ind w:left="120" w:leftChars="57" w:firstLine="482" w:firstLineChars="150"/>
        <w:jc w:val="center"/>
        <w:outlineLvl w:val="2"/>
        <w:rPr>
          <w:rFonts w:ascii="宋体" w:hAnsi="宋体" w:eastAsia="宋体" w:cs="宋体"/>
          <w:b/>
          <w:bCs/>
          <w:color w:val="auto"/>
          <w:sz w:val="32"/>
          <w:szCs w:val="32"/>
          <w:highlight w:val="none"/>
        </w:rPr>
      </w:pPr>
      <w:bookmarkStart w:id="155" w:name="_Toc146703291"/>
      <w:r>
        <w:rPr>
          <w:rFonts w:hint="eastAsia" w:ascii="宋体" w:hAnsi="宋体" w:eastAsia="宋体" w:cs="宋体"/>
          <w:b/>
          <w:bCs/>
          <w:color w:val="auto"/>
          <w:sz w:val="32"/>
          <w:szCs w:val="32"/>
          <w:highlight w:val="none"/>
        </w:rPr>
        <w:t>三、第二阶段（成交阶段）</w:t>
      </w:r>
      <w:bookmarkEnd w:id="155"/>
    </w:p>
    <w:p w14:paraId="569DFE51">
      <w:pPr>
        <w:spacing w:line="360" w:lineRule="auto"/>
        <w:ind w:firstLine="643" w:firstLineChars="200"/>
        <w:jc w:val="center"/>
        <w:rPr>
          <w:rFonts w:ascii="宋体" w:hAnsi="宋体" w:eastAsia="宋体" w:cs="宋体"/>
          <w:b/>
          <w:color w:val="auto"/>
          <w:szCs w:val="24"/>
          <w:highlight w:val="none"/>
        </w:rPr>
      </w:pPr>
      <w:r>
        <w:rPr>
          <w:rFonts w:hint="eastAsia" w:ascii="宋体" w:hAnsi="宋体" w:eastAsia="宋体" w:cs="宋体"/>
          <w:b/>
          <w:bCs/>
          <w:color w:val="auto"/>
          <w:sz w:val="32"/>
          <w:szCs w:val="32"/>
          <w:highlight w:val="none"/>
        </w:rPr>
        <w:t>（一）成交供应商</w:t>
      </w:r>
    </w:p>
    <w:p w14:paraId="66A37088">
      <w:pPr>
        <w:spacing w:line="360" w:lineRule="auto"/>
        <w:ind w:firstLine="422" w:firstLineChars="200"/>
        <w:rPr>
          <w:rFonts w:ascii="宋体" w:hAnsi="宋体" w:eastAsia="宋体" w:cs="宋体"/>
          <w:b/>
          <w:color w:val="auto"/>
          <w:szCs w:val="24"/>
          <w:highlight w:val="none"/>
        </w:rPr>
      </w:pPr>
      <w:r>
        <w:rPr>
          <w:rFonts w:hint="eastAsia" w:ascii="宋体" w:hAnsi="宋体" w:eastAsia="宋体" w:cs="宋体"/>
          <w:b/>
          <w:color w:val="auto"/>
          <w:szCs w:val="24"/>
          <w:highlight w:val="none"/>
        </w:rPr>
        <w:t>39.成交供应商</w:t>
      </w:r>
    </w:p>
    <w:p w14:paraId="1FE0BF16">
      <w:pPr>
        <w:spacing w:line="360" w:lineRule="auto"/>
        <w:ind w:firstLine="422" w:firstLineChars="200"/>
        <w:rPr>
          <w:rFonts w:ascii="宋体" w:hAnsi="宋体" w:eastAsia="宋体" w:cs="宋体"/>
          <w:color w:val="auto"/>
          <w:szCs w:val="24"/>
          <w:highlight w:val="none"/>
        </w:rPr>
      </w:pPr>
      <w:r>
        <w:rPr>
          <w:rFonts w:hint="eastAsia" w:ascii="宋体" w:hAnsi="宋体" w:eastAsia="宋体" w:cs="宋体"/>
          <w:b/>
          <w:color w:val="auto"/>
          <w:szCs w:val="24"/>
          <w:highlight w:val="none"/>
        </w:rPr>
        <w:t>39.1</w:t>
      </w:r>
      <w:r>
        <w:rPr>
          <w:rFonts w:hint="eastAsia" w:ascii="宋体" w:hAnsi="宋体" w:eastAsia="宋体" w:cs="宋体"/>
          <w:color w:val="auto"/>
          <w:szCs w:val="24"/>
          <w:highlight w:val="none"/>
        </w:rPr>
        <w:t xml:space="preserve"> 确定成交供应商</w:t>
      </w:r>
    </w:p>
    <w:p w14:paraId="1A5C17B3">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39.1.1 采购人按照征集文件或框架协议的规定从入围供应商选定成交供应商并签订采购合同。</w:t>
      </w:r>
    </w:p>
    <w:p w14:paraId="087E9322">
      <w:pPr>
        <w:spacing w:line="360" w:lineRule="auto"/>
        <w:ind w:firstLine="422" w:firstLineChars="200"/>
        <w:rPr>
          <w:rFonts w:ascii="宋体" w:hAnsi="宋体" w:eastAsia="宋体" w:cs="宋体"/>
          <w:b/>
          <w:color w:val="auto"/>
          <w:szCs w:val="24"/>
          <w:highlight w:val="none"/>
        </w:rPr>
      </w:pPr>
      <w:r>
        <w:rPr>
          <w:rFonts w:hint="eastAsia" w:ascii="宋体" w:hAnsi="宋体" w:eastAsia="宋体" w:cs="宋体"/>
          <w:b/>
          <w:color w:val="auto"/>
          <w:szCs w:val="24"/>
          <w:highlight w:val="none"/>
        </w:rPr>
        <w:t>39.2成交结果公告</w:t>
      </w:r>
    </w:p>
    <w:p w14:paraId="16453E43">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39.2.1如征集文件或框架协议规定确定成交供应商的方式为二次竞价或顺序轮候方式，或者采购人在满足规定的前提下将合同授予非入围供应商，征集人在确定成交供应商后2个工作日内发布单笔成交结果公告，单笔成交结果公告在征集公告发布媒体上公布。</w:t>
      </w:r>
    </w:p>
    <w:p w14:paraId="016B85A0">
      <w:pPr>
        <w:spacing w:line="360" w:lineRule="auto"/>
        <w:ind w:firstLine="422" w:firstLineChars="200"/>
        <w:rPr>
          <w:rFonts w:ascii="宋体" w:hAnsi="宋体" w:eastAsia="宋体" w:cs="宋体"/>
          <w:b/>
          <w:color w:val="auto"/>
          <w:szCs w:val="24"/>
          <w:highlight w:val="none"/>
        </w:rPr>
      </w:pPr>
      <w:r>
        <w:rPr>
          <w:rFonts w:hint="eastAsia" w:ascii="宋体" w:hAnsi="宋体" w:eastAsia="宋体" w:cs="宋体"/>
          <w:b/>
          <w:color w:val="auto"/>
          <w:szCs w:val="24"/>
          <w:highlight w:val="none"/>
        </w:rPr>
        <w:t>39.3合同</w:t>
      </w:r>
    </w:p>
    <w:p w14:paraId="40C4F256">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39.3.1合同授予标准</w:t>
      </w:r>
    </w:p>
    <w:p w14:paraId="0D104354">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除框架协议另有规定外，采购人采购框架协议规定的货物、服务，应当将采购合同授予入围供应商。在签订采购合同过程中，如入围供应商的组织机构、经营状况、财务状况发生了较大变化，可能造成不能履行框架协议或采购合同的，签订采购合同前应告知采购人，未主动告知，给采购人造成损失的，采购人有权要求其赔偿损失。</w:t>
      </w:r>
    </w:p>
    <w:p w14:paraId="346BE256">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39.3.2签订合同</w:t>
      </w:r>
    </w:p>
    <w:p w14:paraId="0A45495C">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采购人与供应商签订的采购合同不能违背框架协议的实质性条款。</w:t>
      </w:r>
    </w:p>
    <w:p w14:paraId="1E3E2343">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39.3.3履行合同</w:t>
      </w:r>
    </w:p>
    <w:p w14:paraId="43DD25F2">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采购人与供应商签订采购合同后，合同双方应严格执行合同条款，履行规定的合同义务，保证合同顺利完成，双方均不得擅自变更、中止或终止采购合同。确需解除合同的，应按民典法有关规定和合同约定执行。</w:t>
      </w:r>
    </w:p>
    <w:p w14:paraId="1B2A9C72">
      <w:pPr>
        <w:snapToGrid w:val="0"/>
        <w:spacing w:line="360" w:lineRule="auto"/>
        <w:ind w:left="120" w:leftChars="57" w:firstLine="482" w:firstLineChars="15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（二）验收</w:t>
      </w:r>
    </w:p>
    <w:p w14:paraId="6CF178B9">
      <w:pPr>
        <w:spacing w:line="360" w:lineRule="auto"/>
        <w:ind w:firstLine="422" w:firstLineChars="200"/>
        <w:rPr>
          <w:rFonts w:ascii="宋体" w:hAnsi="宋体" w:eastAsia="宋体" w:cs="宋体"/>
          <w:b/>
          <w:color w:val="auto"/>
          <w:szCs w:val="24"/>
          <w:highlight w:val="none"/>
        </w:rPr>
      </w:pPr>
      <w:r>
        <w:rPr>
          <w:rFonts w:hint="eastAsia" w:ascii="宋体" w:hAnsi="宋体" w:eastAsia="宋体" w:cs="宋体"/>
          <w:b/>
          <w:color w:val="auto"/>
          <w:szCs w:val="24"/>
          <w:highlight w:val="none"/>
        </w:rPr>
        <w:t>40.验收</w:t>
      </w:r>
    </w:p>
    <w:p w14:paraId="3E1D78EE">
      <w:pPr>
        <w:tabs>
          <w:tab w:val="left" w:pos="0"/>
        </w:tabs>
        <w:spacing w:line="360" w:lineRule="auto"/>
        <w:ind w:firstLine="480"/>
        <w:rPr>
          <w:rFonts w:ascii="宋体" w:hAnsi="宋体" w:eastAsia="宋体" w:cs="宋体"/>
          <w:color w:val="auto"/>
          <w:szCs w:val="24"/>
          <w:highlight w:val="none"/>
        </w:rPr>
      </w:pPr>
      <w:r>
        <w:rPr>
          <w:rFonts w:hint="eastAsia" w:ascii="宋体" w:hAnsi="宋体" w:eastAsia="宋体" w:cs="宋体"/>
          <w:color w:val="auto"/>
          <w:szCs w:val="24"/>
          <w:highlight w:val="none"/>
        </w:rPr>
        <w:t>40.1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D0C7CE1">
      <w:pPr>
        <w:tabs>
          <w:tab w:val="left" w:pos="0"/>
        </w:tabs>
        <w:spacing w:line="360" w:lineRule="auto"/>
        <w:ind w:firstLine="480"/>
        <w:rPr>
          <w:rFonts w:ascii="宋体" w:hAnsi="宋体" w:eastAsia="宋体" w:cs="宋体"/>
          <w:color w:val="auto"/>
          <w:szCs w:val="24"/>
          <w:highlight w:val="none"/>
        </w:rPr>
      </w:pPr>
      <w:r>
        <w:rPr>
          <w:rFonts w:hint="eastAsia" w:ascii="宋体" w:hAnsi="宋体" w:eastAsia="宋体" w:cs="宋体"/>
          <w:color w:val="auto"/>
          <w:szCs w:val="24"/>
          <w:highlight w:val="none"/>
        </w:rPr>
        <w:t>40.2采购人可以邀请参加本项目的其他供应商或者第三方机构参与验收。参与验收的供应商或者第三方机构的意见作为验收书的参考资料一并存档。</w:t>
      </w:r>
    </w:p>
    <w:p w14:paraId="6765CF5B">
      <w:pPr>
        <w:tabs>
          <w:tab w:val="left" w:pos="0"/>
        </w:tabs>
        <w:spacing w:line="360" w:lineRule="auto"/>
        <w:ind w:firstLine="480"/>
        <w:rPr>
          <w:rFonts w:ascii="宋体" w:hAnsi="宋体" w:eastAsia="宋体" w:cs="宋体"/>
          <w:color w:val="auto"/>
          <w:szCs w:val="24"/>
          <w:highlight w:val="none"/>
        </w:rPr>
      </w:pPr>
      <w:r>
        <w:rPr>
          <w:rFonts w:hint="eastAsia" w:ascii="宋体" w:hAnsi="宋体" w:eastAsia="宋体" w:cs="宋体"/>
          <w:color w:val="auto"/>
          <w:szCs w:val="24"/>
          <w:highlight w:val="none"/>
        </w:rPr>
        <w:t>40.3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5F5213D">
      <w:pPr>
        <w:tabs>
          <w:tab w:val="left" w:pos="0"/>
        </w:tabs>
        <w:spacing w:line="360" w:lineRule="auto"/>
        <w:ind w:firstLine="480"/>
        <w:rPr>
          <w:rFonts w:ascii="宋体" w:hAnsi="宋体" w:eastAsia="宋体" w:cs="宋体"/>
          <w:color w:val="auto"/>
          <w:szCs w:val="24"/>
          <w:highlight w:val="none"/>
        </w:rPr>
      </w:pPr>
      <w:r>
        <w:rPr>
          <w:rFonts w:hint="eastAsia" w:ascii="宋体" w:hAnsi="宋体" w:eastAsia="宋体" w:cs="宋体"/>
          <w:color w:val="auto"/>
          <w:szCs w:val="24"/>
          <w:highlight w:val="none"/>
        </w:rPr>
        <w:t>40.4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2C2E1DD">
      <w:pPr>
        <w:snapToGrid w:val="0"/>
        <w:spacing w:line="400" w:lineRule="exact"/>
        <w:rPr>
          <w:rFonts w:ascii="宋体" w:hAnsi="宋体" w:eastAsia="宋体" w:cs="宋体"/>
          <w:color w:val="auto"/>
          <w:szCs w:val="20"/>
          <w:highlight w:val="none"/>
        </w:rPr>
      </w:pPr>
    </w:p>
    <w:p w14:paraId="64BBFB2C">
      <w:pPr>
        <w:spacing w:line="360" w:lineRule="auto"/>
        <w:ind w:firstLine="643" w:firstLineChars="200"/>
        <w:jc w:val="center"/>
        <w:outlineLvl w:val="2"/>
        <w:rPr>
          <w:rFonts w:ascii="宋体" w:hAnsi="宋体" w:eastAsia="宋体" w:cs="宋体"/>
          <w:b/>
          <w:bCs/>
          <w:color w:val="auto"/>
          <w:sz w:val="32"/>
          <w:szCs w:val="32"/>
          <w:highlight w:val="none"/>
        </w:rPr>
      </w:pPr>
      <w:bookmarkStart w:id="156" w:name="_八、其他事项"/>
      <w:bookmarkEnd w:id="156"/>
      <w:bookmarkStart w:id="157" w:name="_Toc24821"/>
      <w:bookmarkStart w:id="158" w:name="_Toc146703292"/>
      <w:bookmarkStart w:id="159" w:name="_Toc80093002"/>
      <w:r>
        <w:rPr>
          <w:rFonts w:hint="eastAsia" w:ascii="宋体" w:hAnsi="宋体" w:eastAsia="宋体" w:cs="宋体"/>
          <w:b/>
          <w:bCs/>
          <w:color w:val="auto"/>
          <w:sz w:val="32"/>
          <w:szCs w:val="32"/>
          <w:highlight w:val="none"/>
        </w:rPr>
        <w:t>四、其他事项</w:t>
      </w:r>
      <w:bookmarkEnd w:id="157"/>
      <w:bookmarkEnd w:id="158"/>
      <w:bookmarkEnd w:id="159"/>
    </w:p>
    <w:p w14:paraId="0E3B59CF">
      <w:pPr>
        <w:spacing w:line="360" w:lineRule="auto"/>
        <w:ind w:firstLine="480" w:firstLineChars="200"/>
        <w:rPr>
          <w:rFonts w:ascii="宋体" w:hAnsi="宋体" w:eastAsia="宋体" w:cs="宋体"/>
          <w:color w:val="auto"/>
          <w:sz w:val="24"/>
          <w:szCs w:val="24"/>
          <w:highlight w:val="none"/>
        </w:rPr>
      </w:pPr>
      <w:bookmarkStart w:id="160" w:name="_42.代理服务费"/>
      <w:bookmarkEnd w:id="160"/>
      <w:r>
        <w:rPr>
          <w:rFonts w:hint="eastAsia" w:ascii="宋体" w:hAnsi="宋体" w:eastAsia="宋体" w:cs="宋体"/>
          <w:color w:val="auto"/>
          <w:sz w:val="24"/>
          <w:szCs w:val="24"/>
          <w:highlight w:val="none"/>
        </w:rPr>
        <w:t>41.代理服务费</w:t>
      </w:r>
    </w:p>
    <w:p w14:paraId="3DD1AE08">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代理服务收费标准及缴费账户详见“供应商须知前附表”，供应商为联合体的，可以由联合体中的一方或者多方共同交纳代理服务费。</w:t>
      </w:r>
    </w:p>
    <w:p w14:paraId="53FB242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 需要补充的其他内容</w:t>
      </w:r>
    </w:p>
    <w:p w14:paraId="0DDF7B4E">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42.1本征集文件解释规则详见“供应商须知前附表”。</w:t>
      </w:r>
    </w:p>
    <w:p w14:paraId="1F335143">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42.2 其他事项详见“供应商须知前附表”。</w:t>
      </w:r>
    </w:p>
    <w:p w14:paraId="337FFACD">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42.3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w:t>
      </w:r>
      <w:r>
        <w:rPr>
          <w:rFonts w:hint="eastAsia" w:ascii="宋体" w:hAnsi="宋体" w:eastAsia="宋体" w:cs="宋体"/>
          <w:color w:val="auto"/>
          <w:szCs w:val="21"/>
          <w:highlight w:val="none"/>
        </w:rPr>
        <w:t>《中华人民共和国民法典》</w:t>
      </w:r>
      <w:r>
        <w:rPr>
          <w:rFonts w:hint="eastAsia" w:ascii="宋体" w:hAnsi="宋体" w:eastAsia="宋体" w:cs="宋体"/>
          <w:color w:val="auto"/>
          <w:szCs w:val="24"/>
          <w:highlight w:val="none"/>
        </w:rPr>
        <w:t>订立劳动合同的从业人员，不对其中涉及的货物的制造商和工程承建商作出要求的，享受本文件规定的中小企业扶持政策。</w:t>
      </w:r>
    </w:p>
    <w:p w14:paraId="5C1AB6E7">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以联合体形式参加政府采购活动，联合体各方均为中小企业的，联合体视同中小企业。其中，联合体各方均为小微企业的，联合体视同小微企业。</w:t>
      </w:r>
    </w:p>
    <w:p w14:paraId="2968B4D4">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依据本文件规定享受扶持政策获得政府采购合同的，小微企业不得将合同分包给大中型企业，中型企业不得将合同分包给大型企业。</w:t>
      </w:r>
    </w:p>
    <w:p w14:paraId="0EA2C39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43. 政采贷相关说明</w:t>
      </w:r>
    </w:p>
    <w:p w14:paraId="100AD8E4">
      <w:pPr>
        <w:spacing w:line="360" w:lineRule="auto"/>
        <w:ind w:firstLine="420" w:firstLineChars="200"/>
        <w:jc w:val="left"/>
        <w:rPr>
          <w:rFonts w:ascii="Times New Roman" w:hAnsi="宋体" w:eastAsia="宋体" w:cs="Times New Roman"/>
          <w:color w:val="auto"/>
          <w:szCs w:val="24"/>
          <w:highlight w:val="none"/>
        </w:rPr>
      </w:pPr>
      <w:r>
        <w:rPr>
          <w:rFonts w:hint="eastAsia" w:ascii="Times New Roman" w:hAnsi="宋体" w:eastAsia="宋体" w:cs="Times New Roman"/>
          <w:color w:val="auto"/>
          <w:szCs w:val="24"/>
          <w:highlight w:val="none"/>
        </w:rPr>
        <w:t>为优化政府采购营商环境，缓解供应商资金难题，南宁市政府采购试行政府采购信用融资制度，中标供应商如有融资需求，可凭政府采购合同通过以下方式申请政府采购信用融资贷款：</w:t>
      </w:r>
    </w:p>
    <w:p w14:paraId="7FE854B8">
      <w:pPr>
        <w:spacing w:line="360" w:lineRule="auto"/>
        <w:ind w:firstLine="420" w:firstLineChars="200"/>
        <w:jc w:val="left"/>
        <w:rPr>
          <w:rFonts w:ascii="Times New Roman" w:hAnsi="宋体" w:eastAsia="宋体" w:cs="Times New Roman"/>
          <w:color w:val="auto"/>
          <w:szCs w:val="24"/>
          <w:highlight w:val="none"/>
        </w:rPr>
      </w:pPr>
      <w:r>
        <w:rPr>
          <w:rFonts w:hint="eastAsia" w:ascii="Times New Roman" w:hAnsi="宋体" w:eastAsia="宋体" w:cs="Times New Roman"/>
          <w:color w:val="auto"/>
          <w:szCs w:val="24"/>
          <w:highlight w:val="none"/>
        </w:rPr>
        <w:t>（1）线下渠道：在“南宁市公共资源交易中心”官网（网址：http://www.nnggzy.org.cn）“交易信息-政府采购-政府采购信用融资”中融资银行和南宁市企业融资货物中心专栏信息申请政府采购信用融资。</w:t>
      </w:r>
    </w:p>
    <w:p w14:paraId="18C7F521">
      <w:pPr>
        <w:spacing w:line="360" w:lineRule="auto"/>
        <w:ind w:firstLine="420" w:firstLineChars="200"/>
        <w:jc w:val="left"/>
        <w:rPr>
          <w:rFonts w:ascii="Times New Roman" w:hAnsi="宋体" w:eastAsia="宋体" w:cs="Times New Roman"/>
          <w:color w:val="auto"/>
          <w:szCs w:val="24"/>
          <w:highlight w:val="none"/>
        </w:rPr>
      </w:pPr>
      <w:r>
        <w:rPr>
          <w:rFonts w:hint="eastAsia" w:ascii="Times New Roman" w:hAnsi="宋体" w:eastAsia="宋体" w:cs="Times New Roman"/>
          <w:color w:val="auto"/>
          <w:szCs w:val="24"/>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1D4B858B">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44.用户反馈和评价机制</w:t>
      </w:r>
    </w:p>
    <w:p w14:paraId="2ABB73C3">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本项目将建立用户反馈和评价机制。</w:t>
      </w:r>
    </w:p>
    <w:p w14:paraId="2F81A4E5">
      <w:pPr>
        <w:spacing w:line="360" w:lineRule="auto"/>
        <w:ind w:firstLine="480" w:firstLineChars="200"/>
        <w:jc w:val="left"/>
        <w:rPr>
          <w:rFonts w:ascii="宋体" w:hAnsi="宋体" w:eastAsia="宋体" w:cs="宋体"/>
          <w:color w:val="auto"/>
          <w:szCs w:val="24"/>
          <w:highlight w:val="none"/>
        </w:rPr>
      </w:pPr>
      <w:r>
        <w:rPr>
          <w:rFonts w:hint="eastAsia" w:ascii="宋体" w:hAnsi="宋体" w:eastAsia="宋体" w:cs="宋体"/>
          <w:color w:val="auto"/>
          <w:sz w:val="24"/>
          <w:szCs w:val="24"/>
          <w:highlight w:val="none"/>
        </w:rPr>
        <w:t>45.入围供应商的清退和补充规则</w:t>
      </w:r>
    </w:p>
    <w:p w14:paraId="098498B4">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45.1入围供应商有下列情形之一，尚未签订框架协议的，取消其入围资格；已经签订框架协议的，解除与其签订的框架协议： </w:t>
      </w:r>
    </w:p>
    <w:p w14:paraId="2755E2C1">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（1）恶意串通谋取入围或者合同成交的； </w:t>
      </w:r>
    </w:p>
    <w:p w14:paraId="63AEA8E6">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（2）提供虚假材料谋取入围或者合同成交的； </w:t>
      </w:r>
    </w:p>
    <w:p w14:paraId="5D6DF558">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（3）无正当理由拒不接受合同授予的； </w:t>
      </w:r>
    </w:p>
    <w:p w14:paraId="64B53F4B">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（4）不履行合同义务或者履行合同义务不符合约定，经采购人请求履行后仍不履行或者仍未按约定履行的； </w:t>
      </w:r>
    </w:p>
    <w:p w14:paraId="1FDA8310">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（5）框架协议有效期内，因违法行为被禁止或限制参加政府采购活动的； </w:t>
      </w:r>
    </w:p>
    <w:p w14:paraId="52A41AC7">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（6）供应商违反职业道德，有违规违纪问题的；</w:t>
      </w:r>
    </w:p>
    <w:p w14:paraId="297C2CEB">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（7）框架协议约定的其他情形。 </w:t>
      </w:r>
    </w:p>
    <w:p w14:paraId="1605D8F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45.2补充规则：</w:t>
      </w:r>
      <w:r>
        <w:rPr>
          <w:rFonts w:hint="eastAsia" w:ascii="宋体" w:hAnsi="宋体" w:eastAsia="宋体" w:cs="宋体"/>
          <w:color w:val="auto"/>
          <w:szCs w:val="21"/>
          <w:highlight w:val="none"/>
          <w:lang w:val="en-US" w:eastAsia="zh-CN"/>
        </w:rPr>
        <w:t>除剩余入围服务商不足入围服务商总数70%且影响框架协议执行的情形外，</w:t>
      </w:r>
      <w:r>
        <w:rPr>
          <w:rFonts w:hint="eastAsia" w:ascii="宋体" w:hAnsi="宋体" w:eastAsia="宋体" w:cs="宋体"/>
          <w:color w:val="auto"/>
          <w:szCs w:val="21"/>
          <w:highlight w:val="none"/>
        </w:rPr>
        <w:t>框架协议有效期内，框架协议有效期内，不再补充征集供应商。</w:t>
      </w:r>
    </w:p>
    <w:p w14:paraId="211C0141">
      <w:pPr>
        <w:wordWrap w:val="0"/>
        <w:spacing w:after="160"/>
        <w:outlineLvl w:val="5"/>
        <w:rPr>
          <w:rFonts w:ascii="宋体" w:hAnsi="宋体" w:eastAsia="宋体" w:cs="宋体"/>
          <w:b/>
          <w:color w:val="auto"/>
          <w:szCs w:val="24"/>
          <w:highlight w:val="none"/>
        </w:rPr>
      </w:pPr>
    </w:p>
    <w:p w14:paraId="1B14FC9E">
      <w:pPr>
        <w:spacing w:line="360" w:lineRule="auto"/>
        <w:jc w:val="left"/>
        <w:rPr>
          <w:rFonts w:ascii="宋体" w:hAnsi="宋体" w:eastAsia="宋体" w:cs="宋体"/>
          <w:color w:val="auto"/>
          <w:szCs w:val="24"/>
          <w:highlight w:val="none"/>
        </w:rPr>
        <w:sectPr>
          <w:pgSz w:w="11906" w:h="16838"/>
          <w:pgMar w:top="1134" w:right="1134" w:bottom="1134" w:left="1134" w:header="720" w:footer="720" w:gutter="0"/>
          <w:cols w:space="720" w:num="1"/>
          <w:docGrid w:type="lines" w:linePitch="331" w:charSpace="0"/>
        </w:sectPr>
      </w:pPr>
    </w:p>
    <w:p w14:paraId="5BB365A0">
      <w:pPr>
        <w:spacing w:line="360" w:lineRule="auto"/>
        <w:jc w:val="left"/>
        <w:rPr>
          <w:rFonts w:ascii="宋体" w:hAnsi="宋体" w:eastAsia="宋体" w:cs="宋体"/>
          <w:color w:val="auto"/>
          <w:szCs w:val="24"/>
          <w:highlight w:val="none"/>
        </w:rPr>
      </w:pPr>
      <w:bookmarkStart w:id="161" w:name="_Toc532545043"/>
    </w:p>
    <w:p w14:paraId="6E1D4D84">
      <w:pPr>
        <w:jc w:val="center"/>
        <w:outlineLvl w:val="0"/>
        <w:rPr>
          <w:rFonts w:ascii="宋体" w:hAnsi="宋体" w:eastAsia="宋体" w:cs="宋体"/>
          <w:b/>
          <w:color w:val="auto"/>
          <w:sz w:val="36"/>
          <w:szCs w:val="20"/>
          <w:highlight w:val="none"/>
        </w:rPr>
      </w:pPr>
      <w:bookmarkStart w:id="162" w:name="_Toc9932"/>
      <w:bookmarkStart w:id="163" w:name="_Toc146703293"/>
      <w:bookmarkStart w:id="164" w:name="_Toc80093003"/>
      <w:r>
        <w:rPr>
          <w:rFonts w:hint="eastAsia" w:ascii="宋体" w:hAnsi="宋体" w:eastAsia="宋体" w:cs="宋体"/>
          <w:b/>
          <w:color w:val="auto"/>
          <w:sz w:val="36"/>
          <w:szCs w:val="20"/>
          <w:highlight w:val="none"/>
        </w:rPr>
        <w:t>第四章  评审方法</w:t>
      </w:r>
      <w:bookmarkEnd w:id="161"/>
      <w:r>
        <w:rPr>
          <w:rFonts w:hint="eastAsia" w:ascii="宋体" w:hAnsi="宋体" w:eastAsia="宋体" w:cs="宋体"/>
          <w:b/>
          <w:color w:val="auto"/>
          <w:sz w:val="36"/>
          <w:szCs w:val="20"/>
          <w:highlight w:val="none"/>
        </w:rPr>
        <w:t>及评分标准</w:t>
      </w:r>
      <w:bookmarkEnd w:id="162"/>
      <w:bookmarkEnd w:id="163"/>
      <w:bookmarkEnd w:id="164"/>
    </w:p>
    <w:p w14:paraId="16142682">
      <w:pPr>
        <w:jc w:val="center"/>
        <w:outlineLvl w:val="1"/>
        <w:rPr>
          <w:rFonts w:ascii="宋体" w:hAnsi="宋体" w:eastAsia="宋体" w:cs="宋体"/>
          <w:b/>
          <w:bCs/>
          <w:color w:val="auto"/>
          <w:sz w:val="32"/>
          <w:szCs w:val="32"/>
          <w:highlight w:val="none"/>
        </w:rPr>
      </w:pPr>
      <w:bookmarkStart w:id="165" w:name="_Toc80093004"/>
      <w:bookmarkStart w:id="166" w:name="_Toc146703294"/>
      <w:bookmarkStart w:id="167" w:name="_Toc25347"/>
      <w:r>
        <w:rPr>
          <w:rFonts w:hint="eastAsia" w:ascii="宋体" w:hAnsi="宋体" w:eastAsia="宋体" w:cs="宋体"/>
          <w:b/>
          <w:bCs/>
          <w:color w:val="auto"/>
          <w:sz w:val="32"/>
          <w:szCs w:val="32"/>
          <w:highlight w:val="none"/>
        </w:rPr>
        <w:t>第一节 评审方法</w:t>
      </w:r>
      <w:bookmarkEnd w:id="165"/>
      <w:bookmarkEnd w:id="166"/>
      <w:bookmarkEnd w:id="167"/>
    </w:p>
    <w:p w14:paraId="32B23878">
      <w:pPr>
        <w:tabs>
          <w:tab w:val="left" w:pos="2472"/>
        </w:tabs>
        <w:spacing w:line="4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项目采用质量优先法进行评审，质量优先法是指对满足采购需求且响应报价不超过最高限制单价的货物、服务进行质量综合评分，按照质量评分从高到低排序，根据征集文件规定的淘汰率或者入围供应商数量上限，确定入围供应商的评审方法。</w:t>
      </w:r>
    </w:p>
    <w:p w14:paraId="3DD60658">
      <w:pPr>
        <w:tabs>
          <w:tab w:val="left" w:pos="2472"/>
        </w:tabs>
        <w:spacing w:line="460" w:lineRule="exact"/>
        <w:ind w:firstLine="420" w:firstLineChars="200"/>
        <w:rPr>
          <w:rFonts w:ascii="宋体" w:hAnsi="宋体" w:eastAsia="宋体" w:cs="宋体"/>
          <w:color w:val="auto"/>
          <w:szCs w:val="20"/>
          <w:highlight w:val="none"/>
        </w:rPr>
      </w:pPr>
      <w:r>
        <w:rPr>
          <w:rFonts w:hint="eastAsia" w:ascii="宋体" w:hAnsi="宋体" w:eastAsia="宋体" w:cs="宋体"/>
          <w:color w:val="auto"/>
          <w:szCs w:val="21"/>
          <w:highlight w:val="none"/>
        </w:rPr>
        <w:t>根据质量优先法的评审原则，本项目</w:t>
      </w:r>
      <w:r>
        <w:rPr>
          <w:rFonts w:hint="eastAsia" w:ascii="宋体" w:hAnsi="宋体" w:eastAsia="宋体" w:cs="宋体"/>
          <w:bCs/>
          <w:color w:val="auto"/>
          <w:szCs w:val="20"/>
          <w:highlight w:val="none"/>
        </w:rPr>
        <w:t>评分</w:t>
      </w:r>
      <w:r>
        <w:rPr>
          <w:rFonts w:hint="eastAsia" w:ascii="宋体" w:hAnsi="宋体" w:eastAsia="宋体" w:cs="宋体"/>
          <w:color w:val="auto"/>
          <w:szCs w:val="20"/>
          <w:highlight w:val="none"/>
        </w:rPr>
        <w:t>满分100分，</w:t>
      </w:r>
      <w:r>
        <w:rPr>
          <w:rFonts w:hint="eastAsia" w:ascii="宋体" w:hAnsi="宋体" w:eastAsia="宋体" w:cs="宋体"/>
          <w:b/>
          <w:color w:val="auto"/>
          <w:szCs w:val="20"/>
          <w:highlight w:val="none"/>
        </w:rPr>
        <w:t>其中价格分0分；技术分70分；商务分30分</w:t>
      </w:r>
      <w:r>
        <w:rPr>
          <w:rFonts w:hint="eastAsia" w:ascii="宋体" w:hAnsi="宋体" w:eastAsia="宋体" w:cs="宋体"/>
          <w:color w:val="auto"/>
          <w:szCs w:val="20"/>
          <w:highlight w:val="none"/>
        </w:rPr>
        <w:t>。评标委员会以征集文件为依据，对供应商的技术文件和商务文件等两部分内容按百分制打分，</w:t>
      </w:r>
      <w:r>
        <w:rPr>
          <w:rFonts w:hint="eastAsia" w:ascii="宋体" w:hAnsi="宋体" w:eastAsia="宋体" w:cs="宋体"/>
          <w:bCs/>
          <w:color w:val="auto"/>
          <w:szCs w:val="20"/>
          <w:highlight w:val="none"/>
        </w:rPr>
        <w:t>得分分值按四舍五入取至</w:t>
      </w:r>
      <w:r>
        <w:rPr>
          <w:rFonts w:hint="eastAsia" w:ascii="宋体" w:hAnsi="宋体" w:eastAsia="宋体" w:cs="宋体"/>
          <w:color w:val="auto"/>
          <w:szCs w:val="20"/>
          <w:highlight w:val="none"/>
        </w:rPr>
        <w:t>小数点后四位</w:t>
      </w:r>
      <w:r>
        <w:rPr>
          <w:rFonts w:hint="eastAsia" w:ascii="宋体" w:hAnsi="宋体" w:eastAsia="宋体" w:cs="宋体"/>
          <w:bCs/>
          <w:color w:val="auto"/>
          <w:szCs w:val="20"/>
          <w:highlight w:val="none"/>
        </w:rPr>
        <w:t>。</w:t>
      </w:r>
      <w:r>
        <w:rPr>
          <w:rFonts w:hint="eastAsia" w:ascii="宋体" w:hAnsi="宋体" w:eastAsia="宋体" w:cs="宋体"/>
          <w:color w:val="auto"/>
          <w:szCs w:val="20"/>
          <w:highlight w:val="none"/>
        </w:rPr>
        <w:t>（评审时，对于带有主观因素的评分，由评委独立评审、打分。）</w:t>
      </w:r>
    </w:p>
    <w:p w14:paraId="151864AE">
      <w:pPr>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    入围标准详见本章第四节。</w:t>
      </w:r>
    </w:p>
    <w:p w14:paraId="7732F2AB">
      <w:pPr>
        <w:rPr>
          <w:rFonts w:ascii="宋体" w:hAnsi="宋体" w:eastAsia="宋体" w:cs="宋体"/>
          <w:color w:val="auto"/>
          <w:szCs w:val="24"/>
          <w:highlight w:val="none"/>
        </w:rPr>
      </w:pPr>
    </w:p>
    <w:p w14:paraId="3037F977">
      <w:pPr>
        <w:autoSpaceDE w:val="0"/>
        <w:autoSpaceDN w:val="0"/>
        <w:adjustRightInd w:val="0"/>
        <w:spacing w:line="440" w:lineRule="exact"/>
        <w:ind w:firstLine="480" w:firstLineChars="200"/>
        <w:rPr>
          <w:rFonts w:ascii="宋体" w:hAnsi="宋体" w:eastAsia="宋体" w:cs="宋体"/>
          <w:color w:val="auto"/>
          <w:sz w:val="24"/>
          <w:szCs w:val="24"/>
          <w:highlight w:val="none"/>
        </w:rPr>
      </w:pPr>
    </w:p>
    <w:p w14:paraId="617C8CAB">
      <w:pPr>
        <w:spacing w:line="360" w:lineRule="auto"/>
        <w:ind w:firstLine="420"/>
        <w:rPr>
          <w:rFonts w:ascii="宋体" w:hAnsi="宋体" w:eastAsia="宋体" w:cs="宋体"/>
          <w:color w:val="auto"/>
          <w:szCs w:val="20"/>
          <w:highlight w:val="none"/>
        </w:rPr>
      </w:pPr>
    </w:p>
    <w:p w14:paraId="672967F9">
      <w:pPr>
        <w:tabs>
          <w:tab w:val="left" w:pos="2472"/>
        </w:tabs>
        <w:spacing w:line="460" w:lineRule="exact"/>
        <w:jc w:val="center"/>
        <w:outlineLvl w:val="1"/>
        <w:rPr>
          <w:rFonts w:ascii="宋体" w:hAnsi="宋体" w:eastAsia="宋体" w:cs="宋体"/>
          <w:b/>
          <w:bCs/>
          <w:color w:val="auto"/>
          <w:sz w:val="32"/>
          <w:szCs w:val="32"/>
          <w:highlight w:val="none"/>
        </w:rPr>
      </w:pPr>
      <w:bookmarkStart w:id="168" w:name="_Toc80093005"/>
      <w:bookmarkStart w:id="169" w:name="_Toc6615"/>
      <w:bookmarkStart w:id="170" w:name="_Toc146703295"/>
      <w:r>
        <w:rPr>
          <w:rFonts w:hint="eastAsia" w:ascii="宋体" w:hAnsi="宋体" w:eastAsia="宋体" w:cs="宋体"/>
          <w:b/>
          <w:bCs/>
          <w:color w:val="auto"/>
          <w:sz w:val="32"/>
          <w:szCs w:val="32"/>
          <w:highlight w:val="none"/>
        </w:rPr>
        <w:t>第二节 评审程序</w:t>
      </w:r>
      <w:bookmarkEnd w:id="168"/>
      <w:bookmarkEnd w:id="169"/>
      <w:bookmarkEnd w:id="170"/>
    </w:p>
    <w:p w14:paraId="0D88B230">
      <w:pPr>
        <w:spacing w:line="360" w:lineRule="auto"/>
        <w:ind w:firstLine="422" w:firstLineChars="200"/>
        <w:outlineLvl w:val="2"/>
        <w:rPr>
          <w:rFonts w:ascii="宋体" w:hAnsi="宋体" w:eastAsia="宋体" w:cs="宋体"/>
          <w:b/>
          <w:color w:val="auto"/>
          <w:szCs w:val="21"/>
          <w:highlight w:val="none"/>
        </w:rPr>
      </w:pPr>
      <w:bookmarkStart w:id="171" w:name="_Toc146703296"/>
      <w:r>
        <w:rPr>
          <w:rFonts w:hint="eastAsia" w:ascii="宋体" w:hAnsi="宋体" w:eastAsia="宋体" w:cs="宋体"/>
          <w:b/>
          <w:color w:val="auto"/>
          <w:szCs w:val="21"/>
          <w:highlight w:val="none"/>
        </w:rPr>
        <w:t>1.符合性审查</w:t>
      </w:r>
      <w:bookmarkEnd w:id="171"/>
    </w:p>
    <w:p w14:paraId="308F7D46">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评审委员会应当对符合资格的供应商的响应文件进行响应报价、商务、技术等实质性内容符合性审查，以确定其是否满足征集文件的实质性要求。</w:t>
      </w:r>
    </w:p>
    <w:p w14:paraId="5D29E77E">
      <w:pPr>
        <w:spacing w:line="360" w:lineRule="auto"/>
        <w:ind w:firstLine="422" w:firstLineChars="200"/>
        <w:outlineLvl w:val="2"/>
        <w:rPr>
          <w:rFonts w:ascii="宋体" w:hAnsi="宋体" w:eastAsia="宋体" w:cs="宋体"/>
          <w:b/>
          <w:color w:val="auto"/>
          <w:szCs w:val="21"/>
          <w:highlight w:val="none"/>
        </w:rPr>
      </w:pPr>
      <w:bookmarkStart w:id="172" w:name="_Toc146703297"/>
      <w:r>
        <w:rPr>
          <w:rFonts w:hint="eastAsia" w:ascii="宋体" w:hAnsi="宋体" w:eastAsia="宋体" w:cs="宋体"/>
          <w:b/>
          <w:color w:val="auto"/>
          <w:szCs w:val="21"/>
          <w:highlight w:val="none"/>
        </w:rPr>
        <w:t>2.符合性审查不通过而导致响应无效的情形</w:t>
      </w:r>
      <w:bookmarkEnd w:id="172"/>
    </w:p>
    <w:p w14:paraId="057317B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供应商的响应文件中存在对征集文件的任何实质性要求和条件的负偏离，将被视为响应无效。</w:t>
      </w:r>
    </w:p>
    <w:p w14:paraId="4C601F9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2.1在报价评审时，如发现下列情形之一的，将被视为响应无效：</w:t>
      </w:r>
    </w:p>
    <w:p w14:paraId="466E1FD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（1）响应文件未提供“供应商须知前附表”第13.1条规定中“必须提供”的文件资料的;</w:t>
      </w:r>
    </w:p>
    <w:p w14:paraId="7CFA8B3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（2）未采用人民币报价或者未按照征集文件标明的币种报价的；</w:t>
      </w:r>
    </w:p>
    <w:p w14:paraId="1AB62F6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（3）报价超出征集文件规定最高限价，或者超出采购预算金额（包括分项预算）的；</w:t>
      </w:r>
    </w:p>
    <w:p w14:paraId="7187F78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供应商未就所投分标进行报价或者存在漏项报价；供应商未就所投分标的单项内容作唯一报价；供应商未就所投分标的全部内容作唯一总价报价；存在有选择、有条件报价的（征集文件允许有备选方案或者其他约定的除外）；</w:t>
      </w:r>
    </w:p>
    <w:p w14:paraId="0C44EA2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w:t>
      </w:r>
    </w:p>
    <w:p w14:paraId="2EA61A0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（6）供应商属于本章第5条第（2）项情形的。</w:t>
      </w:r>
    </w:p>
    <w:p w14:paraId="264FE8C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2.2在商务评审时，如发现下列情形之一的，将被视为响应无效：</w:t>
      </w:r>
    </w:p>
    <w:p w14:paraId="42B7936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（1）响应文件未按征集文件要求签署、盖章的；</w:t>
      </w:r>
    </w:p>
    <w:p w14:paraId="2A4495B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（2）委托代理人未能出具有效身份证明或者出具的身份证明与授权委托书中的信息不符的； </w:t>
      </w:r>
    </w:p>
    <w:p w14:paraId="4B5B5B4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（3）响应文件未提供“供应商须知前附表”第13.1条规定中“必须提供”或者“委托时必须提供”的文件资料的;</w:t>
      </w:r>
    </w:p>
    <w:p w14:paraId="016BC72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（4）响应有效期、项目完成时间（交货时间、服务完成时间或者服务期等）、质保期、售后服务等征集文件入围“▲”的商务条款发生负偏离的；</w:t>
      </w:r>
    </w:p>
    <w:p w14:paraId="7F37158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（5）商务条款评审允许负偏离的条款数超过“供应商须知前附表”规定项数的。</w:t>
      </w:r>
    </w:p>
    <w:p w14:paraId="2108BFD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（6）响应文件的实质性内容未使用中文表述、使用计量单位不符合征集文件要求的；</w:t>
      </w:r>
    </w:p>
    <w:p w14:paraId="139AA8D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（7）响应文件中的文件资料因填写不齐全或者内容虚假或者出现其他情形而导致被评审委员会认定无效的；</w:t>
      </w:r>
    </w:p>
    <w:p w14:paraId="1E8C36F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（8）响应文件含有征集人不能接受的附加条件的；</w:t>
      </w:r>
    </w:p>
    <w:p w14:paraId="50B0625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（9）未响应征集文件实质性要求的；</w:t>
      </w:r>
    </w:p>
    <w:p w14:paraId="4CB1224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（10）属于供应商须知正文第9.2条情形的；</w:t>
      </w:r>
    </w:p>
    <w:p w14:paraId="210D917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（11）法律、法规和征集文件规定的其他无效情形。</w:t>
      </w:r>
    </w:p>
    <w:p w14:paraId="44469F8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2.3在技术评审时，如发现下列情形之一的，将被视为响应无效：</w:t>
      </w:r>
    </w:p>
    <w:p w14:paraId="7FE6B13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（1）不满足征集文件要求的服务内容、技术要求、安全、质量标准，或者与征集文件入围“▲”的技术需求发生负偏离的；</w:t>
      </w:r>
    </w:p>
    <w:p w14:paraId="741761A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（2）技术需求评审允许负偏离的条款数超过“供应商须知前附表”规定项数的；</w:t>
      </w:r>
    </w:p>
    <w:p w14:paraId="1D08229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（3）响应文件未提供“供应商须知前附表”第13.1条规定中“必须提供”的文件资料的;</w:t>
      </w:r>
    </w:p>
    <w:p w14:paraId="098F787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（4）虚假响应，或者出现其他情形而导致被评审委员会认定无效的；</w:t>
      </w:r>
    </w:p>
    <w:p w14:paraId="6BF3C99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（5）响应技术方案不明确，征集文件未允许但存在一个或者一个以上备选（替代）响应方案的。</w:t>
      </w:r>
    </w:p>
    <w:p w14:paraId="6CAA4208">
      <w:pPr>
        <w:spacing w:line="360" w:lineRule="auto"/>
        <w:ind w:firstLine="422" w:firstLineChars="200"/>
        <w:outlineLvl w:val="2"/>
        <w:rPr>
          <w:rFonts w:ascii="宋体" w:hAnsi="宋体" w:eastAsia="宋体" w:cs="宋体"/>
          <w:b/>
          <w:color w:val="auto"/>
          <w:szCs w:val="21"/>
          <w:highlight w:val="none"/>
        </w:rPr>
      </w:pPr>
      <w:bookmarkStart w:id="173" w:name="_Toc146703298"/>
      <w:r>
        <w:rPr>
          <w:rFonts w:hint="eastAsia" w:ascii="宋体" w:hAnsi="宋体" w:eastAsia="宋体" w:cs="宋体"/>
          <w:b/>
          <w:color w:val="auto"/>
          <w:szCs w:val="21"/>
          <w:highlight w:val="none"/>
        </w:rPr>
        <w:t>3.澄清补正、说明或者补正</w:t>
      </w:r>
      <w:bookmarkEnd w:id="173"/>
    </w:p>
    <w:p w14:paraId="4FC0055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对响应文件中含义不明确、同类问题表述不一致或者有明显文字和计算错误的内容，评审委员会应在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发布电子澄清函，要求供应商在规定时间内作出必要的澄清、说明或者补正。供应商在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接收到电子澄清函后根据澄清函内容上传PDF格式回函，电子澄清答复函使用CA证书加盖单位公章后在线上传至评审委员会。供应商的澄清、说明或者补正不得超出响应文件的范围或者改变响应文件的实质性内容。供应商未在规定时间内进行澄清、说明或者补正的，按无效响应处理。</w:t>
      </w:r>
    </w:p>
    <w:p w14:paraId="537033B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评审委员会以书面形式要求供应商在规定时间内作出必要的澄清、说明或者补正。供应商的澄清、说明或者补正必须采用书面形式，并加盖公章，或者由法定代表人或者其授权的代表签字。</w:t>
      </w:r>
    </w:p>
    <w:p w14:paraId="3FC70ACE">
      <w:pPr>
        <w:spacing w:line="360" w:lineRule="auto"/>
        <w:ind w:firstLine="420" w:firstLineChars="200"/>
        <w:outlineLvl w:val="2"/>
        <w:rPr>
          <w:rFonts w:ascii="宋体" w:hAnsi="宋体" w:eastAsia="宋体" w:cs="宋体"/>
          <w:color w:val="auto"/>
          <w:szCs w:val="21"/>
          <w:highlight w:val="none"/>
        </w:rPr>
      </w:pPr>
      <w:bookmarkStart w:id="174" w:name="_Toc146703299"/>
      <w:r>
        <w:rPr>
          <w:rFonts w:hint="eastAsia" w:ascii="宋体" w:hAnsi="宋体" w:eastAsia="宋体" w:cs="宋体"/>
          <w:color w:val="auto"/>
          <w:szCs w:val="21"/>
          <w:highlight w:val="none"/>
        </w:rPr>
        <w:t>4.比较与评价</w:t>
      </w:r>
      <w:bookmarkEnd w:id="174"/>
    </w:p>
    <w:p w14:paraId="5AF81F61">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（1）评审委员会按照征集文件中规定的评审方法和评审标准，对符合性审查合格的响应文件进行商务和技术评估，综合比较与评价。</w:t>
      </w:r>
    </w:p>
    <w:p w14:paraId="66C6090A">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（2）评审委员会独立对每个供应商的响应文件进行评价，并汇总每个供应商的得分。</w:t>
      </w:r>
    </w:p>
    <w:p w14:paraId="692B29AD">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（3）各供应商的得分为所有评委的有效评分的算术平均数。</w:t>
      </w:r>
    </w:p>
    <w:p w14:paraId="209C4534">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（4）评审委员会按照征集文件中的规定推荐入围候选人。</w:t>
      </w:r>
    </w:p>
    <w:p w14:paraId="4F9B5EA2">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5）起草并签署评审报告。评审委员会根据评审委员会成员签字的原始评审记录和评审结果编写评审报告。评审委员会成员均应当在评审报告上签字，对自己的评审意见承担法律责任。对评审过程中需要共同认定的事项存在争议的，应当按照少数服从多数的原则做出结论。持不同意见的评审委员会应当在评审报告上签署不同意见及理由，否则视为同意评审报告。</w:t>
      </w:r>
    </w:p>
    <w:p w14:paraId="0A192425">
      <w:pPr>
        <w:keepNext/>
        <w:keepLines/>
        <w:spacing w:before="260" w:after="260" w:line="413" w:lineRule="auto"/>
        <w:jc w:val="center"/>
        <w:outlineLvl w:val="1"/>
        <w:rPr>
          <w:rFonts w:ascii="宋体" w:hAnsi="宋体" w:eastAsia="宋体" w:cs="宋体"/>
          <w:bCs/>
          <w:color w:val="auto"/>
          <w:szCs w:val="20"/>
          <w:highlight w:val="none"/>
        </w:rPr>
      </w:pPr>
      <w:bookmarkStart w:id="175" w:name="_Toc80093006"/>
      <w:r>
        <w:rPr>
          <w:rFonts w:hint="eastAsia" w:ascii="宋体" w:hAnsi="宋体" w:eastAsia="宋体" w:cs="宋体"/>
          <w:bCs/>
          <w:color w:val="auto"/>
          <w:sz w:val="30"/>
          <w:szCs w:val="30"/>
          <w:highlight w:val="none"/>
        </w:rPr>
        <w:br w:type="page"/>
      </w:r>
      <w:bookmarkStart w:id="176" w:name="_Toc13540"/>
      <w:bookmarkStart w:id="177" w:name="_Toc146703300"/>
      <w:r>
        <w:rPr>
          <w:rFonts w:hint="eastAsia" w:ascii="宋体" w:hAnsi="宋体" w:eastAsia="宋体" w:cs="宋体"/>
          <w:bCs/>
          <w:color w:val="auto"/>
          <w:sz w:val="30"/>
          <w:szCs w:val="30"/>
          <w:highlight w:val="none"/>
        </w:rPr>
        <w:t>第三节 评分标准</w:t>
      </w:r>
      <w:bookmarkEnd w:id="175"/>
      <w:bookmarkEnd w:id="176"/>
      <w:bookmarkEnd w:id="177"/>
      <w:bookmarkStart w:id="178" w:name="PO_3000001866_PM051"/>
      <w:bookmarkEnd w:id="178"/>
      <w:bookmarkStart w:id="179" w:name="PO_TDCUS_ITEM_SM_TABLE_1"/>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082"/>
        <w:gridCol w:w="6287"/>
        <w:gridCol w:w="1577"/>
      </w:tblGrid>
      <w:tr w14:paraId="119B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 w:type="dxa"/>
            <w:vAlign w:val="center"/>
          </w:tcPr>
          <w:p w14:paraId="3D9574E1">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
                <w:bCs w:val="0"/>
                <w:color w:val="auto"/>
                <w:szCs w:val="20"/>
                <w:highlight w:val="none"/>
              </w:rPr>
            </w:pPr>
            <w:r>
              <w:rPr>
                <w:rFonts w:hint="eastAsia" w:ascii="宋体" w:hAnsi="宋体" w:eastAsia="宋体" w:cs="宋体"/>
                <w:b/>
                <w:bCs w:val="0"/>
                <w:color w:val="auto"/>
                <w:szCs w:val="20"/>
                <w:highlight w:val="none"/>
              </w:rPr>
              <w:t>序号</w:t>
            </w:r>
          </w:p>
        </w:tc>
        <w:tc>
          <w:tcPr>
            <w:tcW w:w="1082" w:type="dxa"/>
            <w:vAlign w:val="center"/>
          </w:tcPr>
          <w:p w14:paraId="26CE434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
                <w:bCs w:val="0"/>
                <w:color w:val="auto"/>
                <w:szCs w:val="20"/>
                <w:highlight w:val="none"/>
              </w:rPr>
            </w:pPr>
            <w:r>
              <w:rPr>
                <w:rFonts w:hint="eastAsia" w:ascii="宋体" w:hAnsi="宋体" w:eastAsia="宋体" w:cs="宋体"/>
                <w:b/>
                <w:bCs w:val="0"/>
                <w:color w:val="auto"/>
                <w:szCs w:val="20"/>
                <w:highlight w:val="none"/>
              </w:rPr>
              <w:t>评分类型</w:t>
            </w:r>
          </w:p>
        </w:tc>
        <w:tc>
          <w:tcPr>
            <w:tcW w:w="6287" w:type="dxa"/>
            <w:vAlign w:val="center"/>
          </w:tcPr>
          <w:p w14:paraId="75DAC555">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
                <w:bCs w:val="0"/>
                <w:color w:val="auto"/>
                <w:szCs w:val="20"/>
                <w:highlight w:val="none"/>
              </w:rPr>
            </w:pPr>
            <w:r>
              <w:rPr>
                <w:rFonts w:hint="eastAsia" w:ascii="宋体" w:hAnsi="宋体" w:eastAsia="宋体" w:cs="宋体"/>
                <w:b/>
                <w:bCs w:val="0"/>
                <w:color w:val="auto"/>
                <w:szCs w:val="20"/>
                <w:highlight w:val="none"/>
              </w:rPr>
              <w:t>评分标准</w:t>
            </w:r>
          </w:p>
        </w:tc>
        <w:tc>
          <w:tcPr>
            <w:tcW w:w="1577" w:type="dxa"/>
            <w:vAlign w:val="center"/>
          </w:tcPr>
          <w:p w14:paraId="324818C8">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
                <w:bCs w:val="0"/>
                <w:color w:val="auto"/>
                <w:szCs w:val="20"/>
                <w:highlight w:val="none"/>
              </w:rPr>
            </w:pPr>
            <w:r>
              <w:rPr>
                <w:rFonts w:hint="eastAsia" w:ascii="宋体" w:hAnsi="宋体" w:eastAsia="宋体" w:cs="宋体"/>
                <w:b/>
                <w:bCs w:val="0"/>
                <w:color w:val="auto"/>
                <w:szCs w:val="20"/>
                <w:highlight w:val="none"/>
              </w:rPr>
              <w:t>分值</w:t>
            </w:r>
          </w:p>
        </w:tc>
      </w:tr>
      <w:tr w14:paraId="2BF6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 w:type="dxa"/>
            <w:vAlign w:val="center"/>
          </w:tcPr>
          <w:p w14:paraId="048609C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
                <w:bCs w:val="0"/>
                <w:color w:val="auto"/>
                <w:szCs w:val="20"/>
                <w:highlight w:val="none"/>
              </w:rPr>
            </w:pPr>
            <w:r>
              <w:rPr>
                <w:rFonts w:hint="eastAsia" w:ascii="宋体" w:hAnsi="宋体" w:eastAsia="宋体" w:cs="宋体"/>
                <w:b/>
                <w:bCs w:val="0"/>
                <w:color w:val="auto"/>
                <w:szCs w:val="20"/>
                <w:highlight w:val="none"/>
              </w:rPr>
              <w:t>1</w:t>
            </w:r>
          </w:p>
        </w:tc>
        <w:tc>
          <w:tcPr>
            <w:tcW w:w="1082" w:type="dxa"/>
            <w:vAlign w:val="center"/>
          </w:tcPr>
          <w:p w14:paraId="44201D78">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
                <w:bCs/>
                <w:color w:val="auto"/>
                <w:szCs w:val="20"/>
                <w:highlight w:val="none"/>
              </w:rPr>
            </w:pPr>
            <w:r>
              <w:rPr>
                <w:rFonts w:hint="eastAsia" w:ascii="宋体" w:hAnsi="宋体" w:eastAsia="宋体" w:cs="宋体"/>
                <w:b/>
                <w:bCs/>
                <w:color w:val="auto"/>
                <w:szCs w:val="20"/>
                <w:highlight w:val="none"/>
              </w:rPr>
              <w:t>报价分</w:t>
            </w:r>
          </w:p>
        </w:tc>
        <w:tc>
          <w:tcPr>
            <w:tcW w:w="6287" w:type="dxa"/>
            <w:vAlign w:val="center"/>
          </w:tcPr>
          <w:p w14:paraId="7A671671">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0"/>
                <w:highlight w:val="none"/>
              </w:rPr>
            </w:pPr>
          </w:p>
        </w:tc>
        <w:tc>
          <w:tcPr>
            <w:tcW w:w="1577" w:type="dxa"/>
            <w:vAlign w:val="center"/>
          </w:tcPr>
          <w:p w14:paraId="167D3BC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bCs/>
                <w:color w:val="auto"/>
                <w:szCs w:val="20"/>
                <w:highlight w:val="none"/>
              </w:rPr>
            </w:pPr>
            <w:r>
              <w:rPr>
                <w:rFonts w:hint="eastAsia" w:ascii="宋体" w:hAnsi="宋体" w:eastAsia="宋体" w:cs="宋体"/>
                <w:b/>
                <w:bCs w:val="0"/>
                <w:color w:val="auto"/>
                <w:szCs w:val="20"/>
                <w:highlight w:val="none"/>
              </w:rPr>
              <w:t>满分0分</w:t>
            </w:r>
          </w:p>
        </w:tc>
      </w:tr>
      <w:tr w14:paraId="3FBE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 w:type="dxa"/>
            <w:vAlign w:val="center"/>
          </w:tcPr>
          <w:p w14:paraId="6B437748">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
                <w:bCs w:val="0"/>
                <w:color w:val="auto"/>
                <w:szCs w:val="20"/>
                <w:highlight w:val="none"/>
              </w:rPr>
            </w:pPr>
            <w:r>
              <w:rPr>
                <w:rFonts w:hint="eastAsia" w:ascii="宋体" w:hAnsi="宋体" w:eastAsia="宋体" w:cs="宋体"/>
                <w:b/>
                <w:bCs w:val="0"/>
                <w:color w:val="auto"/>
                <w:szCs w:val="20"/>
                <w:highlight w:val="none"/>
              </w:rPr>
              <w:t>1.1</w:t>
            </w:r>
          </w:p>
        </w:tc>
        <w:tc>
          <w:tcPr>
            <w:tcW w:w="1082" w:type="dxa"/>
            <w:vAlign w:val="center"/>
          </w:tcPr>
          <w:p w14:paraId="24537DE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
                <w:bCs/>
                <w:color w:val="auto"/>
                <w:szCs w:val="20"/>
                <w:highlight w:val="none"/>
              </w:rPr>
            </w:pPr>
            <w:r>
              <w:rPr>
                <w:rFonts w:hint="eastAsia" w:ascii="宋体" w:hAnsi="宋体" w:eastAsia="宋体" w:cs="宋体"/>
                <w:b/>
                <w:bCs/>
                <w:color w:val="auto"/>
                <w:szCs w:val="20"/>
                <w:highlight w:val="none"/>
              </w:rPr>
              <w:t>报价分</w:t>
            </w:r>
          </w:p>
        </w:tc>
        <w:tc>
          <w:tcPr>
            <w:tcW w:w="6287" w:type="dxa"/>
            <w:vAlign w:val="center"/>
          </w:tcPr>
          <w:p w14:paraId="4D56F54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0"/>
                <w:highlight w:val="none"/>
              </w:rPr>
            </w:pPr>
            <w:r>
              <w:rPr>
                <w:rFonts w:hint="eastAsia" w:ascii="宋体" w:hAnsi="宋体" w:eastAsia="宋体" w:cs="宋体"/>
                <w:bCs/>
                <w:color w:val="auto"/>
                <w:szCs w:val="20"/>
                <w:highlight w:val="none"/>
              </w:rPr>
              <w:t>按服务需求一览表中关于响应报价的说明执行</w:t>
            </w:r>
          </w:p>
        </w:tc>
        <w:tc>
          <w:tcPr>
            <w:tcW w:w="1577" w:type="dxa"/>
            <w:vAlign w:val="center"/>
          </w:tcPr>
          <w:p w14:paraId="6E10FD5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bCs/>
                <w:color w:val="auto"/>
                <w:szCs w:val="20"/>
                <w:highlight w:val="none"/>
              </w:rPr>
            </w:pPr>
            <w:r>
              <w:rPr>
                <w:rFonts w:hint="eastAsia" w:ascii="宋体" w:hAnsi="宋体" w:eastAsia="宋体" w:cs="宋体"/>
                <w:bCs/>
                <w:color w:val="auto"/>
                <w:szCs w:val="20"/>
                <w:highlight w:val="none"/>
              </w:rPr>
              <w:t>0</w:t>
            </w:r>
          </w:p>
        </w:tc>
      </w:tr>
      <w:tr w14:paraId="7952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 w:type="dxa"/>
            <w:vAlign w:val="center"/>
          </w:tcPr>
          <w:p w14:paraId="356DF502">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
                <w:bCs w:val="0"/>
                <w:color w:val="auto"/>
                <w:szCs w:val="20"/>
                <w:highlight w:val="none"/>
              </w:rPr>
            </w:pPr>
            <w:r>
              <w:rPr>
                <w:rFonts w:hint="eastAsia" w:ascii="宋体" w:hAnsi="宋体" w:eastAsia="宋体" w:cs="宋体"/>
                <w:b/>
                <w:bCs w:val="0"/>
                <w:color w:val="auto"/>
                <w:szCs w:val="20"/>
                <w:highlight w:val="none"/>
              </w:rPr>
              <w:t>2</w:t>
            </w:r>
          </w:p>
        </w:tc>
        <w:tc>
          <w:tcPr>
            <w:tcW w:w="1082" w:type="dxa"/>
            <w:vAlign w:val="center"/>
          </w:tcPr>
          <w:p w14:paraId="4823757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
                <w:bCs/>
                <w:color w:val="auto"/>
                <w:szCs w:val="20"/>
                <w:highlight w:val="none"/>
              </w:rPr>
            </w:pPr>
            <w:r>
              <w:rPr>
                <w:rFonts w:hint="eastAsia" w:ascii="宋体" w:hAnsi="宋体" w:eastAsia="宋体" w:cs="宋体"/>
                <w:b/>
                <w:bCs/>
                <w:color w:val="auto"/>
                <w:szCs w:val="20"/>
                <w:highlight w:val="none"/>
              </w:rPr>
              <w:t>技术分</w:t>
            </w:r>
          </w:p>
        </w:tc>
        <w:tc>
          <w:tcPr>
            <w:tcW w:w="6287" w:type="dxa"/>
            <w:vAlign w:val="center"/>
          </w:tcPr>
          <w:p w14:paraId="1CEFE0E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
                <w:bCs/>
                <w:color w:val="auto"/>
                <w:szCs w:val="20"/>
                <w:highlight w:val="none"/>
              </w:rPr>
            </w:pPr>
          </w:p>
        </w:tc>
        <w:tc>
          <w:tcPr>
            <w:tcW w:w="1577" w:type="dxa"/>
            <w:vAlign w:val="center"/>
          </w:tcPr>
          <w:p w14:paraId="52EF3BA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b/>
                <w:bCs/>
                <w:color w:val="auto"/>
                <w:szCs w:val="20"/>
                <w:highlight w:val="none"/>
              </w:rPr>
            </w:pPr>
            <w:r>
              <w:rPr>
                <w:rFonts w:hint="eastAsia" w:ascii="宋体" w:hAnsi="宋体" w:eastAsia="宋体" w:cs="宋体"/>
                <w:b/>
                <w:bCs/>
                <w:color w:val="auto"/>
                <w:szCs w:val="20"/>
                <w:highlight w:val="none"/>
              </w:rPr>
              <w:t>满分70分</w:t>
            </w:r>
          </w:p>
        </w:tc>
      </w:tr>
      <w:tr w14:paraId="7C08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 w:type="dxa"/>
            <w:vAlign w:val="center"/>
          </w:tcPr>
          <w:p w14:paraId="1E5C7C6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
                <w:bCs w:val="0"/>
                <w:color w:val="auto"/>
                <w:szCs w:val="20"/>
                <w:highlight w:val="none"/>
              </w:rPr>
            </w:pPr>
            <w:r>
              <w:rPr>
                <w:rFonts w:hint="eastAsia" w:ascii="宋体" w:hAnsi="宋体" w:eastAsia="宋体" w:cs="宋体"/>
                <w:b/>
                <w:bCs w:val="0"/>
                <w:color w:val="auto"/>
                <w:szCs w:val="20"/>
                <w:highlight w:val="none"/>
              </w:rPr>
              <w:t xml:space="preserve">2.1 </w:t>
            </w:r>
          </w:p>
        </w:tc>
        <w:tc>
          <w:tcPr>
            <w:tcW w:w="1082" w:type="dxa"/>
            <w:vAlign w:val="center"/>
          </w:tcPr>
          <w:p w14:paraId="488E054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1"/>
                <w:highlight w:val="none"/>
              </w:rPr>
            </w:pPr>
            <w:r>
              <w:rPr>
                <w:rFonts w:hint="eastAsia" w:ascii="宋体" w:hAnsi="宋体" w:eastAsia="宋体" w:cs="宋体"/>
                <w:bCs/>
                <w:color w:val="auto"/>
                <w:szCs w:val="21"/>
                <w:highlight w:val="none"/>
              </w:rPr>
              <w:t>工作的程序与方法</w:t>
            </w:r>
          </w:p>
        </w:tc>
        <w:tc>
          <w:tcPr>
            <w:tcW w:w="6287" w:type="dxa"/>
            <w:vAlign w:val="center"/>
          </w:tcPr>
          <w:p w14:paraId="4D5864C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1"/>
                <w:highlight w:val="none"/>
              </w:rPr>
            </w:pPr>
            <w:r>
              <w:rPr>
                <w:rFonts w:hint="eastAsia" w:ascii="宋体" w:hAnsi="宋体" w:eastAsia="宋体" w:cs="宋体"/>
                <w:bCs/>
                <w:color w:val="auto"/>
                <w:szCs w:val="21"/>
                <w:highlight w:val="none"/>
              </w:rPr>
              <w:t>方案内容包含但不限于：工作方案、指导思想、工作组织措施、执行保障措施、评审流程及方法、评审争议解决措施等，评委根据投标人所提供的工作程序与方法独立评分。</w:t>
            </w:r>
          </w:p>
          <w:p w14:paraId="266FC5D0">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1"/>
                <w:highlight w:val="none"/>
              </w:rPr>
            </w:pPr>
            <w:r>
              <w:rPr>
                <w:rFonts w:hint="eastAsia" w:ascii="宋体" w:hAnsi="宋体" w:eastAsia="宋体" w:cs="宋体"/>
                <w:bCs/>
                <w:color w:val="auto"/>
                <w:szCs w:val="21"/>
                <w:highlight w:val="none"/>
              </w:rPr>
              <w:t>一档（6分）：针对本项目提供的工作方案，有基本的指导思想、工作组织和执行保障措施，</w:t>
            </w:r>
            <w:r>
              <w:rPr>
                <w:rFonts w:hint="eastAsia" w:ascii="宋体" w:hAnsi="宋体" w:eastAsia="宋体" w:cs="宋体"/>
                <w:bCs/>
                <w:color w:val="auto"/>
                <w:szCs w:val="21"/>
                <w:highlight w:val="none"/>
                <w:lang w:val="en-US" w:eastAsia="zh-CN"/>
              </w:rPr>
              <w:t>审核</w:t>
            </w:r>
            <w:r>
              <w:rPr>
                <w:rFonts w:hint="eastAsia" w:ascii="宋体" w:hAnsi="宋体" w:eastAsia="宋体" w:cs="宋体"/>
                <w:bCs/>
                <w:color w:val="auto"/>
                <w:szCs w:val="21"/>
                <w:highlight w:val="none"/>
              </w:rPr>
              <w:t>流程和办法基本规范合理，基本满足项目要求。</w:t>
            </w:r>
          </w:p>
          <w:p w14:paraId="1301F58D">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1"/>
                <w:highlight w:val="none"/>
              </w:rPr>
            </w:pPr>
            <w:r>
              <w:rPr>
                <w:rFonts w:hint="eastAsia" w:ascii="宋体" w:hAnsi="宋体" w:eastAsia="宋体" w:cs="宋体"/>
                <w:bCs/>
                <w:color w:val="auto"/>
                <w:szCs w:val="21"/>
                <w:highlight w:val="none"/>
              </w:rPr>
              <w:t>二档（13分）：针对本项目提供的工作方案，指导思想明确，工作的组织和执行保障措施良好，</w:t>
            </w:r>
            <w:r>
              <w:rPr>
                <w:rFonts w:hint="eastAsia" w:ascii="宋体" w:hAnsi="宋体" w:eastAsia="宋体" w:cs="宋体"/>
                <w:bCs/>
                <w:color w:val="auto"/>
                <w:szCs w:val="21"/>
                <w:highlight w:val="none"/>
                <w:lang w:val="en-US" w:eastAsia="zh-CN"/>
              </w:rPr>
              <w:t>审核</w:t>
            </w:r>
            <w:r>
              <w:rPr>
                <w:rFonts w:hint="eastAsia" w:ascii="宋体" w:hAnsi="宋体" w:eastAsia="宋体" w:cs="宋体"/>
                <w:bCs/>
                <w:color w:val="auto"/>
                <w:szCs w:val="21"/>
                <w:highlight w:val="none"/>
              </w:rPr>
              <w:t>流程和办法规范合理，</w:t>
            </w:r>
            <w:r>
              <w:rPr>
                <w:rFonts w:hint="eastAsia" w:ascii="宋体" w:hAnsi="宋体" w:eastAsia="宋体" w:cs="宋体"/>
                <w:bCs/>
                <w:color w:val="auto"/>
                <w:szCs w:val="21"/>
                <w:highlight w:val="none"/>
                <w:lang w:val="en-US" w:eastAsia="zh-CN"/>
              </w:rPr>
              <w:t>整体</w:t>
            </w:r>
            <w:r>
              <w:rPr>
                <w:rFonts w:hint="eastAsia" w:ascii="宋体" w:hAnsi="宋体" w:eastAsia="宋体" w:cs="宋体"/>
                <w:bCs/>
                <w:color w:val="auto"/>
                <w:szCs w:val="21"/>
                <w:highlight w:val="none"/>
              </w:rPr>
              <w:t>方案满足项目要求。</w:t>
            </w:r>
          </w:p>
          <w:p w14:paraId="4ACC340E">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1"/>
                <w:highlight w:val="none"/>
              </w:rPr>
            </w:pPr>
            <w:r>
              <w:rPr>
                <w:rFonts w:hint="eastAsia" w:ascii="宋体" w:hAnsi="宋体" w:eastAsia="宋体" w:cs="宋体"/>
                <w:bCs/>
                <w:color w:val="auto"/>
                <w:szCs w:val="21"/>
                <w:highlight w:val="none"/>
              </w:rPr>
              <w:t>三档（20分）：针对本项目提供的工作方案，指导思想明确，工作组织措施、工作执行保障措施有力、完善可行，</w:t>
            </w:r>
            <w:r>
              <w:rPr>
                <w:rFonts w:hint="eastAsia" w:ascii="宋体" w:hAnsi="宋体" w:eastAsia="宋体" w:cs="宋体"/>
                <w:bCs/>
                <w:color w:val="auto"/>
                <w:szCs w:val="21"/>
                <w:highlight w:val="none"/>
                <w:lang w:val="en-US" w:eastAsia="zh-CN"/>
              </w:rPr>
              <w:t>审核</w:t>
            </w:r>
            <w:r>
              <w:rPr>
                <w:rFonts w:hint="eastAsia" w:ascii="宋体" w:hAnsi="宋体" w:eastAsia="宋体" w:cs="宋体"/>
                <w:bCs/>
                <w:color w:val="auto"/>
                <w:szCs w:val="21"/>
                <w:highlight w:val="none"/>
              </w:rPr>
              <w:t>流程和办法规范合理科学，</w:t>
            </w:r>
            <w:r>
              <w:rPr>
                <w:rFonts w:hint="eastAsia" w:ascii="宋体" w:hAnsi="宋体" w:eastAsia="宋体" w:cs="宋体"/>
                <w:bCs/>
                <w:color w:val="auto"/>
                <w:szCs w:val="21"/>
                <w:highlight w:val="none"/>
                <w:lang w:val="en-US" w:eastAsia="zh-CN"/>
              </w:rPr>
              <w:t>整体方案明显优于项目需求的</w:t>
            </w:r>
            <w:r>
              <w:rPr>
                <w:rFonts w:hint="eastAsia" w:ascii="宋体" w:hAnsi="宋体" w:eastAsia="宋体" w:cs="宋体"/>
                <w:bCs/>
                <w:color w:val="auto"/>
                <w:szCs w:val="21"/>
                <w:highlight w:val="none"/>
              </w:rPr>
              <w:t>。　</w:t>
            </w:r>
          </w:p>
          <w:p w14:paraId="2EDF6992">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宋体" w:cs="Times New Roman"/>
                <w:color w:val="auto"/>
                <w:szCs w:val="24"/>
                <w:highlight w:val="none"/>
              </w:rPr>
            </w:pPr>
            <w:r>
              <w:rPr>
                <w:rFonts w:hint="eastAsia" w:ascii="宋体" w:hAnsi="宋体" w:eastAsia="宋体" w:cs="宋体"/>
                <w:color w:val="auto"/>
                <w:szCs w:val="21"/>
                <w:highlight w:val="none"/>
              </w:rPr>
              <w:t>不提供的不得分。</w:t>
            </w:r>
          </w:p>
        </w:tc>
        <w:tc>
          <w:tcPr>
            <w:tcW w:w="1577" w:type="dxa"/>
            <w:vAlign w:val="center"/>
          </w:tcPr>
          <w:p w14:paraId="0ECADE3E">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0"/>
                <w:highlight w:val="none"/>
              </w:rPr>
            </w:pPr>
            <w:r>
              <w:rPr>
                <w:rFonts w:hint="eastAsia" w:ascii="宋体" w:hAnsi="宋体" w:eastAsia="宋体" w:cs="宋体"/>
                <w:bCs/>
                <w:color w:val="auto"/>
                <w:szCs w:val="20"/>
                <w:highlight w:val="none"/>
              </w:rPr>
              <w:t>0~20</w:t>
            </w:r>
          </w:p>
        </w:tc>
      </w:tr>
      <w:tr w14:paraId="0B4E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 w:type="dxa"/>
            <w:vAlign w:val="center"/>
          </w:tcPr>
          <w:p w14:paraId="1A4E006E">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0"/>
                <w:highlight w:val="none"/>
              </w:rPr>
            </w:pPr>
            <w:r>
              <w:rPr>
                <w:rFonts w:hint="eastAsia" w:ascii="宋体" w:hAnsi="宋体" w:eastAsia="宋体" w:cs="宋体"/>
                <w:bCs/>
                <w:color w:val="auto"/>
                <w:szCs w:val="20"/>
                <w:highlight w:val="none"/>
              </w:rPr>
              <w:t>2.2</w:t>
            </w:r>
          </w:p>
        </w:tc>
        <w:tc>
          <w:tcPr>
            <w:tcW w:w="1082" w:type="dxa"/>
            <w:vAlign w:val="center"/>
          </w:tcPr>
          <w:p w14:paraId="760C6CE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0"/>
                <w:highlight w:val="none"/>
              </w:rPr>
            </w:pPr>
            <w:r>
              <w:rPr>
                <w:rFonts w:hint="eastAsia" w:ascii="宋体" w:hAnsi="宋体" w:eastAsia="宋体" w:cs="宋体"/>
                <w:bCs/>
                <w:color w:val="auto"/>
                <w:szCs w:val="21"/>
                <w:highlight w:val="none"/>
              </w:rPr>
              <w:t>质量管控措施</w:t>
            </w:r>
          </w:p>
        </w:tc>
        <w:tc>
          <w:tcPr>
            <w:tcW w:w="6287" w:type="dxa"/>
            <w:vAlign w:val="center"/>
          </w:tcPr>
          <w:p w14:paraId="694988D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1"/>
                <w:highlight w:val="none"/>
              </w:rPr>
            </w:pPr>
            <w:r>
              <w:rPr>
                <w:rFonts w:hint="eastAsia" w:ascii="宋体" w:hAnsi="宋体" w:eastAsia="宋体" w:cs="宋体"/>
                <w:bCs/>
                <w:color w:val="auto"/>
                <w:szCs w:val="21"/>
                <w:highlight w:val="none"/>
              </w:rPr>
              <w:t>质量控制措施包括内部质量复核机制、评审报告质量控制、</w:t>
            </w:r>
            <w:r>
              <w:rPr>
                <w:rFonts w:hint="eastAsia" w:ascii="宋体" w:hAnsi="宋体" w:eastAsia="宋体" w:cs="宋体"/>
                <w:bCs/>
                <w:color w:val="auto"/>
                <w:szCs w:val="21"/>
                <w:highlight w:val="none"/>
                <w:lang w:val="en-US" w:eastAsia="zh-CN"/>
              </w:rPr>
              <w:t>审核</w:t>
            </w:r>
            <w:r>
              <w:rPr>
                <w:rFonts w:hint="eastAsia" w:ascii="宋体" w:hAnsi="宋体" w:eastAsia="宋体" w:cs="宋体"/>
                <w:bCs/>
                <w:color w:val="auto"/>
                <w:szCs w:val="21"/>
                <w:highlight w:val="none"/>
              </w:rPr>
              <w:t>工作底稿和档案管理等；评委根据</w:t>
            </w:r>
            <w:r>
              <w:rPr>
                <w:rFonts w:hint="eastAsia" w:ascii="宋体" w:hAnsi="宋体" w:eastAsia="宋体" w:cs="宋体"/>
                <w:bCs/>
                <w:color w:val="auto"/>
                <w:szCs w:val="21"/>
                <w:highlight w:val="none"/>
                <w:lang w:val="en-US" w:eastAsia="zh-CN"/>
              </w:rPr>
              <w:t>供应商</w:t>
            </w:r>
            <w:r>
              <w:rPr>
                <w:rFonts w:hint="eastAsia" w:ascii="宋体" w:hAnsi="宋体" w:eastAsia="宋体" w:cs="宋体"/>
                <w:bCs/>
                <w:color w:val="auto"/>
                <w:szCs w:val="21"/>
                <w:highlight w:val="none"/>
              </w:rPr>
              <w:t>所提供的质量管控措施独立评分。</w:t>
            </w:r>
          </w:p>
          <w:p w14:paraId="487C0DF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1"/>
                <w:highlight w:val="none"/>
              </w:rPr>
            </w:pPr>
            <w:r>
              <w:rPr>
                <w:rFonts w:hint="eastAsia" w:ascii="宋体" w:hAnsi="宋体" w:eastAsia="宋体" w:cs="宋体"/>
                <w:bCs/>
                <w:color w:val="auto"/>
                <w:szCs w:val="21"/>
                <w:highlight w:val="none"/>
              </w:rPr>
              <w:t>一档（6分）：提供针对本项目的质量控制措施有基本的三级复核制度、评审报告质量控制以及评审档案管理等措施，基本满足项目需求。</w:t>
            </w:r>
          </w:p>
          <w:p w14:paraId="0DD9589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1"/>
                <w:highlight w:val="none"/>
              </w:rPr>
            </w:pPr>
            <w:r>
              <w:rPr>
                <w:rFonts w:hint="eastAsia" w:ascii="宋体" w:hAnsi="宋体" w:eastAsia="宋体" w:cs="宋体"/>
                <w:bCs/>
                <w:color w:val="auto"/>
                <w:szCs w:val="21"/>
                <w:highlight w:val="none"/>
              </w:rPr>
              <w:t>二档（13分）：满足一档的基础上，针对</w:t>
            </w:r>
            <w:r>
              <w:rPr>
                <w:rFonts w:hint="eastAsia" w:ascii="宋体" w:hAnsi="宋体" w:eastAsia="宋体" w:cs="宋体"/>
                <w:bCs/>
                <w:color w:val="auto"/>
                <w:szCs w:val="21"/>
                <w:highlight w:val="none"/>
                <w:lang w:val="en-US" w:eastAsia="zh-CN"/>
              </w:rPr>
              <w:t>审核</w:t>
            </w:r>
            <w:r>
              <w:rPr>
                <w:rFonts w:hint="eastAsia" w:ascii="宋体" w:hAnsi="宋体" w:eastAsia="宋体" w:cs="宋体"/>
                <w:bCs/>
                <w:color w:val="auto"/>
                <w:szCs w:val="21"/>
                <w:highlight w:val="none"/>
              </w:rPr>
              <w:t>工作制定的审核质量保证措施良好，满足本项目的审核工作需要。</w:t>
            </w:r>
          </w:p>
          <w:p w14:paraId="20750D9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1"/>
                <w:highlight w:val="none"/>
              </w:rPr>
            </w:pPr>
            <w:r>
              <w:rPr>
                <w:rFonts w:hint="eastAsia" w:ascii="宋体" w:hAnsi="宋体" w:eastAsia="宋体" w:cs="宋体"/>
                <w:bCs/>
                <w:color w:val="auto"/>
                <w:szCs w:val="21"/>
                <w:highlight w:val="none"/>
              </w:rPr>
              <w:t>三档（20分）：满足二档的基础上，针对审核工作中的关键流程制定的审核质量管控措施明显优于审核工作需求，针对有可能出现的问题及时响应并提出应急处理方案，操作性强。</w:t>
            </w:r>
          </w:p>
          <w:p w14:paraId="014767B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0"/>
                <w:highlight w:val="none"/>
              </w:rPr>
            </w:pPr>
            <w:r>
              <w:rPr>
                <w:rFonts w:hint="eastAsia" w:ascii="宋体" w:hAnsi="宋体" w:eastAsia="宋体" w:cs="宋体"/>
                <w:color w:val="auto"/>
                <w:szCs w:val="21"/>
                <w:highlight w:val="none"/>
              </w:rPr>
              <w:t>不提供的不得分。</w:t>
            </w:r>
          </w:p>
        </w:tc>
        <w:tc>
          <w:tcPr>
            <w:tcW w:w="1577" w:type="dxa"/>
            <w:vAlign w:val="center"/>
          </w:tcPr>
          <w:p w14:paraId="2D359352">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0"/>
                <w:highlight w:val="none"/>
              </w:rPr>
            </w:pPr>
            <w:r>
              <w:rPr>
                <w:rFonts w:hint="eastAsia" w:ascii="宋体" w:hAnsi="宋体" w:eastAsia="宋体" w:cs="宋体"/>
                <w:bCs/>
                <w:color w:val="auto"/>
                <w:szCs w:val="20"/>
                <w:highlight w:val="none"/>
              </w:rPr>
              <w:t>0~20</w:t>
            </w:r>
          </w:p>
        </w:tc>
      </w:tr>
      <w:tr w14:paraId="6F6E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 w:type="dxa"/>
            <w:vAlign w:val="center"/>
          </w:tcPr>
          <w:p w14:paraId="7204E45E">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0"/>
                <w:highlight w:val="none"/>
              </w:rPr>
            </w:pPr>
            <w:r>
              <w:rPr>
                <w:rFonts w:hint="eastAsia" w:ascii="宋体" w:hAnsi="宋体" w:eastAsia="宋体" w:cs="宋体"/>
                <w:bCs/>
                <w:color w:val="auto"/>
                <w:szCs w:val="20"/>
                <w:highlight w:val="none"/>
              </w:rPr>
              <w:t>2.3</w:t>
            </w:r>
          </w:p>
        </w:tc>
        <w:tc>
          <w:tcPr>
            <w:tcW w:w="1082" w:type="dxa"/>
            <w:vAlign w:val="center"/>
          </w:tcPr>
          <w:p w14:paraId="36650BD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1"/>
                <w:highlight w:val="none"/>
              </w:rPr>
            </w:pPr>
            <w:r>
              <w:rPr>
                <w:rFonts w:hint="eastAsia" w:ascii="宋体" w:hAnsi="宋体" w:eastAsia="宋体" w:cs="宋体"/>
                <w:bCs/>
                <w:color w:val="auto"/>
                <w:szCs w:val="21"/>
                <w:highlight w:val="none"/>
              </w:rPr>
              <w:t>项目实施计划与时间管控措施</w:t>
            </w:r>
          </w:p>
        </w:tc>
        <w:tc>
          <w:tcPr>
            <w:tcW w:w="6287" w:type="dxa"/>
            <w:vAlign w:val="center"/>
          </w:tcPr>
          <w:p w14:paraId="2DC6EE3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1"/>
                <w:highlight w:val="none"/>
              </w:rPr>
            </w:pPr>
            <w:r>
              <w:rPr>
                <w:rFonts w:hint="eastAsia" w:ascii="宋体" w:hAnsi="宋体" w:eastAsia="宋体" w:cs="宋体"/>
                <w:bCs/>
                <w:color w:val="auto"/>
                <w:szCs w:val="21"/>
                <w:highlight w:val="none"/>
              </w:rPr>
              <w:t>评委根据</w:t>
            </w:r>
            <w:r>
              <w:rPr>
                <w:rFonts w:hint="eastAsia" w:ascii="宋体" w:hAnsi="宋体" w:eastAsia="宋体" w:cs="宋体"/>
                <w:bCs/>
                <w:color w:val="auto"/>
                <w:szCs w:val="21"/>
                <w:highlight w:val="none"/>
                <w:lang w:val="en-US" w:eastAsia="zh-CN"/>
              </w:rPr>
              <w:t>供应商</w:t>
            </w:r>
            <w:r>
              <w:rPr>
                <w:rFonts w:hint="eastAsia" w:ascii="宋体" w:hAnsi="宋体" w:eastAsia="宋体" w:cs="宋体"/>
                <w:bCs/>
                <w:color w:val="auto"/>
                <w:szCs w:val="21"/>
                <w:highlight w:val="none"/>
              </w:rPr>
              <w:t>所提供的项目实施计划与时间管控措施独立评分。</w:t>
            </w:r>
          </w:p>
          <w:p w14:paraId="62991F0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bCs/>
                <w:color w:val="auto"/>
                <w:szCs w:val="21"/>
                <w:highlight w:val="none"/>
              </w:rPr>
            </w:pPr>
            <w:r>
              <w:rPr>
                <w:rFonts w:hint="eastAsia" w:ascii="宋体" w:hAnsi="宋体" w:eastAsia="宋体" w:cs="宋体"/>
                <w:bCs/>
                <w:color w:val="auto"/>
                <w:szCs w:val="21"/>
                <w:highlight w:val="none"/>
              </w:rPr>
              <w:t>一档（5分）：有项目实施计划与时间管控措施，</w:t>
            </w:r>
            <w:r>
              <w:rPr>
                <w:rFonts w:hint="eastAsia" w:ascii="Times New Roman" w:hAnsi="Times New Roman" w:eastAsia="宋体" w:cs="Times New Roman"/>
                <w:color w:val="auto"/>
                <w:szCs w:val="24"/>
                <w:highlight w:val="none"/>
              </w:rPr>
              <w:t>制定项目评审时间计划，时间管控节点</w:t>
            </w:r>
            <w:r>
              <w:rPr>
                <w:rFonts w:hint="eastAsia" w:ascii="宋体" w:hAnsi="宋体" w:eastAsia="宋体" w:cs="宋体"/>
                <w:bCs/>
                <w:color w:val="auto"/>
                <w:szCs w:val="21"/>
                <w:highlight w:val="none"/>
              </w:rPr>
              <w:t>，基本能在约定时间内完成项目</w:t>
            </w:r>
            <w:r>
              <w:rPr>
                <w:rFonts w:hint="eastAsia" w:ascii="宋体" w:hAnsi="宋体" w:eastAsia="宋体" w:cs="宋体"/>
                <w:bCs/>
                <w:color w:val="auto"/>
                <w:szCs w:val="21"/>
                <w:highlight w:val="none"/>
                <w:lang w:val="en-US" w:eastAsia="zh-CN"/>
              </w:rPr>
              <w:t>审核</w:t>
            </w:r>
            <w:r>
              <w:rPr>
                <w:rFonts w:hint="eastAsia" w:ascii="宋体" w:hAnsi="宋体" w:eastAsia="宋体" w:cs="宋体"/>
                <w:bCs/>
                <w:color w:val="auto"/>
                <w:szCs w:val="21"/>
                <w:highlight w:val="none"/>
              </w:rPr>
              <w:t>；基本满足项目需求。</w:t>
            </w:r>
          </w:p>
          <w:p w14:paraId="574CE20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bCs/>
                <w:color w:val="auto"/>
                <w:szCs w:val="21"/>
                <w:highlight w:val="none"/>
              </w:rPr>
            </w:pPr>
            <w:r>
              <w:rPr>
                <w:rFonts w:hint="eastAsia" w:ascii="宋体" w:hAnsi="宋体" w:eastAsia="宋体" w:cs="宋体"/>
                <w:bCs/>
                <w:color w:val="auto"/>
                <w:szCs w:val="21"/>
                <w:highlight w:val="none"/>
              </w:rPr>
              <w:t>二档（10分）：满足一档的基础上，项目</w:t>
            </w:r>
            <w:r>
              <w:rPr>
                <w:rFonts w:hint="eastAsia" w:ascii="宋体" w:hAnsi="宋体" w:eastAsia="宋体" w:cs="宋体"/>
                <w:bCs/>
                <w:color w:val="auto"/>
                <w:szCs w:val="21"/>
                <w:highlight w:val="none"/>
                <w:lang w:val="en-US" w:eastAsia="zh-CN"/>
              </w:rPr>
              <w:t>审核</w:t>
            </w:r>
            <w:r>
              <w:rPr>
                <w:rFonts w:hint="eastAsia" w:ascii="宋体" w:hAnsi="宋体" w:eastAsia="宋体" w:cs="宋体"/>
                <w:bCs/>
                <w:color w:val="auto"/>
                <w:szCs w:val="21"/>
                <w:highlight w:val="none"/>
              </w:rPr>
              <w:t>时间计划合理，时间节点充裕，</w:t>
            </w:r>
            <w:r>
              <w:rPr>
                <w:rFonts w:hint="eastAsia" w:ascii="Times New Roman" w:hAnsi="宋体" w:eastAsia="宋体" w:cs="宋体"/>
                <w:bCs/>
                <w:color w:val="auto"/>
                <w:szCs w:val="21"/>
                <w:highlight w:val="none"/>
              </w:rPr>
              <w:t>有较强的限时办结能力</w:t>
            </w:r>
            <w:r>
              <w:rPr>
                <w:rFonts w:hint="eastAsia" w:ascii="宋体" w:hAnsi="宋体" w:eastAsia="宋体" w:cs="宋体"/>
                <w:bCs/>
                <w:color w:val="auto"/>
                <w:szCs w:val="21"/>
                <w:highlight w:val="none"/>
              </w:rPr>
              <w:t>；较好地满足本项目的审核工作需要。</w:t>
            </w:r>
          </w:p>
          <w:p w14:paraId="51B675D7">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宋体" w:cs="Times New Roman"/>
                <w:color w:val="auto"/>
                <w:szCs w:val="24"/>
                <w:highlight w:val="none"/>
              </w:rPr>
            </w:pPr>
            <w:r>
              <w:rPr>
                <w:rFonts w:hint="eastAsia" w:ascii="Times New Roman" w:hAnsi="宋体" w:eastAsia="宋体" w:cs="宋体"/>
                <w:bCs/>
                <w:color w:val="auto"/>
                <w:szCs w:val="21"/>
                <w:highlight w:val="none"/>
              </w:rPr>
              <w:t>三档（15分）：满足二档的基础上，项目实施计划合理、完整，具有很强的可操作性，时间安排合理，时间管控到位，在限时办结的基础上有能力、有措施保障加急项目提前保质完成</w:t>
            </w:r>
            <w:r>
              <w:rPr>
                <w:rFonts w:hint="eastAsia" w:ascii="Times New Roman" w:hAnsi="宋体" w:eastAsia="宋体" w:cs="宋体"/>
                <w:bCs/>
                <w:color w:val="auto"/>
                <w:szCs w:val="21"/>
                <w:highlight w:val="none"/>
                <w:lang w:val="en-US" w:eastAsia="zh-CN"/>
              </w:rPr>
              <w:t>审核</w:t>
            </w:r>
            <w:r>
              <w:rPr>
                <w:rFonts w:hint="eastAsia" w:ascii="Times New Roman" w:hAnsi="宋体" w:eastAsia="宋体" w:cs="宋体"/>
                <w:bCs/>
                <w:color w:val="auto"/>
                <w:szCs w:val="21"/>
                <w:highlight w:val="none"/>
              </w:rPr>
              <w:t>。</w:t>
            </w:r>
          </w:p>
          <w:p w14:paraId="3C7E964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color w:val="auto"/>
                <w:szCs w:val="24"/>
                <w:highlight w:val="none"/>
              </w:rPr>
            </w:pPr>
            <w:r>
              <w:rPr>
                <w:rFonts w:hint="eastAsia" w:ascii="宋体" w:hAnsi="宋体" w:eastAsia="宋体" w:cs="宋体"/>
                <w:color w:val="auto"/>
                <w:szCs w:val="24"/>
                <w:highlight w:val="none"/>
              </w:rPr>
              <w:t>不提供的不得分。</w:t>
            </w:r>
          </w:p>
        </w:tc>
        <w:tc>
          <w:tcPr>
            <w:tcW w:w="1577" w:type="dxa"/>
            <w:vAlign w:val="center"/>
          </w:tcPr>
          <w:p w14:paraId="78DC268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0"/>
                <w:highlight w:val="none"/>
              </w:rPr>
            </w:pPr>
            <w:r>
              <w:rPr>
                <w:rFonts w:hint="eastAsia" w:ascii="宋体" w:hAnsi="宋体" w:eastAsia="宋体" w:cs="宋体"/>
                <w:bCs/>
                <w:color w:val="auto"/>
                <w:szCs w:val="20"/>
                <w:highlight w:val="none"/>
              </w:rPr>
              <w:t>0~15</w:t>
            </w:r>
          </w:p>
        </w:tc>
      </w:tr>
      <w:tr w14:paraId="4512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 w:type="dxa"/>
            <w:vAlign w:val="center"/>
          </w:tcPr>
          <w:p w14:paraId="158FC168">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0"/>
                <w:highlight w:val="none"/>
              </w:rPr>
            </w:pPr>
            <w:r>
              <w:rPr>
                <w:rFonts w:hint="eastAsia" w:ascii="宋体" w:hAnsi="宋体" w:eastAsia="宋体" w:cs="宋体"/>
                <w:bCs/>
                <w:color w:val="auto"/>
                <w:szCs w:val="20"/>
                <w:highlight w:val="none"/>
              </w:rPr>
              <w:t>2.4</w:t>
            </w:r>
          </w:p>
        </w:tc>
        <w:tc>
          <w:tcPr>
            <w:tcW w:w="1082" w:type="dxa"/>
            <w:vAlign w:val="center"/>
          </w:tcPr>
          <w:p w14:paraId="1E98B3E2">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1"/>
                <w:highlight w:val="none"/>
              </w:rPr>
            </w:pPr>
            <w:r>
              <w:rPr>
                <w:rFonts w:hint="eastAsia" w:ascii="宋体" w:hAnsi="宋体" w:eastAsia="宋体" w:cs="宋体"/>
                <w:bCs/>
                <w:color w:val="auto"/>
                <w:szCs w:val="21"/>
                <w:highlight w:val="none"/>
              </w:rPr>
              <w:t>廉洁措施</w:t>
            </w:r>
          </w:p>
        </w:tc>
        <w:tc>
          <w:tcPr>
            <w:tcW w:w="6287" w:type="dxa"/>
            <w:vAlign w:val="center"/>
          </w:tcPr>
          <w:p w14:paraId="0AE1BFB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1"/>
                <w:highlight w:val="none"/>
              </w:rPr>
            </w:pPr>
            <w:r>
              <w:rPr>
                <w:rFonts w:hint="eastAsia" w:ascii="宋体" w:hAnsi="宋体" w:eastAsia="宋体" w:cs="宋体"/>
                <w:bCs/>
                <w:color w:val="auto"/>
                <w:szCs w:val="21"/>
                <w:highlight w:val="none"/>
              </w:rPr>
              <w:t>评委根据</w:t>
            </w:r>
            <w:r>
              <w:rPr>
                <w:rFonts w:hint="eastAsia" w:ascii="宋体" w:hAnsi="宋体" w:eastAsia="宋体" w:cs="宋体"/>
                <w:bCs/>
                <w:color w:val="auto"/>
                <w:szCs w:val="21"/>
                <w:highlight w:val="none"/>
                <w:lang w:val="en-US" w:eastAsia="zh-CN"/>
              </w:rPr>
              <w:t>供应商</w:t>
            </w:r>
            <w:r>
              <w:rPr>
                <w:rFonts w:hint="eastAsia" w:ascii="宋体" w:hAnsi="宋体" w:eastAsia="宋体" w:cs="宋体"/>
                <w:bCs/>
                <w:color w:val="auto"/>
                <w:szCs w:val="21"/>
                <w:highlight w:val="none"/>
              </w:rPr>
              <w:t>所提供的廉洁措施独立评分。</w:t>
            </w:r>
          </w:p>
          <w:p w14:paraId="346EAB6E">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1"/>
                <w:highlight w:val="none"/>
              </w:rPr>
            </w:pPr>
            <w:r>
              <w:rPr>
                <w:rFonts w:hint="eastAsia" w:ascii="宋体" w:hAnsi="宋体" w:eastAsia="宋体" w:cs="宋体"/>
                <w:bCs/>
                <w:color w:val="auto"/>
                <w:szCs w:val="21"/>
                <w:highlight w:val="none"/>
              </w:rPr>
              <w:t>一档（3分）：提供的廉洁措施，有基本的廉洁风险防范内控制度，能基本满足项目需求。</w:t>
            </w:r>
          </w:p>
          <w:p w14:paraId="7B1E8380">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1"/>
                <w:highlight w:val="none"/>
              </w:rPr>
            </w:pPr>
            <w:r>
              <w:rPr>
                <w:rFonts w:hint="eastAsia" w:ascii="宋体" w:hAnsi="宋体" w:eastAsia="宋体" w:cs="宋体"/>
                <w:bCs/>
                <w:color w:val="auto"/>
                <w:szCs w:val="21"/>
                <w:highlight w:val="none"/>
              </w:rPr>
              <w:t>二档（6分）：廉洁风险防范的内控制度较为完善，措施有效、可行；</w:t>
            </w:r>
            <w:r>
              <w:rPr>
                <w:rFonts w:hint="eastAsia" w:ascii="宋体" w:hAnsi="宋体" w:eastAsia="宋体" w:cs="宋体"/>
                <w:bCs/>
                <w:color w:val="auto"/>
                <w:szCs w:val="21"/>
                <w:highlight w:val="none"/>
                <w:lang w:val="en-US" w:eastAsia="zh-CN"/>
              </w:rPr>
              <w:t>审核</w:t>
            </w:r>
            <w:r>
              <w:rPr>
                <w:rFonts w:hint="eastAsia" w:ascii="宋体" w:hAnsi="宋体" w:eastAsia="宋体" w:cs="宋体"/>
                <w:bCs/>
                <w:color w:val="auto"/>
                <w:szCs w:val="21"/>
                <w:highlight w:val="none"/>
              </w:rPr>
              <w:t>廉洁风险防控较为有效。</w:t>
            </w:r>
          </w:p>
          <w:p w14:paraId="55F15C7E">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宋体" w:eastAsia="宋体" w:cs="宋体"/>
                <w:bCs/>
                <w:color w:val="auto"/>
                <w:szCs w:val="21"/>
                <w:highlight w:val="none"/>
              </w:rPr>
            </w:pPr>
            <w:r>
              <w:rPr>
                <w:rFonts w:hint="eastAsia" w:ascii="Times New Roman" w:hAnsi="宋体" w:eastAsia="宋体" w:cs="宋体"/>
                <w:bCs/>
                <w:color w:val="auto"/>
                <w:szCs w:val="21"/>
                <w:highlight w:val="none"/>
              </w:rPr>
              <w:t>三档（10分）：</w:t>
            </w:r>
            <w:r>
              <w:rPr>
                <w:rFonts w:hint="eastAsia" w:ascii="宋体" w:hAnsi="宋体" w:eastAsia="宋体" w:cs="宋体"/>
                <w:bCs/>
                <w:color w:val="auto"/>
                <w:szCs w:val="21"/>
                <w:highlight w:val="none"/>
              </w:rPr>
              <w:t>有内部的廉洁自律规范准则、监督和处罚机制办法等，廉洁风险防范的内控制度完善，措施有效、可行性强；能很好规范和防范</w:t>
            </w:r>
            <w:r>
              <w:rPr>
                <w:rFonts w:hint="eastAsia" w:ascii="宋体" w:hAnsi="宋体" w:eastAsia="宋体" w:cs="宋体"/>
                <w:bCs/>
                <w:color w:val="auto"/>
                <w:szCs w:val="21"/>
                <w:highlight w:val="none"/>
                <w:lang w:val="en-US" w:eastAsia="zh-CN"/>
              </w:rPr>
              <w:t>审核</w:t>
            </w:r>
            <w:r>
              <w:rPr>
                <w:rFonts w:hint="eastAsia" w:ascii="宋体" w:hAnsi="宋体" w:eastAsia="宋体" w:cs="宋体"/>
                <w:bCs/>
                <w:color w:val="auto"/>
                <w:szCs w:val="21"/>
                <w:highlight w:val="none"/>
              </w:rPr>
              <w:t>过程中的廉洁风险。</w:t>
            </w:r>
          </w:p>
          <w:p w14:paraId="5B6643C4">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宋体" w:eastAsia="宋体" w:cs="宋体"/>
                <w:bCs/>
                <w:color w:val="auto"/>
                <w:szCs w:val="21"/>
                <w:highlight w:val="none"/>
              </w:rPr>
            </w:pPr>
            <w:r>
              <w:rPr>
                <w:rFonts w:hint="eastAsia" w:ascii="宋体" w:hAnsi="宋体" w:eastAsia="宋体" w:cs="宋体"/>
                <w:color w:val="auto"/>
                <w:szCs w:val="21"/>
                <w:highlight w:val="none"/>
              </w:rPr>
              <w:t>不提供的不得分。</w:t>
            </w:r>
          </w:p>
        </w:tc>
        <w:tc>
          <w:tcPr>
            <w:tcW w:w="1577" w:type="dxa"/>
            <w:vAlign w:val="center"/>
          </w:tcPr>
          <w:p w14:paraId="7BDC064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0"/>
                <w:highlight w:val="none"/>
              </w:rPr>
            </w:pPr>
            <w:r>
              <w:rPr>
                <w:rFonts w:hint="eastAsia" w:ascii="宋体" w:hAnsi="宋体" w:eastAsia="宋体" w:cs="宋体"/>
                <w:bCs/>
                <w:color w:val="auto"/>
                <w:szCs w:val="20"/>
                <w:highlight w:val="none"/>
              </w:rPr>
              <w:t>0~10</w:t>
            </w:r>
          </w:p>
        </w:tc>
      </w:tr>
      <w:tr w14:paraId="1232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 w:type="dxa"/>
            <w:vAlign w:val="center"/>
          </w:tcPr>
          <w:p w14:paraId="26353D9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0"/>
                <w:highlight w:val="none"/>
              </w:rPr>
            </w:pPr>
            <w:r>
              <w:rPr>
                <w:rFonts w:hint="eastAsia" w:ascii="宋体" w:hAnsi="宋体" w:eastAsia="宋体" w:cs="宋体"/>
                <w:bCs/>
                <w:color w:val="auto"/>
                <w:szCs w:val="20"/>
                <w:highlight w:val="none"/>
              </w:rPr>
              <w:t>2.5</w:t>
            </w:r>
          </w:p>
        </w:tc>
        <w:tc>
          <w:tcPr>
            <w:tcW w:w="1082" w:type="dxa"/>
            <w:vAlign w:val="center"/>
          </w:tcPr>
          <w:p w14:paraId="485C539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color w:val="auto"/>
                <w:szCs w:val="20"/>
                <w:highlight w:val="none"/>
              </w:rPr>
            </w:pPr>
            <w:r>
              <w:rPr>
                <w:rFonts w:hint="eastAsia" w:ascii="宋体" w:hAnsi="宋体" w:eastAsia="宋体" w:cs="宋体"/>
                <w:color w:val="auto"/>
                <w:szCs w:val="20"/>
                <w:highlight w:val="none"/>
              </w:rPr>
              <w:t>服务承诺</w:t>
            </w:r>
          </w:p>
        </w:tc>
        <w:tc>
          <w:tcPr>
            <w:tcW w:w="6287" w:type="dxa"/>
            <w:vAlign w:val="center"/>
          </w:tcPr>
          <w:p w14:paraId="7BA784E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供应商向征集人同时做出以下承诺的，得5分，满分5分：</w:t>
            </w:r>
          </w:p>
          <w:p w14:paraId="6104FD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①承诺在规定时间内完成任务；</w:t>
            </w:r>
          </w:p>
          <w:p w14:paraId="1E8C67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②承诺误差率不超过3％；</w:t>
            </w:r>
          </w:p>
          <w:p w14:paraId="05833C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③承诺入围后业务不分包；</w:t>
            </w:r>
          </w:p>
          <w:p w14:paraId="4052EC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④承诺入围后根据《南宁市住房和城乡建设局关于开展工程造价咨询企业名录登记相关工作的通知》（南住建〔2021〕518号）文要求做好企业的名录登记，并保证在开展市区城政府投资建设项目</w:t>
            </w:r>
            <w:r>
              <w:rPr>
                <w:rFonts w:hint="eastAsia" w:ascii="宋体" w:hAnsi="宋体" w:cs="宋体"/>
                <w:color w:val="auto"/>
                <w:szCs w:val="21"/>
                <w:highlight w:val="none"/>
                <w:lang w:eastAsia="zh-CN"/>
              </w:rPr>
              <w:t>预算</w:t>
            </w:r>
            <w:r>
              <w:rPr>
                <w:rFonts w:hint="eastAsia" w:ascii="宋体" w:hAnsi="宋体" w:cs="宋体"/>
                <w:color w:val="auto"/>
                <w:szCs w:val="21"/>
                <w:highlight w:val="none"/>
              </w:rPr>
              <w:t>审核工作前已登记入名录；</w:t>
            </w:r>
          </w:p>
          <w:p w14:paraId="1C36BB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⑤承诺在项目服务过程中，迅速响应征集人和采购人的要求。在接到采购人紧急处理事项后，1个小时内到达指定地点；在采购人下达委托任务后，2小时内到达指定地点检查、领取审核资料；在接到采购人对数通知后，1个小时内到达指定对数地点；在收到采购人审核确认的成果资料后，3个工作日内盖章并返回采购人；</w:t>
            </w:r>
          </w:p>
          <w:p w14:paraId="1FEA49A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color w:val="auto"/>
                <w:szCs w:val="21"/>
                <w:highlight w:val="none"/>
              </w:rPr>
            </w:pPr>
            <w:r>
              <w:rPr>
                <w:rFonts w:hint="eastAsia" w:ascii="宋体" w:hAnsi="宋体" w:cs="宋体"/>
                <w:color w:val="auto"/>
                <w:szCs w:val="21"/>
                <w:highlight w:val="none"/>
              </w:rPr>
              <w:t>⑥承诺入围后设立办公场所。</w:t>
            </w:r>
          </w:p>
        </w:tc>
        <w:tc>
          <w:tcPr>
            <w:tcW w:w="1577" w:type="dxa"/>
            <w:vAlign w:val="center"/>
          </w:tcPr>
          <w:p w14:paraId="4EEEBCC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0"/>
                <w:highlight w:val="none"/>
              </w:rPr>
            </w:pPr>
            <w:r>
              <w:rPr>
                <w:rFonts w:hint="eastAsia" w:ascii="宋体" w:hAnsi="宋体" w:eastAsia="宋体" w:cs="宋体"/>
                <w:bCs/>
                <w:color w:val="auto"/>
                <w:szCs w:val="20"/>
                <w:highlight w:val="none"/>
              </w:rPr>
              <w:t>0~5</w:t>
            </w:r>
          </w:p>
        </w:tc>
      </w:tr>
      <w:tr w14:paraId="5BB8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 w:type="dxa"/>
            <w:vAlign w:val="center"/>
          </w:tcPr>
          <w:p w14:paraId="639786E5">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
                <w:bCs/>
                <w:color w:val="auto"/>
                <w:szCs w:val="20"/>
                <w:highlight w:val="none"/>
              </w:rPr>
            </w:pPr>
            <w:r>
              <w:rPr>
                <w:rFonts w:hint="eastAsia" w:ascii="宋体" w:hAnsi="宋体" w:eastAsia="宋体" w:cs="宋体"/>
                <w:b/>
                <w:bCs/>
                <w:color w:val="auto"/>
                <w:szCs w:val="20"/>
                <w:highlight w:val="none"/>
              </w:rPr>
              <w:t>3</w:t>
            </w:r>
          </w:p>
        </w:tc>
        <w:tc>
          <w:tcPr>
            <w:tcW w:w="1082" w:type="dxa"/>
            <w:vAlign w:val="center"/>
          </w:tcPr>
          <w:p w14:paraId="33E40C70">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
                <w:bCs/>
                <w:color w:val="auto"/>
                <w:szCs w:val="20"/>
                <w:highlight w:val="none"/>
              </w:rPr>
            </w:pPr>
            <w:r>
              <w:rPr>
                <w:rFonts w:hint="eastAsia" w:ascii="宋体" w:hAnsi="宋体" w:eastAsia="宋体" w:cs="宋体"/>
                <w:b/>
                <w:bCs/>
                <w:color w:val="auto"/>
                <w:szCs w:val="20"/>
                <w:highlight w:val="none"/>
              </w:rPr>
              <w:t>商务分</w:t>
            </w:r>
          </w:p>
        </w:tc>
        <w:tc>
          <w:tcPr>
            <w:tcW w:w="6287" w:type="dxa"/>
            <w:vAlign w:val="center"/>
          </w:tcPr>
          <w:p w14:paraId="5981FC1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
                <w:bCs/>
                <w:color w:val="auto"/>
                <w:szCs w:val="20"/>
                <w:highlight w:val="none"/>
              </w:rPr>
            </w:pPr>
          </w:p>
        </w:tc>
        <w:tc>
          <w:tcPr>
            <w:tcW w:w="1577" w:type="dxa"/>
            <w:vAlign w:val="center"/>
          </w:tcPr>
          <w:p w14:paraId="62266B38">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
                <w:bCs/>
                <w:color w:val="auto"/>
                <w:szCs w:val="20"/>
                <w:highlight w:val="none"/>
              </w:rPr>
            </w:pPr>
            <w:r>
              <w:rPr>
                <w:rFonts w:hint="eastAsia" w:ascii="宋体" w:hAnsi="宋体" w:eastAsia="宋体" w:cs="宋体"/>
                <w:b/>
                <w:bCs/>
                <w:color w:val="auto"/>
                <w:szCs w:val="20"/>
                <w:highlight w:val="none"/>
              </w:rPr>
              <w:t>满分30分</w:t>
            </w:r>
          </w:p>
        </w:tc>
      </w:tr>
      <w:tr w14:paraId="120D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 w:type="dxa"/>
            <w:vAlign w:val="center"/>
          </w:tcPr>
          <w:p w14:paraId="6BBA731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0"/>
                <w:highlight w:val="none"/>
              </w:rPr>
            </w:pPr>
            <w:r>
              <w:rPr>
                <w:rFonts w:hint="eastAsia" w:ascii="宋体" w:hAnsi="宋体" w:eastAsia="宋体" w:cs="宋体"/>
                <w:bCs/>
                <w:color w:val="auto"/>
                <w:szCs w:val="20"/>
                <w:highlight w:val="none"/>
              </w:rPr>
              <w:t>3.1</w:t>
            </w:r>
          </w:p>
        </w:tc>
        <w:tc>
          <w:tcPr>
            <w:tcW w:w="1082" w:type="dxa"/>
            <w:vAlign w:val="center"/>
          </w:tcPr>
          <w:p w14:paraId="652FFFD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0"/>
                <w:highlight w:val="none"/>
              </w:rPr>
            </w:pPr>
            <w:r>
              <w:rPr>
                <w:rFonts w:hint="eastAsia" w:ascii="宋体" w:hAnsi="宋体" w:eastAsia="宋体" w:cs="宋体"/>
                <w:bCs/>
                <w:color w:val="auto"/>
                <w:szCs w:val="20"/>
                <w:highlight w:val="none"/>
              </w:rPr>
              <w:t>人员配备</w:t>
            </w:r>
          </w:p>
        </w:tc>
        <w:tc>
          <w:tcPr>
            <w:tcW w:w="6287" w:type="dxa"/>
            <w:vAlign w:val="center"/>
          </w:tcPr>
          <w:p w14:paraId="28839B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1.满足该条款以下要求，得6分：</w:t>
            </w:r>
          </w:p>
          <w:p w14:paraId="2C2A8C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①管理及技术负责人1人，必须具备一级造价工程师证和高级工程师职称；</w:t>
            </w:r>
          </w:p>
          <w:p w14:paraId="0FDCE3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②专业技术人员6人（均具备一级或二级造价工程师职业资格证书），其中土木建筑工程一级造价工程师不少于3人。</w:t>
            </w:r>
          </w:p>
          <w:p w14:paraId="499101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2.在满足本项第1条的前提下，每多配备1名一级造价工程师得1分，每多配备1名二级造价工程师得0.5分，满分6分。</w:t>
            </w:r>
          </w:p>
          <w:p w14:paraId="33507C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3.满足第2条的人员中配备的指定专业造价工程师：其中有1名交通运输工程专业一级造价工程师得2分；其中有1名水利工程专业一级造价工程师得2分，满分4分。</w:t>
            </w:r>
          </w:p>
          <w:p w14:paraId="2E01A3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（公路工程造价人员资格证书（甲级）、水利工程造价工程师资格证书视同相应专业一级造价工程师证）</w:t>
            </w:r>
          </w:p>
          <w:p w14:paraId="361814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注：</w:t>
            </w:r>
          </w:p>
          <w:p w14:paraId="49922B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1.供应商响应拟投入的管理及技术负责人须单独设置、不能兼任专业技术人员；拟投入的专业技术人员每人对应一个专业、不得同时兼多个专业。</w:t>
            </w:r>
          </w:p>
          <w:p w14:paraId="30DB0F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2.若供应商使用同一个人的不同专业证书作为人员配备评分依据的，只能按一个专业计分，不能分别计分。</w:t>
            </w:r>
          </w:p>
          <w:p w14:paraId="0294565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color w:val="auto"/>
                <w:szCs w:val="21"/>
                <w:highlight w:val="none"/>
              </w:rPr>
            </w:pPr>
            <w:r>
              <w:rPr>
                <w:rFonts w:hint="eastAsia" w:ascii="宋体" w:hAnsi="宋体" w:cs="宋体"/>
                <w:color w:val="auto"/>
                <w:szCs w:val="21"/>
                <w:highlight w:val="none"/>
              </w:rPr>
              <w:t>3.以上人员须为本单位人员（提供相关证明材料），如有退休返聘人员，提供该人员与供应商签订的返聘合同及退休证明。</w:t>
            </w:r>
          </w:p>
        </w:tc>
        <w:tc>
          <w:tcPr>
            <w:tcW w:w="1577" w:type="dxa"/>
            <w:vAlign w:val="center"/>
          </w:tcPr>
          <w:p w14:paraId="4A7F75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szCs w:val="20"/>
                <w:highlight w:val="none"/>
                <w:lang w:eastAsia="zh-CN"/>
              </w:rPr>
            </w:pPr>
            <w:r>
              <w:rPr>
                <w:rFonts w:hint="eastAsia" w:ascii="宋体" w:hAnsi="宋体" w:eastAsia="宋体" w:cs="宋体"/>
                <w:bCs/>
                <w:color w:val="auto"/>
                <w:szCs w:val="20"/>
                <w:highlight w:val="none"/>
              </w:rPr>
              <w:t>0~1</w:t>
            </w:r>
            <w:r>
              <w:rPr>
                <w:rFonts w:hint="eastAsia" w:ascii="宋体" w:hAnsi="宋体" w:eastAsia="宋体" w:cs="宋体"/>
                <w:bCs/>
                <w:color w:val="auto"/>
                <w:szCs w:val="20"/>
                <w:highlight w:val="none"/>
                <w:lang w:val="en-US" w:eastAsia="zh-CN"/>
              </w:rPr>
              <w:t>6</w:t>
            </w:r>
          </w:p>
        </w:tc>
      </w:tr>
      <w:tr w14:paraId="5D84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 w:type="dxa"/>
            <w:vAlign w:val="center"/>
          </w:tcPr>
          <w:p w14:paraId="2808C09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0"/>
                <w:highlight w:val="none"/>
              </w:rPr>
            </w:pPr>
            <w:r>
              <w:rPr>
                <w:rFonts w:hint="eastAsia" w:ascii="宋体" w:hAnsi="宋体" w:eastAsia="宋体" w:cs="宋体"/>
                <w:bCs/>
                <w:color w:val="auto"/>
                <w:szCs w:val="20"/>
                <w:highlight w:val="none"/>
              </w:rPr>
              <w:t>3.2</w:t>
            </w:r>
          </w:p>
        </w:tc>
        <w:tc>
          <w:tcPr>
            <w:tcW w:w="1082" w:type="dxa"/>
            <w:vAlign w:val="center"/>
          </w:tcPr>
          <w:p w14:paraId="3A6BC788">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0"/>
                <w:highlight w:val="none"/>
              </w:rPr>
            </w:pPr>
            <w:r>
              <w:rPr>
                <w:rFonts w:hint="eastAsia" w:ascii="宋体" w:hAnsi="宋体" w:eastAsia="宋体" w:cs="宋体"/>
                <w:bCs/>
                <w:color w:val="auto"/>
                <w:szCs w:val="20"/>
                <w:highlight w:val="none"/>
              </w:rPr>
              <w:t>业绩</w:t>
            </w:r>
          </w:p>
        </w:tc>
        <w:tc>
          <w:tcPr>
            <w:tcW w:w="6287" w:type="dxa"/>
            <w:vAlign w:val="center"/>
          </w:tcPr>
          <w:p w14:paraId="7DAB714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color w:val="auto"/>
                <w:szCs w:val="20"/>
                <w:highlight w:val="none"/>
              </w:rPr>
            </w:pPr>
            <w:r>
              <w:rPr>
                <w:rFonts w:hint="eastAsia" w:ascii="宋体" w:hAnsi="宋体" w:eastAsia="宋体" w:cs="宋体"/>
                <w:color w:val="auto"/>
                <w:szCs w:val="20"/>
                <w:highlight w:val="none"/>
              </w:rPr>
              <w:t>202</w:t>
            </w:r>
            <w:r>
              <w:rPr>
                <w:rFonts w:hint="eastAsia" w:ascii="宋体" w:hAnsi="宋体" w:eastAsia="宋体" w:cs="宋体"/>
                <w:color w:val="auto"/>
                <w:szCs w:val="20"/>
                <w:highlight w:val="none"/>
                <w:lang w:val="en-US" w:eastAsia="zh-CN"/>
              </w:rPr>
              <w:t>2</w:t>
            </w:r>
            <w:r>
              <w:rPr>
                <w:rFonts w:hint="eastAsia" w:ascii="宋体" w:hAnsi="宋体" w:eastAsia="宋体" w:cs="宋体"/>
                <w:color w:val="auto"/>
                <w:szCs w:val="20"/>
                <w:highlight w:val="none"/>
              </w:rPr>
              <w:t>年1月1日以来政府投资工程项目预、结算或审核业绩的每项得2分（以提供合同复印件为准，原件备查），满分10分。</w:t>
            </w:r>
          </w:p>
        </w:tc>
        <w:tc>
          <w:tcPr>
            <w:tcW w:w="1577" w:type="dxa"/>
            <w:vAlign w:val="center"/>
          </w:tcPr>
          <w:p w14:paraId="29CD0CF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0"/>
                <w:highlight w:val="none"/>
              </w:rPr>
            </w:pPr>
            <w:r>
              <w:rPr>
                <w:rFonts w:hint="eastAsia" w:ascii="宋体" w:hAnsi="宋体" w:eastAsia="宋体" w:cs="宋体"/>
                <w:bCs/>
                <w:color w:val="auto"/>
                <w:szCs w:val="20"/>
                <w:highlight w:val="none"/>
              </w:rPr>
              <w:t>0~10</w:t>
            </w:r>
          </w:p>
        </w:tc>
      </w:tr>
      <w:tr w14:paraId="3B59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 w:type="dxa"/>
            <w:vAlign w:val="center"/>
          </w:tcPr>
          <w:p w14:paraId="6CE1C6DD">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0"/>
                <w:highlight w:val="none"/>
              </w:rPr>
            </w:pPr>
            <w:r>
              <w:rPr>
                <w:rFonts w:hint="eastAsia" w:ascii="宋体" w:hAnsi="宋体" w:eastAsia="宋体" w:cs="宋体"/>
                <w:bCs/>
                <w:color w:val="auto"/>
                <w:szCs w:val="20"/>
                <w:highlight w:val="none"/>
              </w:rPr>
              <w:t>3.3</w:t>
            </w:r>
          </w:p>
        </w:tc>
        <w:tc>
          <w:tcPr>
            <w:tcW w:w="1082" w:type="dxa"/>
            <w:vAlign w:val="center"/>
          </w:tcPr>
          <w:p w14:paraId="36D759E2">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0"/>
                <w:highlight w:val="none"/>
              </w:rPr>
            </w:pPr>
            <w:r>
              <w:rPr>
                <w:rFonts w:hint="eastAsia" w:ascii="宋体" w:hAnsi="宋体" w:eastAsia="宋体" w:cs="宋体"/>
                <w:bCs/>
                <w:color w:val="auto"/>
                <w:szCs w:val="20"/>
                <w:highlight w:val="none"/>
              </w:rPr>
              <w:t>企业信誉</w:t>
            </w:r>
          </w:p>
        </w:tc>
        <w:tc>
          <w:tcPr>
            <w:tcW w:w="6287" w:type="dxa"/>
            <w:vAlign w:val="center"/>
          </w:tcPr>
          <w:p w14:paraId="7289755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bCs/>
                <w:color w:val="auto"/>
                <w:szCs w:val="24"/>
                <w:highlight w:val="none"/>
              </w:rPr>
            </w:pPr>
            <w:r>
              <w:rPr>
                <w:rFonts w:hint="eastAsia" w:ascii="宋体" w:hAnsi="宋体" w:eastAsia="宋体" w:cs="宋体"/>
                <w:bCs/>
                <w:color w:val="auto"/>
                <w:szCs w:val="24"/>
                <w:highlight w:val="none"/>
              </w:rPr>
              <w:t>供应商</w:t>
            </w:r>
            <w:r>
              <w:rPr>
                <w:rFonts w:hint="eastAsia" w:ascii="宋体" w:hAnsi="宋体" w:eastAsia="宋体" w:cs="宋体"/>
                <w:color w:val="auto"/>
                <w:szCs w:val="24"/>
                <w:highlight w:val="none"/>
              </w:rPr>
              <w:t>通过质量管理体系ISO9001且在有效期内的</w:t>
            </w:r>
            <w:r>
              <w:rPr>
                <w:rFonts w:hint="eastAsia" w:ascii="宋体" w:hAnsi="宋体" w:eastAsia="宋体" w:cs="宋体"/>
                <w:bCs/>
                <w:color w:val="auto"/>
                <w:szCs w:val="24"/>
                <w:highlight w:val="none"/>
              </w:rPr>
              <w:t>，得</w:t>
            </w:r>
            <w:r>
              <w:rPr>
                <w:rFonts w:hint="eastAsia" w:ascii="宋体" w:hAnsi="宋体" w:eastAsia="宋体" w:cs="宋体"/>
                <w:bCs/>
                <w:color w:val="auto"/>
                <w:szCs w:val="24"/>
                <w:highlight w:val="none"/>
                <w:lang w:val="en-US" w:eastAsia="zh-CN"/>
              </w:rPr>
              <w:t>4</w:t>
            </w:r>
            <w:r>
              <w:rPr>
                <w:rFonts w:hint="eastAsia" w:ascii="宋体" w:hAnsi="宋体" w:eastAsia="宋体" w:cs="宋体"/>
                <w:bCs/>
                <w:color w:val="auto"/>
                <w:szCs w:val="24"/>
                <w:highlight w:val="none"/>
              </w:rPr>
              <w:t>分。</w:t>
            </w:r>
          </w:p>
        </w:tc>
        <w:tc>
          <w:tcPr>
            <w:tcW w:w="1577" w:type="dxa"/>
            <w:vAlign w:val="center"/>
          </w:tcPr>
          <w:p w14:paraId="60F765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szCs w:val="20"/>
                <w:highlight w:val="none"/>
                <w:lang w:eastAsia="zh-CN"/>
              </w:rPr>
            </w:pPr>
            <w:r>
              <w:rPr>
                <w:rFonts w:hint="eastAsia" w:ascii="宋体" w:hAnsi="宋体" w:eastAsia="宋体" w:cs="宋体"/>
                <w:bCs/>
                <w:color w:val="auto"/>
                <w:szCs w:val="20"/>
                <w:highlight w:val="none"/>
              </w:rPr>
              <w:t>0~</w:t>
            </w:r>
            <w:r>
              <w:rPr>
                <w:rFonts w:hint="eastAsia" w:ascii="宋体" w:hAnsi="宋体" w:eastAsia="宋体" w:cs="宋体"/>
                <w:bCs/>
                <w:color w:val="auto"/>
                <w:szCs w:val="20"/>
                <w:highlight w:val="none"/>
                <w:lang w:val="en-US" w:eastAsia="zh-CN"/>
              </w:rPr>
              <w:t>4</w:t>
            </w:r>
          </w:p>
        </w:tc>
      </w:tr>
      <w:tr w14:paraId="7B2C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 w:type="dxa"/>
            <w:vAlign w:val="center"/>
          </w:tcPr>
          <w:p w14:paraId="7E88B81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0"/>
                <w:highlight w:val="none"/>
              </w:rPr>
            </w:pPr>
            <w:r>
              <w:rPr>
                <w:rFonts w:hint="eastAsia" w:ascii="宋体" w:hAnsi="宋体" w:eastAsia="宋体" w:cs="宋体"/>
                <w:bCs/>
                <w:color w:val="auto"/>
                <w:szCs w:val="20"/>
                <w:highlight w:val="none"/>
              </w:rPr>
              <w:t>4</w:t>
            </w:r>
          </w:p>
        </w:tc>
        <w:tc>
          <w:tcPr>
            <w:tcW w:w="1082" w:type="dxa"/>
            <w:vAlign w:val="center"/>
          </w:tcPr>
          <w:p w14:paraId="7345BD31">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color w:val="auto"/>
                <w:szCs w:val="20"/>
                <w:highlight w:val="none"/>
              </w:rPr>
            </w:pPr>
            <w:r>
              <w:rPr>
                <w:rFonts w:hint="eastAsia" w:ascii="宋体" w:hAnsi="宋体" w:eastAsia="宋体" w:cs="宋体"/>
                <w:color w:val="auto"/>
                <w:szCs w:val="20"/>
                <w:highlight w:val="none"/>
              </w:rPr>
              <w:t>诚信扣分</w:t>
            </w:r>
          </w:p>
        </w:tc>
        <w:tc>
          <w:tcPr>
            <w:tcW w:w="6287" w:type="dxa"/>
            <w:vAlign w:val="center"/>
          </w:tcPr>
          <w:p w14:paraId="4D1DE151">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color w:val="auto"/>
                <w:szCs w:val="20"/>
                <w:highlight w:val="none"/>
              </w:rPr>
            </w:pPr>
            <w:r>
              <w:rPr>
                <w:rFonts w:hint="eastAsia" w:ascii="宋体" w:hAnsi="宋体" w:eastAsia="宋体" w:cs="宋体"/>
                <w:color w:val="auto"/>
                <w:szCs w:val="20"/>
                <w:highlight w:val="none"/>
              </w:rPr>
              <w:t>供应商在截标日前3年内在政府采购活动中存在违约违规情形的（以财政部门出具的书面材料为评分依据），每次扣除3分，最高扣分6分扣完为止。</w:t>
            </w:r>
          </w:p>
        </w:tc>
        <w:tc>
          <w:tcPr>
            <w:tcW w:w="1577" w:type="dxa"/>
            <w:vAlign w:val="center"/>
          </w:tcPr>
          <w:p w14:paraId="53E78EC0">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0"/>
                <w:highlight w:val="none"/>
              </w:rPr>
            </w:pPr>
            <w:r>
              <w:rPr>
                <w:rFonts w:hint="eastAsia" w:ascii="宋体" w:hAnsi="宋体" w:eastAsia="宋体" w:cs="宋体"/>
                <w:bCs/>
                <w:color w:val="auto"/>
                <w:szCs w:val="20"/>
                <w:highlight w:val="none"/>
              </w:rPr>
              <w:t>-6~0</w:t>
            </w:r>
          </w:p>
        </w:tc>
      </w:tr>
      <w:tr w14:paraId="12CA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4" w:type="dxa"/>
            <w:gridSpan w:val="4"/>
            <w:vAlign w:val="center"/>
          </w:tcPr>
          <w:p w14:paraId="0BC7DB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szCs w:val="20"/>
                <w:highlight w:val="none"/>
              </w:rPr>
            </w:pPr>
            <w:r>
              <w:rPr>
                <w:rFonts w:hint="eastAsia" w:ascii="宋体" w:hAnsi="宋体" w:eastAsia="宋体" w:cs="宋体"/>
                <w:bCs/>
                <w:color w:val="auto"/>
                <w:szCs w:val="20"/>
                <w:highlight w:val="none"/>
              </w:rPr>
              <w:t>总分=1+2+3+4</w:t>
            </w:r>
          </w:p>
          <w:p w14:paraId="2448E96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Cs/>
                <w:color w:val="auto"/>
                <w:szCs w:val="20"/>
                <w:highlight w:val="none"/>
              </w:rPr>
            </w:pPr>
            <w:r>
              <w:rPr>
                <w:rFonts w:hint="eastAsia" w:ascii="宋体" w:hAnsi="宋体" w:eastAsia="宋体" w:cs="宋体"/>
                <w:bCs/>
                <w:color w:val="auto"/>
                <w:szCs w:val="20"/>
                <w:highlight w:val="none"/>
                <w:lang w:val="en-US" w:eastAsia="zh-CN"/>
              </w:rPr>
              <w:t>说明</w:t>
            </w:r>
            <w:r>
              <w:rPr>
                <w:rFonts w:hint="eastAsia" w:ascii="宋体" w:hAnsi="宋体" w:eastAsia="宋体" w:cs="宋体"/>
                <w:bCs/>
                <w:color w:val="auto"/>
                <w:szCs w:val="20"/>
                <w:highlight w:val="none"/>
              </w:rPr>
              <w:t>：评分分值按四舍五入取至</w:t>
            </w:r>
            <w:r>
              <w:rPr>
                <w:rFonts w:hint="eastAsia" w:ascii="宋体" w:hAnsi="宋体" w:eastAsia="宋体" w:cs="宋体"/>
                <w:color w:val="auto"/>
                <w:szCs w:val="20"/>
                <w:highlight w:val="none"/>
              </w:rPr>
              <w:t>小数点后四位</w:t>
            </w:r>
            <w:r>
              <w:rPr>
                <w:rFonts w:hint="eastAsia" w:ascii="宋体" w:hAnsi="宋体" w:eastAsia="宋体" w:cs="宋体"/>
                <w:bCs/>
                <w:color w:val="auto"/>
                <w:szCs w:val="20"/>
                <w:highlight w:val="none"/>
              </w:rPr>
              <w:t>。</w:t>
            </w:r>
          </w:p>
        </w:tc>
      </w:tr>
      <w:tr w14:paraId="21D0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4" w:type="dxa"/>
            <w:gridSpan w:val="4"/>
            <w:vAlign w:val="center"/>
          </w:tcPr>
          <w:p w14:paraId="0E57ACDC">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宋体" w:cs="Times New Roman"/>
                <w:color w:val="auto"/>
                <w:szCs w:val="24"/>
                <w:highlight w:val="none"/>
              </w:rPr>
            </w:pPr>
            <w:r>
              <w:rPr>
                <w:rFonts w:hint="eastAsia" w:ascii="Times New Roman" w:hAnsi="宋体" w:eastAsia="宋体" w:cs="宋体"/>
                <w:b/>
                <w:bCs/>
                <w:color w:val="auto"/>
                <w:szCs w:val="24"/>
                <w:highlight w:val="none"/>
              </w:rPr>
              <w:t>注：</w:t>
            </w:r>
            <w:r>
              <w:rPr>
                <w:rFonts w:hint="default" w:ascii="Times New Roman" w:hAnsi="宋体" w:eastAsia="宋体" w:cs="宋体"/>
                <w:b/>
                <w:bCs/>
                <w:color w:val="auto"/>
                <w:szCs w:val="24"/>
                <w:highlight w:val="none"/>
              </w:rPr>
              <w:t>已签订</w:t>
            </w:r>
            <w:r>
              <w:rPr>
                <w:rFonts w:hint="eastAsia" w:ascii="Times New Roman" w:hAnsi="宋体" w:eastAsia="宋体" w:cs="宋体"/>
                <w:b/>
                <w:bCs/>
                <w:color w:val="auto"/>
                <w:szCs w:val="24"/>
                <w:highlight w:val="none"/>
                <w:lang w:val="en-US" w:eastAsia="zh-CN"/>
              </w:rPr>
              <w:t xml:space="preserve"> </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邕宁区20</w:t>
            </w:r>
            <w:r>
              <w:rPr>
                <w:rFonts w:hint="eastAsia" w:ascii="宋体" w:hAnsi="宋体" w:eastAsia="宋体" w:cs="宋体"/>
                <w:b/>
                <w:bCs/>
                <w:color w:val="auto"/>
                <w:sz w:val="21"/>
                <w:szCs w:val="21"/>
                <w:highlight w:val="none"/>
                <w:lang w:val="en-US" w:eastAsia="zh-CN"/>
              </w:rPr>
              <w:t>24</w:t>
            </w:r>
            <w:r>
              <w:rPr>
                <w:rFonts w:hint="eastAsia" w:ascii="宋体" w:hAnsi="宋体" w:eastAsia="宋体" w:cs="宋体"/>
                <w:b/>
                <w:bCs/>
                <w:color w:val="auto"/>
                <w:sz w:val="21"/>
                <w:szCs w:val="21"/>
                <w:highlight w:val="none"/>
              </w:rPr>
              <w:t>-20</w:t>
            </w:r>
            <w:r>
              <w:rPr>
                <w:rFonts w:hint="eastAsia" w:ascii="宋体" w:hAnsi="宋体" w:eastAsia="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年度政府投资建设项目预算编制服务框架协议</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或</w:t>
            </w:r>
            <w:r>
              <w:rPr>
                <w:rFonts w:hint="eastAsia" w:ascii="宋体" w:hAnsi="宋体" w:eastAsia="宋体" w:cs="宋体"/>
                <w:b/>
                <w:bCs/>
                <w:color w:val="auto"/>
                <w:sz w:val="21"/>
                <w:szCs w:val="21"/>
                <w:highlight w:val="none"/>
              </w:rPr>
              <w:t>《邕宁区20</w:t>
            </w:r>
            <w:r>
              <w:rPr>
                <w:rFonts w:hint="eastAsia" w:ascii="宋体" w:hAnsi="宋体" w:eastAsia="宋体" w:cs="宋体"/>
                <w:b/>
                <w:bCs/>
                <w:color w:val="auto"/>
                <w:sz w:val="21"/>
                <w:szCs w:val="21"/>
                <w:highlight w:val="none"/>
                <w:lang w:val="en-US" w:eastAsia="zh-CN"/>
              </w:rPr>
              <w:t>24</w:t>
            </w:r>
            <w:r>
              <w:rPr>
                <w:rFonts w:hint="eastAsia" w:ascii="宋体" w:hAnsi="宋体" w:eastAsia="宋体" w:cs="宋体"/>
                <w:b/>
                <w:bCs/>
                <w:color w:val="auto"/>
                <w:sz w:val="21"/>
                <w:szCs w:val="21"/>
                <w:highlight w:val="none"/>
              </w:rPr>
              <w:t>-20</w:t>
            </w:r>
            <w:r>
              <w:rPr>
                <w:rFonts w:hint="eastAsia" w:ascii="宋体" w:hAnsi="宋体" w:eastAsia="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年度政府投资建设项目预算</w:t>
            </w:r>
            <w:r>
              <w:rPr>
                <w:rFonts w:hint="eastAsia" w:ascii="宋体" w:hAnsi="宋体" w:eastAsia="宋体" w:cs="宋体"/>
                <w:b/>
                <w:bCs/>
                <w:color w:val="auto"/>
                <w:sz w:val="21"/>
                <w:szCs w:val="21"/>
                <w:highlight w:val="none"/>
                <w:lang w:eastAsia="zh-CN"/>
              </w:rPr>
              <w:t>审核</w:t>
            </w:r>
            <w:r>
              <w:rPr>
                <w:rFonts w:hint="eastAsia" w:ascii="宋体" w:hAnsi="宋体" w:eastAsia="宋体" w:cs="宋体"/>
                <w:b/>
                <w:bCs/>
                <w:color w:val="auto"/>
                <w:sz w:val="21"/>
                <w:szCs w:val="21"/>
                <w:highlight w:val="none"/>
              </w:rPr>
              <w:t>服务框架协议》</w:t>
            </w:r>
            <w:r>
              <w:rPr>
                <w:rFonts w:hint="default" w:ascii="Times New Roman" w:hAnsi="宋体" w:eastAsia="宋体" w:cs="宋体"/>
                <w:b/>
                <w:bCs/>
                <w:color w:val="auto"/>
                <w:szCs w:val="24"/>
                <w:highlight w:val="none"/>
              </w:rPr>
              <w:t>且在</w:t>
            </w:r>
            <w:r>
              <w:rPr>
                <w:rFonts w:hint="eastAsia" w:ascii="Times New Roman" w:hAnsi="宋体" w:eastAsia="宋体" w:cs="宋体"/>
                <w:b/>
                <w:bCs/>
                <w:color w:val="auto"/>
                <w:szCs w:val="24"/>
                <w:highlight w:val="none"/>
                <w:lang w:eastAsia="zh-CN"/>
              </w:rPr>
              <w:t>协议</w:t>
            </w:r>
            <w:r>
              <w:rPr>
                <w:rFonts w:hint="default" w:ascii="Times New Roman" w:hAnsi="宋体" w:eastAsia="宋体" w:cs="宋体"/>
                <w:b/>
                <w:bCs/>
                <w:color w:val="auto"/>
                <w:szCs w:val="24"/>
                <w:highlight w:val="none"/>
              </w:rPr>
              <w:t>有效期内的</w:t>
            </w:r>
            <w:r>
              <w:rPr>
                <w:rFonts w:hint="eastAsia" w:ascii="Times New Roman" w:hAnsi="宋体" w:eastAsia="宋体" w:cs="宋体"/>
                <w:b/>
                <w:bCs/>
                <w:color w:val="auto"/>
                <w:szCs w:val="24"/>
                <w:highlight w:val="none"/>
                <w:lang w:eastAsia="zh-CN"/>
              </w:rPr>
              <w:t>供应商也</w:t>
            </w:r>
            <w:r>
              <w:rPr>
                <w:rFonts w:hint="default" w:ascii="Times New Roman" w:hAnsi="宋体" w:eastAsia="宋体" w:cs="宋体"/>
                <w:b/>
                <w:bCs/>
                <w:color w:val="auto"/>
                <w:szCs w:val="24"/>
                <w:highlight w:val="none"/>
              </w:rPr>
              <w:t>可以参加此项目的投标，中标后原合同终止，并按</w:t>
            </w:r>
            <w:r>
              <w:rPr>
                <w:rFonts w:hint="eastAsia" w:ascii="Times New Roman" w:hAnsi="宋体" w:eastAsia="宋体" w:cs="宋体"/>
                <w:b/>
                <w:bCs/>
                <w:color w:val="auto"/>
                <w:szCs w:val="24"/>
                <w:highlight w:val="none"/>
                <w:lang w:eastAsia="zh-CN"/>
              </w:rPr>
              <w:t>本项目</w:t>
            </w:r>
            <w:r>
              <w:rPr>
                <w:rFonts w:hint="default" w:ascii="Times New Roman" w:hAnsi="宋体" w:eastAsia="宋体" w:cs="宋体"/>
                <w:b/>
                <w:bCs/>
                <w:color w:val="auto"/>
                <w:szCs w:val="24"/>
                <w:highlight w:val="none"/>
              </w:rPr>
              <w:t>与</w:t>
            </w:r>
            <w:r>
              <w:rPr>
                <w:rFonts w:hint="eastAsia" w:ascii="Times New Roman" w:hAnsi="宋体" w:eastAsia="宋体" w:cs="宋体"/>
                <w:b/>
                <w:bCs/>
                <w:color w:val="auto"/>
                <w:szCs w:val="24"/>
                <w:highlight w:val="none"/>
                <w:lang w:eastAsia="zh-CN"/>
              </w:rPr>
              <w:t>邕宁区</w:t>
            </w:r>
            <w:r>
              <w:rPr>
                <w:rFonts w:hint="default" w:ascii="Times New Roman" w:hAnsi="宋体" w:eastAsia="宋体" w:cs="宋体"/>
                <w:b/>
                <w:bCs/>
                <w:color w:val="auto"/>
                <w:szCs w:val="24"/>
                <w:highlight w:val="none"/>
                <w:lang w:eastAsia="zh-CN"/>
              </w:rPr>
              <w:t>财政局</w:t>
            </w:r>
            <w:r>
              <w:rPr>
                <w:rFonts w:hint="default" w:ascii="Times New Roman" w:hAnsi="宋体" w:eastAsia="宋体" w:cs="宋体"/>
                <w:b/>
                <w:bCs/>
                <w:color w:val="auto"/>
                <w:szCs w:val="24"/>
                <w:highlight w:val="none"/>
              </w:rPr>
              <w:t>签订</w:t>
            </w:r>
            <w:r>
              <w:rPr>
                <w:rFonts w:hint="default" w:ascii="Times New Roman" w:hAnsi="宋体" w:eastAsia="宋体" w:cs="宋体"/>
                <w:b/>
                <w:bCs/>
                <w:color w:val="auto"/>
                <w:szCs w:val="24"/>
                <w:highlight w:val="none"/>
                <w:lang w:val="en-US" w:eastAsia="zh-CN"/>
              </w:rPr>
              <w:t>框架服务协议</w:t>
            </w:r>
            <w:r>
              <w:rPr>
                <w:rFonts w:hint="eastAsia" w:ascii="Times New Roman" w:hAnsi="宋体" w:eastAsia="宋体" w:cs="宋体"/>
                <w:b/>
                <w:bCs/>
                <w:color w:val="auto"/>
                <w:szCs w:val="24"/>
                <w:highlight w:val="none"/>
                <w:lang w:val="en-US" w:eastAsia="zh-CN"/>
              </w:rPr>
              <w:t>。</w:t>
            </w:r>
          </w:p>
        </w:tc>
      </w:tr>
      <w:bookmarkEnd w:id="179"/>
    </w:tbl>
    <w:p w14:paraId="2D412E36">
      <w:pPr>
        <w:spacing w:line="360" w:lineRule="auto"/>
        <w:ind w:firstLine="420"/>
        <w:rPr>
          <w:rFonts w:ascii="宋体" w:hAnsi="宋体" w:eastAsia="宋体" w:cs="宋体"/>
          <w:bCs/>
          <w:color w:val="auto"/>
          <w:szCs w:val="20"/>
          <w:highlight w:val="none"/>
        </w:rPr>
      </w:pPr>
    </w:p>
    <w:p w14:paraId="6507DD5A">
      <w:pPr>
        <w:spacing w:line="360" w:lineRule="auto"/>
        <w:ind w:firstLine="420"/>
        <w:jc w:val="center"/>
        <w:outlineLvl w:val="2"/>
        <w:rPr>
          <w:rFonts w:ascii="宋体" w:hAnsi="宋体" w:eastAsia="宋体" w:cs="宋体"/>
          <w:color w:val="auto"/>
          <w:szCs w:val="20"/>
          <w:highlight w:val="none"/>
        </w:rPr>
      </w:pPr>
      <w:r>
        <w:rPr>
          <w:rFonts w:hint="eastAsia" w:ascii="宋体" w:hAnsi="宋体" w:eastAsia="宋体" w:cs="宋体"/>
          <w:bCs/>
          <w:color w:val="auto"/>
          <w:szCs w:val="20"/>
          <w:highlight w:val="none"/>
        </w:rPr>
        <w:br w:type="page"/>
      </w:r>
    </w:p>
    <w:p w14:paraId="2E947B46">
      <w:pPr>
        <w:keepNext/>
        <w:keepLines/>
        <w:spacing w:before="260" w:after="260" w:line="413" w:lineRule="auto"/>
        <w:jc w:val="center"/>
        <w:outlineLvl w:val="1"/>
        <w:rPr>
          <w:rFonts w:ascii="宋体" w:hAnsi="宋体" w:eastAsia="宋体" w:cs="宋体"/>
          <w:bCs/>
          <w:color w:val="auto"/>
          <w:sz w:val="30"/>
          <w:szCs w:val="30"/>
          <w:highlight w:val="none"/>
        </w:rPr>
      </w:pPr>
      <w:bookmarkStart w:id="180" w:name="_Toc24402"/>
      <w:bookmarkStart w:id="181" w:name="_Toc146703301"/>
      <w:bookmarkStart w:id="182" w:name="_Toc80093007"/>
      <w:r>
        <w:rPr>
          <w:rFonts w:hint="eastAsia" w:ascii="宋体" w:hAnsi="宋体" w:eastAsia="宋体" w:cs="宋体"/>
          <w:bCs/>
          <w:color w:val="auto"/>
          <w:sz w:val="30"/>
          <w:szCs w:val="30"/>
          <w:highlight w:val="none"/>
        </w:rPr>
        <w:t>第四节 入围候选人推荐原则</w:t>
      </w:r>
      <w:bookmarkEnd w:id="180"/>
      <w:bookmarkEnd w:id="181"/>
      <w:bookmarkEnd w:id="182"/>
    </w:p>
    <w:p w14:paraId="45A90642">
      <w:pPr>
        <w:numPr>
          <w:ilvl w:val="0"/>
          <w:numId w:val="2"/>
        </w:numPr>
        <w:spacing w:line="360" w:lineRule="auto"/>
        <w:contextualSpacing/>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质量优先法</w:t>
      </w:r>
    </w:p>
    <w:p w14:paraId="220955F8">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4"/>
          <w:highlight w:val="none"/>
        </w:rPr>
        <w:t>入围标准：</w:t>
      </w:r>
      <w:r>
        <w:rPr>
          <w:rFonts w:hint="eastAsia" w:ascii="宋体" w:hAnsi="宋体" w:eastAsia="宋体" w:cs="宋体"/>
          <w:color w:val="auto"/>
          <w:szCs w:val="21"/>
          <w:highlight w:val="none"/>
        </w:rPr>
        <w:t>通过资格性审查和符合性审查的供应商数量多于或等于三家的，均须对通过符合性审查的供应商进行评分和排序。评委根据总得分从高分到低分进行排名，按排名先后顺序确定15家入围供应商，如排名第15名出现多家总得分相等时</w:t>
      </w:r>
      <w:r>
        <w:rPr>
          <w:rFonts w:hint="eastAsia" w:ascii="宋体" w:hAnsi="宋体" w:eastAsia="宋体" w:cs="宋体"/>
          <w:color w:val="auto"/>
          <w:szCs w:val="24"/>
          <w:highlight w:val="none"/>
        </w:rPr>
        <w:t>，</w:t>
      </w:r>
      <w:r>
        <w:rPr>
          <w:rFonts w:hint="eastAsia" w:ascii="宋体" w:hAnsi="宋体" w:eastAsia="宋体" w:cs="宋体"/>
          <w:color w:val="auto"/>
          <w:szCs w:val="21"/>
          <w:highlight w:val="none"/>
        </w:rPr>
        <w:t>则按技术分高优先，如技术分亦相同，按商务分高优先，直至得出结果。若所有分值完全一致则随机抽签选取入围供应商。</w:t>
      </w:r>
      <w:r>
        <w:rPr>
          <w:rFonts w:hint="eastAsia" w:ascii="宋体" w:hAnsi="宋体" w:eastAsia="宋体" w:cs="宋体"/>
          <w:color w:val="auto"/>
          <w:szCs w:val="24"/>
          <w:highlight w:val="none"/>
        </w:rPr>
        <w:t>当满足淘汰率不低于20%且至少淘汰1家供应商，淘汰后剩余的供应商数量超出征集文件约定的</w:t>
      </w:r>
      <w:r>
        <w:rPr>
          <w:rFonts w:hint="eastAsia" w:ascii="宋体" w:hAnsi="宋体" w:eastAsia="宋体" w:cs="宋体"/>
          <w:color w:val="auto"/>
          <w:szCs w:val="21"/>
          <w:highlight w:val="none"/>
        </w:rPr>
        <w:t>供应商入围数量上限</w:t>
      </w:r>
      <w:r>
        <w:rPr>
          <w:rFonts w:hint="eastAsia" w:ascii="宋体" w:hAnsi="宋体" w:eastAsia="宋体" w:cs="宋体"/>
          <w:color w:val="auto"/>
          <w:szCs w:val="24"/>
          <w:highlight w:val="none"/>
        </w:rPr>
        <w:t>时，</w:t>
      </w:r>
      <w:r>
        <w:rPr>
          <w:rFonts w:hint="eastAsia" w:ascii="宋体" w:hAnsi="宋体" w:eastAsia="宋体" w:cs="宋体"/>
          <w:color w:val="auto"/>
          <w:szCs w:val="21"/>
          <w:highlight w:val="none"/>
        </w:rPr>
        <w:t>排名前15名为该标段入围供应商</w:t>
      </w:r>
      <w:r>
        <w:rPr>
          <w:rFonts w:hint="eastAsia" w:ascii="宋体" w:hAnsi="宋体" w:eastAsia="宋体" w:cs="宋体"/>
          <w:b w:val="0"/>
          <w:bCs/>
          <w:color w:val="auto"/>
          <w:szCs w:val="21"/>
          <w:highlight w:val="none"/>
        </w:rPr>
        <w:t>；</w:t>
      </w:r>
      <w:r>
        <w:rPr>
          <w:rFonts w:hint="eastAsia" w:ascii="宋体" w:hAnsi="宋体" w:eastAsia="宋体" w:cs="宋体"/>
          <w:color w:val="auto"/>
          <w:szCs w:val="24"/>
          <w:highlight w:val="none"/>
        </w:rPr>
        <w:t>当满足淘汰率不低于20%且至少淘汰1家供应商，淘汰后剩余的供应商数量少于征集文件约定的</w:t>
      </w:r>
      <w:r>
        <w:rPr>
          <w:rFonts w:hint="eastAsia" w:ascii="宋体" w:hAnsi="宋体" w:eastAsia="宋体" w:cs="宋体"/>
          <w:color w:val="auto"/>
          <w:szCs w:val="21"/>
          <w:highlight w:val="none"/>
        </w:rPr>
        <w:t>供应商入围数量上限</w:t>
      </w:r>
      <w:r>
        <w:rPr>
          <w:rFonts w:hint="eastAsia" w:ascii="宋体" w:hAnsi="宋体" w:eastAsia="宋体" w:cs="宋体"/>
          <w:color w:val="auto"/>
          <w:szCs w:val="24"/>
          <w:highlight w:val="none"/>
        </w:rPr>
        <w:t>时，淘汰后剩余的供应商即为该项目入围供应商</w:t>
      </w:r>
      <w:r>
        <w:rPr>
          <w:rFonts w:hint="eastAsia" w:ascii="宋体" w:hAnsi="宋体" w:eastAsia="宋体" w:cs="宋体"/>
          <w:b/>
          <w:color w:val="auto"/>
          <w:szCs w:val="21"/>
          <w:highlight w:val="none"/>
        </w:rPr>
        <w:t>。</w:t>
      </w:r>
    </w:p>
    <w:p w14:paraId="4FDA4C22">
      <w:pPr>
        <w:spacing w:line="360" w:lineRule="auto"/>
        <w:ind w:firstLine="422" w:firstLineChars="200"/>
        <w:rPr>
          <w:rFonts w:hint="eastAsia" w:ascii="宋体" w:hAnsi="宋体" w:eastAsia="宋体" w:cs="宋体"/>
          <w:b/>
          <w:color w:val="auto"/>
          <w:sz w:val="21"/>
          <w:szCs w:val="21"/>
          <w:highlight w:val="none"/>
          <w:lang w:val="en-US" w:eastAsia="zh-CN"/>
        </w:rPr>
      </w:pPr>
    </w:p>
    <w:p w14:paraId="0EADDBEF">
      <w:pPr>
        <w:spacing w:line="360" w:lineRule="auto"/>
        <w:ind w:firstLine="420" w:firstLineChars="200"/>
        <w:rPr>
          <w:rFonts w:ascii="宋体" w:hAnsi="宋体" w:eastAsia="宋体" w:cs="宋体"/>
          <w:color w:val="auto"/>
          <w:szCs w:val="24"/>
          <w:highlight w:val="none"/>
        </w:rPr>
      </w:pPr>
    </w:p>
    <w:p w14:paraId="25863E8F">
      <w:pPr>
        <w:keepNext/>
        <w:keepLines/>
        <w:spacing w:line="360" w:lineRule="auto"/>
        <w:ind w:firstLine="600" w:firstLineChars="200"/>
        <w:jc w:val="center"/>
        <w:outlineLvl w:val="1"/>
        <w:rPr>
          <w:rFonts w:ascii="宋体" w:hAnsi="宋体" w:eastAsia="宋体" w:cs="宋体"/>
          <w:bCs/>
          <w:color w:val="auto"/>
          <w:sz w:val="30"/>
          <w:szCs w:val="30"/>
          <w:highlight w:val="none"/>
        </w:rPr>
      </w:pPr>
      <w:bookmarkStart w:id="183" w:name="_Toc80093008"/>
      <w:bookmarkStart w:id="184" w:name="_Toc32440"/>
      <w:bookmarkStart w:id="185" w:name="_Toc146703302"/>
      <w:r>
        <w:rPr>
          <w:rFonts w:hint="eastAsia" w:ascii="宋体" w:hAnsi="宋体" w:eastAsia="宋体" w:cs="宋体"/>
          <w:bCs/>
          <w:color w:val="auto"/>
          <w:sz w:val="30"/>
          <w:szCs w:val="30"/>
          <w:highlight w:val="none"/>
        </w:rPr>
        <w:t>第五节 评审报告</w:t>
      </w:r>
      <w:bookmarkEnd w:id="183"/>
      <w:bookmarkEnd w:id="184"/>
      <w:bookmarkEnd w:id="185"/>
    </w:p>
    <w:p w14:paraId="1F4B915E">
      <w:pPr>
        <w:adjustRightInd w:val="0"/>
        <w:spacing w:line="360" w:lineRule="auto"/>
        <w:ind w:firstLine="482" w:firstLineChars="200"/>
        <w:outlineLvl w:val="2"/>
        <w:rPr>
          <w:rFonts w:ascii="宋体" w:hAnsi="宋体" w:eastAsia="宋体" w:cs="宋体"/>
          <w:b/>
          <w:bCs/>
          <w:color w:val="auto"/>
          <w:sz w:val="24"/>
          <w:szCs w:val="24"/>
          <w:highlight w:val="none"/>
        </w:rPr>
      </w:pPr>
      <w:bookmarkStart w:id="186" w:name="_Toc146703303"/>
      <w:r>
        <w:rPr>
          <w:rFonts w:hint="eastAsia" w:ascii="宋体" w:hAnsi="宋体" w:eastAsia="宋体" w:cs="宋体"/>
          <w:b/>
          <w:bCs/>
          <w:color w:val="auto"/>
          <w:sz w:val="24"/>
          <w:szCs w:val="24"/>
          <w:highlight w:val="none"/>
        </w:rPr>
        <w:t>（一）评审报告与推荐入围候选人</w:t>
      </w:r>
      <w:bookmarkEnd w:id="186"/>
    </w:p>
    <w:p w14:paraId="313A306B">
      <w:pPr>
        <w:tabs>
          <w:tab w:val="left" w:pos="2472"/>
        </w:tabs>
        <w:spacing w:line="360" w:lineRule="auto"/>
        <w:ind w:firstLine="420" w:firstLineChars="200"/>
        <w:rPr>
          <w:rFonts w:ascii="宋体" w:hAnsi="宋体" w:eastAsia="宋体" w:cs="宋体"/>
          <w:color w:val="auto"/>
          <w:szCs w:val="20"/>
          <w:highlight w:val="none"/>
        </w:rPr>
      </w:pPr>
      <w:r>
        <w:rPr>
          <w:rFonts w:hint="eastAsia" w:ascii="宋体" w:hAnsi="宋体" w:eastAsia="宋体" w:cs="宋体"/>
          <w:color w:val="auto"/>
          <w:szCs w:val="20"/>
          <w:highlight w:val="none"/>
        </w:rPr>
        <w:t>评审委员会根据原始评审记录和评审结果编写评审报告，并通过电子交易平台向征集人、采购代理机构提交。</w:t>
      </w:r>
    </w:p>
    <w:p w14:paraId="6326A029">
      <w:pPr>
        <w:widowControl/>
        <w:spacing w:line="360" w:lineRule="auto"/>
        <w:ind w:firstLine="482" w:firstLineChars="200"/>
        <w:jc w:val="left"/>
        <w:outlineLvl w:val="2"/>
        <w:rPr>
          <w:rFonts w:ascii="宋体" w:hAnsi="宋体" w:eastAsia="宋体" w:cs="宋体"/>
          <w:b/>
          <w:bCs/>
          <w:color w:val="auto"/>
          <w:sz w:val="24"/>
          <w:szCs w:val="24"/>
          <w:highlight w:val="none"/>
        </w:rPr>
      </w:pPr>
      <w:bookmarkStart w:id="187" w:name="_Toc146703304"/>
      <w:r>
        <w:rPr>
          <w:rFonts w:hint="eastAsia" w:ascii="宋体" w:hAnsi="宋体" w:eastAsia="宋体" w:cs="宋体"/>
          <w:b/>
          <w:bCs/>
          <w:color w:val="auto"/>
          <w:sz w:val="24"/>
          <w:szCs w:val="24"/>
          <w:highlight w:val="none"/>
        </w:rPr>
        <w:t>（二）评审争议事项处理</w:t>
      </w:r>
      <w:bookmarkEnd w:id="187"/>
    </w:p>
    <w:p w14:paraId="6051CB06">
      <w:pPr>
        <w:tabs>
          <w:tab w:val="left" w:pos="2472"/>
        </w:tabs>
        <w:spacing w:line="360" w:lineRule="auto"/>
        <w:ind w:firstLine="420" w:firstLineChars="200"/>
        <w:rPr>
          <w:rFonts w:ascii="宋体" w:hAnsi="宋体" w:eastAsia="宋体" w:cs="宋体"/>
          <w:color w:val="auto"/>
          <w:szCs w:val="20"/>
          <w:highlight w:val="none"/>
        </w:rPr>
      </w:pPr>
      <w:r>
        <w:rPr>
          <w:rFonts w:hint="eastAsia" w:ascii="宋体" w:hAnsi="宋体" w:eastAsia="宋体" w:cs="宋体"/>
          <w:color w:val="auto"/>
          <w:szCs w:val="20"/>
          <w:highlight w:val="none"/>
        </w:rPr>
        <w:t>评审委员会成员对需要共同认定的事项存在争议的，应当按照少数服从多数的原则作出结论。持不同意见的评审委员会成员应当在评审报告上签署不同意见及理由，否则视为同意评审报告。</w:t>
      </w:r>
    </w:p>
    <w:p w14:paraId="65E5BB47">
      <w:pPr>
        <w:tabs>
          <w:tab w:val="left" w:pos="2472"/>
        </w:tabs>
        <w:spacing w:line="460" w:lineRule="exact"/>
        <w:rPr>
          <w:rFonts w:ascii="宋体" w:hAnsi="宋体" w:eastAsia="宋体" w:cs="宋体"/>
          <w:b/>
          <w:color w:val="auto"/>
          <w:sz w:val="36"/>
          <w:szCs w:val="20"/>
          <w:highlight w:val="none"/>
        </w:rPr>
        <w:sectPr>
          <w:footerReference r:id="rId6" w:type="default"/>
          <w:pgSz w:w="11906" w:h="16838"/>
          <w:pgMar w:top="1134" w:right="1134" w:bottom="1134" w:left="1134" w:header="720" w:footer="720" w:gutter="0"/>
          <w:cols w:space="720" w:num="1"/>
          <w:docGrid w:type="lines" w:linePitch="331" w:charSpace="0"/>
        </w:sectPr>
      </w:pPr>
    </w:p>
    <w:p w14:paraId="146B1A31">
      <w:pPr>
        <w:tabs>
          <w:tab w:val="left" w:pos="2472"/>
        </w:tabs>
        <w:spacing w:line="460" w:lineRule="exact"/>
        <w:jc w:val="center"/>
        <w:rPr>
          <w:rFonts w:ascii="宋体" w:hAnsi="宋体" w:eastAsia="宋体" w:cs="宋体"/>
          <w:b/>
          <w:color w:val="auto"/>
          <w:sz w:val="36"/>
          <w:szCs w:val="20"/>
          <w:highlight w:val="none"/>
        </w:rPr>
      </w:pPr>
    </w:p>
    <w:p w14:paraId="06CBBAA0">
      <w:pPr>
        <w:tabs>
          <w:tab w:val="left" w:pos="2472"/>
        </w:tabs>
        <w:spacing w:line="460" w:lineRule="exact"/>
        <w:jc w:val="center"/>
        <w:rPr>
          <w:rFonts w:ascii="宋体" w:hAnsi="宋体" w:eastAsia="宋体" w:cs="宋体"/>
          <w:b/>
          <w:color w:val="auto"/>
          <w:sz w:val="36"/>
          <w:szCs w:val="20"/>
          <w:highlight w:val="none"/>
        </w:rPr>
      </w:pPr>
    </w:p>
    <w:p w14:paraId="23E37D69">
      <w:pPr>
        <w:rPr>
          <w:rFonts w:ascii="Times New Roman" w:hAnsi="Times New Roman" w:eastAsia="宋体" w:cs="Times New Roman"/>
          <w:color w:val="auto"/>
          <w:szCs w:val="24"/>
          <w:highlight w:val="none"/>
        </w:rPr>
      </w:pPr>
    </w:p>
    <w:p w14:paraId="10941436">
      <w:pPr>
        <w:keepNext/>
        <w:keepLines/>
        <w:spacing w:before="340" w:after="330" w:line="576" w:lineRule="auto"/>
        <w:outlineLvl w:val="0"/>
        <w:rPr>
          <w:rFonts w:ascii="Times New Roman" w:hAnsi="Times New Roman" w:eastAsia="宋体" w:cs="Times New Roman"/>
          <w:b/>
          <w:bCs/>
          <w:color w:val="auto"/>
          <w:kern w:val="44"/>
          <w:sz w:val="44"/>
          <w:szCs w:val="44"/>
          <w:highlight w:val="none"/>
        </w:rPr>
      </w:pPr>
    </w:p>
    <w:p w14:paraId="660E7ED4">
      <w:pPr>
        <w:tabs>
          <w:tab w:val="left" w:pos="2472"/>
        </w:tabs>
        <w:spacing w:line="460" w:lineRule="exact"/>
        <w:jc w:val="center"/>
        <w:rPr>
          <w:rFonts w:ascii="宋体" w:hAnsi="宋体" w:eastAsia="宋体" w:cs="宋体"/>
          <w:b/>
          <w:color w:val="auto"/>
          <w:sz w:val="36"/>
          <w:szCs w:val="20"/>
          <w:highlight w:val="none"/>
        </w:rPr>
      </w:pPr>
    </w:p>
    <w:p w14:paraId="6EAA6FFF">
      <w:pPr>
        <w:tabs>
          <w:tab w:val="left" w:pos="2472"/>
        </w:tabs>
        <w:spacing w:line="460" w:lineRule="exact"/>
        <w:jc w:val="center"/>
        <w:rPr>
          <w:rFonts w:ascii="宋体" w:hAnsi="宋体" w:eastAsia="宋体" w:cs="宋体"/>
          <w:b/>
          <w:color w:val="auto"/>
          <w:sz w:val="36"/>
          <w:szCs w:val="20"/>
          <w:highlight w:val="none"/>
        </w:rPr>
      </w:pPr>
    </w:p>
    <w:p w14:paraId="7DB4C9BB">
      <w:pPr>
        <w:tabs>
          <w:tab w:val="left" w:pos="2472"/>
        </w:tabs>
        <w:spacing w:line="460" w:lineRule="exact"/>
        <w:jc w:val="center"/>
        <w:rPr>
          <w:rFonts w:ascii="宋体" w:hAnsi="宋体" w:eastAsia="宋体" w:cs="宋体"/>
          <w:b/>
          <w:color w:val="auto"/>
          <w:sz w:val="36"/>
          <w:szCs w:val="20"/>
          <w:highlight w:val="none"/>
        </w:rPr>
      </w:pPr>
    </w:p>
    <w:p w14:paraId="2EC795C3">
      <w:pPr>
        <w:tabs>
          <w:tab w:val="left" w:pos="2472"/>
        </w:tabs>
        <w:spacing w:line="460" w:lineRule="exact"/>
        <w:jc w:val="center"/>
        <w:rPr>
          <w:rFonts w:ascii="宋体" w:hAnsi="宋体" w:eastAsia="宋体" w:cs="宋体"/>
          <w:b/>
          <w:color w:val="auto"/>
          <w:sz w:val="36"/>
          <w:szCs w:val="20"/>
          <w:highlight w:val="none"/>
        </w:rPr>
      </w:pPr>
    </w:p>
    <w:p w14:paraId="78AFBA89">
      <w:pPr>
        <w:tabs>
          <w:tab w:val="left" w:pos="2472"/>
        </w:tabs>
        <w:spacing w:line="460" w:lineRule="exact"/>
        <w:jc w:val="center"/>
        <w:rPr>
          <w:rFonts w:ascii="宋体" w:hAnsi="宋体" w:eastAsia="宋体" w:cs="宋体"/>
          <w:b/>
          <w:color w:val="auto"/>
          <w:sz w:val="36"/>
          <w:szCs w:val="20"/>
          <w:highlight w:val="none"/>
        </w:rPr>
      </w:pPr>
    </w:p>
    <w:p w14:paraId="448CBFD8">
      <w:pPr>
        <w:tabs>
          <w:tab w:val="left" w:pos="2472"/>
        </w:tabs>
        <w:spacing w:line="460" w:lineRule="exact"/>
        <w:jc w:val="center"/>
        <w:outlineLvl w:val="0"/>
        <w:rPr>
          <w:rFonts w:ascii="宋体" w:hAnsi="宋体" w:eastAsia="宋体" w:cs="宋体"/>
          <w:b/>
          <w:color w:val="auto"/>
          <w:sz w:val="36"/>
          <w:szCs w:val="20"/>
          <w:highlight w:val="none"/>
        </w:rPr>
      </w:pPr>
      <w:bookmarkStart w:id="188" w:name="_Toc20520"/>
      <w:bookmarkStart w:id="189" w:name="_Toc146703305"/>
      <w:bookmarkStart w:id="190" w:name="_Toc80093009"/>
      <w:r>
        <w:rPr>
          <w:rFonts w:hint="eastAsia" w:ascii="宋体" w:hAnsi="宋体" w:eastAsia="宋体" w:cs="宋体"/>
          <w:b/>
          <w:color w:val="auto"/>
          <w:sz w:val="36"/>
          <w:szCs w:val="20"/>
          <w:highlight w:val="none"/>
        </w:rPr>
        <w:t>第五章 拟签订的框架协议和采购合同文本</w:t>
      </w:r>
      <w:bookmarkEnd w:id="188"/>
      <w:bookmarkEnd w:id="189"/>
      <w:bookmarkEnd w:id="190"/>
    </w:p>
    <w:p w14:paraId="595D424E">
      <w:pPr>
        <w:tabs>
          <w:tab w:val="left" w:pos="2472"/>
        </w:tabs>
        <w:spacing w:line="460" w:lineRule="exact"/>
        <w:jc w:val="center"/>
        <w:rPr>
          <w:rFonts w:ascii="宋体" w:hAnsi="宋体" w:eastAsia="宋体" w:cs="宋体"/>
          <w:b/>
          <w:bCs/>
          <w:color w:val="auto"/>
          <w:sz w:val="44"/>
          <w:szCs w:val="20"/>
          <w:highlight w:val="none"/>
        </w:rPr>
      </w:pPr>
      <w:r>
        <w:rPr>
          <w:rFonts w:hint="eastAsia" w:ascii="宋体" w:hAnsi="宋体" w:eastAsia="宋体" w:cs="宋体"/>
          <w:color w:val="auto"/>
          <w:szCs w:val="20"/>
          <w:highlight w:val="none"/>
        </w:rPr>
        <w:br w:type="page"/>
      </w:r>
    </w:p>
    <w:p w14:paraId="0EC1331C">
      <w:pPr>
        <w:tabs>
          <w:tab w:val="left" w:pos="2472"/>
        </w:tabs>
        <w:spacing w:line="460" w:lineRule="exact"/>
        <w:jc w:val="center"/>
        <w:rPr>
          <w:rFonts w:ascii="宋体" w:hAnsi="宋体" w:eastAsia="宋体" w:cs="宋体"/>
          <w:b/>
          <w:bCs/>
          <w:color w:val="auto"/>
          <w:sz w:val="44"/>
          <w:szCs w:val="20"/>
          <w:highlight w:val="none"/>
        </w:rPr>
      </w:pPr>
    </w:p>
    <w:p w14:paraId="5B1AD188">
      <w:pPr>
        <w:rPr>
          <w:rFonts w:ascii="Times New Roman" w:hAnsi="Times New Roman" w:eastAsia="宋体" w:cs="Times New Roman"/>
          <w:color w:val="auto"/>
          <w:szCs w:val="24"/>
          <w:highlight w:val="none"/>
        </w:rPr>
      </w:pPr>
    </w:p>
    <w:p w14:paraId="79A21D2C">
      <w:pPr>
        <w:keepNext/>
        <w:keepLines/>
        <w:spacing w:before="340" w:after="330" w:line="576" w:lineRule="auto"/>
        <w:outlineLvl w:val="0"/>
        <w:rPr>
          <w:rFonts w:ascii="Times New Roman" w:hAnsi="Times New Roman" w:eastAsia="宋体" w:cs="Times New Roman"/>
          <w:b/>
          <w:bCs/>
          <w:color w:val="auto"/>
          <w:kern w:val="44"/>
          <w:sz w:val="44"/>
          <w:szCs w:val="44"/>
          <w:highlight w:val="none"/>
        </w:rPr>
      </w:pPr>
    </w:p>
    <w:p w14:paraId="7D932465">
      <w:pPr>
        <w:rPr>
          <w:rFonts w:ascii="Times New Roman" w:hAnsi="Times New Roman" w:eastAsia="宋体" w:cs="Times New Roman"/>
          <w:color w:val="auto"/>
          <w:szCs w:val="24"/>
          <w:highlight w:val="none"/>
        </w:rPr>
      </w:pPr>
    </w:p>
    <w:p w14:paraId="2CDD3D3F">
      <w:pPr>
        <w:keepNext/>
        <w:keepLines/>
        <w:spacing w:before="340" w:after="330" w:line="576" w:lineRule="auto"/>
        <w:outlineLvl w:val="0"/>
        <w:rPr>
          <w:rFonts w:ascii="Times New Roman" w:hAnsi="Times New Roman" w:eastAsia="宋体" w:cs="Times New Roman"/>
          <w:b/>
          <w:bCs/>
          <w:color w:val="auto"/>
          <w:kern w:val="44"/>
          <w:sz w:val="44"/>
          <w:szCs w:val="44"/>
          <w:highlight w:val="none"/>
        </w:rPr>
      </w:pPr>
    </w:p>
    <w:p w14:paraId="0DAC4949">
      <w:pPr>
        <w:rPr>
          <w:rFonts w:ascii="Times New Roman" w:hAnsi="Times New Roman" w:eastAsia="宋体" w:cs="Times New Roman"/>
          <w:color w:val="auto"/>
          <w:szCs w:val="24"/>
          <w:highlight w:val="none"/>
        </w:rPr>
      </w:pPr>
    </w:p>
    <w:p w14:paraId="51021E36">
      <w:pPr>
        <w:tabs>
          <w:tab w:val="left" w:pos="2472"/>
        </w:tabs>
        <w:spacing w:line="460" w:lineRule="exact"/>
        <w:jc w:val="center"/>
        <w:outlineLvl w:val="0"/>
        <w:rPr>
          <w:rFonts w:ascii="宋体" w:hAnsi="宋体" w:eastAsia="宋体" w:cs="宋体"/>
          <w:b/>
          <w:color w:val="auto"/>
          <w:sz w:val="36"/>
          <w:szCs w:val="20"/>
          <w:highlight w:val="none"/>
        </w:rPr>
      </w:pPr>
      <w:bookmarkStart w:id="191" w:name="_Toc146703306"/>
      <w:bookmarkStart w:id="192" w:name="_Toc27105"/>
      <w:r>
        <w:rPr>
          <w:rFonts w:hint="eastAsia" w:ascii="宋体" w:hAnsi="宋体" w:eastAsia="宋体" w:cs="宋体"/>
          <w:b/>
          <w:bCs/>
          <w:color w:val="auto"/>
          <w:sz w:val="44"/>
          <w:szCs w:val="20"/>
          <w:highlight w:val="none"/>
        </w:rPr>
        <w:t>第一节 框架协议文本</w:t>
      </w:r>
      <w:bookmarkEnd w:id="191"/>
      <w:r>
        <w:rPr>
          <w:rFonts w:hint="eastAsia" w:ascii="宋体" w:hAnsi="宋体" w:eastAsia="宋体" w:cs="宋体"/>
          <w:b/>
          <w:color w:val="auto"/>
          <w:sz w:val="36"/>
          <w:szCs w:val="20"/>
          <w:highlight w:val="none"/>
        </w:rPr>
        <w:br w:type="page"/>
      </w:r>
      <w:bookmarkEnd w:id="192"/>
    </w:p>
    <w:p w14:paraId="45D254BD">
      <w:pPr>
        <w:spacing w:line="360" w:lineRule="auto"/>
        <w:jc w:val="center"/>
        <w:rPr>
          <w:rFonts w:ascii="宋体" w:hAnsi="宋体" w:eastAsia="宋体" w:cs="宋体"/>
          <w:color w:val="auto"/>
          <w:szCs w:val="24"/>
          <w:highlight w:val="none"/>
        </w:rPr>
      </w:pPr>
    </w:p>
    <w:p w14:paraId="1729C62F">
      <w:pPr>
        <w:spacing w:line="360" w:lineRule="auto"/>
        <w:jc w:val="center"/>
        <w:rPr>
          <w:rFonts w:hint="eastAsia" w:ascii="宋体" w:hAnsi="宋体" w:eastAsia="宋体" w:cs="宋体"/>
          <w:b/>
          <w:bCs/>
          <w:color w:val="auto"/>
          <w:sz w:val="44"/>
          <w:szCs w:val="24"/>
          <w:highlight w:val="none"/>
          <w:lang w:eastAsia="zh-CN"/>
        </w:rPr>
      </w:pPr>
      <w:r>
        <w:rPr>
          <w:rFonts w:hint="eastAsia" w:ascii="宋体" w:hAnsi="宋体" w:eastAsia="宋体" w:cs="宋体"/>
          <w:b/>
          <w:bCs/>
          <w:color w:val="auto"/>
          <w:sz w:val="44"/>
          <w:szCs w:val="24"/>
          <w:highlight w:val="none"/>
          <w:lang w:eastAsia="zh-CN"/>
        </w:rPr>
        <w:t>邕宁区2026-2027年度政府投资建设项目预算审核服务框架协议采购</w:t>
      </w:r>
    </w:p>
    <w:p w14:paraId="36BB3937">
      <w:pPr>
        <w:spacing w:line="360" w:lineRule="auto"/>
        <w:jc w:val="center"/>
        <w:rPr>
          <w:rFonts w:ascii="宋体" w:hAnsi="宋体" w:eastAsia="宋体" w:cs="宋体"/>
          <w:b/>
          <w:bCs/>
          <w:color w:val="auto"/>
          <w:sz w:val="44"/>
          <w:szCs w:val="24"/>
          <w:highlight w:val="none"/>
        </w:rPr>
      </w:pPr>
    </w:p>
    <w:p w14:paraId="5A16518B">
      <w:pPr>
        <w:spacing w:line="360" w:lineRule="auto"/>
        <w:ind w:firstLine="3507" w:firstLineChars="794"/>
        <w:rPr>
          <w:rFonts w:ascii="宋体" w:hAnsi="宋体" w:eastAsia="宋体" w:cs="宋体"/>
          <w:b/>
          <w:bCs/>
          <w:color w:val="auto"/>
          <w:sz w:val="44"/>
          <w:szCs w:val="24"/>
          <w:highlight w:val="none"/>
        </w:rPr>
      </w:pPr>
    </w:p>
    <w:p w14:paraId="09946BAE">
      <w:pPr>
        <w:spacing w:line="660" w:lineRule="exact"/>
        <w:ind w:firstLine="3507" w:firstLineChars="794"/>
        <w:rPr>
          <w:rFonts w:ascii="宋体" w:hAnsi="宋体" w:eastAsia="宋体" w:cs="宋体"/>
          <w:b/>
          <w:bCs/>
          <w:color w:val="auto"/>
          <w:sz w:val="44"/>
          <w:szCs w:val="24"/>
          <w:highlight w:val="none"/>
        </w:rPr>
      </w:pPr>
    </w:p>
    <w:p w14:paraId="50BDAAA5">
      <w:pPr>
        <w:spacing w:line="660" w:lineRule="exact"/>
        <w:ind w:firstLine="1995" w:firstLineChars="552"/>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项目编号：</w:t>
      </w:r>
      <w:r>
        <w:rPr>
          <w:rFonts w:hint="eastAsia" w:ascii="宋体" w:hAnsi="宋体" w:eastAsia="宋体" w:cs="宋体"/>
          <w:b/>
          <w:color w:val="auto"/>
          <w:sz w:val="36"/>
          <w:szCs w:val="36"/>
          <w:highlight w:val="none"/>
          <w:u w:val="single"/>
        </w:rPr>
        <w:t xml:space="preserve">                     </w:t>
      </w:r>
    </w:p>
    <w:p w14:paraId="00C4DA40">
      <w:pPr>
        <w:spacing w:line="660" w:lineRule="exact"/>
        <w:ind w:firstLine="1995" w:firstLineChars="552"/>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0EFDB22E">
      <w:pPr>
        <w:tabs>
          <w:tab w:val="left" w:pos="7200"/>
        </w:tabs>
        <w:spacing w:line="660" w:lineRule="exact"/>
        <w:ind w:firstLine="1995" w:firstLineChars="552"/>
        <w:rPr>
          <w:rFonts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征集人：</w:t>
      </w:r>
      <w:r>
        <w:rPr>
          <w:rFonts w:hint="eastAsia" w:ascii="宋体" w:hAnsi="宋体" w:eastAsia="宋体" w:cs="宋体"/>
          <w:b/>
          <w:color w:val="auto"/>
          <w:sz w:val="36"/>
          <w:szCs w:val="36"/>
          <w:highlight w:val="none"/>
          <w:u w:val="single"/>
        </w:rPr>
        <w:t xml:space="preserve">  南宁市邕宁区财政局   </w:t>
      </w:r>
    </w:p>
    <w:p w14:paraId="657F1EA5">
      <w:pPr>
        <w:tabs>
          <w:tab w:val="left" w:pos="7380"/>
        </w:tabs>
        <w:spacing w:line="660" w:lineRule="exact"/>
        <w:ind w:firstLine="1995" w:firstLineChars="552"/>
        <w:rPr>
          <w:rFonts w:hint="eastAsia" w:ascii="宋体" w:hAnsi="宋体" w:eastAsia="宋体" w:cs="宋体"/>
          <w:b/>
          <w:color w:val="auto"/>
          <w:sz w:val="36"/>
          <w:szCs w:val="36"/>
          <w:highlight w:val="none"/>
        </w:rPr>
      </w:pPr>
    </w:p>
    <w:p w14:paraId="570265FB">
      <w:pPr>
        <w:tabs>
          <w:tab w:val="left" w:pos="7380"/>
        </w:tabs>
        <w:spacing w:line="660" w:lineRule="exact"/>
        <w:ind w:firstLine="1995" w:firstLineChars="552"/>
        <w:rPr>
          <w:rFonts w:ascii="宋体" w:hAnsi="宋体" w:eastAsia="宋体" w:cs="宋体"/>
          <w:b/>
          <w:bCs/>
          <w:color w:val="auto"/>
          <w:sz w:val="44"/>
          <w:szCs w:val="24"/>
          <w:highlight w:val="none"/>
        </w:rPr>
      </w:pPr>
      <w:r>
        <w:rPr>
          <w:rFonts w:hint="eastAsia" w:ascii="宋体" w:hAnsi="宋体" w:eastAsia="宋体" w:cs="宋体"/>
          <w:b/>
          <w:color w:val="auto"/>
          <w:sz w:val="36"/>
          <w:szCs w:val="36"/>
          <w:highlight w:val="none"/>
        </w:rPr>
        <w:t>入围供应商：</w:t>
      </w:r>
      <w:r>
        <w:rPr>
          <w:rFonts w:hint="eastAsia" w:ascii="宋体" w:hAnsi="宋体" w:eastAsia="宋体" w:cs="宋体"/>
          <w:b/>
          <w:color w:val="auto"/>
          <w:sz w:val="36"/>
          <w:szCs w:val="36"/>
          <w:highlight w:val="none"/>
          <w:u w:val="single"/>
        </w:rPr>
        <w:t xml:space="preserve">           </w:t>
      </w:r>
      <w:r>
        <w:rPr>
          <w:rFonts w:hint="eastAsia" w:ascii="宋体" w:hAnsi="宋体" w:eastAsia="宋体" w:cs="宋体"/>
          <w:b/>
          <w:color w:val="auto"/>
          <w:sz w:val="36"/>
          <w:szCs w:val="36"/>
          <w:highlight w:val="none"/>
          <w:u w:val="single"/>
          <w:lang w:val="en-US" w:eastAsia="zh-CN"/>
        </w:rPr>
        <w:t xml:space="preserve">     </w:t>
      </w:r>
      <w:r>
        <w:rPr>
          <w:rFonts w:hint="eastAsia" w:ascii="宋体" w:hAnsi="宋体" w:eastAsia="宋体" w:cs="宋体"/>
          <w:b/>
          <w:color w:val="auto"/>
          <w:sz w:val="36"/>
          <w:szCs w:val="36"/>
          <w:highlight w:val="none"/>
          <w:u w:val="single"/>
        </w:rPr>
        <w:t xml:space="preserve">   </w:t>
      </w:r>
    </w:p>
    <w:p w14:paraId="70E8C45A">
      <w:pPr>
        <w:tabs>
          <w:tab w:val="left" w:pos="7380"/>
        </w:tabs>
        <w:spacing w:line="660" w:lineRule="exact"/>
        <w:rPr>
          <w:rFonts w:ascii="宋体" w:hAnsi="宋体" w:eastAsia="宋体" w:cs="宋体"/>
          <w:b/>
          <w:bCs/>
          <w:color w:val="auto"/>
          <w:sz w:val="44"/>
          <w:szCs w:val="24"/>
          <w:highlight w:val="none"/>
        </w:rPr>
      </w:pPr>
    </w:p>
    <w:p w14:paraId="01D000E5">
      <w:pPr>
        <w:tabs>
          <w:tab w:val="left" w:pos="7380"/>
        </w:tabs>
        <w:spacing w:line="360" w:lineRule="auto"/>
        <w:jc w:val="center"/>
        <w:rPr>
          <w:rFonts w:ascii="宋体" w:hAnsi="宋体" w:eastAsia="宋体" w:cs="宋体"/>
          <w:b/>
          <w:bCs/>
          <w:color w:val="auto"/>
          <w:sz w:val="44"/>
          <w:szCs w:val="24"/>
          <w:highlight w:val="none"/>
        </w:rPr>
      </w:pPr>
      <w:r>
        <w:rPr>
          <w:rFonts w:hint="eastAsia" w:ascii="宋体" w:hAnsi="宋体" w:eastAsia="宋体" w:cs="宋体"/>
          <w:b/>
          <w:bCs/>
          <w:color w:val="auto"/>
          <w:sz w:val="44"/>
          <w:szCs w:val="24"/>
          <w:highlight w:val="none"/>
        </w:rPr>
        <w:br w:type="page"/>
      </w:r>
    </w:p>
    <w:p w14:paraId="2AB79DCE">
      <w:pPr>
        <w:tabs>
          <w:tab w:val="left" w:pos="7380"/>
        </w:tabs>
        <w:spacing w:line="360" w:lineRule="auto"/>
        <w:jc w:val="center"/>
        <w:rPr>
          <w:rFonts w:ascii="宋体" w:hAnsi="宋体" w:eastAsia="宋体" w:cs="宋体"/>
          <w:b/>
          <w:bCs/>
          <w:color w:val="auto"/>
          <w:sz w:val="44"/>
          <w:szCs w:val="24"/>
          <w:highlight w:val="none"/>
        </w:rPr>
      </w:pPr>
      <w:r>
        <w:rPr>
          <w:rFonts w:hint="eastAsia" w:ascii="宋体" w:hAnsi="宋体" w:eastAsia="宋体" w:cs="宋体"/>
          <w:b/>
          <w:color w:val="auto"/>
          <w:sz w:val="36"/>
          <w:szCs w:val="36"/>
          <w:highlight w:val="none"/>
        </w:rPr>
        <w:t>目  录</w:t>
      </w:r>
    </w:p>
    <w:p w14:paraId="0F0C2E2C">
      <w:pPr>
        <w:tabs>
          <w:tab w:val="left" w:pos="1170"/>
        </w:tabs>
        <w:spacing w:line="360" w:lineRule="auto"/>
        <w:ind w:left="359" w:leftChars="171" w:firstLine="198" w:firstLineChars="71"/>
        <w:rPr>
          <w:rFonts w:ascii="宋体" w:hAnsi="宋体" w:eastAsia="宋体" w:cs="宋体"/>
          <w:color w:val="auto"/>
          <w:sz w:val="28"/>
          <w:szCs w:val="24"/>
          <w:highlight w:val="none"/>
        </w:rPr>
      </w:pPr>
      <w:r>
        <w:rPr>
          <w:rFonts w:hint="eastAsia" w:ascii="宋体" w:hAnsi="宋体" w:eastAsia="宋体" w:cs="宋体"/>
          <w:color w:val="auto"/>
          <w:sz w:val="28"/>
          <w:szCs w:val="24"/>
          <w:highlight w:val="none"/>
        </w:rPr>
        <w:tab/>
      </w:r>
    </w:p>
    <w:p w14:paraId="7BF7040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一、框架协议文本</w:t>
      </w:r>
    </w:p>
    <w:p w14:paraId="77278F7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二、协议附件</w:t>
      </w:r>
    </w:p>
    <w:p w14:paraId="0C1F052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1.中标通知书</w:t>
      </w:r>
    </w:p>
    <w:p w14:paraId="6E0B426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2.征集文件服务需求一览表</w:t>
      </w:r>
    </w:p>
    <w:p w14:paraId="75DD240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3.征集文件的</w:t>
      </w:r>
      <w:r>
        <w:rPr>
          <w:rFonts w:hint="eastAsia" w:ascii="宋体" w:hAnsi="宋体" w:eastAsia="宋体" w:cs="宋体"/>
          <w:color w:val="auto"/>
          <w:sz w:val="28"/>
          <w:szCs w:val="20"/>
          <w:highlight w:val="none"/>
        </w:rPr>
        <w:t>更改通知（如有）</w:t>
      </w:r>
    </w:p>
    <w:p w14:paraId="7C0016D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4.响应函</w:t>
      </w:r>
    </w:p>
    <w:p w14:paraId="490040C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5.开标一览表</w:t>
      </w:r>
    </w:p>
    <w:p w14:paraId="7E2D598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6.响应服务技术需求偏离表</w:t>
      </w:r>
    </w:p>
    <w:p w14:paraId="54C12BA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7.商务条款偏离表</w:t>
      </w:r>
    </w:p>
    <w:p w14:paraId="3F56D8B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8.中标供应商澄清函（如有请提</w:t>
      </w:r>
      <w:r>
        <w:rPr>
          <w:rFonts w:hint="eastAsia" w:ascii="宋体" w:hAnsi="宋体" w:eastAsia="宋体" w:cs="宋体"/>
          <w:color w:val="auto"/>
          <w:sz w:val="30"/>
          <w:szCs w:val="30"/>
          <w:highlight w:val="none"/>
        </w:rPr>
        <w:t>供</w:t>
      </w:r>
      <w:r>
        <w:rPr>
          <w:rFonts w:hint="eastAsia" w:ascii="宋体" w:hAnsi="宋体" w:eastAsia="宋体" w:cs="宋体"/>
          <w:color w:val="auto"/>
          <w:sz w:val="28"/>
          <w:szCs w:val="28"/>
          <w:highlight w:val="none"/>
        </w:rPr>
        <w:t>）</w:t>
      </w:r>
    </w:p>
    <w:p w14:paraId="14BE833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9.人员配备一览表</w:t>
      </w:r>
    </w:p>
    <w:p w14:paraId="3727E71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10.其他与本合同相关的资料（如有请提</w:t>
      </w:r>
      <w:r>
        <w:rPr>
          <w:rFonts w:hint="eastAsia" w:ascii="宋体" w:hAnsi="宋体" w:eastAsia="宋体" w:cs="宋体"/>
          <w:color w:val="auto"/>
          <w:sz w:val="30"/>
          <w:szCs w:val="30"/>
          <w:highlight w:val="none"/>
        </w:rPr>
        <w:t>供</w:t>
      </w:r>
      <w:r>
        <w:rPr>
          <w:rFonts w:hint="eastAsia" w:ascii="宋体" w:hAnsi="宋体" w:eastAsia="宋体" w:cs="宋体"/>
          <w:color w:val="auto"/>
          <w:sz w:val="28"/>
          <w:szCs w:val="28"/>
          <w:highlight w:val="none"/>
        </w:rPr>
        <w:t>）</w:t>
      </w:r>
      <w:r>
        <w:rPr>
          <w:rFonts w:hint="eastAsia" w:ascii="宋体" w:hAnsi="宋体" w:eastAsia="宋体" w:cs="宋体"/>
          <w:color w:val="auto"/>
          <w:sz w:val="44"/>
          <w:szCs w:val="20"/>
          <w:highlight w:val="none"/>
        </w:rPr>
        <w:t xml:space="preserve"> </w:t>
      </w:r>
    </w:p>
    <w:p w14:paraId="42173037">
      <w:pPr>
        <w:spacing w:line="360" w:lineRule="auto"/>
        <w:jc w:val="center"/>
        <w:rPr>
          <w:rFonts w:ascii="宋体" w:hAnsi="宋体" w:eastAsia="宋体" w:cs="宋体"/>
          <w:b/>
          <w:color w:val="auto"/>
          <w:sz w:val="30"/>
          <w:szCs w:val="30"/>
          <w:highlight w:val="none"/>
        </w:rPr>
      </w:pPr>
    </w:p>
    <w:p w14:paraId="6F943B86">
      <w:pPr>
        <w:spacing w:line="360" w:lineRule="auto"/>
        <w:jc w:val="center"/>
        <w:rPr>
          <w:rFonts w:ascii="宋体" w:hAnsi="宋体" w:eastAsia="宋体" w:cs="宋体"/>
          <w:b/>
          <w:color w:val="auto"/>
          <w:sz w:val="30"/>
          <w:szCs w:val="30"/>
          <w:highlight w:val="none"/>
        </w:rPr>
      </w:pPr>
    </w:p>
    <w:p w14:paraId="177A36EC">
      <w:pPr>
        <w:spacing w:line="360" w:lineRule="auto"/>
        <w:jc w:val="center"/>
        <w:rPr>
          <w:rFonts w:ascii="宋体" w:hAnsi="宋体" w:eastAsia="宋体" w:cs="宋体"/>
          <w:b/>
          <w:color w:val="auto"/>
          <w:sz w:val="30"/>
          <w:szCs w:val="30"/>
          <w:highlight w:val="none"/>
        </w:rPr>
      </w:pPr>
    </w:p>
    <w:p w14:paraId="127E75B2">
      <w:pPr>
        <w:spacing w:line="360" w:lineRule="auto"/>
        <w:jc w:val="center"/>
        <w:rPr>
          <w:rFonts w:ascii="宋体" w:hAnsi="宋体" w:eastAsia="宋体" w:cs="宋体"/>
          <w:b/>
          <w:color w:val="auto"/>
          <w:sz w:val="30"/>
          <w:szCs w:val="30"/>
          <w:highlight w:val="none"/>
        </w:rPr>
      </w:pPr>
    </w:p>
    <w:p w14:paraId="5D9D9C51">
      <w:pPr>
        <w:keepNext/>
        <w:keepLines/>
        <w:spacing w:before="340" w:after="330" w:line="576" w:lineRule="auto"/>
        <w:outlineLvl w:val="0"/>
        <w:rPr>
          <w:rFonts w:ascii="Times New Roman" w:hAnsi="Times New Roman" w:eastAsia="宋体" w:cs="Times New Roman"/>
          <w:b/>
          <w:bCs/>
          <w:color w:val="auto"/>
          <w:kern w:val="44"/>
          <w:sz w:val="44"/>
          <w:szCs w:val="44"/>
          <w:highlight w:val="none"/>
        </w:rPr>
      </w:pPr>
    </w:p>
    <w:p w14:paraId="3414070F">
      <w:pPr>
        <w:tabs>
          <w:tab w:val="left" w:pos="7380"/>
        </w:tabs>
        <w:spacing w:line="360" w:lineRule="auto"/>
        <w:jc w:val="center"/>
        <w:rPr>
          <w:rFonts w:ascii="宋体" w:hAnsi="宋体" w:eastAsia="宋体" w:cs="宋体"/>
          <w:b/>
          <w:color w:val="auto"/>
          <w:sz w:val="30"/>
          <w:szCs w:val="30"/>
          <w:highlight w:val="none"/>
        </w:rPr>
      </w:pPr>
    </w:p>
    <w:p w14:paraId="6584FD05">
      <w:pPr>
        <w:spacing w:line="360" w:lineRule="auto"/>
        <w:jc w:val="center"/>
        <w:rPr>
          <w:rFonts w:ascii="宋体" w:hAnsi="宋体" w:eastAsia="宋体" w:cs="宋体"/>
          <w:b/>
          <w:color w:val="auto"/>
          <w:sz w:val="30"/>
          <w:szCs w:val="30"/>
          <w:highlight w:val="none"/>
        </w:rPr>
      </w:pPr>
    </w:p>
    <w:p w14:paraId="0F705481">
      <w:pPr>
        <w:spacing w:line="360" w:lineRule="auto"/>
        <w:jc w:val="center"/>
        <w:rPr>
          <w:rFonts w:ascii="宋体" w:hAnsi="宋体" w:eastAsia="宋体" w:cs="宋体"/>
          <w:b/>
          <w:color w:val="auto"/>
          <w:sz w:val="30"/>
          <w:szCs w:val="30"/>
          <w:highlight w:val="none"/>
        </w:rPr>
      </w:pPr>
    </w:p>
    <w:p w14:paraId="48CC1C23">
      <w:pPr>
        <w:spacing w:line="360" w:lineRule="auto"/>
        <w:jc w:val="center"/>
        <w:rPr>
          <w:rFonts w:hint="eastAsia" w:ascii="宋体" w:hAnsi="宋体" w:eastAsia="宋体" w:cs="宋体"/>
          <w:b/>
          <w:color w:val="auto"/>
          <w:sz w:val="30"/>
          <w:szCs w:val="30"/>
          <w:highlight w:val="none"/>
        </w:rPr>
      </w:pPr>
    </w:p>
    <w:p w14:paraId="348C1D4E">
      <w:pPr>
        <w:spacing w:line="360" w:lineRule="auto"/>
        <w:jc w:val="center"/>
        <w:rPr>
          <w:rFonts w:ascii="宋体" w:hAnsi="宋体" w:eastAsia="宋体" w:cs="宋体"/>
          <w:b/>
          <w:color w:val="auto"/>
          <w:sz w:val="30"/>
          <w:szCs w:val="30"/>
          <w:highlight w:val="none"/>
        </w:rPr>
      </w:pPr>
    </w:p>
    <w:p w14:paraId="17EE3377">
      <w:pPr>
        <w:jc w:val="center"/>
        <w:rPr>
          <w:rFonts w:ascii="方正小标宋简体" w:hAnsi="宋体" w:eastAsia="方正小标宋简体" w:cs="Times New Roman"/>
          <w:color w:val="auto"/>
          <w:sz w:val="36"/>
          <w:szCs w:val="36"/>
          <w:highlight w:val="none"/>
        </w:rPr>
      </w:pPr>
      <w:r>
        <w:rPr>
          <w:rFonts w:hint="eastAsia" w:ascii="方正小标宋简体" w:hAnsi="宋体" w:eastAsia="方正小标宋简体" w:cs="Times New Roman"/>
          <w:color w:val="auto"/>
          <w:sz w:val="36"/>
          <w:szCs w:val="36"/>
          <w:highlight w:val="none"/>
        </w:rPr>
        <w:t>邕宁区</w:t>
      </w:r>
      <w:r>
        <w:rPr>
          <w:rFonts w:hint="eastAsia" w:ascii="方正小标宋简体" w:hAnsi="宋体" w:eastAsia="方正小标宋简体" w:cs="Times New Roman"/>
          <w:color w:val="auto"/>
          <w:sz w:val="36"/>
          <w:szCs w:val="36"/>
          <w:highlight w:val="none"/>
          <w:lang w:eastAsia="zh-CN"/>
        </w:rPr>
        <w:t>2026-2027</w:t>
      </w:r>
      <w:r>
        <w:rPr>
          <w:rFonts w:hint="eastAsia" w:ascii="方正小标宋简体" w:hAnsi="宋体" w:eastAsia="方正小标宋简体" w:cs="Times New Roman"/>
          <w:color w:val="auto"/>
          <w:sz w:val="36"/>
          <w:szCs w:val="36"/>
          <w:highlight w:val="none"/>
        </w:rPr>
        <w:t>年政府投资建设项目预算审核</w:t>
      </w:r>
    </w:p>
    <w:p w14:paraId="5AD0A63D">
      <w:pPr>
        <w:overflowPunct w:val="0"/>
        <w:adjustRightInd w:val="0"/>
        <w:snapToGrid w:val="0"/>
        <w:spacing w:line="560" w:lineRule="exact"/>
        <w:jc w:val="center"/>
        <w:rPr>
          <w:rFonts w:ascii="方正小标宋简体" w:hAnsi="宋体" w:eastAsia="方正小标宋简体" w:cs="Times New Roman"/>
          <w:color w:val="auto"/>
          <w:sz w:val="36"/>
          <w:szCs w:val="36"/>
          <w:highlight w:val="none"/>
        </w:rPr>
      </w:pPr>
      <w:r>
        <w:rPr>
          <w:rFonts w:hint="eastAsia" w:ascii="方正小标宋简体" w:hAnsi="宋体" w:eastAsia="方正小标宋简体" w:cs="Times New Roman"/>
          <w:color w:val="auto"/>
          <w:sz w:val="36"/>
          <w:szCs w:val="36"/>
          <w:highlight w:val="none"/>
        </w:rPr>
        <w:t>服务框架协议</w:t>
      </w:r>
    </w:p>
    <w:p w14:paraId="73E2C096">
      <w:pPr>
        <w:overflowPunct w:val="0"/>
        <w:adjustRightInd w:val="0"/>
        <w:snapToGrid w:val="0"/>
        <w:spacing w:line="560" w:lineRule="exact"/>
        <w:jc w:val="center"/>
        <w:rPr>
          <w:rFonts w:ascii="方正小标宋简体" w:hAnsi="宋体" w:eastAsia="方正小标宋简体" w:cs="Times New Roman"/>
          <w:color w:val="auto"/>
          <w:sz w:val="36"/>
          <w:szCs w:val="36"/>
          <w:highlight w:val="none"/>
        </w:rPr>
      </w:pPr>
    </w:p>
    <w:p w14:paraId="5189C1EA">
      <w:pPr>
        <w:keepNext w:val="0"/>
        <w:keepLines w:val="0"/>
        <w:pageBreakBefore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征集人（甲方）：南宁市邕宁区财政局</w:t>
      </w:r>
    </w:p>
    <w:p w14:paraId="06F4C067">
      <w:pPr>
        <w:keepNext w:val="0"/>
        <w:keepLines w:val="0"/>
        <w:pageBreakBefore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入围供应商（乙方）： </w:t>
      </w:r>
    </w:p>
    <w:p w14:paraId="213334DA">
      <w:pPr>
        <w:keepNext w:val="0"/>
        <w:keepLines w:val="0"/>
        <w:pageBreakBefore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bCs/>
          <w:color w:val="auto"/>
          <w:szCs w:val="21"/>
          <w:highlight w:val="none"/>
        </w:rPr>
      </w:pPr>
    </w:p>
    <w:p w14:paraId="6B530914">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auto"/>
          <w:szCs w:val="20"/>
          <w:highlight w:val="none"/>
        </w:rPr>
      </w:pPr>
      <w:r>
        <w:rPr>
          <w:rFonts w:hint="eastAsia" w:ascii="宋体" w:hAnsi="宋体" w:eastAsia="宋体" w:cs="宋体"/>
          <w:color w:val="auto"/>
          <w:szCs w:val="20"/>
          <w:highlight w:val="none"/>
        </w:rPr>
        <w:t xml:space="preserve">    根据</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年</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月</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日南宁市邕宁区政府采购项目的征集结果，甲方接受乙方对本项目的响应，甲、乙双方同意签署本框架协议（以下简称框架协议）。</w:t>
      </w:r>
    </w:p>
    <w:p w14:paraId="22E4946D">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一、框架协议内容</w:t>
      </w:r>
    </w:p>
    <w:p w14:paraId="535AB11B">
      <w:pPr>
        <w:keepNext w:val="0"/>
        <w:keepLines w:val="0"/>
        <w:pageBreakBefore w:val="0"/>
        <w:kinsoku/>
        <w:wordWrap/>
        <w:overflowPunct/>
        <w:topLinePunct w:val="0"/>
        <w:autoSpaceDE/>
        <w:autoSpaceDN/>
        <w:bidi w:val="0"/>
        <w:adjustRightInd/>
        <w:spacing w:line="400" w:lineRule="exact"/>
        <w:ind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经框架协议采购，乙方成为</w:t>
      </w:r>
      <w:r>
        <w:rPr>
          <w:rFonts w:hint="eastAsia" w:ascii="宋体" w:hAnsi="宋体" w:eastAsia="宋体" w:cs="宋体"/>
          <w:color w:val="auto"/>
          <w:szCs w:val="20"/>
          <w:highlight w:val="none"/>
        </w:rPr>
        <w:t>南宁市邕宁区</w:t>
      </w:r>
      <w:r>
        <w:rPr>
          <w:rFonts w:hint="eastAsia" w:ascii="宋体" w:hAnsi="宋体" w:eastAsia="宋体" w:cs="宋体"/>
          <w:color w:val="auto"/>
          <w:szCs w:val="20"/>
          <w:highlight w:val="none"/>
          <w:lang w:eastAsia="zh-CN"/>
        </w:rPr>
        <w:t>2026-2027</w:t>
      </w:r>
      <w:r>
        <w:rPr>
          <w:rFonts w:hint="eastAsia" w:ascii="宋体" w:hAnsi="宋体" w:eastAsia="宋体" w:cs="宋体"/>
          <w:color w:val="auto"/>
          <w:szCs w:val="20"/>
          <w:highlight w:val="none"/>
        </w:rPr>
        <w:t>年度政府投资建设项目预算审核服务入围供应商</w:t>
      </w:r>
      <w:r>
        <w:rPr>
          <w:rFonts w:hint="eastAsia" w:ascii="宋体" w:hAnsi="宋体" w:eastAsia="宋体" w:cs="宋体"/>
          <w:color w:val="auto"/>
          <w:szCs w:val="21"/>
          <w:highlight w:val="none"/>
        </w:rPr>
        <w:t>。</w:t>
      </w:r>
      <w:r>
        <w:rPr>
          <w:rFonts w:hint="eastAsia" w:ascii="宋体" w:hAnsi="宋体" w:eastAsia="宋体" w:cs="宋体"/>
          <w:color w:val="auto"/>
          <w:szCs w:val="24"/>
          <w:highlight w:val="none"/>
        </w:rPr>
        <w:t>乙方必须服从甲方的管理和监督，在</w:t>
      </w:r>
      <w:r>
        <w:rPr>
          <w:rFonts w:hint="eastAsia" w:ascii="宋体" w:hAnsi="宋体" w:eastAsia="宋体" w:cs="宋体"/>
          <w:color w:val="auto"/>
          <w:szCs w:val="21"/>
          <w:highlight w:val="none"/>
        </w:rPr>
        <w:t>城区各单位（即采购人）要求其开展南宁市邕宁区政府投资建设项目预算</w:t>
      </w:r>
      <w:r>
        <w:rPr>
          <w:rFonts w:hint="eastAsia" w:ascii="宋体" w:hAnsi="宋体" w:eastAsia="宋体" w:cs="宋体"/>
          <w:color w:val="auto"/>
          <w:szCs w:val="20"/>
          <w:highlight w:val="none"/>
        </w:rPr>
        <w:t>审核</w:t>
      </w:r>
      <w:r>
        <w:rPr>
          <w:rFonts w:hint="eastAsia" w:ascii="宋体" w:hAnsi="宋体" w:eastAsia="宋体" w:cs="宋体"/>
          <w:color w:val="auto"/>
          <w:szCs w:val="21"/>
          <w:highlight w:val="none"/>
        </w:rPr>
        <w:t>服务时，</w:t>
      </w:r>
      <w:r>
        <w:rPr>
          <w:rFonts w:hint="eastAsia" w:ascii="宋体" w:hAnsi="宋体" w:eastAsia="宋体" w:cs="宋体"/>
          <w:color w:val="auto"/>
          <w:szCs w:val="24"/>
          <w:highlight w:val="none"/>
        </w:rPr>
        <w:t>与</w:t>
      </w:r>
      <w:r>
        <w:rPr>
          <w:rFonts w:hint="eastAsia" w:ascii="宋体" w:hAnsi="宋体" w:eastAsia="宋体" w:cs="宋体"/>
          <w:color w:val="auto"/>
          <w:szCs w:val="24"/>
          <w:highlight w:val="none"/>
          <w:u w:val="single"/>
        </w:rPr>
        <w:t>采购人签订</w:t>
      </w:r>
      <w:r>
        <w:rPr>
          <w:rFonts w:hint="eastAsia" w:ascii="宋体" w:hAnsi="宋体" w:eastAsia="宋体" w:cs="宋体"/>
          <w:bCs/>
          <w:color w:val="auto"/>
          <w:szCs w:val="24"/>
          <w:highlight w:val="none"/>
          <w:u w:val="single"/>
        </w:rPr>
        <w:t>采购</w:t>
      </w:r>
      <w:r>
        <w:rPr>
          <w:rFonts w:hint="eastAsia" w:ascii="宋体" w:hAnsi="宋体" w:eastAsia="宋体" w:cs="宋体"/>
          <w:color w:val="auto"/>
          <w:szCs w:val="24"/>
          <w:highlight w:val="none"/>
          <w:u w:val="single"/>
        </w:rPr>
        <w:t>合同</w:t>
      </w:r>
      <w:r>
        <w:rPr>
          <w:rFonts w:hint="eastAsia" w:ascii="宋体" w:hAnsi="宋体" w:eastAsia="宋体" w:cs="宋体"/>
          <w:color w:val="auto"/>
          <w:szCs w:val="24"/>
          <w:highlight w:val="none"/>
        </w:rPr>
        <w:t>，并服从采购人的安排，按时、保质、保量地完成预算</w:t>
      </w:r>
      <w:r>
        <w:rPr>
          <w:rFonts w:hint="eastAsia" w:ascii="宋体" w:hAnsi="宋体" w:eastAsia="宋体" w:cs="宋体"/>
          <w:color w:val="auto"/>
          <w:szCs w:val="20"/>
          <w:highlight w:val="none"/>
        </w:rPr>
        <w:t>审核</w:t>
      </w:r>
      <w:r>
        <w:rPr>
          <w:rFonts w:hint="eastAsia" w:ascii="宋体" w:hAnsi="宋体" w:eastAsia="宋体" w:cs="宋体"/>
          <w:bCs/>
          <w:color w:val="auto"/>
          <w:szCs w:val="24"/>
          <w:highlight w:val="none"/>
        </w:rPr>
        <w:t>服务</w:t>
      </w:r>
      <w:r>
        <w:rPr>
          <w:rFonts w:hint="eastAsia" w:ascii="宋体" w:hAnsi="宋体" w:eastAsia="宋体" w:cs="宋体"/>
          <w:color w:val="auto"/>
          <w:szCs w:val="24"/>
          <w:highlight w:val="none"/>
        </w:rPr>
        <w:t>工作。</w:t>
      </w:r>
    </w:p>
    <w:p w14:paraId="15BDF451">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二、框架协议有效期：</w:t>
      </w:r>
    </w:p>
    <w:p w14:paraId="0902112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本框架协议期限为二年，从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日起至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日止。</w:t>
      </w:r>
    </w:p>
    <w:p w14:paraId="75BD2F49">
      <w:pPr>
        <w:keepNext w:val="0"/>
        <w:keepLines w:val="0"/>
        <w:pageBreakBefore w:val="0"/>
        <w:kinsoku/>
        <w:wordWrap/>
        <w:overflowPunct/>
        <w:topLinePunct w:val="0"/>
        <w:autoSpaceDE/>
        <w:autoSpaceDN/>
        <w:bidi w:val="0"/>
        <w:adjustRightInd/>
        <w:snapToGrid w:val="0"/>
        <w:spacing w:line="400" w:lineRule="exact"/>
        <w:ind w:left="21" w:leftChars="1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三、预算</w:t>
      </w:r>
      <w:r>
        <w:rPr>
          <w:rFonts w:hint="eastAsia" w:ascii="宋体" w:hAnsi="宋体" w:eastAsia="宋体" w:cs="宋体"/>
          <w:b/>
          <w:bCs/>
          <w:color w:val="auto"/>
          <w:szCs w:val="20"/>
          <w:highlight w:val="none"/>
        </w:rPr>
        <w:t>审核</w:t>
      </w:r>
      <w:r>
        <w:rPr>
          <w:rFonts w:hint="eastAsia" w:ascii="宋体" w:hAnsi="宋体" w:eastAsia="宋体" w:cs="宋体"/>
          <w:b/>
          <w:color w:val="auto"/>
          <w:szCs w:val="21"/>
          <w:highlight w:val="none"/>
        </w:rPr>
        <w:t>服务费</w:t>
      </w:r>
    </w:p>
    <w:p w14:paraId="338C58D6">
      <w:pPr>
        <w:keepNext w:val="0"/>
        <w:keepLines w:val="0"/>
        <w:pageBreakBefore w:val="0"/>
        <w:kinsoku/>
        <w:wordWrap/>
        <w:overflowPunct/>
        <w:topLinePunct w:val="0"/>
        <w:autoSpaceDE/>
        <w:autoSpaceDN/>
        <w:bidi w:val="0"/>
        <w:adjustRightInd/>
        <w:spacing w:line="400" w:lineRule="exact"/>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1.预算</w:t>
      </w:r>
      <w:r>
        <w:rPr>
          <w:rFonts w:hint="eastAsia" w:ascii="宋体" w:hAnsi="宋体" w:eastAsia="宋体" w:cs="宋体"/>
          <w:color w:val="auto"/>
          <w:szCs w:val="20"/>
          <w:highlight w:val="none"/>
        </w:rPr>
        <w:t>审核</w:t>
      </w:r>
      <w:r>
        <w:rPr>
          <w:rFonts w:hint="eastAsia" w:ascii="宋体" w:hAnsi="宋体" w:eastAsia="宋体" w:cs="宋体"/>
          <w:color w:val="auto"/>
          <w:szCs w:val="21"/>
          <w:highlight w:val="none"/>
        </w:rPr>
        <w:t>服务费＝（某工程项目审定工程建安造价×基本审核费费率+工程净核减额×5％×分段计费系数×15％）×难度系数×（1-固定下浮系数30%）。如单个工程计算得出的审核服务费少于2000元的按2000元计,最高不超过20万元。</w:t>
      </w:r>
    </w:p>
    <w:p w14:paraId="511418E7">
      <w:pPr>
        <w:keepNext w:val="0"/>
        <w:keepLines w:val="0"/>
        <w:pageBreakBefore w:val="0"/>
        <w:widowControl/>
        <w:tabs>
          <w:tab w:val="left" w:pos="0"/>
          <w:tab w:val="left" w:pos="780"/>
        </w:tabs>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①招标控制价审核服务费实行上限封顶，工程净核减额超过送审单项造价M的40%时，计算编审服务费时工程净核减额按送审单项造价M的40%计算；</w:t>
      </w:r>
    </w:p>
    <w:p w14:paraId="4880DABD">
      <w:pPr>
        <w:keepNext w:val="0"/>
        <w:keepLines w:val="0"/>
        <w:pageBreakBefore w:val="0"/>
        <w:widowControl/>
        <w:tabs>
          <w:tab w:val="left" w:pos="0"/>
          <w:tab w:val="left" w:pos="780"/>
        </w:tabs>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②甲方明确不属于乙方审核范围（内容）的事项，不计入工程净核减额。</w:t>
      </w:r>
    </w:p>
    <w:p w14:paraId="5A469106">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2.难度系数由招标人根据实际情况确定并在合同中约定，具体如下：</w:t>
      </w:r>
    </w:p>
    <w:p w14:paraId="4B6E4CAE">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①水利、市政道路、排水、公路及土地整理项目、园林绿化工程，难度系数0.8；</w:t>
      </w:r>
    </w:p>
    <w:p w14:paraId="0C8BA847">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②桥梁和房建项目，难度系数为1.0；</w:t>
      </w:r>
    </w:p>
    <w:p w14:paraId="4CE5072D">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③其余项目的难度系数为0.9。</w:t>
      </w:r>
    </w:p>
    <w:p w14:paraId="4FE69487">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3.基本审核费费率标准设置如下表：</w:t>
      </w:r>
    </w:p>
    <w:p w14:paraId="4A09003F">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p>
    <w:tbl>
      <w:tblPr>
        <w:tblStyle w:val="32"/>
        <w:tblW w:w="0" w:type="auto"/>
        <w:jc w:val="center"/>
        <w:tblLayout w:type="fixed"/>
        <w:tblCellMar>
          <w:top w:w="0" w:type="dxa"/>
          <w:left w:w="108" w:type="dxa"/>
          <w:bottom w:w="0" w:type="dxa"/>
          <w:right w:w="108" w:type="dxa"/>
        </w:tblCellMar>
      </w:tblPr>
      <w:tblGrid>
        <w:gridCol w:w="4127"/>
        <w:gridCol w:w="2218"/>
        <w:gridCol w:w="1616"/>
      </w:tblGrid>
      <w:tr w14:paraId="1D1516A0">
        <w:tblPrEx>
          <w:tblCellMar>
            <w:top w:w="0" w:type="dxa"/>
            <w:left w:w="108" w:type="dxa"/>
            <w:bottom w:w="0" w:type="dxa"/>
            <w:right w:w="108" w:type="dxa"/>
          </w:tblCellMar>
        </w:tblPrEx>
        <w:trPr>
          <w:trHeight w:val="420" w:hRule="atLeast"/>
          <w:jc w:val="center"/>
        </w:trPr>
        <w:tc>
          <w:tcPr>
            <w:tcW w:w="4127" w:type="dxa"/>
            <w:tcBorders>
              <w:top w:val="single" w:color="auto" w:sz="4" w:space="0"/>
              <w:left w:val="single" w:color="auto" w:sz="4" w:space="0"/>
              <w:bottom w:val="single" w:color="auto" w:sz="4" w:space="0"/>
              <w:right w:val="single" w:color="auto" w:sz="4" w:space="0"/>
            </w:tcBorders>
            <w:vAlign w:val="center"/>
          </w:tcPr>
          <w:p w14:paraId="4B8316A9">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审定单项造价M（万元）</w:t>
            </w:r>
          </w:p>
        </w:tc>
        <w:tc>
          <w:tcPr>
            <w:tcW w:w="2218" w:type="dxa"/>
            <w:tcBorders>
              <w:top w:val="single" w:color="auto" w:sz="4" w:space="0"/>
              <w:left w:val="nil"/>
              <w:bottom w:val="nil"/>
              <w:right w:val="single" w:color="auto" w:sz="4" w:space="0"/>
            </w:tcBorders>
            <w:vAlign w:val="center"/>
          </w:tcPr>
          <w:p w14:paraId="6B3488B3">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基本审核费</w:t>
            </w:r>
          </w:p>
          <w:p w14:paraId="43D333E3">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费率取值标准‰</w:t>
            </w:r>
          </w:p>
        </w:tc>
        <w:tc>
          <w:tcPr>
            <w:tcW w:w="1616" w:type="dxa"/>
            <w:tcBorders>
              <w:top w:val="single" w:color="auto" w:sz="4" w:space="0"/>
              <w:left w:val="single" w:color="auto" w:sz="6" w:space="0"/>
              <w:bottom w:val="single" w:color="auto" w:sz="4" w:space="0"/>
              <w:right w:val="single" w:color="auto" w:sz="4" w:space="0"/>
            </w:tcBorders>
            <w:vAlign w:val="center"/>
          </w:tcPr>
          <w:p w14:paraId="454A9507">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2926EC03">
        <w:tblPrEx>
          <w:tblCellMar>
            <w:top w:w="0" w:type="dxa"/>
            <w:left w:w="108" w:type="dxa"/>
            <w:bottom w:w="0" w:type="dxa"/>
            <w:right w:w="108" w:type="dxa"/>
          </w:tblCellMar>
        </w:tblPrEx>
        <w:trPr>
          <w:trHeight w:val="397" w:hRule="atLeast"/>
          <w:jc w:val="center"/>
        </w:trPr>
        <w:tc>
          <w:tcPr>
            <w:tcW w:w="4127" w:type="dxa"/>
            <w:tcBorders>
              <w:top w:val="single" w:color="auto" w:sz="4" w:space="0"/>
              <w:left w:val="single" w:color="auto" w:sz="4" w:space="0"/>
              <w:bottom w:val="single" w:color="auto" w:sz="4" w:space="0"/>
              <w:right w:val="single" w:color="auto" w:sz="4" w:space="0"/>
            </w:tcBorders>
            <w:vAlign w:val="center"/>
          </w:tcPr>
          <w:p w14:paraId="4C25D7B6">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M＜100 </w:t>
            </w:r>
          </w:p>
        </w:tc>
        <w:tc>
          <w:tcPr>
            <w:tcW w:w="2218" w:type="dxa"/>
            <w:tcBorders>
              <w:top w:val="single" w:color="auto" w:sz="4" w:space="0"/>
              <w:left w:val="nil"/>
              <w:bottom w:val="single" w:color="auto" w:sz="4" w:space="0"/>
              <w:right w:val="single" w:color="auto" w:sz="4" w:space="0"/>
            </w:tcBorders>
            <w:vAlign w:val="center"/>
          </w:tcPr>
          <w:p w14:paraId="16949BA7">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616" w:type="dxa"/>
            <w:vMerge w:val="restart"/>
            <w:tcBorders>
              <w:top w:val="single" w:color="auto" w:sz="4" w:space="0"/>
              <w:left w:val="single" w:color="auto" w:sz="4" w:space="0"/>
              <w:bottom w:val="single" w:color="auto" w:sz="4" w:space="0"/>
              <w:right w:val="single" w:color="auto" w:sz="4" w:space="0"/>
            </w:tcBorders>
            <w:vAlign w:val="center"/>
          </w:tcPr>
          <w:p w14:paraId="27D877B7">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按差额累进法计算。</w:t>
            </w:r>
          </w:p>
          <w:p w14:paraId="18D9E3F8">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p>
        </w:tc>
      </w:tr>
      <w:tr w14:paraId="4983555B">
        <w:tblPrEx>
          <w:tblCellMar>
            <w:top w:w="0" w:type="dxa"/>
            <w:left w:w="108" w:type="dxa"/>
            <w:bottom w:w="0" w:type="dxa"/>
            <w:right w:w="108" w:type="dxa"/>
          </w:tblCellMar>
        </w:tblPrEx>
        <w:trPr>
          <w:trHeight w:val="397" w:hRule="atLeast"/>
          <w:jc w:val="center"/>
        </w:trPr>
        <w:tc>
          <w:tcPr>
            <w:tcW w:w="4127" w:type="dxa"/>
            <w:tcBorders>
              <w:top w:val="single" w:color="auto" w:sz="4" w:space="0"/>
              <w:left w:val="single" w:color="auto" w:sz="4" w:space="0"/>
              <w:bottom w:val="single" w:color="auto" w:sz="4" w:space="0"/>
              <w:right w:val="single" w:color="auto" w:sz="4" w:space="0"/>
            </w:tcBorders>
            <w:vAlign w:val="center"/>
          </w:tcPr>
          <w:p w14:paraId="249C2436">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100≤M＜500</w:t>
            </w:r>
          </w:p>
        </w:tc>
        <w:tc>
          <w:tcPr>
            <w:tcW w:w="2218" w:type="dxa"/>
            <w:tcBorders>
              <w:top w:val="nil"/>
              <w:left w:val="nil"/>
              <w:bottom w:val="single" w:color="auto" w:sz="4" w:space="0"/>
              <w:right w:val="single" w:color="auto" w:sz="4" w:space="0"/>
            </w:tcBorders>
            <w:vAlign w:val="center"/>
          </w:tcPr>
          <w:p w14:paraId="680263E5">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616" w:type="dxa"/>
            <w:vMerge w:val="continue"/>
            <w:tcBorders>
              <w:top w:val="single" w:color="auto" w:sz="4" w:space="0"/>
              <w:left w:val="single" w:color="auto" w:sz="4" w:space="0"/>
              <w:bottom w:val="single" w:color="auto" w:sz="4" w:space="0"/>
              <w:right w:val="single" w:color="auto" w:sz="4" w:space="0"/>
            </w:tcBorders>
            <w:vAlign w:val="center"/>
          </w:tcPr>
          <w:p w14:paraId="48B317B9">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p>
        </w:tc>
      </w:tr>
      <w:tr w14:paraId="6F099369">
        <w:tblPrEx>
          <w:tblCellMar>
            <w:top w:w="0" w:type="dxa"/>
            <w:left w:w="108" w:type="dxa"/>
            <w:bottom w:w="0" w:type="dxa"/>
            <w:right w:w="108" w:type="dxa"/>
          </w:tblCellMar>
        </w:tblPrEx>
        <w:trPr>
          <w:trHeight w:val="397" w:hRule="atLeast"/>
          <w:jc w:val="center"/>
        </w:trPr>
        <w:tc>
          <w:tcPr>
            <w:tcW w:w="4127" w:type="dxa"/>
            <w:tcBorders>
              <w:top w:val="single" w:color="auto" w:sz="4" w:space="0"/>
              <w:left w:val="single" w:color="auto" w:sz="4" w:space="0"/>
              <w:bottom w:val="single" w:color="auto" w:sz="4" w:space="0"/>
              <w:right w:val="single" w:color="auto" w:sz="4" w:space="0"/>
            </w:tcBorders>
            <w:vAlign w:val="center"/>
          </w:tcPr>
          <w:p w14:paraId="0B1E56A4">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500≤M＜1000</w:t>
            </w:r>
          </w:p>
        </w:tc>
        <w:tc>
          <w:tcPr>
            <w:tcW w:w="2218" w:type="dxa"/>
            <w:tcBorders>
              <w:top w:val="nil"/>
              <w:left w:val="nil"/>
              <w:bottom w:val="single" w:color="auto" w:sz="4" w:space="0"/>
              <w:right w:val="single" w:color="auto" w:sz="4" w:space="0"/>
            </w:tcBorders>
            <w:vAlign w:val="center"/>
          </w:tcPr>
          <w:p w14:paraId="38A4CC83">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1.65</w:t>
            </w:r>
          </w:p>
        </w:tc>
        <w:tc>
          <w:tcPr>
            <w:tcW w:w="1616" w:type="dxa"/>
            <w:vMerge w:val="continue"/>
            <w:tcBorders>
              <w:top w:val="single" w:color="auto" w:sz="4" w:space="0"/>
              <w:left w:val="single" w:color="auto" w:sz="4" w:space="0"/>
              <w:bottom w:val="single" w:color="auto" w:sz="4" w:space="0"/>
              <w:right w:val="single" w:color="auto" w:sz="4" w:space="0"/>
            </w:tcBorders>
            <w:vAlign w:val="center"/>
          </w:tcPr>
          <w:p w14:paraId="566097E7">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p>
        </w:tc>
      </w:tr>
      <w:tr w14:paraId="6C845B80">
        <w:tblPrEx>
          <w:tblCellMar>
            <w:top w:w="0" w:type="dxa"/>
            <w:left w:w="108" w:type="dxa"/>
            <w:bottom w:w="0" w:type="dxa"/>
            <w:right w:w="108" w:type="dxa"/>
          </w:tblCellMar>
        </w:tblPrEx>
        <w:trPr>
          <w:trHeight w:val="397" w:hRule="atLeast"/>
          <w:jc w:val="center"/>
        </w:trPr>
        <w:tc>
          <w:tcPr>
            <w:tcW w:w="4127" w:type="dxa"/>
            <w:tcBorders>
              <w:top w:val="single" w:color="auto" w:sz="4" w:space="0"/>
              <w:left w:val="single" w:color="auto" w:sz="4" w:space="0"/>
              <w:bottom w:val="single" w:color="auto" w:sz="4" w:space="0"/>
              <w:right w:val="single" w:color="auto" w:sz="4" w:space="0"/>
            </w:tcBorders>
            <w:vAlign w:val="center"/>
          </w:tcPr>
          <w:p w14:paraId="3DCBBB0F">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1000≤M＜5000</w:t>
            </w:r>
          </w:p>
        </w:tc>
        <w:tc>
          <w:tcPr>
            <w:tcW w:w="2218" w:type="dxa"/>
            <w:tcBorders>
              <w:top w:val="nil"/>
              <w:left w:val="nil"/>
              <w:bottom w:val="single" w:color="auto" w:sz="4" w:space="0"/>
              <w:right w:val="single" w:color="auto" w:sz="4" w:space="0"/>
            </w:tcBorders>
            <w:vAlign w:val="center"/>
          </w:tcPr>
          <w:p w14:paraId="5AE97AE8">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w:t>
            </w:r>
          </w:p>
        </w:tc>
        <w:tc>
          <w:tcPr>
            <w:tcW w:w="1616" w:type="dxa"/>
            <w:vMerge w:val="continue"/>
            <w:tcBorders>
              <w:top w:val="single" w:color="auto" w:sz="4" w:space="0"/>
              <w:left w:val="single" w:color="auto" w:sz="4" w:space="0"/>
              <w:bottom w:val="single" w:color="auto" w:sz="4" w:space="0"/>
              <w:right w:val="single" w:color="auto" w:sz="4" w:space="0"/>
            </w:tcBorders>
            <w:vAlign w:val="center"/>
          </w:tcPr>
          <w:p w14:paraId="4F0792E2">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p>
        </w:tc>
      </w:tr>
      <w:tr w14:paraId="1AD5C40C">
        <w:tblPrEx>
          <w:tblCellMar>
            <w:top w:w="0" w:type="dxa"/>
            <w:left w:w="108" w:type="dxa"/>
            <w:bottom w:w="0" w:type="dxa"/>
            <w:right w:w="108" w:type="dxa"/>
          </w:tblCellMar>
        </w:tblPrEx>
        <w:trPr>
          <w:trHeight w:val="397" w:hRule="atLeast"/>
          <w:jc w:val="center"/>
        </w:trPr>
        <w:tc>
          <w:tcPr>
            <w:tcW w:w="4127" w:type="dxa"/>
            <w:tcBorders>
              <w:top w:val="single" w:color="auto" w:sz="4" w:space="0"/>
              <w:left w:val="single" w:color="auto" w:sz="4" w:space="0"/>
              <w:bottom w:val="single" w:color="auto" w:sz="4" w:space="0"/>
              <w:right w:val="single" w:color="auto" w:sz="4" w:space="0"/>
            </w:tcBorders>
            <w:vAlign w:val="center"/>
          </w:tcPr>
          <w:p w14:paraId="65D54ECE">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5000≤M＜10000</w:t>
            </w:r>
          </w:p>
        </w:tc>
        <w:tc>
          <w:tcPr>
            <w:tcW w:w="2218" w:type="dxa"/>
            <w:tcBorders>
              <w:top w:val="nil"/>
              <w:left w:val="nil"/>
              <w:bottom w:val="single" w:color="auto" w:sz="4" w:space="0"/>
              <w:right w:val="single" w:color="auto" w:sz="4" w:space="0"/>
            </w:tcBorders>
            <w:vAlign w:val="center"/>
          </w:tcPr>
          <w:p w14:paraId="30C521E7">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0.6</w:t>
            </w:r>
          </w:p>
        </w:tc>
        <w:tc>
          <w:tcPr>
            <w:tcW w:w="1616" w:type="dxa"/>
            <w:vMerge w:val="continue"/>
            <w:tcBorders>
              <w:top w:val="single" w:color="auto" w:sz="4" w:space="0"/>
              <w:left w:val="single" w:color="auto" w:sz="4" w:space="0"/>
              <w:bottom w:val="single" w:color="auto" w:sz="4" w:space="0"/>
              <w:right w:val="single" w:color="auto" w:sz="4" w:space="0"/>
            </w:tcBorders>
            <w:vAlign w:val="center"/>
          </w:tcPr>
          <w:p w14:paraId="645A605D">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p>
        </w:tc>
      </w:tr>
      <w:tr w14:paraId="3AEE4A5A">
        <w:tblPrEx>
          <w:tblCellMar>
            <w:top w:w="0" w:type="dxa"/>
            <w:left w:w="108" w:type="dxa"/>
            <w:bottom w:w="0" w:type="dxa"/>
            <w:right w:w="108" w:type="dxa"/>
          </w:tblCellMar>
        </w:tblPrEx>
        <w:trPr>
          <w:trHeight w:val="397" w:hRule="atLeast"/>
          <w:jc w:val="center"/>
        </w:trPr>
        <w:tc>
          <w:tcPr>
            <w:tcW w:w="4127" w:type="dxa"/>
            <w:tcBorders>
              <w:top w:val="single" w:color="auto" w:sz="4" w:space="0"/>
              <w:left w:val="single" w:color="auto" w:sz="4" w:space="0"/>
              <w:bottom w:val="single" w:color="auto" w:sz="4" w:space="0"/>
              <w:right w:val="single" w:color="auto" w:sz="4" w:space="0"/>
            </w:tcBorders>
            <w:vAlign w:val="center"/>
          </w:tcPr>
          <w:p w14:paraId="1ADD8334">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10000≤M＜20000</w:t>
            </w:r>
          </w:p>
        </w:tc>
        <w:tc>
          <w:tcPr>
            <w:tcW w:w="2218" w:type="dxa"/>
            <w:tcBorders>
              <w:top w:val="nil"/>
              <w:left w:val="nil"/>
              <w:bottom w:val="single" w:color="auto" w:sz="4" w:space="0"/>
              <w:right w:val="single" w:color="auto" w:sz="4" w:space="0"/>
            </w:tcBorders>
            <w:vAlign w:val="center"/>
          </w:tcPr>
          <w:p w14:paraId="046A3491">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0.40</w:t>
            </w:r>
          </w:p>
        </w:tc>
        <w:tc>
          <w:tcPr>
            <w:tcW w:w="1616" w:type="dxa"/>
            <w:vMerge w:val="continue"/>
            <w:tcBorders>
              <w:top w:val="single" w:color="auto" w:sz="4" w:space="0"/>
              <w:left w:val="single" w:color="auto" w:sz="4" w:space="0"/>
              <w:bottom w:val="single" w:color="auto" w:sz="4" w:space="0"/>
              <w:right w:val="single" w:color="auto" w:sz="4" w:space="0"/>
            </w:tcBorders>
            <w:vAlign w:val="center"/>
          </w:tcPr>
          <w:p w14:paraId="332B2632">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p>
        </w:tc>
      </w:tr>
      <w:tr w14:paraId="589A4688">
        <w:tblPrEx>
          <w:tblCellMar>
            <w:top w:w="0" w:type="dxa"/>
            <w:left w:w="108" w:type="dxa"/>
            <w:bottom w:w="0" w:type="dxa"/>
            <w:right w:w="108" w:type="dxa"/>
          </w:tblCellMar>
        </w:tblPrEx>
        <w:trPr>
          <w:trHeight w:val="397" w:hRule="atLeast"/>
          <w:jc w:val="center"/>
        </w:trPr>
        <w:tc>
          <w:tcPr>
            <w:tcW w:w="4127" w:type="dxa"/>
            <w:tcBorders>
              <w:top w:val="single" w:color="auto" w:sz="4" w:space="0"/>
              <w:left w:val="single" w:color="auto" w:sz="4" w:space="0"/>
              <w:bottom w:val="single" w:color="auto" w:sz="4" w:space="0"/>
              <w:right w:val="single" w:color="auto" w:sz="4" w:space="0"/>
            </w:tcBorders>
            <w:vAlign w:val="center"/>
          </w:tcPr>
          <w:p w14:paraId="56C3946B">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20000≤M＜40000</w:t>
            </w:r>
          </w:p>
        </w:tc>
        <w:tc>
          <w:tcPr>
            <w:tcW w:w="2218" w:type="dxa"/>
            <w:tcBorders>
              <w:top w:val="nil"/>
              <w:left w:val="nil"/>
              <w:bottom w:val="single" w:color="auto" w:sz="4" w:space="0"/>
              <w:right w:val="single" w:color="auto" w:sz="4" w:space="0"/>
            </w:tcBorders>
            <w:vAlign w:val="center"/>
          </w:tcPr>
          <w:p w14:paraId="39FB65D0">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0.30</w:t>
            </w:r>
          </w:p>
        </w:tc>
        <w:tc>
          <w:tcPr>
            <w:tcW w:w="1616" w:type="dxa"/>
            <w:vMerge w:val="continue"/>
            <w:tcBorders>
              <w:top w:val="single" w:color="auto" w:sz="4" w:space="0"/>
              <w:left w:val="single" w:color="auto" w:sz="4" w:space="0"/>
              <w:bottom w:val="single" w:color="auto" w:sz="4" w:space="0"/>
              <w:right w:val="single" w:color="auto" w:sz="4" w:space="0"/>
            </w:tcBorders>
            <w:vAlign w:val="center"/>
          </w:tcPr>
          <w:p w14:paraId="3C959A2F">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p>
        </w:tc>
      </w:tr>
      <w:tr w14:paraId="6EAD5161">
        <w:tblPrEx>
          <w:tblCellMar>
            <w:top w:w="0" w:type="dxa"/>
            <w:left w:w="108" w:type="dxa"/>
            <w:bottom w:w="0" w:type="dxa"/>
            <w:right w:w="108" w:type="dxa"/>
          </w:tblCellMar>
        </w:tblPrEx>
        <w:trPr>
          <w:trHeight w:val="397" w:hRule="atLeast"/>
          <w:jc w:val="center"/>
        </w:trPr>
        <w:tc>
          <w:tcPr>
            <w:tcW w:w="4127" w:type="dxa"/>
            <w:tcBorders>
              <w:top w:val="single" w:color="auto" w:sz="4" w:space="0"/>
              <w:left w:val="single" w:color="auto" w:sz="4" w:space="0"/>
              <w:bottom w:val="single" w:color="auto" w:sz="4" w:space="0"/>
              <w:right w:val="single" w:color="auto" w:sz="4" w:space="0"/>
            </w:tcBorders>
            <w:vAlign w:val="center"/>
          </w:tcPr>
          <w:p w14:paraId="6922A0B8">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40000≤M＜60000</w:t>
            </w:r>
          </w:p>
        </w:tc>
        <w:tc>
          <w:tcPr>
            <w:tcW w:w="2218" w:type="dxa"/>
            <w:tcBorders>
              <w:top w:val="nil"/>
              <w:left w:val="nil"/>
              <w:bottom w:val="single" w:color="auto" w:sz="4" w:space="0"/>
              <w:right w:val="single" w:color="auto" w:sz="4" w:space="0"/>
            </w:tcBorders>
            <w:vAlign w:val="center"/>
          </w:tcPr>
          <w:p w14:paraId="15BC3E91">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1616" w:type="dxa"/>
            <w:vMerge w:val="continue"/>
            <w:tcBorders>
              <w:top w:val="single" w:color="auto" w:sz="4" w:space="0"/>
              <w:left w:val="single" w:color="auto" w:sz="4" w:space="0"/>
              <w:bottom w:val="single" w:color="auto" w:sz="4" w:space="0"/>
              <w:right w:val="single" w:color="auto" w:sz="4" w:space="0"/>
            </w:tcBorders>
            <w:vAlign w:val="center"/>
          </w:tcPr>
          <w:p w14:paraId="4A924FAF">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p>
        </w:tc>
      </w:tr>
      <w:tr w14:paraId="23C7BBE2">
        <w:tblPrEx>
          <w:tblCellMar>
            <w:top w:w="0" w:type="dxa"/>
            <w:left w:w="108" w:type="dxa"/>
            <w:bottom w:w="0" w:type="dxa"/>
            <w:right w:w="108" w:type="dxa"/>
          </w:tblCellMar>
        </w:tblPrEx>
        <w:trPr>
          <w:trHeight w:val="397" w:hRule="atLeast"/>
          <w:jc w:val="center"/>
        </w:trPr>
        <w:tc>
          <w:tcPr>
            <w:tcW w:w="4127" w:type="dxa"/>
            <w:tcBorders>
              <w:top w:val="single" w:color="auto" w:sz="4" w:space="0"/>
              <w:left w:val="single" w:color="auto" w:sz="4" w:space="0"/>
              <w:bottom w:val="single" w:color="auto" w:sz="4" w:space="0"/>
              <w:right w:val="single" w:color="auto" w:sz="4" w:space="0"/>
            </w:tcBorders>
            <w:vAlign w:val="center"/>
          </w:tcPr>
          <w:p w14:paraId="7510562A">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60000≤M＜80000</w:t>
            </w:r>
          </w:p>
        </w:tc>
        <w:tc>
          <w:tcPr>
            <w:tcW w:w="2218" w:type="dxa"/>
            <w:tcBorders>
              <w:top w:val="nil"/>
              <w:left w:val="nil"/>
              <w:bottom w:val="single" w:color="auto" w:sz="4" w:space="0"/>
              <w:right w:val="single" w:color="auto" w:sz="4" w:space="0"/>
            </w:tcBorders>
            <w:vAlign w:val="center"/>
          </w:tcPr>
          <w:p w14:paraId="29CC8F0C">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0.20</w:t>
            </w:r>
          </w:p>
        </w:tc>
        <w:tc>
          <w:tcPr>
            <w:tcW w:w="1616" w:type="dxa"/>
            <w:vMerge w:val="continue"/>
            <w:tcBorders>
              <w:top w:val="single" w:color="auto" w:sz="4" w:space="0"/>
              <w:left w:val="single" w:color="auto" w:sz="4" w:space="0"/>
              <w:bottom w:val="single" w:color="auto" w:sz="4" w:space="0"/>
              <w:right w:val="single" w:color="auto" w:sz="4" w:space="0"/>
            </w:tcBorders>
            <w:vAlign w:val="center"/>
          </w:tcPr>
          <w:p w14:paraId="3C26823E">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p>
        </w:tc>
      </w:tr>
      <w:tr w14:paraId="54D9B87F">
        <w:tblPrEx>
          <w:tblCellMar>
            <w:top w:w="0" w:type="dxa"/>
            <w:left w:w="108" w:type="dxa"/>
            <w:bottom w:w="0" w:type="dxa"/>
            <w:right w:w="108" w:type="dxa"/>
          </w:tblCellMar>
        </w:tblPrEx>
        <w:trPr>
          <w:trHeight w:val="397" w:hRule="atLeast"/>
          <w:jc w:val="center"/>
        </w:trPr>
        <w:tc>
          <w:tcPr>
            <w:tcW w:w="4127" w:type="dxa"/>
            <w:tcBorders>
              <w:top w:val="single" w:color="auto" w:sz="4" w:space="0"/>
              <w:left w:val="single" w:color="auto" w:sz="4" w:space="0"/>
              <w:bottom w:val="single" w:color="auto" w:sz="4" w:space="0"/>
              <w:right w:val="single" w:color="auto" w:sz="4" w:space="0"/>
            </w:tcBorders>
            <w:vAlign w:val="center"/>
          </w:tcPr>
          <w:p w14:paraId="3323D2C4">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80000≤M＜100000</w:t>
            </w:r>
          </w:p>
        </w:tc>
        <w:tc>
          <w:tcPr>
            <w:tcW w:w="2218" w:type="dxa"/>
            <w:tcBorders>
              <w:top w:val="nil"/>
              <w:left w:val="nil"/>
              <w:bottom w:val="single" w:color="auto" w:sz="4" w:space="0"/>
              <w:right w:val="single" w:color="auto" w:sz="4" w:space="0"/>
            </w:tcBorders>
            <w:vAlign w:val="center"/>
          </w:tcPr>
          <w:p w14:paraId="7FBB9899">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0.15</w:t>
            </w:r>
          </w:p>
        </w:tc>
        <w:tc>
          <w:tcPr>
            <w:tcW w:w="1616" w:type="dxa"/>
            <w:vMerge w:val="continue"/>
            <w:tcBorders>
              <w:top w:val="single" w:color="auto" w:sz="4" w:space="0"/>
              <w:left w:val="single" w:color="auto" w:sz="4" w:space="0"/>
              <w:bottom w:val="single" w:color="auto" w:sz="4" w:space="0"/>
              <w:right w:val="single" w:color="auto" w:sz="4" w:space="0"/>
            </w:tcBorders>
            <w:vAlign w:val="center"/>
          </w:tcPr>
          <w:p w14:paraId="52C6E861">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p>
        </w:tc>
      </w:tr>
      <w:tr w14:paraId="02183D57">
        <w:tblPrEx>
          <w:tblCellMar>
            <w:top w:w="0" w:type="dxa"/>
            <w:left w:w="108" w:type="dxa"/>
            <w:bottom w:w="0" w:type="dxa"/>
            <w:right w:w="108" w:type="dxa"/>
          </w:tblCellMar>
        </w:tblPrEx>
        <w:trPr>
          <w:trHeight w:val="397" w:hRule="atLeast"/>
          <w:jc w:val="center"/>
        </w:trPr>
        <w:tc>
          <w:tcPr>
            <w:tcW w:w="4127" w:type="dxa"/>
            <w:tcBorders>
              <w:top w:val="single" w:color="auto" w:sz="4" w:space="0"/>
              <w:left w:val="single" w:color="auto" w:sz="4" w:space="0"/>
              <w:bottom w:val="single" w:color="auto" w:sz="4" w:space="0"/>
              <w:right w:val="single" w:color="auto" w:sz="4" w:space="0"/>
            </w:tcBorders>
            <w:vAlign w:val="center"/>
          </w:tcPr>
          <w:p w14:paraId="55097B2F">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100000≤M＜200000</w:t>
            </w:r>
          </w:p>
        </w:tc>
        <w:tc>
          <w:tcPr>
            <w:tcW w:w="2218" w:type="dxa"/>
            <w:tcBorders>
              <w:top w:val="single" w:color="auto" w:sz="4" w:space="0"/>
              <w:left w:val="nil"/>
              <w:bottom w:val="single" w:color="auto" w:sz="6" w:space="0"/>
              <w:right w:val="single" w:color="auto" w:sz="4" w:space="0"/>
            </w:tcBorders>
            <w:vAlign w:val="center"/>
          </w:tcPr>
          <w:p w14:paraId="5C30D887">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0.10</w:t>
            </w:r>
          </w:p>
        </w:tc>
        <w:tc>
          <w:tcPr>
            <w:tcW w:w="1616" w:type="dxa"/>
            <w:vMerge w:val="continue"/>
            <w:tcBorders>
              <w:top w:val="single" w:color="auto" w:sz="4" w:space="0"/>
              <w:left w:val="single" w:color="auto" w:sz="4" w:space="0"/>
              <w:bottom w:val="single" w:color="auto" w:sz="4" w:space="0"/>
              <w:right w:val="single" w:color="auto" w:sz="4" w:space="0"/>
            </w:tcBorders>
            <w:vAlign w:val="center"/>
          </w:tcPr>
          <w:p w14:paraId="48E53C6E">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p>
        </w:tc>
      </w:tr>
      <w:tr w14:paraId="10FA14EC">
        <w:tblPrEx>
          <w:tblCellMar>
            <w:top w:w="0" w:type="dxa"/>
            <w:left w:w="108" w:type="dxa"/>
            <w:bottom w:w="0" w:type="dxa"/>
            <w:right w:w="108" w:type="dxa"/>
          </w:tblCellMar>
        </w:tblPrEx>
        <w:trPr>
          <w:trHeight w:val="397" w:hRule="atLeast"/>
          <w:jc w:val="center"/>
        </w:trPr>
        <w:tc>
          <w:tcPr>
            <w:tcW w:w="4127" w:type="dxa"/>
            <w:tcBorders>
              <w:top w:val="single" w:color="auto" w:sz="4" w:space="0"/>
              <w:left w:val="single" w:color="auto" w:sz="4" w:space="0"/>
              <w:bottom w:val="single" w:color="auto" w:sz="4" w:space="0"/>
              <w:right w:val="single" w:color="auto" w:sz="4" w:space="0"/>
            </w:tcBorders>
            <w:vAlign w:val="center"/>
          </w:tcPr>
          <w:p w14:paraId="26321C58">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200000≤M＜300000</w:t>
            </w:r>
          </w:p>
        </w:tc>
        <w:tc>
          <w:tcPr>
            <w:tcW w:w="2218" w:type="dxa"/>
            <w:tcBorders>
              <w:top w:val="single" w:color="auto" w:sz="6" w:space="0"/>
              <w:left w:val="nil"/>
              <w:bottom w:val="single" w:color="auto" w:sz="6" w:space="0"/>
              <w:right w:val="single" w:color="auto" w:sz="4" w:space="0"/>
            </w:tcBorders>
            <w:vAlign w:val="center"/>
          </w:tcPr>
          <w:p w14:paraId="10A3AB21">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0.08</w:t>
            </w:r>
          </w:p>
        </w:tc>
        <w:tc>
          <w:tcPr>
            <w:tcW w:w="1616" w:type="dxa"/>
            <w:vMerge w:val="continue"/>
            <w:tcBorders>
              <w:top w:val="single" w:color="auto" w:sz="4" w:space="0"/>
              <w:left w:val="single" w:color="auto" w:sz="4" w:space="0"/>
              <w:bottom w:val="single" w:color="auto" w:sz="4" w:space="0"/>
              <w:right w:val="single" w:color="auto" w:sz="4" w:space="0"/>
            </w:tcBorders>
            <w:vAlign w:val="center"/>
          </w:tcPr>
          <w:p w14:paraId="236B895A">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p>
        </w:tc>
      </w:tr>
      <w:tr w14:paraId="551FFFB8">
        <w:tblPrEx>
          <w:tblCellMar>
            <w:top w:w="0" w:type="dxa"/>
            <w:left w:w="108" w:type="dxa"/>
            <w:bottom w:w="0" w:type="dxa"/>
            <w:right w:w="108" w:type="dxa"/>
          </w:tblCellMar>
        </w:tblPrEx>
        <w:trPr>
          <w:trHeight w:val="397" w:hRule="atLeast"/>
          <w:jc w:val="center"/>
        </w:trPr>
        <w:tc>
          <w:tcPr>
            <w:tcW w:w="4127" w:type="dxa"/>
            <w:tcBorders>
              <w:top w:val="single" w:color="auto" w:sz="4" w:space="0"/>
              <w:left w:val="single" w:color="auto" w:sz="4" w:space="0"/>
              <w:bottom w:val="single" w:color="auto" w:sz="4" w:space="0"/>
              <w:right w:val="single" w:color="auto" w:sz="4" w:space="0"/>
            </w:tcBorders>
            <w:vAlign w:val="center"/>
          </w:tcPr>
          <w:p w14:paraId="66CA3730">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300000≤M＜400000</w:t>
            </w:r>
          </w:p>
        </w:tc>
        <w:tc>
          <w:tcPr>
            <w:tcW w:w="2218" w:type="dxa"/>
            <w:tcBorders>
              <w:top w:val="single" w:color="auto" w:sz="6" w:space="0"/>
              <w:left w:val="nil"/>
              <w:bottom w:val="single" w:color="auto" w:sz="6" w:space="0"/>
              <w:right w:val="single" w:color="auto" w:sz="4" w:space="0"/>
            </w:tcBorders>
            <w:vAlign w:val="center"/>
          </w:tcPr>
          <w:p w14:paraId="56EC649B">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0.06</w:t>
            </w:r>
          </w:p>
        </w:tc>
        <w:tc>
          <w:tcPr>
            <w:tcW w:w="1616" w:type="dxa"/>
            <w:vMerge w:val="continue"/>
            <w:tcBorders>
              <w:top w:val="single" w:color="auto" w:sz="4" w:space="0"/>
              <w:left w:val="single" w:color="auto" w:sz="4" w:space="0"/>
              <w:bottom w:val="single" w:color="auto" w:sz="4" w:space="0"/>
              <w:right w:val="single" w:color="auto" w:sz="4" w:space="0"/>
            </w:tcBorders>
            <w:vAlign w:val="center"/>
          </w:tcPr>
          <w:p w14:paraId="7D02500D">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p>
        </w:tc>
      </w:tr>
      <w:tr w14:paraId="0A1AC896">
        <w:tblPrEx>
          <w:tblCellMar>
            <w:top w:w="0" w:type="dxa"/>
            <w:left w:w="108" w:type="dxa"/>
            <w:bottom w:w="0" w:type="dxa"/>
            <w:right w:w="108" w:type="dxa"/>
          </w:tblCellMar>
        </w:tblPrEx>
        <w:trPr>
          <w:trHeight w:val="397" w:hRule="atLeast"/>
          <w:jc w:val="center"/>
        </w:trPr>
        <w:tc>
          <w:tcPr>
            <w:tcW w:w="4127" w:type="dxa"/>
            <w:tcBorders>
              <w:top w:val="single" w:color="auto" w:sz="4" w:space="0"/>
              <w:left w:val="single" w:color="auto" w:sz="4" w:space="0"/>
              <w:bottom w:val="single" w:color="auto" w:sz="4" w:space="0"/>
              <w:right w:val="single" w:color="auto" w:sz="4" w:space="0"/>
            </w:tcBorders>
            <w:vAlign w:val="center"/>
          </w:tcPr>
          <w:p w14:paraId="4C7CD4C6">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400000≤M＜500000</w:t>
            </w:r>
          </w:p>
        </w:tc>
        <w:tc>
          <w:tcPr>
            <w:tcW w:w="2218" w:type="dxa"/>
            <w:tcBorders>
              <w:top w:val="single" w:color="auto" w:sz="6" w:space="0"/>
              <w:left w:val="nil"/>
              <w:bottom w:val="single" w:color="auto" w:sz="6" w:space="0"/>
              <w:right w:val="single" w:color="auto" w:sz="4" w:space="0"/>
            </w:tcBorders>
            <w:vAlign w:val="center"/>
          </w:tcPr>
          <w:p w14:paraId="6595FA46">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0.04</w:t>
            </w:r>
          </w:p>
        </w:tc>
        <w:tc>
          <w:tcPr>
            <w:tcW w:w="1616" w:type="dxa"/>
            <w:vMerge w:val="continue"/>
            <w:tcBorders>
              <w:top w:val="single" w:color="auto" w:sz="4" w:space="0"/>
              <w:left w:val="single" w:color="auto" w:sz="4" w:space="0"/>
              <w:bottom w:val="single" w:color="auto" w:sz="4" w:space="0"/>
              <w:right w:val="single" w:color="auto" w:sz="4" w:space="0"/>
            </w:tcBorders>
            <w:vAlign w:val="center"/>
          </w:tcPr>
          <w:p w14:paraId="42A1430E">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p>
        </w:tc>
      </w:tr>
      <w:tr w14:paraId="69C589BD">
        <w:tblPrEx>
          <w:tblCellMar>
            <w:top w:w="0" w:type="dxa"/>
            <w:left w:w="108" w:type="dxa"/>
            <w:bottom w:w="0" w:type="dxa"/>
            <w:right w:w="108" w:type="dxa"/>
          </w:tblCellMar>
        </w:tblPrEx>
        <w:trPr>
          <w:trHeight w:val="397" w:hRule="atLeast"/>
          <w:jc w:val="center"/>
        </w:trPr>
        <w:tc>
          <w:tcPr>
            <w:tcW w:w="4127" w:type="dxa"/>
            <w:tcBorders>
              <w:top w:val="single" w:color="auto" w:sz="4" w:space="0"/>
              <w:left w:val="single" w:color="auto" w:sz="4" w:space="0"/>
              <w:bottom w:val="single" w:color="auto" w:sz="4" w:space="0"/>
              <w:right w:val="single" w:color="auto" w:sz="4" w:space="0"/>
            </w:tcBorders>
            <w:vAlign w:val="center"/>
          </w:tcPr>
          <w:p w14:paraId="5DE18231">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500000≤M</w:t>
            </w:r>
          </w:p>
        </w:tc>
        <w:tc>
          <w:tcPr>
            <w:tcW w:w="2218" w:type="dxa"/>
            <w:tcBorders>
              <w:top w:val="single" w:color="auto" w:sz="6" w:space="0"/>
              <w:left w:val="nil"/>
              <w:bottom w:val="single" w:color="auto" w:sz="4" w:space="0"/>
              <w:right w:val="single" w:color="auto" w:sz="4" w:space="0"/>
            </w:tcBorders>
            <w:vAlign w:val="center"/>
          </w:tcPr>
          <w:p w14:paraId="4A4088CA">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w:t>
            </w:r>
          </w:p>
        </w:tc>
        <w:tc>
          <w:tcPr>
            <w:tcW w:w="1616" w:type="dxa"/>
            <w:vMerge w:val="continue"/>
            <w:tcBorders>
              <w:top w:val="single" w:color="auto" w:sz="4" w:space="0"/>
              <w:left w:val="single" w:color="auto" w:sz="4" w:space="0"/>
              <w:bottom w:val="single" w:color="auto" w:sz="4" w:space="0"/>
              <w:right w:val="single" w:color="auto" w:sz="4" w:space="0"/>
            </w:tcBorders>
            <w:vAlign w:val="center"/>
          </w:tcPr>
          <w:p w14:paraId="23FCEC0F">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p>
        </w:tc>
      </w:tr>
    </w:tbl>
    <w:p w14:paraId="34D4F5D2">
      <w:pPr>
        <w:keepNext w:val="0"/>
        <w:keepLines w:val="0"/>
        <w:pageBreakBefore w:val="0"/>
        <w:tabs>
          <w:tab w:val="left" w:pos="787"/>
        </w:tabs>
        <w:kinsoku/>
        <w:wordWrap/>
        <w:overflowPunct/>
        <w:topLinePunct w:val="0"/>
        <w:autoSpaceDE/>
        <w:autoSpaceDN/>
        <w:bidi w:val="0"/>
        <w:adjustRightInd/>
        <w:spacing w:line="400" w:lineRule="exact"/>
        <w:textAlignment w:val="auto"/>
        <w:rPr>
          <w:rFonts w:hint="eastAsia" w:ascii="宋体" w:hAnsi="宋体" w:eastAsia="宋体" w:cs="宋体"/>
          <w:color w:val="auto"/>
          <w:szCs w:val="21"/>
          <w:highlight w:val="none"/>
        </w:rPr>
      </w:pPr>
    </w:p>
    <w:p w14:paraId="0CB671B9">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4.分段计费系数设置如下表：</w:t>
      </w:r>
    </w:p>
    <w:p w14:paraId="718B4C30">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预算审核服务费分段计费系数表</w:t>
      </w:r>
    </w:p>
    <w:tbl>
      <w:tblPr>
        <w:tblStyle w:val="32"/>
        <w:tblpPr w:leftFromText="180" w:rightFromText="180" w:vertAnchor="text" w:horzAnchor="page" w:tblpX="2425" w:tblpY="299"/>
        <w:tblOverlap w:val="never"/>
        <w:tblW w:w="0" w:type="auto"/>
        <w:tblInd w:w="0" w:type="dxa"/>
        <w:tblLayout w:type="fixed"/>
        <w:tblCellMar>
          <w:top w:w="0" w:type="dxa"/>
          <w:left w:w="108" w:type="dxa"/>
          <w:bottom w:w="0" w:type="dxa"/>
          <w:right w:w="108" w:type="dxa"/>
        </w:tblCellMar>
      </w:tblPr>
      <w:tblGrid>
        <w:gridCol w:w="4357"/>
        <w:gridCol w:w="3522"/>
      </w:tblGrid>
      <w:tr w14:paraId="011DA488">
        <w:tblPrEx>
          <w:tblCellMar>
            <w:top w:w="0" w:type="dxa"/>
            <w:left w:w="108" w:type="dxa"/>
            <w:bottom w:w="0" w:type="dxa"/>
            <w:right w:w="108" w:type="dxa"/>
          </w:tblCellMar>
        </w:tblPrEx>
        <w:trPr>
          <w:trHeight w:val="532" w:hRule="atLeast"/>
        </w:trPr>
        <w:tc>
          <w:tcPr>
            <w:tcW w:w="4357" w:type="dxa"/>
            <w:tcBorders>
              <w:top w:val="single" w:color="auto" w:sz="4" w:space="0"/>
              <w:left w:val="single" w:color="auto" w:sz="4" w:space="0"/>
              <w:bottom w:val="single" w:color="auto" w:sz="4" w:space="0"/>
              <w:right w:val="single" w:color="auto" w:sz="4" w:space="0"/>
            </w:tcBorders>
            <w:vAlign w:val="center"/>
          </w:tcPr>
          <w:p w14:paraId="4DE6D854">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eastAsia="ar-SA"/>
              </w:rPr>
            </w:pPr>
            <w:r>
              <w:rPr>
                <w:rFonts w:hint="eastAsia" w:ascii="宋体" w:hAnsi="宋体" w:eastAsia="宋体" w:cs="宋体"/>
                <w:color w:val="auto"/>
                <w:szCs w:val="21"/>
                <w:highlight w:val="none"/>
              </w:rPr>
              <w:t>送审单项造价M（万元）</w:t>
            </w:r>
          </w:p>
        </w:tc>
        <w:tc>
          <w:tcPr>
            <w:tcW w:w="3522" w:type="dxa"/>
            <w:tcBorders>
              <w:top w:val="single" w:color="auto" w:sz="4" w:space="0"/>
              <w:left w:val="nil"/>
              <w:bottom w:val="single" w:color="auto" w:sz="4" w:space="0"/>
              <w:right w:val="single" w:color="auto" w:sz="4" w:space="0"/>
            </w:tcBorders>
            <w:vAlign w:val="center"/>
          </w:tcPr>
          <w:p w14:paraId="478A2558">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eastAsia="ar-SA"/>
              </w:rPr>
            </w:pPr>
            <w:r>
              <w:rPr>
                <w:rFonts w:hint="eastAsia" w:ascii="宋体" w:hAnsi="宋体" w:eastAsia="宋体" w:cs="宋体"/>
                <w:color w:val="auto"/>
                <w:szCs w:val="21"/>
                <w:highlight w:val="none"/>
              </w:rPr>
              <w:t>分段计费系数</w:t>
            </w:r>
          </w:p>
        </w:tc>
      </w:tr>
      <w:tr w14:paraId="1336AA1B">
        <w:tblPrEx>
          <w:tblCellMar>
            <w:top w:w="0" w:type="dxa"/>
            <w:left w:w="108" w:type="dxa"/>
            <w:bottom w:w="0" w:type="dxa"/>
            <w:right w:w="108" w:type="dxa"/>
          </w:tblCellMar>
        </w:tblPrEx>
        <w:trPr>
          <w:trHeight w:val="556" w:hRule="atLeast"/>
        </w:trPr>
        <w:tc>
          <w:tcPr>
            <w:tcW w:w="4357" w:type="dxa"/>
            <w:tcBorders>
              <w:top w:val="nil"/>
              <w:left w:val="single" w:color="auto" w:sz="4" w:space="0"/>
              <w:bottom w:val="single" w:color="auto" w:sz="4" w:space="0"/>
              <w:right w:val="single" w:color="auto" w:sz="4" w:space="0"/>
            </w:tcBorders>
            <w:vAlign w:val="center"/>
          </w:tcPr>
          <w:p w14:paraId="4EE43E14">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eastAsia="ar-SA"/>
              </w:rPr>
            </w:pPr>
            <w:r>
              <w:rPr>
                <w:rFonts w:hint="eastAsia" w:ascii="宋体" w:hAnsi="宋体" w:eastAsia="宋体" w:cs="宋体"/>
                <w:color w:val="auto"/>
                <w:szCs w:val="21"/>
                <w:highlight w:val="none"/>
              </w:rPr>
              <w:t>M＜200</w:t>
            </w:r>
          </w:p>
        </w:tc>
        <w:tc>
          <w:tcPr>
            <w:tcW w:w="3522" w:type="dxa"/>
            <w:tcBorders>
              <w:top w:val="nil"/>
              <w:left w:val="nil"/>
              <w:bottom w:val="single" w:color="auto" w:sz="4" w:space="0"/>
              <w:right w:val="single" w:color="auto" w:sz="4" w:space="0"/>
            </w:tcBorders>
            <w:vAlign w:val="center"/>
          </w:tcPr>
          <w:p w14:paraId="464DA2E7">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eastAsia="ar-SA"/>
              </w:rPr>
            </w:pPr>
            <w:r>
              <w:rPr>
                <w:rFonts w:hint="eastAsia" w:ascii="宋体" w:hAnsi="宋体" w:eastAsia="宋体" w:cs="宋体"/>
                <w:color w:val="auto"/>
                <w:szCs w:val="21"/>
                <w:highlight w:val="none"/>
              </w:rPr>
              <w:t>1.2</w:t>
            </w:r>
          </w:p>
        </w:tc>
      </w:tr>
      <w:tr w14:paraId="35A9AC89">
        <w:tblPrEx>
          <w:tblCellMar>
            <w:top w:w="0" w:type="dxa"/>
            <w:left w:w="108" w:type="dxa"/>
            <w:bottom w:w="0" w:type="dxa"/>
            <w:right w:w="108" w:type="dxa"/>
          </w:tblCellMar>
        </w:tblPrEx>
        <w:trPr>
          <w:trHeight w:val="514" w:hRule="atLeast"/>
        </w:trPr>
        <w:tc>
          <w:tcPr>
            <w:tcW w:w="4357" w:type="dxa"/>
            <w:tcBorders>
              <w:top w:val="nil"/>
              <w:left w:val="single" w:color="auto" w:sz="4" w:space="0"/>
              <w:bottom w:val="single" w:color="auto" w:sz="4" w:space="0"/>
              <w:right w:val="single" w:color="auto" w:sz="4" w:space="0"/>
            </w:tcBorders>
            <w:vAlign w:val="center"/>
          </w:tcPr>
          <w:p w14:paraId="2B992E7D">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eastAsia="ar-SA"/>
              </w:rPr>
            </w:pPr>
            <w:r>
              <w:rPr>
                <w:rFonts w:hint="eastAsia" w:ascii="宋体" w:hAnsi="宋体" w:eastAsia="宋体" w:cs="宋体"/>
                <w:color w:val="auto"/>
                <w:szCs w:val="21"/>
                <w:highlight w:val="none"/>
              </w:rPr>
              <w:t>200≤M＜1000</w:t>
            </w:r>
          </w:p>
        </w:tc>
        <w:tc>
          <w:tcPr>
            <w:tcW w:w="3522" w:type="dxa"/>
            <w:tcBorders>
              <w:top w:val="nil"/>
              <w:left w:val="nil"/>
              <w:bottom w:val="single" w:color="auto" w:sz="4" w:space="0"/>
              <w:right w:val="single" w:color="auto" w:sz="4" w:space="0"/>
            </w:tcBorders>
            <w:vAlign w:val="center"/>
          </w:tcPr>
          <w:p w14:paraId="417BE1C1">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eastAsia="ar-SA"/>
              </w:rPr>
            </w:pPr>
            <w:r>
              <w:rPr>
                <w:rFonts w:hint="eastAsia" w:ascii="宋体" w:hAnsi="宋体" w:eastAsia="宋体" w:cs="宋体"/>
                <w:color w:val="auto"/>
                <w:szCs w:val="21"/>
                <w:highlight w:val="none"/>
              </w:rPr>
              <w:t>1</w:t>
            </w:r>
          </w:p>
        </w:tc>
      </w:tr>
      <w:tr w14:paraId="465A5C98">
        <w:tblPrEx>
          <w:tblCellMar>
            <w:top w:w="0" w:type="dxa"/>
            <w:left w:w="108" w:type="dxa"/>
            <w:bottom w:w="0" w:type="dxa"/>
            <w:right w:w="108" w:type="dxa"/>
          </w:tblCellMar>
        </w:tblPrEx>
        <w:trPr>
          <w:trHeight w:val="499" w:hRule="atLeast"/>
        </w:trPr>
        <w:tc>
          <w:tcPr>
            <w:tcW w:w="4357" w:type="dxa"/>
            <w:tcBorders>
              <w:top w:val="nil"/>
              <w:left w:val="single" w:color="auto" w:sz="4" w:space="0"/>
              <w:bottom w:val="single" w:color="auto" w:sz="4" w:space="0"/>
              <w:right w:val="single" w:color="auto" w:sz="4" w:space="0"/>
            </w:tcBorders>
            <w:vAlign w:val="center"/>
          </w:tcPr>
          <w:p w14:paraId="3448F0A7">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eastAsia="ar-SA"/>
              </w:rPr>
            </w:pPr>
            <w:r>
              <w:rPr>
                <w:rFonts w:hint="eastAsia" w:ascii="宋体" w:hAnsi="宋体" w:eastAsia="宋体" w:cs="宋体"/>
                <w:color w:val="auto"/>
                <w:szCs w:val="21"/>
                <w:highlight w:val="none"/>
              </w:rPr>
              <w:t>1000≤M＜5000</w:t>
            </w:r>
          </w:p>
        </w:tc>
        <w:tc>
          <w:tcPr>
            <w:tcW w:w="3522" w:type="dxa"/>
            <w:tcBorders>
              <w:top w:val="nil"/>
              <w:left w:val="nil"/>
              <w:bottom w:val="single" w:color="auto" w:sz="4" w:space="0"/>
              <w:right w:val="single" w:color="auto" w:sz="4" w:space="0"/>
            </w:tcBorders>
            <w:vAlign w:val="center"/>
          </w:tcPr>
          <w:p w14:paraId="298D6C20">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eastAsia="ar-SA"/>
              </w:rPr>
            </w:pPr>
            <w:r>
              <w:rPr>
                <w:rFonts w:hint="eastAsia" w:ascii="宋体" w:hAnsi="宋体" w:eastAsia="宋体" w:cs="宋体"/>
                <w:color w:val="auto"/>
                <w:szCs w:val="21"/>
                <w:highlight w:val="none"/>
              </w:rPr>
              <w:t>0.8</w:t>
            </w:r>
          </w:p>
        </w:tc>
      </w:tr>
      <w:tr w14:paraId="6E7ED58B">
        <w:tblPrEx>
          <w:tblCellMar>
            <w:top w:w="0" w:type="dxa"/>
            <w:left w:w="108" w:type="dxa"/>
            <w:bottom w:w="0" w:type="dxa"/>
            <w:right w:w="108" w:type="dxa"/>
          </w:tblCellMar>
        </w:tblPrEx>
        <w:trPr>
          <w:trHeight w:val="499" w:hRule="atLeast"/>
        </w:trPr>
        <w:tc>
          <w:tcPr>
            <w:tcW w:w="4357" w:type="dxa"/>
            <w:tcBorders>
              <w:top w:val="nil"/>
              <w:left w:val="single" w:color="auto" w:sz="4" w:space="0"/>
              <w:bottom w:val="single" w:color="auto" w:sz="4" w:space="0"/>
              <w:right w:val="single" w:color="auto" w:sz="4" w:space="0"/>
            </w:tcBorders>
            <w:vAlign w:val="center"/>
          </w:tcPr>
          <w:p w14:paraId="56E60EBB">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eastAsia="ar-SA"/>
              </w:rPr>
            </w:pPr>
            <w:r>
              <w:rPr>
                <w:rFonts w:hint="eastAsia" w:ascii="宋体" w:hAnsi="宋体" w:eastAsia="宋体" w:cs="宋体"/>
                <w:color w:val="auto"/>
                <w:szCs w:val="21"/>
                <w:highlight w:val="none"/>
              </w:rPr>
              <w:t>5000≤M＜10000</w:t>
            </w:r>
          </w:p>
        </w:tc>
        <w:tc>
          <w:tcPr>
            <w:tcW w:w="3522" w:type="dxa"/>
            <w:tcBorders>
              <w:top w:val="nil"/>
              <w:left w:val="nil"/>
              <w:bottom w:val="single" w:color="auto" w:sz="4" w:space="0"/>
              <w:right w:val="single" w:color="auto" w:sz="4" w:space="0"/>
            </w:tcBorders>
            <w:vAlign w:val="center"/>
          </w:tcPr>
          <w:p w14:paraId="38A8B808">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eastAsia="ar-SA"/>
              </w:rPr>
            </w:pPr>
            <w:r>
              <w:rPr>
                <w:rFonts w:hint="eastAsia" w:ascii="宋体" w:hAnsi="宋体" w:eastAsia="宋体" w:cs="宋体"/>
                <w:color w:val="auto"/>
                <w:szCs w:val="21"/>
                <w:highlight w:val="none"/>
              </w:rPr>
              <w:t>0.7</w:t>
            </w:r>
          </w:p>
        </w:tc>
      </w:tr>
      <w:tr w14:paraId="2EE74D02">
        <w:tblPrEx>
          <w:tblCellMar>
            <w:top w:w="0" w:type="dxa"/>
            <w:left w:w="108" w:type="dxa"/>
            <w:bottom w:w="0" w:type="dxa"/>
            <w:right w:w="108" w:type="dxa"/>
          </w:tblCellMar>
        </w:tblPrEx>
        <w:trPr>
          <w:trHeight w:val="499" w:hRule="atLeast"/>
        </w:trPr>
        <w:tc>
          <w:tcPr>
            <w:tcW w:w="4357" w:type="dxa"/>
            <w:tcBorders>
              <w:top w:val="nil"/>
              <w:left w:val="single" w:color="auto" w:sz="4" w:space="0"/>
              <w:bottom w:val="single" w:color="auto" w:sz="4" w:space="0"/>
              <w:right w:val="single" w:color="auto" w:sz="4" w:space="0"/>
            </w:tcBorders>
            <w:vAlign w:val="center"/>
          </w:tcPr>
          <w:p w14:paraId="63B82175">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eastAsia="ar-SA"/>
              </w:rPr>
            </w:pPr>
            <w:r>
              <w:rPr>
                <w:rFonts w:hint="eastAsia" w:ascii="宋体" w:hAnsi="宋体" w:eastAsia="宋体" w:cs="宋体"/>
                <w:color w:val="auto"/>
                <w:szCs w:val="21"/>
                <w:highlight w:val="none"/>
              </w:rPr>
              <w:t>10000≤M＜20000</w:t>
            </w:r>
          </w:p>
        </w:tc>
        <w:tc>
          <w:tcPr>
            <w:tcW w:w="3522" w:type="dxa"/>
            <w:tcBorders>
              <w:top w:val="nil"/>
              <w:left w:val="nil"/>
              <w:bottom w:val="single" w:color="auto" w:sz="4" w:space="0"/>
              <w:right w:val="single" w:color="auto" w:sz="4" w:space="0"/>
            </w:tcBorders>
            <w:vAlign w:val="center"/>
          </w:tcPr>
          <w:p w14:paraId="69D70C36">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eastAsia="ar-SA"/>
              </w:rPr>
            </w:pPr>
            <w:r>
              <w:rPr>
                <w:rFonts w:hint="eastAsia" w:ascii="宋体" w:hAnsi="宋体" w:eastAsia="宋体" w:cs="宋体"/>
                <w:color w:val="auto"/>
                <w:szCs w:val="21"/>
                <w:highlight w:val="none"/>
              </w:rPr>
              <w:t>0.55</w:t>
            </w:r>
          </w:p>
        </w:tc>
      </w:tr>
      <w:tr w14:paraId="4EC69385">
        <w:tblPrEx>
          <w:tblCellMar>
            <w:top w:w="0" w:type="dxa"/>
            <w:left w:w="108" w:type="dxa"/>
            <w:bottom w:w="0" w:type="dxa"/>
            <w:right w:w="108" w:type="dxa"/>
          </w:tblCellMar>
        </w:tblPrEx>
        <w:trPr>
          <w:trHeight w:val="499" w:hRule="atLeast"/>
        </w:trPr>
        <w:tc>
          <w:tcPr>
            <w:tcW w:w="4357" w:type="dxa"/>
            <w:tcBorders>
              <w:top w:val="nil"/>
              <w:left w:val="single" w:color="auto" w:sz="4" w:space="0"/>
              <w:bottom w:val="single" w:color="auto" w:sz="4" w:space="0"/>
              <w:right w:val="single" w:color="auto" w:sz="4" w:space="0"/>
            </w:tcBorders>
            <w:vAlign w:val="center"/>
          </w:tcPr>
          <w:p w14:paraId="61338F8B">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eastAsia="ar-SA"/>
              </w:rPr>
            </w:pPr>
            <w:r>
              <w:rPr>
                <w:rFonts w:hint="eastAsia" w:ascii="宋体" w:hAnsi="宋体" w:eastAsia="宋体" w:cs="宋体"/>
                <w:color w:val="auto"/>
                <w:szCs w:val="21"/>
                <w:highlight w:val="none"/>
              </w:rPr>
              <w:t>20000≤M＜40000</w:t>
            </w:r>
          </w:p>
        </w:tc>
        <w:tc>
          <w:tcPr>
            <w:tcW w:w="3522" w:type="dxa"/>
            <w:tcBorders>
              <w:top w:val="nil"/>
              <w:left w:val="nil"/>
              <w:bottom w:val="single" w:color="auto" w:sz="4" w:space="0"/>
              <w:right w:val="single" w:color="auto" w:sz="4" w:space="0"/>
            </w:tcBorders>
            <w:vAlign w:val="center"/>
          </w:tcPr>
          <w:p w14:paraId="439F2C78">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eastAsia="ar-SA"/>
              </w:rPr>
            </w:pPr>
            <w:r>
              <w:rPr>
                <w:rFonts w:hint="eastAsia" w:ascii="宋体" w:hAnsi="宋体" w:eastAsia="宋体" w:cs="宋体"/>
                <w:color w:val="auto"/>
                <w:szCs w:val="21"/>
                <w:highlight w:val="none"/>
              </w:rPr>
              <w:t>0.45</w:t>
            </w:r>
          </w:p>
        </w:tc>
      </w:tr>
      <w:tr w14:paraId="55A01DAB">
        <w:tblPrEx>
          <w:tblCellMar>
            <w:top w:w="0" w:type="dxa"/>
            <w:left w:w="108" w:type="dxa"/>
            <w:bottom w:w="0" w:type="dxa"/>
            <w:right w:w="108" w:type="dxa"/>
          </w:tblCellMar>
        </w:tblPrEx>
        <w:trPr>
          <w:trHeight w:val="499" w:hRule="atLeast"/>
        </w:trPr>
        <w:tc>
          <w:tcPr>
            <w:tcW w:w="4357" w:type="dxa"/>
            <w:tcBorders>
              <w:top w:val="nil"/>
              <w:left w:val="single" w:color="auto" w:sz="4" w:space="0"/>
              <w:bottom w:val="single" w:color="auto" w:sz="4" w:space="0"/>
              <w:right w:val="single" w:color="auto" w:sz="4" w:space="0"/>
            </w:tcBorders>
            <w:vAlign w:val="center"/>
          </w:tcPr>
          <w:p w14:paraId="5A7B99F2">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eastAsia="ar-SA"/>
              </w:rPr>
            </w:pPr>
            <w:r>
              <w:rPr>
                <w:rFonts w:hint="eastAsia" w:ascii="宋体" w:hAnsi="宋体" w:eastAsia="宋体" w:cs="宋体"/>
                <w:color w:val="auto"/>
                <w:szCs w:val="21"/>
                <w:highlight w:val="none"/>
              </w:rPr>
              <w:t>40000≤M＜60000</w:t>
            </w:r>
          </w:p>
        </w:tc>
        <w:tc>
          <w:tcPr>
            <w:tcW w:w="3522" w:type="dxa"/>
            <w:tcBorders>
              <w:top w:val="nil"/>
              <w:left w:val="nil"/>
              <w:bottom w:val="single" w:color="auto" w:sz="4" w:space="0"/>
              <w:right w:val="single" w:color="auto" w:sz="4" w:space="0"/>
            </w:tcBorders>
            <w:vAlign w:val="center"/>
          </w:tcPr>
          <w:p w14:paraId="7B8BF97B">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eastAsia="ar-SA"/>
              </w:rPr>
            </w:pPr>
            <w:r>
              <w:rPr>
                <w:rFonts w:hint="eastAsia" w:ascii="宋体" w:hAnsi="宋体" w:eastAsia="宋体" w:cs="宋体"/>
                <w:color w:val="auto"/>
                <w:szCs w:val="21"/>
                <w:highlight w:val="none"/>
              </w:rPr>
              <w:t>0.35</w:t>
            </w:r>
          </w:p>
        </w:tc>
      </w:tr>
      <w:tr w14:paraId="6A74503A">
        <w:tblPrEx>
          <w:tblCellMar>
            <w:top w:w="0" w:type="dxa"/>
            <w:left w:w="108" w:type="dxa"/>
            <w:bottom w:w="0" w:type="dxa"/>
            <w:right w:w="108" w:type="dxa"/>
          </w:tblCellMar>
        </w:tblPrEx>
        <w:trPr>
          <w:trHeight w:val="499" w:hRule="atLeast"/>
        </w:trPr>
        <w:tc>
          <w:tcPr>
            <w:tcW w:w="4357" w:type="dxa"/>
            <w:tcBorders>
              <w:top w:val="nil"/>
              <w:left w:val="single" w:color="auto" w:sz="4" w:space="0"/>
              <w:bottom w:val="single" w:color="auto" w:sz="4" w:space="0"/>
              <w:right w:val="single" w:color="auto" w:sz="4" w:space="0"/>
            </w:tcBorders>
            <w:vAlign w:val="center"/>
          </w:tcPr>
          <w:p w14:paraId="3FC4231D">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eastAsia="ar-SA"/>
              </w:rPr>
            </w:pPr>
            <w:r>
              <w:rPr>
                <w:rFonts w:hint="eastAsia" w:ascii="宋体" w:hAnsi="宋体" w:eastAsia="宋体" w:cs="宋体"/>
                <w:color w:val="auto"/>
                <w:szCs w:val="21"/>
                <w:highlight w:val="none"/>
              </w:rPr>
              <w:t>60000≤M＜80000</w:t>
            </w:r>
          </w:p>
        </w:tc>
        <w:tc>
          <w:tcPr>
            <w:tcW w:w="3522" w:type="dxa"/>
            <w:tcBorders>
              <w:top w:val="nil"/>
              <w:left w:val="nil"/>
              <w:bottom w:val="single" w:color="auto" w:sz="4" w:space="0"/>
              <w:right w:val="single" w:color="auto" w:sz="4" w:space="0"/>
            </w:tcBorders>
            <w:vAlign w:val="center"/>
          </w:tcPr>
          <w:p w14:paraId="785C1B11">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eastAsia="ar-SA"/>
              </w:rPr>
            </w:pPr>
            <w:r>
              <w:rPr>
                <w:rFonts w:hint="eastAsia" w:ascii="宋体" w:hAnsi="宋体" w:eastAsia="宋体" w:cs="宋体"/>
                <w:color w:val="auto"/>
                <w:szCs w:val="21"/>
                <w:highlight w:val="none"/>
              </w:rPr>
              <w:t>0.3</w:t>
            </w:r>
          </w:p>
        </w:tc>
      </w:tr>
      <w:tr w14:paraId="70E41B4F">
        <w:tblPrEx>
          <w:tblCellMar>
            <w:top w:w="0" w:type="dxa"/>
            <w:left w:w="108" w:type="dxa"/>
            <w:bottom w:w="0" w:type="dxa"/>
            <w:right w:w="108" w:type="dxa"/>
          </w:tblCellMar>
        </w:tblPrEx>
        <w:trPr>
          <w:trHeight w:val="499" w:hRule="atLeast"/>
        </w:trPr>
        <w:tc>
          <w:tcPr>
            <w:tcW w:w="4357" w:type="dxa"/>
            <w:tcBorders>
              <w:top w:val="single" w:color="auto" w:sz="4" w:space="0"/>
              <w:left w:val="single" w:color="auto" w:sz="4" w:space="0"/>
              <w:bottom w:val="single" w:color="auto" w:sz="4" w:space="0"/>
              <w:right w:val="single" w:color="auto" w:sz="4" w:space="0"/>
            </w:tcBorders>
            <w:vAlign w:val="center"/>
          </w:tcPr>
          <w:p w14:paraId="17278464">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eastAsia="ar-SA"/>
              </w:rPr>
            </w:pPr>
            <w:r>
              <w:rPr>
                <w:rFonts w:hint="eastAsia" w:ascii="宋体" w:hAnsi="宋体" w:eastAsia="宋体" w:cs="宋体"/>
                <w:color w:val="auto"/>
                <w:szCs w:val="21"/>
                <w:highlight w:val="none"/>
              </w:rPr>
              <w:t>80000≤M＜100000</w:t>
            </w:r>
          </w:p>
        </w:tc>
        <w:tc>
          <w:tcPr>
            <w:tcW w:w="3522" w:type="dxa"/>
            <w:tcBorders>
              <w:top w:val="single" w:color="auto" w:sz="4" w:space="0"/>
              <w:left w:val="nil"/>
              <w:bottom w:val="single" w:color="auto" w:sz="4" w:space="0"/>
              <w:right w:val="single" w:color="auto" w:sz="4" w:space="0"/>
            </w:tcBorders>
            <w:vAlign w:val="center"/>
          </w:tcPr>
          <w:p w14:paraId="3B1B587F">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eastAsia="ar-SA"/>
              </w:rPr>
            </w:pPr>
            <w:r>
              <w:rPr>
                <w:rFonts w:hint="eastAsia" w:ascii="宋体" w:hAnsi="宋体" w:eastAsia="宋体" w:cs="宋体"/>
                <w:color w:val="auto"/>
                <w:szCs w:val="21"/>
                <w:highlight w:val="none"/>
              </w:rPr>
              <w:t>0.25</w:t>
            </w:r>
          </w:p>
        </w:tc>
      </w:tr>
      <w:tr w14:paraId="11F39353">
        <w:tblPrEx>
          <w:tblCellMar>
            <w:top w:w="0" w:type="dxa"/>
            <w:left w:w="108" w:type="dxa"/>
            <w:bottom w:w="0" w:type="dxa"/>
            <w:right w:w="108" w:type="dxa"/>
          </w:tblCellMar>
        </w:tblPrEx>
        <w:trPr>
          <w:trHeight w:val="499" w:hRule="atLeast"/>
        </w:trPr>
        <w:tc>
          <w:tcPr>
            <w:tcW w:w="4357" w:type="dxa"/>
            <w:tcBorders>
              <w:top w:val="single" w:color="auto" w:sz="4" w:space="0"/>
              <w:left w:val="single" w:color="auto" w:sz="4" w:space="0"/>
              <w:bottom w:val="single" w:color="auto" w:sz="4" w:space="0"/>
              <w:right w:val="single" w:color="auto" w:sz="4" w:space="0"/>
            </w:tcBorders>
            <w:vAlign w:val="center"/>
          </w:tcPr>
          <w:p w14:paraId="4FBC126C">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eastAsia="ar-SA"/>
              </w:rPr>
            </w:pPr>
            <w:r>
              <w:rPr>
                <w:rFonts w:hint="eastAsia" w:ascii="宋体" w:hAnsi="宋体" w:eastAsia="宋体" w:cs="宋体"/>
                <w:color w:val="auto"/>
                <w:szCs w:val="21"/>
                <w:highlight w:val="none"/>
              </w:rPr>
              <w:t>100000≤M＜200000</w:t>
            </w:r>
          </w:p>
        </w:tc>
        <w:tc>
          <w:tcPr>
            <w:tcW w:w="3522" w:type="dxa"/>
            <w:tcBorders>
              <w:top w:val="single" w:color="auto" w:sz="4" w:space="0"/>
              <w:left w:val="nil"/>
              <w:bottom w:val="single" w:color="auto" w:sz="4" w:space="0"/>
              <w:right w:val="single" w:color="auto" w:sz="4" w:space="0"/>
            </w:tcBorders>
            <w:vAlign w:val="center"/>
          </w:tcPr>
          <w:p w14:paraId="4CA4EC0B">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eastAsia="ar-SA"/>
              </w:rPr>
            </w:pPr>
            <w:r>
              <w:rPr>
                <w:rFonts w:hint="eastAsia" w:ascii="宋体" w:hAnsi="宋体" w:eastAsia="宋体" w:cs="宋体"/>
                <w:color w:val="auto"/>
                <w:szCs w:val="21"/>
                <w:highlight w:val="none"/>
              </w:rPr>
              <w:t>0.2</w:t>
            </w:r>
          </w:p>
        </w:tc>
      </w:tr>
      <w:tr w14:paraId="6D1D1434">
        <w:tblPrEx>
          <w:tblCellMar>
            <w:top w:w="0" w:type="dxa"/>
            <w:left w:w="108" w:type="dxa"/>
            <w:bottom w:w="0" w:type="dxa"/>
            <w:right w:w="108" w:type="dxa"/>
          </w:tblCellMar>
        </w:tblPrEx>
        <w:trPr>
          <w:trHeight w:val="499" w:hRule="atLeast"/>
        </w:trPr>
        <w:tc>
          <w:tcPr>
            <w:tcW w:w="4357" w:type="dxa"/>
            <w:tcBorders>
              <w:top w:val="single" w:color="auto" w:sz="4" w:space="0"/>
              <w:left w:val="single" w:color="auto" w:sz="4" w:space="0"/>
              <w:bottom w:val="single" w:color="auto" w:sz="4" w:space="0"/>
              <w:right w:val="single" w:color="auto" w:sz="4" w:space="0"/>
            </w:tcBorders>
            <w:vAlign w:val="center"/>
          </w:tcPr>
          <w:p w14:paraId="2B4DCD2D">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eastAsia="ar-SA"/>
              </w:rPr>
            </w:pPr>
            <w:r>
              <w:rPr>
                <w:rFonts w:hint="eastAsia" w:ascii="宋体" w:hAnsi="宋体" w:eastAsia="宋体" w:cs="宋体"/>
                <w:color w:val="auto"/>
                <w:szCs w:val="21"/>
                <w:highlight w:val="none"/>
              </w:rPr>
              <w:t>200000≤M＜300000</w:t>
            </w:r>
          </w:p>
        </w:tc>
        <w:tc>
          <w:tcPr>
            <w:tcW w:w="3522" w:type="dxa"/>
            <w:tcBorders>
              <w:top w:val="single" w:color="auto" w:sz="4" w:space="0"/>
              <w:left w:val="nil"/>
              <w:bottom w:val="single" w:color="auto" w:sz="4" w:space="0"/>
              <w:right w:val="single" w:color="auto" w:sz="4" w:space="0"/>
            </w:tcBorders>
            <w:vAlign w:val="center"/>
          </w:tcPr>
          <w:p w14:paraId="0734CE61">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eastAsia="ar-SA"/>
              </w:rPr>
            </w:pPr>
            <w:r>
              <w:rPr>
                <w:rFonts w:hint="eastAsia" w:ascii="宋体" w:hAnsi="宋体" w:eastAsia="宋体" w:cs="宋体"/>
                <w:color w:val="auto"/>
                <w:szCs w:val="21"/>
                <w:highlight w:val="none"/>
              </w:rPr>
              <w:t>0.15</w:t>
            </w:r>
          </w:p>
        </w:tc>
      </w:tr>
      <w:tr w14:paraId="765F02C2">
        <w:tblPrEx>
          <w:tblCellMar>
            <w:top w:w="0" w:type="dxa"/>
            <w:left w:w="108" w:type="dxa"/>
            <w:bottom w:w="0" w:type="dxa"/>
            <w:right w:w="108" w:type="dxa"/>
          </w:tblCellMar>
        </w:tblPrEx>
        <w:trPr>
          <w:trHeight w:val="499" w:hRule="atLeast"/>
        </w:trPr>
        <w:tc>
          <w:tcPr>
            <w:tcW w:w="4357" w:type="dxa"/>
            <w:tcBorders>
              <w:top w:val="single" w:color="auto" w:sz="4" w:space="0"/>
              <w:left w:val="single" w:color="auto" w:sz="4" w:space="0"/>
              <w:bottom w:val="single" w:color="auto" w:sz="4" w:space="0"/>
              <w:right w:val="single" w:color="auto" w:sz="4" w:space="0"/>
            </w:tcBorders>
            <w:vAlign w:val="center"/>
          </w:tcPr>
          <w:p w14:paraId="41E7F3F6">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eastAsia="ar-SA"/>
              </w:rPr>
            </w:pPr>
            <w:r>
              <w:rPr>
                <w:rFonts w:hint="eastAsia" w:ascii="宋体" w:hAnsi="宋体" w:eastAsia="宋体" w:cs="宋体"/>
                <w:color w:val="auto"/>
                <w:szCs w:val="21"/>
                <w:highlight w:val="none"/>
              </w:rPr>
              <w:t>300000≤M＜400000</w:t>
            </w:r>
          </w:p>
        </w:tc>
        <w:tc>
          <w:tcPr>
            <w:tcW w:w="3522" w:type="dxa"/>
            <w:tcBorders>
              <w:top w:val="single" w:color="auto" w:sz="4" w:space="0"/>
              <w:left w:val="nil"/>
              <w:bottom w:val="single" w:color="auto" w:sz="4" w:space="0"/>
              <w:right w:val="single" w:color="auto" w:sz="4" w:space="0"/>
            </w:tcBorders>
            <w:vAlign w:val="center"/>
          </w:tcPr>
          <w:p w14:paraId="7D13AB50">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eastAsia="ar-SA"/>
              </w:rPr>
            </w:pPr>
            <w:r>
              <w:rPr>
                <w:rFonts w:hint="eastAsia" w:ascii="宋体" w:hAnsi="宋体" w:eastAsia="宋体" w:cs="宋体"/>
                <w:color w:val="auto"/>
                <w:szCs w:val="21"/>
                <w:highlight w:val="none"/>
              </w:rPr>
              <w:t>0.12</w:t>
            </w:r>
          </w:p>
        </w:tc>
      </w:tr>
      <w:tr w14:paraId="171B9702">
        <w:tblPrEx>
          <w:tblCellMar>
            <w:top w:w="0" w:type="dxa"/>
            <w:left w:w="108" w:type="dxa"/>
            <w:bottom w:w="0" w:type="dxa"/>
            <w:right w:w="108" w:type="dxa"/>
          </w:tblCellMar>
        </w:tblPrEx>
        <w:trPr>
          <w:trHeight w:val="499" w:hRule="atLeast"/>
        </w:trPr>
        <w:tc>
          <w:tcPr>
            <w:tcW w:w="4357" w:type="dxa"/>
            <w:tcBorders>
              <w:top w:val="single" w:color="auto" w:sz="4" w:space="0"/>
              <w:left w:val="single" w:color="auto" w:sz="4" w:space="0"/>
              <w:bottom w:val="single" w:color="auto" w:sz="4" w:space="0"/>
              <w:right w:val="single" w:color="auto" w:sz="4" w:space="0"/>
            </w:tcBorders>
            <w:vAlign w:val="center"/>
          </w:tcPr>
          <w:p w14:paraId="4E2FEDC8">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eastAsia="ar-SA"/>
              </w:rPr>
            </w:pPr>
            <w:r>
              <w:rPr>
                <w:rFonts w:hint="eastAsia" w:ascii="宋体" w:hAnsi="宋体" w:eastAsia="宋体" w:cs="宋体"/>
                <w:color w:val="auto"/>
                <w:szCs w:val="21"/>
                <w:highlight w:val="none"/>
              </w:rPr>
              <w:t>400000≤M＜500000</w:t>
            </w:r>
          </w:p>
        </w:tc>
        <w:tc>
          <w:tcPr>
            <w:tcW w:w="3522" w:type="dxa"/>
            <w:tcBorders>
              <w:top w:val="single" w:color="auto" w:sz="4" w:space="0"/>
              <w:left w:val="nil"/>
              <w:bottom w:val="single" w:color="auto" w:sz="4" w:space="0"/>
              <w:right w:val="single" w:color="auto" w:sz="4" w:space="0"/>
            </w:tcBorders>
            <w:vAlign w:val="center"/>
          </w:tcPr>
          <w:p w14:paraId="396A3A9A">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eastAsia="ar-SA"/>
              </w:rPr>
            </w:pPr>
            <w:r>
              <w:rPr>
                <w:rFonts w:hint="eastAsia" w:ascii="宋体" w:hAnsi="宋体" w:eastAsia="宋体" w:cs="宋体"/>
                <w:color w:val="auto"/>
                <w:szCs w:val="21"/>
                <w:highlight w:val="none"/>
              </w:rPr>
              <w:t>0.1</w:t>
            </w:r>
          </w:p>
        </w:tc>
      </w:tr>
      <w:tr w14:paraId="33FC185D">
        <w:tblPrEx>
          <w:tblCellMar>
            <w:top w:w="0" w:type="dxa"/>
            <w:left w:w="108" w:type="dxa"/>
            <w:bottom w:w="0" w:type="dxa"/>
            <w:right w:w="108" w:type="dxa"/>
          </w:tblCellMar>
        </w:tblPrEx>
        <w:trPr>
          <w:trHeight w:val="535" w:hRule="atLeast"/>
        </w:trPr>
        <w:tc>
          <w:tcPr>
            <w:tcW w:w="4357" w:type="dxa"/>
            <w:tcBorders>
              <w:top w:val="single" w:color="auto" w:sz="4" w:space="0"/>
              <w:left w:val="single" w:color="auto" w:sz="4" w:space="0"/>
              <w:bottom w:val="single" w:color="auto" w:sz="4" w:space="0"/>
              <w:right w:val="single" w:color="auto" w:sz="4" w:space="0"/>
            </w:tcBorders>
            <w:vAlign w:val="center"/>
          </w:tcPr>
          <w:p w14:paraId="2F41E412">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eastAsia="ar-SA"/>
              </w:rPr>
            </w:pPr>
            <w:r>
              <w:rPr>
                <w:rFonts w:hint="eastAsia" w:ascii="宋体" w:hAnsi="宋体" w:eastAsia="宋体" w:cs="宋体"/>
                <w:color w:val="auto"/>
                <w:szCs w:val="21"/>
                <w:highlight w:val="none"/>
              </w:rPr>
              <w:t>500000≤M</w:t>
            </w:r>
          </w:p>
        </w:tc>
        <w:tc>
          <w:tcPr>
            <w:tcW w:w="3522" w:type="dxa"/>
            <w:tcBorders>
              <w:top w:val="single" w:color="auto" w:sz="4" w:space="0"/>
              <w:left w:val="nil"/>
              <w:bottom w:val="single" w:color="auto" w:sz="4" w:space="0"/>
              <w:right w:val="single" w:color="auto" w:sz="4" w:space="0"/>
            </w:tcBorders>
            <w:vAlign w:val="center"/>
          </w:tcPr>
          <w:p w14:paraId="29D15DE6">
            <w:pPr>
              <w:keepNext w:val="0"/>
              <w:keepLines w:val="0"/>
              <w:pageBreakBefore w:val="0"/>
              <w:widowControl/>
              <w:suppressAutoHyphen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eastAsia="ar-SA"/>
              </w:rPr>
            </w:pPr>
            <w:r>
              <w:rPr>
                <w:rFonts w:hint="eastAsia" w:ascii="宋体" w:hAnsi="宋体" w:eastAsia="宋体" w:cs="宋体"/>
                <w:color w:val="auto"/>
                <w:szCs w:val="21"/>
                <w:highlight w:val="none"/>
              </w:rPr>
              <w:t>0.08</w:t>
            </w:r>
          </w:p>
        </w:tc>
      </w:tr>
    </w:tbl>
    <w:p w14:paraId="0E40E9AA">
      <w:pPr>
        <w:keepNext w:val="0"/>
        <w:keepLines w:val="0"/>
        <w:pageBreakBefore w:val="0"/>
        <w:widowControl/>
        <w:kinsoku/>
        <w:wordWrap/>
        <w:overflowPunct/>
        <w:topLinePunct w:val="0"/>
        <w:autoSpaceDE/>
        <w:autoSpaceDN/>
        <w:bidi w:val="0"/>
        <w:adjustRightIn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375F9EE">
      <w:pPr>
        <w:keepNext w:val="0"/>
        <w:keepLines w:val="0"/>
        <w:pageBreakBefore w:val="0"/>
        <w:widowControl/>
        <w:kinsoku/>
        <w:wordWrap/>
        <w:overflowPunct/>
        <w:topLinePunct w:val="0"/>
        <w:autoSpaceDE/>
        <w:autoSpaceDN/>
        <w:bidi w:val="0"/>
        <w:adjustRightInd/>
        <w:spacing w:line="400" w:lineRule="exact"/>
        <w:textAlignment w:val="auto"/>
        <w:rPr>
          <w:rFonts w:hint="eastAsia" w:ascii="宋体" w:hAnsi="宋体" w:eastAsia="宋体" w:cs="宋体"/>
          <w:color w:val="auto"/>
          <w:szCs w:val="21"/>
          <w:highlight w:val="none"/>
        </w:rPr>
      </w:pPr>
    </w:p>
    <w:p w14:paraId="2AF31542">
      <w:pPr>
        <w:keepNext w:val="0"/>
        <w:keepLines w:val="0"/>
        <w:pageBreakBefore w:val="0"/>
        <w:widowControl/>
        <w:kinsoku/>
        <w:wordWrap/>
        <w:overflowPunct/>
        <w:topLinePunct w:val="0"/>
        <w:autoSpaceDE/>
        <w:autoSpaceDN/>
        <w:bidi w:val="0"/>
        <w:adjustRightInd/>
        <w:spacing w:line="400" w:lineRule="exact"/>
        <w:textAlignment w:val="auto"/>
        <w:rPr>
          <w:rFonts w:hint="eastAsia" w:ascii="宋体" w:hAnsi="宋体" w:eastAsia="宋体" w:cs="宋体"/>
          <w:color w:val="auto"/>
          <w:szCs w:val="21"/>
          <w:highlight w:val="none"/>
        </w:rPr>
      </w:pPr>
    </w:p>
    <w:p w14:paraId="38E32744">
      <w:pPr>
        <w:keepNext w:val="0"/>
        <w:keepLines w:val="0"/>
        <w:pageBreakBefore w:val="0"/>
        <w:widowControl/>
        <w:kinsoku/>
        <w:wordWrap/>
        <w:overflowPunct/>
        <w:topLinePunct w:val="0"/>
        <w:autoSpaceDE/>
        <w:autoSpaceDN/>
        <w:bidi w:val="0"/>
        <w:adjustRightInd/>
        <w:spacing w:line="400" w:lineRule="exact"/>
        <w:textAlignment w:val="auto"/>
        <w:rPr>
          <w:rFonts w:hint="eastAsia" w:ascii="宋体" w:hAnsi="宋体" w:eastAsia="宋体" w:cs="宋体"/>
          <w:color w:val="auto"/>
          <w:szCs w:val="21"/>
          <w:highlight w:val="none"/>
        </w:rPr>
      </w:pPr>
    </w:p>
    <w:p w14:paraId="62E05AD6">
      <w:pPr>
        <w:keepNext w:val="0"/>
        <w:keepLines w:val="0"/>
        <w:pageBreakBefore w:val="0"/>
        <w:widowControl/>
        <w:kinsoku/>
        <w:wordWrap/>
        <w:overflowPunct/>
        <w:topLinePunct w:val="0"/>
        <w:autoSpaceDE/>
        <w:autoSpaceDN/>
        <w:bidi w:val="0"/>
        <w:adjustRightInd/>
        <w:spacing w:line="400" w:lineRule="exact"/>
        <w:ind w:firstLine="840" w:firstLineChars="400"/>
        <w:textAlignment w:val="auto"/>
        <w:rPr>
          <w:rFonts w:hint="eastAsia" w:ascii="宋体" w:hAnsi="宋体" w:eastAsia="宋体" w:cs="宋体"/>
          <w:color w:val="auto"/>
          <w:szCs w:val="21"/>
          <w:highlight w:val="none"/>
        </w:rPr>
      </w:pPr>
    </w:p>
    <w:p w14:paraId="38A3626F">
      <w:pPr>
        <w:keepNext w:val="0"/>
        <w:keepLines w:val="0"/>
        <w:pageBreakBefore w:val="0"/>
        <w:widowControl/>
        <w:numPr>
          <w:ilvl w:val="0"/>
          <w:numId w:val="3"/>
        </w:numPr>
        <w:kinsoku/>
        <w:wordWrap/>
        <w:overflowPunct/>
        <w:topLinePunct w:val="0"/>
        <w:autoSpaceDE/>
        <w:autoSpaceDN/>
        <w:bidi w:val="0"/>
        <w:adjustRightInd/>
        <w:spacing w:line="400" w:lineRule="exact"/>
        <w:ind w:firstLine="840" w:firstLineChars="4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单个工程预算审核服务费实行上限封顶，预算审核服务费超过20万元的，按20万元计</w:t>
      </w:r>
      <w:r>
        <w:rPr>
          <w:rFonts w:hint="eastAsia" w:ascii="宋体" w:hAnsi="宋体" w:eastAsia="宋体" w:cs="宋体"/>
          <w:color w:val="auto"/>
          <w:szCs w:val="24"/>
          <w:highlight w:val="none"/>
        </w:rPr>
        <w:t>；</w:t>
      </w:r>
    </w:p>
    <w:p w14:paraId="2B1386B9">
      <w:pPr>
        <w:keepNext w:val="0"/>
        <w:keepLines w:val="0"/>
        <w:pageBreakBefore w:val="0"/>
        <w:widowControl/>
        <w:numPr>
          <w:ilvl w:val="0"/>
          <w:numId w:val="3"/>
        </w:numPr>
        <w:kinsoku/>
        <w:wordWrap/>
        <w:overflowPunct/>
        <w:topLinePunct w:val="0"/>
        <w:autoSpaceDE/>
        <w:autoSpaceDN/>
        <w:bidi w:val="0"/>
        <w:adjustRightInd/>
        <w:spacing w:line="400" w:lineRule="exact"/>
        <w:ind w:firstLine="840" w:firstLineChars="4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的响应报价已包括但不限于实施和完成编制工作所需的劳务费、技术服务费、交通、通讯、办公场地、管理费、税费和利润及政策性文件规定、合同包含的所有风险、责任等各项费用，除非上述费用在合同中另有说明，合同期内，费率不再调整。</w:t>
      </w:r>
    </w:p>
    <w:p w14:paraId="6099928B">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color w:val="auto"/>
          <w:szCs w:val="21"/>
          <w:highlight w:val="none"/>
          <w:lang w:eastAsia="ar-SA"/>
        </w:rPr>
      </w:pPr>
      <w:r>
        <w:rPr>
          <w:rFonts w:hint="eastAsia" w:ascii="宋体" w:hAnsi="宋体" w:eastAsia="宋体" w:cs="宋体"/>
          <w:b/>
          <w:color w:val="auto"/>
          <w:szCs w:val="21"/>
          <w:highlight w:val="none"/>
        </w:rPr>
        <w:t>四、履约保证金</w:t>
      </w:r>
    </w:p>
    <w:p w14:paraId="1B36399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本项目无履约保证金。</w:t>
      </w:r>
    </w:p>
    <w:p w14:paraId="1984E6F7">
      <w:pPr>
        <w:keepNext w:val="0"/>
        <w:keepLines w:val="0"/>
        <w:pageBreakBefore w:val="0"/>
        <w:kinsoku/>
        <w:wordWrap/>
        <w:overflowPunct/>
        <w:topLinePunct w:val="0"/>
        <w:autoSpaceDE/>
        <w:autoSpaceDN/>
        <w:bidi w:val="0"/>
        <w:adjustRightInd/>
        <w:snapToGrid w:val="0"/>
        <w:spacing w:line="400" w:lineRule="exact"/>
        <w:ind w:left="21" w:leftChars="1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五、服务费的支付</w:t>
      </w:r>
    </w:p>
    <w:p w14:paraId="00509361">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1.服务费由乙方按季度对完成的服务项目向邕宁区财政局提出申请，经邕宁区财政局审核后报城区政府审批，按财政国库集中支付程序统一支付。</w:t>
      </w:r>
    </w:p>
    <w:p w14:paraId="75AF24E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2.因甲方原因中途中止审核服务工作的，由甲方与乙方协商，按实际完成的比例计取并支付审核服务费，并提供相关说明报邕宁区财政局备案；因乙方原因导致审核服务工作中止的，不计取审核服务费。</w:t>
      </w:r>
    </w:p>
    <w:p w14:paraId="31EED9B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合同履行期间，如乙方存在违法行为，在政府采购监督管理部门调查或被行政处罚期间，甲方可视情况中止合同，并通知城区财政局延期支付服务费，情节严重，给甲方造成损失的，甲方有权终止合同，并不予支付服务费，给甲方造成经济损失的，还应向甲方赔偿相应的损失。</w:t>
      </w:r>
    </w:p>
    <w:p w14:paraId="4E05A0E2">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六、适用框架协议的采购人</w:t>
      </w:r>
    </w:p>
    <w:p w14:paraId="77CB531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开展南宁市邕宁区政府投资建设项目预算</w:t>
      </w:r>
      <w:r>
        <w:rPr>
          <w:rFonts w:hint="eastAsia" w:ascii="宋体" w:hAnsi="宋体" w:eastAsia="宋体" w:cs="宋体"/>
          <w:color w:val="auto"/>
          <w:szCs w:val="20"/>
          <w:highlight w:val="none"/>
        </w:rPr>
        <w:t>审核</w:t>
      </w:r>
      <w:r>
        <w:rPr>
          <w:rFonts w:hint="eastAsia" w:ascii="宋体" w:hAnsi="宋体" w:eastAsia="宋体" w:cs="宋体"/>
          <w:color w:val="auto"/>
          <w:kern w:val="0"/>
          <w:szCs w:val="21"/>
          <w:highlight w:val="none"/>
          <w:lang w:val="zh-CN"/>
        </w:rPr>
        <w:t>委托服务的单位可以使用本框架协议。</w:t>
      </w:r>
    </w:p>
    <w:p w14:paraId="379B83FF">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七、确定第二阶段成交供应商的方式</w:t>
      </w:r>
    </w:p>
    <w:p w14:paraId="11CFEF7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确定第二阶段成交供应商的主要方式为直接选定。由采购人依据项目实际情况、供应商服务质量、价格及服务便利性、用户评价等因素，从第一阶段入围供应商中直接选定。</w:t>
      </w:r>
    </w:p>
    <w:p w14:paraId="18046B92">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八、采购合同文本</w:t>
      </w:r>
    </w:p>
    <w:p w14:paraId="27C011D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详见附件。</w:t>
      </w:r>
    </w:p>
    <w:p w14:paraId="7545B69B">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九、权利和义务</w:t>
      </w:r>
    </w:p>
    <w:p w14:paraId="238CB88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1.甲方的权利和义务</w:t>
      </w:r>
    </w:p>
    <w:p w14:paraId="03E9362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（1）甲方有权对乙方进行管理和监督。</w:t>
      </w:r>
    </w:p>
    <w:p w14:paraId="4D7873E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（2）甲方有权建立用户反馈和评价机制，接受采购人对乙方履行框架协议和采购合同情况的反馈与评价，作为第二阶段直接选定成交供应商的参考。</w:t>
      </w:r>
    </w:p>
    <w:p w14:paraId="0F949D4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（3）甲方有权对符合框架协议第十二条约定的入围供应商进行清退，终止合同。</w:t>
      </w:r>
    </w:p>
    <w:p w14:paraId="7661EF1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（4）甲方有权对乙方拟投入人员实行登记备案管理，并有权随时了解合作过程中乙方单位工作人员及拟投入人员的变动情况。</w:t>
      </w:r>
    </w:p>
    <w:p w14:paraId="5DE8D24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（5）有权派出监督人员对乙方的业务开展情况和工作质量、廉政纪律执行情况等进行监督。</w:t>
      </w:r>
    </w:p>
    <w:p w14:paraId="5A00233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（6）甲方对乙方违反廉洁纪律实行“一票否决”，发现乙方有违规违纪问题可单方面解除合同并予以通报。</w:t>
      </w:r>
    </w:p>
    <w:p w14:paraId="4386824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（7）甲方有义务为第二阶段合同授予提供工作便利。</w:t>
      </w:r>
    </w:p>
    <w:p w14:paraId="016DF19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2.乙方的权利和义务</w:t>
      </w:r>
    </w:p>
    <w:p w14:paraId="545B011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（1）享有本协议约定收取预算</w:t>
      </w:r>
      <w:r>
        <w:rPr>
          <w:rFonts w:hint="eastAsia" w:ascii="宋体" w:hAnsi="宋体" w:eastAsia="宋体" w:cs="宋体"/>
          <w:color w:val="auto"/>
          <w:szCs w:val="20"/>
          <w:highlight w:val="none"/>
        </w:rPr>
        <w:t>审核</w:t>
      </w:r>
      <w:r>
        <w:rPr>
          <w:rFonts w:hint="eastAsia" w:ascii="宋体" w:hAnsi="宋体" w:eastAsia="宋体" w:cs="宋体"/>
          <w:color w:val="auto"/>
          <w:szCs w:val="21"/>
          <w:highlight w:val="none"/>
        </w:rPr>
        <w:t>服务费用的权利。</w:t>
      </w:r>
    </w:p>
    <w:p w14:paraId="5FBEFFA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（2）无正当理由，不得主动放弃入围资格或者退出框架协议。</w:t>
      </w:r>
    </w:p>
    <w:p w14:paraId="42E41C8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（3）乙方及其派出人员在工作中有义务接受甲方的管理指导、质量监督和考核。</w:t>
      </w:r>
    </w:p>
    <w:p w14:paraId="79C140A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（4）有义务保守执业过程中悉知的甲方、采购人和项目业主的商业秘密。</w:t>
      </w:r>
    </w:p>
    <w:p w14:paraId="69E05C9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有义务将本单位员工花名册（包括姓名、年龄、性别、职务、岗位、联系方式）及拟投入人员名单（含管理与技术负责人及各专业技术人员，名单须与响应文件的拟投入人员名单完全相同，并附上通讯方式及个人详细资料，包括身份证、学历、资格证明文件的复印件，原件备查）通过书面和电子文档形式报甲方登记备案，并向甲方及时上报合作过程中本单位</w:t>
      </w:r>
      <w:r>
        <w:rPr>
          <w:rFonts w:hint="eastAsia" w:ascii="宋体" w:hAnsi="宋体" w:eastAsia="宋体" w:cs="宋体"/>
          <w:color w:val="auto"/>
          <w:szCs w:val="20"/>
          <w:highlight w:val="none"/>
        </w:rPr>
        <w:t>审核</w:t>
      </w:r>
      <w:r>
        <w:rPr>
          <w:rFonts w:hint="eastAsia" w:ascii="宋体" w:hAnsi="宋体" w:eastAsia="宋体" w:cs="宋体"/>
          <w:color w:val="auto"/>
          <w:szCs w:val="21"/>
          <w:highlight w:val="none"/>
        </w:rPr>
        <w:t>员的变动情况。</w:t>
      </w:r>
    </w:p>
    <w:p w14:paraId="7F202EF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（6）甲方对乙方的办公场所及人员进行检查时，乙方有义务积极配合。</w:t>
      </w:r>
    </w:p>
    <w:p w14:paraId="100CE41F">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十、双方约定</w:t>
      </w:r>
    </w:p>
    <w:p w14:paraId="5B81F44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1.乙方不得将采购人委托的</w:t>
      </w:r>
      <w:r>
        <w:rPr>
          <w:rFonts w:hint="eastAsia" w:ascii="宋体" w:hAnsi="宋体" w:eastAsia="宋体" w:cs="宋体"/>
          <w:color w:val="auto"/>
          <w:szCs w:val="20"/>
          <w:highlight w:val="none"/>
        </w:rPr>
        <w:t>审核</w:t>
      </w:r>
      <w:r>
        <w:rPr>
          <w:rFonts w:hint="eastAsia" w:ascii="宋体" w:hAnsi="宋体" w:eastAsia="宋体" w:cs="宋体"/>
          <w:color w:val="auto"/>
          <w:szCs w:val="21"/>
          <w:highlight w:val="none"/>
        </w:rPr>
        <w:t>工作转交第三方完成。</w:t>
      </w:r>
    </w:p>
    <w:p w14:paraId="7666778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2.乙方应当在服务期为甲方提供技术援助和咨询服务，解答甲方、采购人在项目评审遇到的问题，及时为甲方提出解决问题的建议。</w:t>
      </w:r>
    </w:p>
    <w:p w14:paraId="3971561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3.乙方应严格按照《工程造价咨询企业管理办法》、《建筑工程施工发包与承包计价管理办法》、《广西壮族自治区建设工程造价管理办法》等文件要求及工程项目相关合同、相关计价标准等实施</w:t>
      </w:r>
      <w:r>
        <w:rPr>
          <w:rFonts w:hint="eastAsia" w:ascii="宋体" w:hAnsi="宋体" w:eastAsia="宋体" w:cs="宋体"/>
          <w:color w:val="auto"/>
          <w:szCs w:val="20"/>
          <w:highlight w:val="none"/>
        </w:rPr>
        <w:t>审核</w:t>
      </w:r>
      <w:r>
        <w:rPr>
          <w:rFonts w:hint="eastAsia" w:ascii="宋体" w:hAnsi="宋体" w:eastAsia="宋体" w:cs="宋体"/>
          <w:color w:val="auto"/>
          <w:szCs w:val="21"/>
          <w:highlight w:val="none"/>
        </w:rPr>
        <w:t>事项，遵守职业道德。对预算审核工作中的重要事项以及</w:t>
      </w:r>
      <w:r>
        <w:rPr>
          <w:rFonts w:hint="eastAsia" w:ascii="宋体" w:hAnsi="宋体" w:eastAsia="宋体" w:cs="宋体"/>
          <w:color w:val="auto"/>
          <w:szCs w:val="20"/>
          <w:highlight w:val="none"/>
        </w:rPr>
        <w:t>审核</w:t>
      </w:r>
      <w:r>
        <w:rPr>
          <w:rFonts w:hint="eastAsia" w:ascii="宋体" w:hAnsi="宋体" w:eastAsia="宋体" w:cs="宋体"/>
          <w:color w:val="auto"/>
          <w:szCs w:val="21"/>
          <w:highlight w:val="none"/>
        </w:rPr>
        <w:t>人员的专业判断进行记录，依照相关法律法规发表专业意见，出具工程造价成果文件，并对提交的</w:t>
      </w:r>
      <w:r>
        <w:rPr>
          <w:rFonts w:hint="eastAsia" w:ascii="宋体" w:hAnsi="宋体" w:eastAsia="宋体" w:cs="宋体"/>
          <w:color w:val="auto"/>
          <w:szCs w:val="20"/>
          <w:highlight w:val="none"/>
        </w:rPr>
        <w:t>审核</w:t>
      </w:r>
      <w:r>
        <w:rPr>
          <w:rFonts w:hint="eastAsia" w:ascii="宋体" w:hAnsi="宋体" w:eastAsia="宋体" w:cs="宋体"/>
          <w:color w:val="auto"/>
          <w:szCs w:val="21"/>
          <w:highlight w:val="none"/>
        </w:rPr>
        <w:t>成果的真实性、完整性、准确性负责。</w:t>
      </w:r>
    </w:p>
    <w:p w14:paraId="23A452F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4.合同有效期内，甲方认为乙方实际投入的</w:t>
      </w:r>
      <w:r>
        <w:rPr>
          <w:rFonts w:hint="eastAsia" w:ascii="宋体" w:hAnsi="宋体" w:eastAsia="宋体" w:cs="宋体"/>
          <w:color w:val="auto"/>
          <w:szCs w:val="20"/>
          <w:highlight w:val="none"/>
        </w:rPr>
        <w:t>审核</w:t>
      </w:r>
      <w:r>
        <w:rPr>
          <w:rFonts w:hint="eastAsia" w:ascii="宋体" w:hAnsi="宋体" w:eastAsia="宋体" w:cs="宋体"/>
          <w:color w:val="auto"/>
          <w:szCs w:val="21"/>
          <w:highlight w:val="none"/>
        </w:rPr>
        <w:t>人员不足以满足</w:t>
      </w:r>
      <w:r>
        <w:rPr>
          <w:rFonts w:hint="eastAsia" w:ascii="宋体" w:hAnsi="宋体" w:eastAsia="宋体" w:cs="宋体"/>
          <w:color w:val="auto"/>
          <w:szCs w:val="20"/>
          <w:highlight w:val="none"/>
        </w:rPr>
        <w:t>审核</w:t>
      </w:r>
      <w:r>
        <w:rPr>
          <w:rFonts w:hint="eastAsia" w:ascii="宋体" w:hAnsi="宋体" w:eastAsia="宋体" w:cs="宋体"/>
          <w:color w:val="auto"/>
          <w:szCs w:val="21"/>
          <w:highlight w:val="none"/>
        </w:rPr>
        <w:t>任务需要或认为</w:t>
      </w:r>
      <w:r>
        <w:rPr>
          <w:rFonts w:hint="eastAsia" w:ascii="宋体" w:hAnsi="宋体" w:eastAsia="宋体" w:cs="宋体"/>
          <w:color w:val="auto"/>
          <w:szCs w:val="20"/>
          <w:highlight w:val="none"/>
        </w:rPr>
        <w:t>审核</w:t>
      </w:r>
      <w:r>
        <w:rPr>
          <w:rFonts w:hint="eastAsia" w:ascii="宋体" w:hAnsi="宋体" w:eastAsia="宋体" w:cs="宋体"/>
          <w:color w:val="auto"/>
          <w:szCs w:val="21"/>
          <w:highlight w:val="none"/>
        </w:rPr>
        <w:t>人员不称职时，可向乙方发出要求增加或更换（必要时可指定）</w:t>
      </w:r>
      <w:r>
        <w:rPr>
          <w:rFonts w:hint="eastAsia" w:ascii="宋体" w:hAnsi="宋体" w:eastAsia="宋体" w:cs="宋体"/>
          <w:color w:val="auto"/>
          <w:szCs w:val="20"/>
          <w:highlight w:val="none"/>
        </w:rPr>
        <w:t>审核</w:t>
      </w:r>
      <w:r>
        <w:rPr>
          <w:rFonts w:hint="eastAsia" w:ascii="宋体" w:hAnsi="宋体" w:eastAsia="宋体" w:cs="宋体"/>
          <w:color w:val="auto"/>
          <w:szCs w:val="21"/>
          <w:highlight w:val="none"/>
        </w:rPr>
        <w:t>人员的通知，乙方在收到通知后的5天内应增加或更换相应的</w:t>
      </w:r>
      <w:r>
        <w:rPr>
          <w:rFonts w:hint="eastAsia" w:ascii="宋体" w:hAnsi="宋体" w:eastAsia="宋体" w:cs="宋体"/>
          <w:color w:val="auto"/>
          <w:szCs w:val="20"/>
          <w:highlight w:val="none"/>
        </w:rPr>
        <w:t>审核</w:t>
      </w:r>
      <w:r>
        <w:rPr>
          <w:rFonts w:hint="eastAsia" w:ascii="宋体" w:hAnsi="宋体" w:eastAsia="宋体" w:cs="宋体"/>
          <w:color w:val="auto"/>
          <w:szCs w:val="21"/>
          <w:highlight w:val="none"/>
        </w:rPr>
        <w:t>人员，并报甲方登记备案，由此产生的费用由乙方自行承担。</w:t>
      </w:r>
    </w:p>
    <w:p w14:paraId="53FC282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5.乙方已接受采购人委托审核某工程项目概算、招标控制价（含工程量清单）、预算的，不能再为与该工程项目有关的供应商、项目业主或施工方提供与该工程项目结算有关的服务；如发现乙方有违规情况并经查实的，甲方有权终止合同并追究乙方违约责任。</w:t>
      </w:r>
    </w:p>
    <w:p w14:paraId="22C8FC0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6.乙方可根据审核任务需要，经甲方同意后增加专业技术辅助人员，并将新增专业技术辅助人员报甲方登记备案。</w:t>
      </w:r>
    </w:p>
    <w:p w14:paraId="76EE3FC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7.甲方认为有必要时，可以约谈、询问乙方的法人代表及相关负责人，乙方不得拒绝。</w:t>
      </w:r>
    </w:p>
    <w:p w14:paraId="6152D84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原则上供应商不得拒接接受采购人的预算审核服务委托，特殊情况确实无法接受委托任务的，应于采购人拟委托通知之日起5个工作日内提供书面的合理说明；拒接委托且不提供合理书面说明累计3次及以上的，采购人有权酌情对供应商停止服务项目委托3-6个月。</w:t>
      </w:r>
    </w:p>
    <w:p w14:paraId="57B3F057">
      <w:pPr>
        <w:spacing w:line="42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Times New Roman"/>
          <w:color w:val="auto"/>
          <w:szCs w:val="21"/>
          <w:highlight w:val="none"/>
        </w:rPr>
        <w:t>招标控制价的审核，如已完成并提供招标控制价审核成果，但因市场原因需调整材料价格的，不另计审核服务费。</w:t>
      </w:r>
    </w:p>
    <w:p w14:paraId="3B6330B5">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十一、用户反馈和评价机制</w:t>
      </w:r>
    </w:p>
    <w:p w14:paraId="0DEEDEA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框架协议将建立用户反馈和评价机制,每个</w:t>
      </w:r>
      <w:r>
        <w:rPr>
          <w:rFonts w:hint="eastAsia" w:ascii="宋体" w:hAnsi="宋体" w:eastAsia="宋体" w:cs="宋体"/>
          <w:color w:val="auto"/>
          <w:szCs w:val="21"/>
          <w:highlight w:val="none"/>
          <w:lang w:val="en-US" w:eastAsia="zh-CN"/>
        </w:rPr>
        <w:t>工程预算审核</w:t>
      </w:r>
      <w:r>
        <w:rPr>
          <w:rFonts w:hint="eastAsia" w:ascii="宋体" w:hAnsi="宋体" w:eastAsia="宋体" w:cs="宋体"/>
          <w:color w:val="auto"/>
          <w:szCs w:val="21"/>
          <w:highlight w:val="none"/>
          <w:lang w:val="zh-CN" w:eastAsia="zh-CN"/>
        </w:rPr>
        <w:t>项目完成后采购人需按时填写邕宁区政府投资建设项目</w:t>
      </w:r>
      <w:r>
        <w:rPr>
          <w:rFonts w:hint="eastAsia" w:ascii="宋体" w:hAnsi="宋体" w:eastAsia="宋体" w:cs="宋体"/>
          <w:color w:val="auto"/>
          <w:szCs w:val="21"/>
          <w:highlight w:val="none"/>
          <w:lang w:val="en-US" w:eastAsia="zh-CN"/>
        </w:rPr>
        <w:t>预算</w:t>
      </w:r>
      <w:r>
        <w:rPr>
          <w:rFonts w:hint="eastAsia" w:ascii="宋体" w:hAnsi="宋体" w:eastAsia="宋体" w:cs="宋体"/>
          <w:color w:val="auto"/>
          <w:szCs w:val="21"/>
          <w:highlight w:val="none"/>
          <w:lang w:val="zh-CN" w:eastAsia="zh-CN"/>
        </w:rPr>
        <w:t>审核服务单位诚信综合评价表（详见附件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eastAsia="zh-CN"/>
        </w:rPr>
        <w:t>，如诚信综合评价考核等级累计三次及以上为不合格等级，由征集人复核后报送</w:t>
      </w:r>
      <w:r>
        <w:rPr>
          <w:rFonts w:hint="eastAsia" w:ascii="宋体" w:hAnsi="宋体" w:eastAsia="宋体" w:cs="宋体"/>
          <w:color w:val="auto"/>
          <w:szCs w:val="21"/>
          <w:highlight w:val="none"/>
          <w:lang w:val="en-US" w:eastAsia="zh-CN"/>
        </w:rPr>
        <w:t>邕宁区</w:t>
      </w:r>
      <w:r>
        <w:rPr>
          <w:rFonts w:hint="eastAsia" w:ascii="宋体" w:hAnsi="宋体" w:eastAsia="宋体" w:cs="宋体"/>
          <w:color w:val="auto"/>
          <w:szCs w:val="21"/>
          <w:highlight w:val="none"/>
          <w:lang w:val="zh-CN" w:eastAsia="zh-CN"/>
        </w:rPr>
        <w:t>人民政府审批，清退出本次框架协议管理范围。</w:t>
      </w:r>
    </w:p>
    <w:p w14:paraId="2F916285">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十二、入围供应商的清退和补充规则</w:t>
      </w:r>
    </w:p>
    <w:p w14:paraId="620BA3C6">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1.乙方有下列情形之一，尚未签订框架协议的，取消其入围资格；已经签订框架协议的，解除与其签订的框架协议： </w:t>
      </w:r>
    </w:p>
    <w:p w14:paraId="668875A8">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（1）恶意串通谋取入围或者合同成交的； </w:t>
      </w:r>
    </w:p>
    <w:p w14:paraId="191FE659">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（2）提供虚假材料谋取入围或者合同成交的； </w:t>
      </w:r>
    </w:p>
    <w:p w14:paraId="0CAA8EFA">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（3）无正当理由拒不接受合同授予的； </w:t>
      </w:r>
    </w:p>
    <w:p w14:paraId="7FBAA5AD">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（4）不履行合同义务或者履行合同义务不符合约定，经采购人请求履行后仍不履行或者仍未按约定履行的； </w:t>
      </w:r>
    </w:p>
    <w:p w14:paraId="2500F543">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（5）框架协议有效期内，因违法行为被禁止或限制参加政府采购活动的； </w:t>
      </w:r>
    </w:p>
    <w:p w14:paraId="79A535ED">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（6）供应商违反职业道德，有违规违纪问题的；</w:t>
      </w:r>
    </w:p>
    <w:p w14:paraId="19DB22FE">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（7）框架协议约定的其他情形。 </w:t>
      </w:r>
    </w:p>
    <w:p w14:paraId="6F691AB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2.补充规则：</w:t>
      </w:r>
      <w:r>
        <w:rPr>
          <w:rFonts w:hint="eastAsia" w:ascii="宋体" w:hAnsi="宋体" w:eastAsia="宋体" w:cs="宋体"/>
          <w:color w:val="auto"/>
          <w:szCs w:val="21"/>
          <w:highlight w:val="none"/>
          <w:lang w:val="en-US" w:eastAsia="zh-CN"/>
        </w:rPr>
        <w:t>除剩余入围服务商不足入围服务商总数70%且影响框架协议执行的情形外，</w:t>
      </w:r>
      <w:r>
        <w:rPr>
          <w:rFonts w:hint="eastAsia" w:ascii="宋体" w:hAnsi="宋体" w:eastAsia="宋体" w:cs="宋体"/>
          <w:color w:val="auto"/>
          <w:szCs w:val="21"/>
          <w:highlight w:val="none"/>
        </w:rPr>
        <w:t>框架协议有效期内，框架协议有效期内，不再补充征集供应商。</w:t>
      </w:r>
    </w:p>
    <w:p w14:paraId="7CF4A52C">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十三、违约责任</w:t>
      </w:r>
    </w:p>
    <w:p w14:paraId="5F90D99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1.甲方违约，造成乙方损失的，应按《中华人民共和国民法典》有关规定承担责任。</w:t>
      </w:r>
    </w:p>
    <w:p w14:paraId="50271B9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2.因乙方违约造成甲方损失的，应按《中华人民共和国民法典》等相关法律法规赔偿因违约给甲方造成的损失。</w:t>
      </w:r>
    </w:p>
    <w:p w14:paraId="5059A27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在履约期间违反有关规定，情节严重造成不良影响的，按照有关法律法规进行处罚。并取消今后三年内参与甲方组织的同类业务投标，并给予乙方作通报处理，将乙方不良记录报送至市造价管理机构等信用体系管理机构。</w:t>
      </w:r>
    </w:p>
    <w:p w14:paraId="621FA74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1"/>
          <w:highlight w:val="none"/>
        </w:rPr>
        <w:t>4.甲方将不定期的对乙方拟投入的专职</w:t>
      </w:r>
      <w:r>
        <w:rPr>
          <w:rFonts w:hint="eastAsia" w:ascii="宋体" w:hAnsi="宋体" w:eastAsia="宋体" w:cs="宋体"/>
          <w:color w:val="auto"/>
          <w:szCs w:val="20"/>
          <w:highlight w:val="none"/>
        </w:rPr>
        <w:t>审核</w:t>
      </w:r>
      <w:r>
        <w:rPr>
          <w:rFonts w:hint="eastAsia" w:ascii="宋体" w:hAnsi="宋体" w:eastAsia="宋体" w:cs="宋体"/>
          <w:color w:val="auto"/>
          <w:szCs w:val="21"/>
          <w:highlight w:val="none"/>
        </w:rPr>
        <w:t>员在岗情况进行检查，如发现乙方委派的管理及技术负责人和专业技术人员与响应文件承诺的人员不一致（增加其他专业技术辅助人员不限，但不增加服务报酬），且乙方变更人员比例超过30%的，视为乙方违约，给予乙方作通报处理，累计达3次的，清退出框架协议</w:t>
      </w:r>
      <w:r>
        <w:rPr>
          <w:rFonts w:hint="eastAsia" w:ascii="宋体" w:hAnsi="宋体" w:eastAsia="宋体" w:cs="宋体"/>
          <w:color w:val="auto"/>
          <w:szCs w:val="20"/>
          <w:highlight w:val="none"/>
        </w:rPr>
        <w:t>审核</w:t>
      </w:r>
      <w:r>
        <w:rPr>
          <w:rFonts w:hint="eastAsia" w:ascii="宋体" w:hAnsi="宋体" w:eastAsia="宋体" w:cs="宋体"/>
          <w:color w:val="auto"/>
          <w:szCs w:val="21"/>
          <w:highlight w:val="none"/>
        </w:rPr>
        <w:t>服务范围。</w:t>
      </w:r>
    </w:p>
    <w:p w14:paraId="7EE61ED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5.乙方拒绝甲方约谈、询问的，甲方有权通知采购人暂停委托乙方</w:t>
      </w:r>
      <w:r>
        <w:rPr>
          <w:rFonts w:hint="eastAsia" w:ascii="宋体" w:hAnsi="宋体" w:eastAsia="宋体" w:cs="宋体"/>
          <w:color w:val="auto"/>
          <w:szCs w:val="20"/>
          <w:highlight w:val="none"/>
        </w:rPr>
        <w:t>审核</w:t>
      </w:r>
      <w:r>
        <w:rPr>
          <w:rFonts w:hint="eastAsia" w:ascii="宋体" w:hAnsi="宋体" w:eastAsia="宋体" w:cs="宋体"/>
          <w:color w:val="auto"/>
          <w:szCs w:val="21"/>
          <w:highlight w:val="none"/>
        </w:rPr>
        <w:t>任务，直至乙方相关人员接受甲方约谈、询问为止。</w:t>
      </w:r>
    </w:p>
    <w:p w14:paraId="386A5EE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eastAsia="zh-CN"/>
        </w:rPr>
        <w:t>存在转委托第三方承接行为的，一经发现并复核确认即清退出本次框架协议管理范围，</w:t>
      </w:r>
      <w:r>
        <w:rPr>
          <w:rFonts w:hint="eastAsia" w:ascii="宋体" w:hAnsi="宋体" w:eastAsia="宋体" w:cs="宋体"/>
          <w:color w:val="auto"/>
          <w:szCs w:val="21"/>
          <w:highlight w:val="none"/>
          <w:lang w:val="en-US" w:eastAsia="zh-CN"/>
        </w:rPr>
        <w:t>造成甲方损失的，乙方需承担责任</w:t>
      </w:r>
      <w:r>
        <w:rPr>
          <w:rFonts w:hint="eastAsia" w:ascii="宋体" w:hAnsi="宋体" w:eastAsia="宋体" w:cs="宋体"/>
          <w:color w:val="auto"/>
          <w:szCs w:val="21"/>
          <w:highlight w:val="none"/>
          <w:lang w:val="zh-CN" w:eastAsia="zh-CN"/>
        </w:rPr>
        <w:t>。</w:t>
      </w:r>
    </w:p>
    <w:p w14:paraId="7EA69EF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eastAsia="zh-CN"/>
        </w:rPr>
        <w:t>.对于乙方的违约行为，甲方认为有必要的，除可将其不良记录报送至市造价管理机构等信用体系管理机构外，还可以在全城区通报，也可以上报市财政局、自治区财政厅。</w:t>
      </w:r>
    </w:p>
    <w:p w14:paraId="3E61A21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Times New Roman" w:hAnsi="Times New Roman" w:eastAsia="宋体" w:cs="Times New Roman"/>
          <w:color w:val="auto"/>
          <w:szCs w:val="24"/>
          <w:highlight w:val="none"/>
        </w:rPr>
        <w:t>（</w:t>
      </w:r>
      <w:r>
        <w:rPr>
          <w:rFonts w:hint="eastAsia" w:ascii="宋体" w:hAnsi="宋体" w:eastAsia="宋体" w:cs="宋体"/>
          <w:color w:val="auto"/>
          <w:szCs w:val="21"/>
          <w:highlight w:val="none"/>
        </w:rPr>
        <w:t>1）单个项目工程出现错漏项清单超过三项（含三项）且单项金额超过审定总造价的5%，或单个项目错漏项清单总额超过8%，不予以计算服务费。</w:t>
      </w:r>
    </w:p>
    <w:p w14:paraId="31565B28">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（2）单个项目工程出现错漏项清单超过五项（含五项）且单项金额超过审定总造价的5%，或单个项目错漏项清单总额超过10%，不予以计算服务费且停一个季度服务期。</w:t>
      </w:r>
    </w:p>
    <w:p w14:paraId="47FC9C8F">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（3）单个项目工程出现错漏项清单超过五项（含五项）且单项金额超过审定总造价的10%以上，或单个项目错漏项清单总额超过审定造价的20%，不予以计算服务费且停半年服务期。</w:t>
      </w:r>
    </w:p>
    <w:p w14:paraId="0520028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（4）累计单个项目工程出现错漏项清单超过审定总造价的20%以上达到三个，清退出本次框架协议管理范围。</w:t>
      </w:r>
    </w:p>
    <w:p w14:paraId="1EFB92D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p>
    <w:p w14:paraId="742B03EB">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十四、不可抗力事件处理</w:t>
      </w:r>
    </w:p>
    <w:p w14:paraId="5D207DE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1.不可抗力事件发生后，应立即通知对方，并附送有关权威机构出具的证明。</w:t>
      </w:r>
    </w:p>
    <w:p w14:paraId="4DFAC00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2.不可抗力事件延续120天以上，双方应通过友好协商，确定是否继续履行框架协议。</w:t>
      </w:r>
    </w:p>
    <w:p w14:paraId="66DF2CE3">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十五、诉讼</w:t>
      </w:r>
    </w:p>
    <w:p w14:paraId="31BCBF3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双方在执行框架协议中所发生的一切争议，应通过协商解决。如协商不成，双方可就争议共同提请自治区或南宁市工程造价管理机构进行裁定，也可向框架协议签订地法院起诉，框架协议签订地在此约定为南宁市邕宁区。</w:t>
      </w:r>
    </w:p>
    <w:p w14:paraId="761095DF">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十六、框架协议生效及其它</w:t>
      </w:r>
    </w:p>
    <w:p w14:paraId="329848A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1.框架协议经双方法定代表人或授权委托代理人签字并加盖单位公章后生效。</w:t>
      </w:r>
    </w:p>
    <w:p w14:paraId="4DCA5DB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2.框架协议执行中，如需修改或补充框架协议内容，由双方协商另签署书面修改或补充协议作为主框架协议不可分割的一部分。</w:t>
      </w:r>
    </w:p>
    <w:p w14:paraId="325B8D4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当事人一方要求变更或解除框架协议时，应当在变更或解除框架协议前5个工作日通知对方，因变更或解除框架协议使一方遭受损失的，除依法可以免除的责任外，应由责任方负责赔偿。变更或解除框架协议的通知或协议必须采取书面形式，协议未达成之前，原框架协议仍然有效。</w:t>
      </w:r>
    </w:p>
    <w:p w14:paraId="3F1D092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4.下述框架协议附件为本框架协议不可分割的部分并与本框架协议具有同等效力：</w:t>
      </w:r>
    </w:p>
    <w:p w14:paraId="7947B842">
      <w:pPr>
        <w:keepNext w:val="0"/>
        <w:keepLines w:val="0"/>
        <w:pageBreakBefore w:val="0"/>
        <w:kinsoku/>
        <w:wordWrap/>
        <w:overflowPunct/>
        <w:topLinePunct w:val="0"/>
        <w:autoSpaceDE/>
        <w:autoSpaceDN/>
        <w:bidi w:val="0"/>
        <w:adjustRightInd/>
        <w:spacing w:line="400" w:lineRule="exact"/>
        <w:ind w:firstLine="357"/>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（1）成交通知书</w:t>
      </w:r>
    </w:p>
    <w:p w14:paraId="7BE381C9">
      <w:pPr>
        <w:keepNext w:val="0"/>
        <w:keepLines w:val="0"/>
        <w:pageBreakBefore w:val="0"/>
        <w:kinsoku/>
        <w:wordWrap/>
        <w:overflowPunct/>
        <w:topLinePunct w:val="0"/>
        <w:autoSpaceDE/>
        <w:autoSpaceDN/>
        <w:bidi w:val="0"/>
        <w:adjustRightInd/>
        <w:spacing w:line="400" w:lineRule="exact"/>
        <w:ind w:firstLine="357"/>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（2）征集文件服务需求一览表</w:t>
      </w:r>
    </w:p>
    <w:p w14:paraId="388C6540">
      <w:pPr>
        <w:keepNext w:val="0"/>
        <w:keepLines w:val="0"/>
        <w:pageBreakBefore w:val="0"/>
        <w:kinsoku/>
        <w:wordWrap/>
        <w:overflowPunct/>
        <w:topLinePunct w:val="0"/>
        <w:autoSpaceDE/>
        <w:autoSpaceDN/>
        <w:bidi w:val="0"/>
        <w:adjustRightInd/>
        <w:spacing w:line="400" w:lineRule="exact"/>
        <w:ind w:firstLine="357"/>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（3）征集文件的澄清和修改（如有请提供）</w:t>
      </w:r>
    </w:p>
    <w:p w14:paraId="636A25FF">
      <w:pPr>
        <w:keepNext w:val="0"/>
        <w:keepLines w:val="0"/>
        <w:pageBreakBefore w:val="0"/>
        <w:kinsoku/>
        <w:wordWrap/>
        <w:overflowPunct/>
        <w:topLinePunct w:val="0"/>
        <w:autoSpaceDE/>
        <w:autoSpaceDN/>
        <w:bidi w:val="0"/>
        <w:adjustRightInd/>
        <w:spacing w:line="400" w:lineRule="exact"/>
        <w:ind w:firstLine="357"/>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（4）响应函</w:t>
      </w:r>
    </w:p>
    <w:p w14:paraId="51A6329B">
      <w:pPr>
        <w:keepNext w:val="0"/>
        <w:keepLines w:val="0"/>
        <w:pageBreakBefore w:val="0"/>
        <w:kinsoku/>
        <w:wordWrap/>
        <w:overflowPunct/>
        <w:topLinePunct w:val="0"/>
        <w:autoSpaceDE/>
        <w:autoSpaceDN/>
        <w:bidi w:val="0"/>
        <w:adjustRightInd/>
        <w:spacing w:line="400" w:lineRule="exact"/>
        <w:ind w:firstLine="357"/>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（5）开标一览表</w:t>
      </w:r>
    </w:p>
    <w:p w14:paraId="30383F5D">
      <w:pPr>
        <w:keepNext w:val="0"/>
        <w:keepLines w:val="0"/>
        <w:pageBreakBefore w:val="0"/>
        <w:kinsoku/>
        <w:wordWrap/>
        <w:overflowPunct/>
        <w:topLinePunct w:val="0"/>
        <w:autoSpaceDE/>
        <w:autoSpaceDN/>
        <w:bidi w:val="0"/>
        <w:adjustRightInd/>
        <w:spacing w:line="400" w:lineRule="exact"/>
        <w:ind w:firstLine="357"/>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（6）响应服务技术偏离表</w:t>
      </w:r>
    </w:p>
    <w:p w14:paraId="47F68EEE">
      <w:pPr>
        <w:keepNext w:val="0"/>
        <w:keepLines w:val="0"/>
        <w:pageBreakBefore w:val="0"/>
        <w:kinsoku/>
        <w:wordWrap/>
        <w:overflowPunct/>
        <w:topLinePunct w:val="0"/>
        <w:autoSpaceDE/>
        <w:autoSpaceDN/>
        <w:bidi w:val="0"/>
        <w:adjustRightInd/>
        <w:spacing w:line="400" w:lineRule="exact"/>
        <w:ind w:firstLine="357"/>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（7）商务条款偏离表</w:t>
      </w:r>
    </w:p>
    <w:p w14:paraId="3F8FF669">
      <w:pPr>
        <w:keepNext w:val="0"/>
        <w:keepLines w:val="0"/>
        <w:pageBreakBefore w:val="0"/>
        <w:kinsoku/>
        <w:wordWrap/>
        <w:overflowPunct/>
        <w:topLinePunct w:val="0"/>
        <w:autoSpaceDE/>
        <w:autoSpaceDN/>
        <w:bidi w:val="0"/>
        <w:adjustRightInd/>
        <w:spacing w:line="400" w:lineRule="exact"/>
        <w:ind w:firstLine="357"/>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（8）响应文件</w:t>
      </w:r>
    </w:p>
    <w:p w14:paraId="221CF109">
      <w:pPr>
        <w:keepNext w:val="0"/>
        <w:keepLines w:val="0"/>
        <w:pageBreakBefore w:val="0"/>
        <w:kinsoku/>
        <w:wordWrap/>
        <w:overflowPunct/>
        <w:topLinePunct w:val="0"/>
        <w:autoSpaceDE/>
        <w:autoSpaceDN/>
        <w:bidi w:val="0"/>
        <w:adjustRightInd/>
        <w:spacing w:line="400" w:lineRule="exact"/>
        <w:ind w:firstLine="357"/>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（9）成交供应商澄清函（如有请提供）</w:t>
      </w:r>
    </w:p>
    <w:p w14:paraId="3BEBC246">
      <w:pPr>
        <w:keepNext w:val="0"/>
        <w:keepLines w:val="0"/>
        <w:pageBreakBefore w:val="0"/>
        <w:kinsoku/>
        <w:wordWrap/>
        <w:overflowPunct/>
        <w:topLinePunct w:val="0"/>
        <w:autoSpaceDE/>
        <w:autoSpaceDN/>
        <w:bidi w:val="0"/>
        <w:adjustRightInd/>
        <w:spacing w:line="400" w:lineRule="exact"/>
        <w:ind w:firstLine="357"/>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（12）其他与本框架协议相关的资料（如有请提供）</w:t>
      </w:r>
    </w:p>
    <w:p w14:paraId="12A2CAC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5.本框架协议未尽事宜，遵照《中华人民共和国民法典》有关条文执行。</w:t>
      </w:r>
    </w:p>
    <w:p w14:paraId="2C9E8772">
      <w:pPr>
        <w:keepNext w:val="0"/>
        <w:keepLines w:val="0"/>
        <w:pageBreakBefore w:val="0"/>
        <w:kinsoku/>
        <w:wordWrap/>
        <w:overflowPunct/>
        <w:topLinePunct w:val="0"/>
        <w:autoSpaceDE/>
        <w:autoSpaceDN/>
        <w:bidi w:val="0"/>
        <w:adjustRightInd/>
        <w:spacing w:line="400" w:lineRule="exact"/>
        <w:ind w:firstLine="357"/>
        <w:textAlignment w:val="auto"/>
        <w:rPr>
          <w:rFonts w:hint="eastAsia" w:ascii="宋体" w:hAnsi="宋体" w:eastAsia="宋体" w:cs="宋体"/>
          <w:color w:val="auto"/>
          <w:szCs w:val="20"/>
          <w:highlight w:val="none"/>
        </w:rPr>
      </w:pPr>
      <w:r>
        <w:rPr>
          <w:rFonts w:hint="eastAsia" w:ascii="宋体" w:hAnsi="宋体" w:eastAsia="宋体" w:cs="宋体"/>
          <w:color w:val="auto"/>
          <w:szCs w:val="21"/>
          <w:highlight w:val="none"/>
        </w:rPr>
        <w:t xml:space="preserve"> 6.</w:t>
      </w:r>
      <w:r>
        <w:rPr>
          <w:rFonts w:hint="eastAsia" w:ascii="宋体" w:hAnsi="宋体" w:eastAsia="宋体" w:cs="宋体"/>
          <w:color w:val="auto"/>
          <w:szCs w:val="20"/>
          <w:highlight w:val="none"/>
        </w:rPr>
        <w:t>本合同正本一式两份，具有同等法律效力，甲乙双方各执一份；副本两份，采购代理机构存副本一份，并报南宁市邕宁区政府采购监督管理部门备案副本一份。</w:t>
      </w:r>
    </w:p>
    <w:p w14:paraId="7927897D">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Cs w:val="21"/>
          <w:highlight w:val="none"/>
        </w:rPr>
      </w:pPr>
    </w:p>
    <w:p w14:paraId="542D7B87">
      <w:pPr>
        <w:keepNext w:val="0"/>
        <w:keepLines w:val="0"/>
        <w:pageBreakBefore w:val="0"/>
        <w:kinsoku/>
        <w:wordWrap/>
        <w:overflowPunct/>
        <w:topLinePunct w:val="0"/>
        <w:autoSpaceDE/>
        <w:autoSpaceDN/>
        <w:bidi w:val="0"/>
        <w:adjustRightInd/>
        <w:spacing w:line="400" w:lineRule="exact"/>
        <w:ind w:firstLine="360"/>
        <w:textAlignment w:val="auto"/>
        <w:rPr>
          <w:rFonts w:hint="eastAsia" w:ascii="宋体" w:hAnsi="宋体" w:eastAsia="宋体" w:cs="宋体"/>
          <w:color w:val="auto"/>
          <w:szCs w:val="20"/>
          <w:highlight w:val="none"/>
        </w:rPr>
      </w:pPr>
    </w:p>
    <w:p w14:paraId="64CB795C">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甲方：</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1"/>
          <w:highlight w:val="none"/>
          <w:u w:val="single"/>
        </w:rPr>
        <w:t xml:space="preserve">南宁市邕宁区财政局      </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 xml:space="preserve">         乙方：</w:t>
      </w:r>
      <w:r>
        <w:rPr>
          <w:rFonts w:hint="eastAsia" w:ascii="宋体" w:hAnsi="宋体" w:eastAsia="宋体" w:cs="宋体"/>
          <w:color w:val="auto"/>
          <w:szCs w:val="20"/>
          <w:highlight w:val="none"/>
          <w:u w:val="single"/>
        </w:rPr>
        <w:t xml:space="preserve">                                    </w:t>
      </w:r>
    </w:p>
    <w:p w14:paraId="3DCEBAB7">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地址：</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 xml:space="preserve">    地址：</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 xml:space="preserve">     </w:t>
      </w:r>
    </w:p>
    <w:p w14:paraId="442C5C9D">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法定代表人：</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 xml:space="preserve">    法定代表人：</w:t>
      </w:r>
      <w:r>
        <w:rPr>
          <w:rFonts w:hint="eastAsia" w:ascii="宋体" w:hAnsi="宋体" w:eastAsia="宋体" w:cs="宋体"/>
          <w:color w:val="auto"/>
          <w:szCs w:val="20"/>
          <w:highlight w:val="none"/>
          <w:u w:val="single"/>
        </w:rPr>
        <w:t xml:space="preserve">                              </w:t>
      </w:r>
    </w:p>
    <w:p w14:paraId="72F66848">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委托代理人：</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 xml:space="preserve">    委托代理人：</w:t>
      </w:r>
      <w:r>
        <w:rPr>
          <w:rFonts w:hint="eastAsia" w:ascii="宋体" w:hAnsi="宋体" w:eastAsia="宋体" w:cs="宋体"/>
          <w:color w:val="auto"/>
          <w:szCs w:val="20"/>
          <w:highlight w:val="none"/>
          <w:u w:val="single"/>
        </w:rPr>
        <w:t xml:space="preserve">                              </w:t>
      </w:r>
    </w:p>
    <w:p w14:paraId="7757E38A">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电话：</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 xml:space="preserve">    电话：</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 xml:space="preserve">       </w:t>
      </w:r>
    </w:p>
    <w:p w14:paraId="10F99B6A">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传真：</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 xml:space="preserve">    传真：</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 xml:space="preserve">    </w:t>
      </w:r>
    </w:p>
    <w:p w14:paraId="7F140E0D">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邮政编码：</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 xml:space="preserve">    邮政编码：</w:t>
      </w:r>
      <w:r>
        <w:rPr>
          <w:rFonts w:hint="eastAsia" w:ascii="宋体" w:hAnsi="宋体" w:eastAsia="宋体" w:cs="宋体"/>
          <w:color w:val="auto"/>
          <w:szCs w:val="20"/>
          <w:highlight w:val="none"/>
          <w:u w:val="single"/>
        </w:rPr>
        <w:t xml:space="preserve">                                </w:t>
      </w:r>
    </w:p>
    <w:p w14:paraId="2B258D59">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 xml:space="preserve">                                              开户银行：</w:t>
      </w:r>
      <w:r>
        <w:rPr>
          <w:rFonts w:hint="eastAsia" w:ascii="宋体" w:hAnsi="宋体" w:eastAsia="宋体" w:cs="宋体"/>
          <w:color w:val="auto"/>
          <w:szCs w:val="20"/>
          <w:highlight w:val="none"/>
          <w:u w:val="single"/>
        </w:rPr>
        <w:t xml:space="preserve">                                </w:t>
      </w:r>
    </w:p>
    <w:p w14:paraId="51C14466">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 xml:space="preserve">                                              开户名称：</w:t>
      </w:r>
      <w:r>
        <w:rPr>
          <w:rFonts w:hint="eastAsia" w:ascii="宋体" w:hAnsi="宋体" w:eastAsia="宋体" w:cs="宋体"/>
          <w:color w:val="auto"/>
          <w:szCs w:val="20"/>
          <w:highlight w:val="none"/>
          <w:u w:val="single"/>
        </w:rPr>
        <w:t xml:space="preserve">                                </w:t>
      </w:r>
    </w:p>
    <w:p w14:paraId="7C4EB9DA">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 xml:space="preserve">                                              银行账号：</w:t>
      </w:r>
      <w:r>
        <w:rPr>
          <w:rFonts w:hint="eastAsia" w:ascii="宋体" w:hAnsi="宋体" w:eastAsia="宋体" w:cs="宋体"/>
          <w:color w:val="auto"/>
          <w:szCs w:val="20"/>
          <w:highlight w:val="none"/>
          <w:u w:val="single"/>
        </w:rPr>
        <w:t xml:space="preserve">                                </w:t>
      </w:r>
    </w:p>
    <w:p w14:paraId="74E3CA81">
      <w:pPr>
        <w:keepNext w:val="0"/>
        <w:keepLines w:val="0"/>
        <w:pageBreakBefore w:val="0"/>
        <w:kinsoku/>
        <w:wordWrap/>
        <w:overflowPunct/>
        <w:topLinePunct w:val="0"/>
        <w:autoSpaceDE/>
        <w:autoSpaceDN/>
        <w:bidi w:val="0"/>
        <w:adjustRightInd/>
        <w:spacing w:line="400" w:lineRule="exact"/>
        <w:textAlignment w:val="auto"/>
        <w:rPr>
          <w:rFonts w:ascii="Times New Roman" w:hAnsi="Times New Roman" w:eastAsia="宋体" w:cs="Times New Roman"/>
          <w:b/>
          <w:bCs/>
          <w:color w:val="auto"/>
          <w:kern w:val="44"/>
          <w:sz w:val="44"/>
          <w:szCs w:val="44"/>
          <w:highlight w:val="none"/>
        </w:rPr>
      </w:pPr>
      <w:r>
        <w:rPr>
          <w:rFonts w:hint="eastAsia" w:ascii="宋体" w:hAnsi="宋体" w:eastAsia="宋体" w:cs="宋体"/>
          <w:color w:val="auto"/>
          <w:szCs w:val="24"/>
          <w:highlight w:val="none"/>
        </w:rPr>
        <w:t>合同签订日期：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日           合同签订地点：广西南宁市邕宁区  </w:t>
      </w:r>
      <w:r>
        <w:rPr>
          <w:rFonts w:hint="eastAsia" w:ascii="宋体" w:hAnsi="宋体" w:eastAsia="宋体" w:cs="宋体"/>
          <w:color w:val="auto"/>
          <w:sz w:val="24"/>
          <w:szCs w:val="24"/>
          <w:highlight w:val="none"/>
        </w:rPr>
        <w:t xml:space="preserve">    </w:t>
      </w:r>
    </w:p>
    <w:p w14:paraId="663FF1E8">
      <w:pPr>
        <w:rPr>
          <w:rFonts w:ascii="Times New Roman" w:hAnsi="Times New Roman" w:eastAsia="宋体" w:cs="Times New Roman"/>
          <w:color w:val="auto"/>
          <w:szCs w:val="24"/>
          <w:highlight w:val="none"/>
        </w:rPr>
      </w:pPr>
    </w:p>
    <w:p w14:paraId="0496EB6B">
      <w:pPr>
        <w:keepNext/>
        <w:keepLines/>
        <w:spacing w:before="340" w:after="330" w:line="576" w:lineRule="auto"/>
        <w:outlineLvl w:val="0"/>
        <w:rPr>
          <w:rFonts w:ascii="Times New Roman" w:hAnsi="Times New Roman" w:eastAsia="宋体" w:cs="Times New Roman"/>
          <w:b/>
          <w:bCs/>
          <w:color w:val="auto"/>
          <w:kern w:val="44"/>
          <w:sz w:val="44"/>
          <w:szCs w:val="44"/>
          <w:highlight w:val="none"/>
        </w:rPr>
      </w:pPr>
    </w:p>
    <w:p w14:paraId="360C8EAA">
      <w:pPr>
        <w:rPr>
          <w:rFonts w:ascii="Times New Roman" w:hAnsi="Times New Roman" w:eastAsia="宋体" w:cs="Times New Roman"/>
          <w:color w:val="auto"/>
          <w:szCs w:val="24"/>
          <w:highlight w:val="none"/>
        </w:rPr>
      </w:pPr>
    </w:p>
    <w:p w14:paraId="4C6A2AB7">
      <w:pPr>
        <w:keepNext/>
        <w:keepLines/>
        <w:spacing w:before="340" w:after="330" w:line="576" w:lineRule="auto"/>
        <w:outlineLvl w:val="0"/>
        <w:rPr>
          <w:rFonts w:ascii="Times New Roman" w:hAnsi="Times New Roman" w:eastAsia="宋体" w:cs="Times New Roman"/>
          <w:b/>
          <w:bCs/>
          <w:color w:val="auto"/>
          <w:kern w:val="44"/>
          <w:sz w:val="44"/>
          <w:szCs w:val="44"/>
          <w:highlight w:val="none"/>
        </w:rPr>
      </w:pPr>
    </w:p>
    <w:p w14:paraId="7FD3ABA7">
      <w:pPr>
        <w:keepNext/>
        <w:keepLines/>
        <w:spacing w:before="340" w:after="330" w:line="576" w:lineRule="auto"/>
        <w:outlineLvl w:val="0"/>
        <w:rPr>
          <w:rFonts w:ascii="Times New Roman" w:hAnsi="Times New Roman" w:eastAsia="宋体" w:cs="Times New Roman"/>
          <w:b/>
          <w:bCs/>
          <w:color w:val="auto"/>
          <w:kern w:val="44"/>
          <w:sz w:val="44"/>
          <w:szCs w:val="44"/>
          <w:highlight w:val="none"/>
        </w:rPr>
      </w:pPr>
    </w:p>
    <w:p w14:paraId="057E159A">
      <w:pPr>
        <w:autoSpaceDE w:val="0"/>
        <w:autoSpaceDN w:val="0"/>
        <w:adjustRightInd w:val="0"/>
        <w:jc w:val="center"/>
        <w:rPr>
          <w:rFonts w:ascii="宋体" w:hAnsi="宋体" w:eastAsia="宋体" w:cs="宋体"/>
          <w:b/>
          <w:bCs/>
          <w:color w:val="auto"/>
          <w:sz w:val="32"/>
          <w:szCs w:val="32"/>
          <w:highlight w:val="none"/>
        </w:rPr>
      </w:pPr>
      <w:r>
        <w:rPr>
          <w:rFonts w:hint="eastAsia" w:ascii="宋体" w:hAnsi="宋体" w:eastAsia="宋体" w:cs="宋体"/>
          <w:b/>
          <w:bCs/>
          <w:color w:val="auto"/>
          <w:sz w:val="52"/>
          <w:szCs w:val="24"/>
          <w:highlight w:val="none"/>
        </w:rPr>
        <w:t>第二节   采购合同文本</w:t>
      </w:r>
      <w:r>
        <w:rPr>
          <w:rFonts w:hint="eastAsia" w:ascii="宋体" w:hAnsi="宋体" w:eastAsia="宋体" w:cs="宋体"/>
          <w:b/>
          <w:bCs/>
          <w:color w:val="auto"/>
          <w:sz w:val="52"/>
          <w:szCs w:val="24"/>
          <w:highlight w:val="none"/>
        </w:rPr>
        <w:br w:type="page"/>
      </w:r>
    </w:p>
    <w:p w14:paraId="6ACC940B">
      <w:pPr>
        <w:autoSpaceDE w:val="0"/>
        <w:autoSpaceDN w:val="0"/>
        <w:adjustRightInd w:val="0"/>
        <w:jc w:val="center"/>
        <w:rPr>
          <w:rFonts w:ascii="宋体" w:hAnsi="宋体" w:eastAsia="宋体" w:cs="宋体"/>
          <w:color w:val="auto"/>
          <w:kern w:val="0"/>
          <w:sz w:val="28"/>
          <w:szCs w:val="28"/>
          <w:highlight w:val="none"/>
        </w:rPr>
      </w:pPr>
      <w:r>
        <w:rPr>
          <w:rFonts w:hint="eastAsia" w:ascii="宋体" w:hAnsi="宋体" w:eastAsia="宋体" w:cs="宋体"/>
          <w:b/>
          <w:bCs/>
          <w:color w:val="auto"/>
          <w:sz w:val="52"/>
          <w:szCs w:val="24"/>
          <w:highlight w:val="none"/>
        </w:rPr>
        <w:t xml:space="preserve"> </w:t>
      </w:r>
      <w:r>
        <w:rPr>
          <w:rFonts w:hint="eastAsia" w:ascii="宋体" w:hAnsi="宋体" w:eastAsia="宋体" w:cs="宋体"/>
          <w:color w:val="auto"/>
          <w:kern w:val="0"/>
          <w:sz w:val="28"/>
          <w:szCs w:val="28"/>
          <w:highlight w:val="none"/>
        </w:rPr>
        <w:t>合同编号：</w:t>
      </w:r>
    </w:p>
    <w:p w14:paraId="037559AB">
      <w:pPr>
        <w:autoSpaceDE w:val="0"/>
        <w:autoSpaceDN w:val="0"/>
        <w:adjustRightInd w:val="0"/>
        <w:jc w:val="left"/>
        <w:rPr>
          <w:rFonts w:ascii="宋体" w:hAnsi="宋体" w:eastAsia="宋体" w:cs="宋体"/>
          <w:color w:val="auto"/>
          <w:kern w:val="0"/>
          <w:sz w:val="44"/>
          <w:szCs w:val="44"/>
          <w:highlight w:val="none"/>
        </w:rPr>
      </w:pPr>
    </w:p>
    <w:p w14:paraId="3E5D8C34">
      <w:pPr>
        <w:overflowPunct w:val="0"/>
        <w:adjustRightInd w:val="0"/>
        <w:snapToGrid w:val="0"/>
        <w:spacing w:line="540" w:lineRule="exact"/>
        <w:jc w:val="center"/>
        <w:rPr>
          <w:rFonts w:ascii="方正小标宋简体" w:hAnsi="宋体" w:eastAsia="方正小标宋简体" w:cs="Times New Roman"/>
          <w:color w:val="auto"/>
          <w:sz w:val="36"/>
          <w:szCs w:val="36"/>
          <w:highlight w:val="none"/>
        </w:rPr>
      </w:pPr>
      <w:bookmarkStart w:id="193" w:name="_Toc80093010"/>
      <w:bookmarkStart w:id="194" w:name="_Toc25244"/>
      <w:r>
        <w:rPr>
          <w:rFonts w:hint="eastAsia" w:ascii="方正小标宋简体" w:hAnsi="宋体" w:eastAsia="方正小标宋简体" w:cs="Times New Roman"/>
          <w:color w:val="auto"/>
          <w:sz w:val="36"/>
          <w:szCs w:val="36"/>
          <w:highlight w:val="none"/>
        </w:rPr>
        <w:t>邕宁区</w:t>
      </w:r>
      <w:r>
        <w:rPr>
          <w:rFonts w:hint="eastAsia" w:ascii="方正小标宋简体" w:hAnsi="宋体" w:eastAsia="方正小标宋简体" w:cs="Times New Roman"/>
          <w:color w:val="auto"/>
          <w:sz w:val="36"/>
          <w:szCs w:val="36"/>
          <w:highlight w:val="none"/>
          <w:lang w:eastAsia="zh-CN"/>
        </w:rPr>
        <w:t>2026-2027</w:t>
      </w:r>
      <w:r>
        <w:rPr>
          <w:rFonts w:hint="eastAsia" w:ascii="方正小标宋简体" w:hAnsi="宋体" w:eastAsia="方正小标宋简体" w:cs="Times New Roman"/>
          <w:color w:val="auto"/>
          <w:sz w:val="36"/>
          <w:szCs w:val="36"/>
          <w:highlight w:val="none"/>
        </w:rPr>
        <w:t>年政府投资建设项目预算审核</w:t>
      </w:r>
    </w:p>
    <w:p w14:paraId="5FBCEA15">
      <w:pPr>
        <w:overflowPunct w:val="0"/>
        <w:adjustRightInd w:val="0"/>
        <w:snapToGrid w:val="0"/>
        <w:spacing w:line="540" w:lineRule="exact"/>
        <w:jc w:val="center"/>
        <w:rPr>
          <w:rFonts w:ascii="方正小标宋简体" w:hAnsi="宋体" w:eastAsia="方正小标宋简体" w:cs="Times New Roman"/>
          <w:color w:val="auto"/>
          <w:sz w:val="36"/>
          <w:szCs w:val="36"/>
          <w:highlight w:val="none"/>
        </w:rPr>
      </w:pPr>
      <w:r>
        <w:rPr>
          <w:rFonts w:hint="eastAsia" w:ascii="方正小标宋简体" w:hAnsi="宋体" w:eastAsia="方正小标宋简体" w:cs="Times New Roman"/>
          <w:color w:val="auto"/>
          <w:sz w:val="36"/>
          <w:szCs w:val="36"/>
          <w:highlight w:val="none"/>
        </w:rPr>
        <w:t>服务单位采购合同</w:t>
      </w:r>
    </w:p>
    <w:p w14:paraId="69637513">
      <w:pPr>
        <w:autoSpaceDE w:val="0"/>
        <w:autoSpaceDN w:val="0"/>
        <w:adjustRightInd w:val="0"/>
        <w:spacing w:line="540" w:lineRule="exact"/>
        <w:jc w:val="left"/>
        <w:rPr>
          <w:rFonts w:ascii="宋体" w:hAnsi="宋体" w:eastAsia="宋体" w:cs="宋体"/>
          <w:color w:val="auto"/>
          <w:kern w:val="0"/>
          <w:sz w:val="28"/>
          <w:szCs w:val="28"/>
          <w:highlight w:val="none"/>
        </w:rPr>
      </w:pPr>
    </w:p>
    <w:p w14:paraId="6D9C62AA">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采购人（甲方）：</w:t>
      </w:r>
      <w:r>
        <w:rPr>
          <w:rFonts w:hint="eastAsia" w:ascii="宋体" w:hAnsi="宋体" w:eastAsia="宋体" w:cs="宋体"/>
          <w:color w:val="auto"/>
          <w:szCs w:val="21"/>
          <w:highlight w:val="none"/>
          <w:u w:val="single"/>
        </w:rPr>
        <w:t xml:space="preserve">                                </w:t>
      </w:r>
    </w:p>
    <w:p w14:paraId="2BE6E00D">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成交供应商（乙方）：</w:t>
      </w:r>
      <w:r>
        <w:rPr>
          <w:rFonts w:hint="eastAsia" w:ascii="宋体" w:hAnsi="宋体" w:eastAsia="宋体" w:cs="宋体"/>
          <w:color w:val="auto"/>
          <w:szCs w:val="21"/>
          <w:highlight w:val="none"/>
          <w:u w:val="single"/>
        </w:rPr>
        <w:t xml:space="preserve">                            </w:t>
      </w:r>
    </w:p>
    <w:p w14:paraId="0A144ED3">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p>
    <w:p w14:paraId="5B154360">
      <w:pPr>
        <w:pageBreakBefore w:val="0"/>
        <w:kinsoku/>
        <w:wordWrap/>
        <w:overflowPunct w:val="0"/>
        <w:topLinePunct w:val="0"/>
        <w:autoSpaceDE/>
        <w:autoSpaceDN/>
        <w:bidi w:val="0"/>
        <w:adjustRightInd w:val="0"/>
        <w:snapToGrid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根据《中华人民共和国民法典》、《中华人民共和国政府采购法》、《政府采购框架协议采购方式管理暂行办法》、《邕宁区</w:t>
      </w:r>
      <w:r>
        <w:rPr>
          <w:rFonts w:hint="eastAsia" w:ascii="宋体" w:hAnsi="宋体" w:eastAsia="宋体" w:cs="宋体"/>
          <w:color w:val="auto"/>
          <w:szCs w:val="21"/>
          <w:highlight w:val="none"/>
          <w:lang w:eastAsia="zh-CN"/>
        </w:rPr>
        <w:t>2026-2027</w:t>
      </w:r>
      <w:r>
        <w:rPr>
          <w:rFonts w:hint="eastAsia" w:ascii="宋体" w:hAnsi="宋体" w:eastAsia="宋体" w:cs="宋体"/>
          <w:color w:val="auto"/>
          <w:szCs w:val="21"/>
          <w:highlight w:val="none"/>
        </w:rPr>
        <w:t>年政府投资建设项目预算审核服务单位框架协议》及其他有关法律、法规和规章的规定，遵循平等、自愿、公平和诚实信用原则，双方协商一致，订立本合同。</w:t>
      </w:r>
    </w:p>
    <w:p w14:paraId="026240E5">
      <w:pPr>
        <w:pageBreakBefore w:val="0"/>
        <w:numPr>
          <w:ilvl w:val="0"/>
          <w:numId w:val="4"/>
        </w:numPr>
        <w:kinsoku/>
        <w:wordWrap/>
        <w:topLinePunct w:val="0"/>
        <w:autoSpaceDE/>
        <w:autoSpaceDN/>
        <w:bidi w:val="0"/>
        <w:spacing w:line="400" w:lineRule="exac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合同内容</w:t>
      </w:r>
    </w:p>
    <w:p w14:paraId="164218C3">
      <w:pPr>
        <w:pageBreakBefore w:val="0"/>
        <w:kinsoku/>
        <w:wordWrap/>
        <w:topLinePunct w:val="0"/>
        <w:autoSpaceDE/>
        <w:autoSpaceDN/>
        <w:bidi w:val="0"/>
        <w:spacing w:line="400" w:lineRule="exact"/>
        <w:ind w:firstLine="420" w:firstLineChars="200"/>
        <w:textAlignment w:val="auto"/>
        <w:rPr>
          <w:rFonts w:ascii="宋体" w:hAnsi="宋体" w:eastAsia="宋体" w:cs="宋体"/>
          <w:b/>
          <w:bCs/>
          <w:color w:val="auto"/>
          <w:szCs w:val="21"/>
          <w:highlight w:val="none"/>
        </w:rPr>
      </w:pPr>
      <w:r>
        <w:rPr>
          <w:rFonts w:hint="eastAsia" w:ascii="宋体" w:hAnsi="宋体" w:eastAsia="宋体" w:cs="宋体"/>
          <w:color w:val="auto"/>
          <w:szCs w:val="21"/>
          <w:highlight w:val="none"/>
        </w:rPr>
        <w:t>甲方委托乙方进行</w:t>
      </w:r>
      <w:r>
        <w:rPr>
          <w:rFonts w:hint="eastAsia" w:ascii="宋体" w:hAnsi="宋体" w:eastAsia="宋体" w:cs="宋体"/>
          <w:color w:val="auto"/>
          <w:szCs w:val="21"/>
          <w:highlight w:val="none"/>
          <w:u w:val="single"/>
        </w:rPr>
        <w:t xml:space="preserve">                                      （项目编号：      ）</w:t>
      </w:r>
      <w:r>
        <w:rPr>
          <w:rFonts w:hint="eastAsia" w:ascii="宋体" w:hAnsi="宋体" w:eastAsia="宋体" w:cs="宋体"/>
          <w:color w:val="auto"/>
          <w:szCs w:val="21"/>
          <w:highlight w:val="none"/>
        </w:rPr>
        <w:t>项目预算审核服务工作。</w:t>
      </w:r>
    </w:p>
    <w:p w14:paraId="22A04FB5">
      <w:pPr>
        <w:pageBreakBefore w:val="0"/>
        <w:numPr>
          <w:ilvl w:val="0"/>
          <w:numId w:val="4"/>
        </w:numPr>
        <w:kinsoku/>
        <w:wordWrap/>
        <w:topLinePunct w:val="0"/>
        <w:autoSpaceDE/>
        <w:autoSpaceDN/>
        <w:bidi w:val="0"/>
        <w:spacing w:line="400" w:lineRule="exact"/>
        <w:ind w:firstLine="422" w:firstLineChars="200"/>
        <w:textAlignment w:val="auto"/>
        <w:rPr>
          <w:rFonts w:ascii="宋体" w:hAnsi="宋体" w:eastAsia="宋体" w:cs="宋体"/>
          <w:color w:val="auto"/>
          <w:szCs w:val="21"/>
          <w:highlight w:val="none"/>
          <w:u w:val="single"/>
        </w:rPr>
      </w:pPr>
      <w:r>
        <w:rPr>
          <w:rFonts w:hint="eastAsia" w:ascii="宋体" w:hAnsi="宋体" w:eastAsia="宋体" w:cs="宋体"/>
          <w:b/>
          <w:bCs/>
          <w:color w:val="auto"/>
          <w:szCs w:val="21"/>
          <w:highlight w:val="none"/>
        </w:rPr>
        <w:t>合同时间</w:t>
      </w:r>
    </w:p>
    <w:p w14:paraId="75D13A4B">
      <w:pPr>
        <w:pageBreakBefore w:val="0"/>
        <w:kinsoku/>
        <w:wordWrap/>
        <w:topLinePunct w:val="0"/>
        <w:autoSpaceDE/>
        <w:autoSpaceDN/>
        <w:bidi w:val="0"/>
        <w:spacing w:line="400" w:lineRule="exact"/>
        <w:ind w:firstLine="1260" w:firstLineChars="600"/>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年   月   日至    年   月    日。如遇到非乙方原因影响审核工作进度的，乙方应及时向甲方报告，经核实后，评审时间相应顺延。</w:t>
      </w:r>
    </w:p>
    <w:p w14:paraId="7D60190A">
      <w:pPr>
        <w:pageBreakBefore w:val="0"/>
        <w:numPr>
          <w:ilvl w:val="0"/>
          <w:numId w:val="4"/>
        </w:numPr>
        <w:kinsoku/>
        <w:wordWrap/>
        <w:topLinePunct w:val="0"/>
        <w:autoSpaceDE/>
        <w:autoSpaceDN/>
        <w:bidi w:val="0"/>
        <w:spacing w:line="400" w:lineRule="exact"/>
        <w:ind w:firstLine="422" w:firstLineChars="200"/>
        <w:textAlignment w:val="auto"/>
        <w:rPr>
          <w:rFonts w:ascii="宋体" w:hAnsi="宋体" w:eastAsia="宋体" w:cs="宋体"/>
          <w:color w:val="auto"/>
          <w:szCs w:val="21"/>
          <w:highlight w:val="none"/>
        </w:rPr>
      </w:pPr>
      <w:r>
        <w:rPr>
          <w:rFonts w:hint="eastAsia" w:ascii="宋体" w:hAnsi="宋体" w:eastAsia="宋体" w:cs="宋体"/>
          <w:b/>
          <w:bCs/>
          <w:color w:val="auto"/>
          <w:szCs w:val="21"/>
          <w:highlight w:val="none"/>
          <w:u w:val="single"/>
        </w:rPr>
        <w:t>工程预算审核完成时间</w:t>
      </w:r>
    </w:p>
    <w:p w14:paraId="486DCF94">
      <w:pPr>
        <w:pageBreakBefore w:val="0"/>
        <w:kinsoku/>
        <w:wordWrap/>
        <w:topLinePunct w:val="0"/>
        <w:autoSpaceDE/>
        <w:autoSpaceDN/>
        <w:bidi w:val="0"/>
        <w:spacing w:line="400" w:lineRule="exact"/>
        <w:ind w:firstLine="525" w:firstLineChars="25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签订项目审核采购合同（</w:t>
      </w:r>
      <w:r>
        <w:rPr>
          <w:rFonts w:hint="eastAsia" w:ascii="宋体" w:hAnsi="宋体" w:eastAsia="宋体" w:cs="宋体"/>
          <w:color w:val="auto"/>
          <w:szCs w:val="21"/>
          <w:highlight w:val="none"/>
          <w:u w:val="single"/>
        </w:rPr>
        <w:t>以甲方提交完整资料之日起</w:t>
      </w:r>
      <w:r>
        <w:rPr>
          <w:rFonts w:hint="eastAsia" w:ascii="宋体" w:hAnsi="宋体" w:eastAsia="宋体" w:cs="宋体"/>
          <w:color w:val="auto"/>
          <w:szCs w:val="21"/>
          <w:highlight w:val="none"/>
        </w:rPr>
        <w:t>），工程造价1500万元以下，七个工作日内完成审核；工程造价1500—3000万元，十二个工作日内完成审核；工程造价3000万元以上，十五个工作日内完成审核；提交的时间尽可能提前。</w:t>
      </w:r>
    </w:p>
    <w:p w14:paraId="5FF28AFD">
      <w:pPr>
        <w:pageBreakBefore w:val="0"/>
        <w:numPr>
          <w:ilvl w:val="0"/>
          <w:numId w:val="4"/>
        </w:numPr>
        <w:kinsoku/>
        <w:wordWrap/>
        <w:topLinePunct w:val="0"/>
        <w:autoSpaceDE/>
        <w:autoSpaceDN/>
        <w:bidi w:val="0"/>
        <w:spacing w:line="400" w:lineRule="exact"/>
        <w:ind w:firstLine="422" w:firstLineChars="200"/>
        <w:textAlignment w:val="auto"/>
        <w:rPr>
          <w:rFonts w:ascii="宋体" w:hAnsi="宋体" w:eastAsia="宋体" w:cs="宋体"/>
          <w:color w:val="auto"/>
          <w:szCs w:val="21"/>
          <w:highlight w:val="none"/>
        </w:rPr>
      </w:pPr>
      <w:r>
        <w:rPr>
          <w:rFonts w:hint="eastAsia" w:ascii="宋体" w:hAnsi="宋体" w:eastAsia="宋体" w:cs="宋体"/>
          <w:b/>
          <w:bCs/>
          <w:color w:val="auto"/>
          <w:szCs w:val="21"/>
          <w:highlight w:val="none"/>
        </w:rPr>
        <w:t>质量要求</w:t>
      </w:r>
    </w:p>
    <w:p w14:paraId="6D6F8C89">
      <w:pPr>
        <w:pageBreakBefore w:val="0"/>
        <w:kinsoku/>
        <w:wordWrap/>
        <w:topLinePunct w:val="0"/>
        <w:autoSpaceDE/>
        <w:autoSpaceDN/>
        <w:bidi w:val="0"/>
        <w:spacing w:line="400" w:lineRule="exact"/>
        <w:ind w:firstLine="525" w:firstLineChars="25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符合国家规定的造价咨询服务标准和现行技术规范、规程要求。</w:t>
      </w:r>
    </w:p>
    <w:p w14:paraId="401C3E76">
      <w:pPr>
        <w:pageBreakBefore w:val="0"/>
        <w:numPr>
          <w:ilvl w:val="0"/>
          <w:numId w:val="4"/>
        </w:numPr>
        <w:kinsoku/>
        <w:wordWrap/>
        <w:topLinePunct w:val="0"/>
        <w:autoSpaceDE/>
        <w:autoSpaceDN/>
        <w:bidi w:val="0"/>
        <w:spacing w:line="400" w:lineRule="exact"/>
        <w:ind w:firstLine="422" w:firstLineChars="200"/>
        <w:textAlignment w:val="auto"/>
        <w:rPr>
          <w:rFonts w:ascii="宋体" w:hAnsi="宋体" w:eastAsia="宋体" w:cs="仿宋_GB2312"/>
          <w:b/>
          <w:color w:val="auto"/>
          <w:szCs w:val="21"/>
          <w:highlight w:val="none"/>
        </w:rPr>
      </w:pPr>
      <w:r>
        <w:rPr>
          <w:rFonts w:hint="eastAsia" w:ascii="宋体" w:hAnsi="宋体" w:eastAsia="宋体" w:cs="宋体"/>
          <w:b/>
          <w:bCs/>
          <w:color w:val="auto"/>
          <w:szCs w:val="21"/>
          <w:highlight w:val="none"/>
        </w:rPr>
        <w:t>预算审核服务费</w:t>
      </w:r>
      <w:r>
        <w:rPr>
          <w:rFonts w:hint="eastAsia" w:ascii="宋体" w:hAnsi="宋体" w:eastAsia="宋体" w:cs="仿宋_GB2312"/>
          <w:b/>
          <w:color w:val="auto"/>
          <w:szCs w:val="21"/>
          <w:highlight w:val="none"/>
        </w:rPr>
        <w:t>按下列公式计算</w:t>
      </w:r>
    </w:p>
    <w:p w14:paraId="289B6DFA">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1.预算</w:t>
      </w:r>
      <w:r>
        <w:rPr>
          <w:rFonts w:hint="eastAsia" w:ascii="宋体" w:hAnsi="宋体" w:eastAsia="宋体" w:cs="宋体"/>
          <w:color w:val="auto"/>
          <w:szCs w:val="20"/>
          <w:highlight w:val="none"/>
        </w:rPr>
        <w:t>审核</w:t>
      </w:r>
      <w:r>
        <w:rPr>
          <w:rFonts w:hint="eastAsia" w:ascii="宋体" w:hAnsi="宋体" w:eastAsia="宋体" w:cs="宋体"/>
          <w:color w:val="auto"/>
          <w:szCs w:val="21"/>
          <w:highlight w:val="none"/>
        </w:rPr>
        <w:t>服务费＝（某工程项目审定工程建安造价×基本审核费费率+工程净核减额×5％×分段计费系数×15％）×难度系数×（1-固定下浮系数30%）。如单个工程计算得出的审核服务费少于2000元的按2000元计,最高不超过20万元</w:t>
      </w:r>
      <w:r>
        <w:rPr>
          <w:rFonts w:ascii="宋体" w:hAnsi="宋体" w:eastAsia="宋体" w:cs="宋体"/>
          <w:color w:val="auto"/>
          <w:szCs w:val="21"/>
          <w:highlight w:val="none"/>
        </w:rPr>
        <w:t>。</w:t>
      </w:r>
    </w:p>
    <w:p w14:paraId="73336B49">
      <w:pPr>
        <w:pageBreakBefore w:val="0"/>
        <w:widowControl/>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①招标控制价审核服务费实行上限封顶，工程净核减额超过送审单项造价M的40%时，计算编审服务费时工程净核减额按送审单项造价M的40%计算；</w:t>
      </w:r>
    </w:p>
    <w:p w14:paraId="3E10F11F">
      <w:pPr>
        <w:pageBreakBefore w:val="0"/>
        <w:widowControl/>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②甲方明确不属于乙方审核范围（内容）的事项，不计入工程净核减额。</w:t>
      </w:r>
    </w:p>
    <w:p w14:paraId="55784E80">
      <w:pPr>
        <w:pageBreakBefore w:val="0"/>
        <w:widowControl/>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2.难度系数由招标人根据实际情况确定并在合同中约定，具体如下：</w:t>
      </w:r>
    </w:p>
    <w:p w14:paraId="3E3D933C">
      <w:pPr>
        <w:pageBreakBefore w:val="0"/>
        <w:widowControl/>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①水利、市政道路、排水、公路及土地整理项目、园林绿化工程，难度系数0.8；</w:t>
      </w:r>
    </w:p>
    <w:p w14:paraId="16C031D4">
      <w:pPr>
        <w:pageBreakBefore w:val="0"/>
        <w:widowControl/>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②桥梁和房建项目，难度系数为1.0；</w:t>
      </w:r>
    </w:p>
    <w:p w14:paraId="77F46E43">
      <w:pPr>
        <w:pageBreakBefore w:val="0"/>
        <w:widowControl/>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③其余项目的难度系数为0.9。</w:t>
      </w:r>
    </w:p>
    <w:p w14:paraId="14B163A6">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3.基本审核费费率标准设置如下表：</w:t>
      </w:r>
    </w:p>
    <w:tbl>
      <w:tblPr>
        <w:tblStyle w:val="32"/>
        <w:tblW w:w="0" w:type="auto"/>
        <w:jc w:val="center"/>
        <w:tblLayout w:type="fixed"/>
        <w:tblCellMar>
          <w:top w:w="0" w:type="dxa"/>
          <w:left w:w="108" w:type="dxa"/>
          <w:bottom w:w="0" w:type="dxa"/>
          <w:right w:w="108" w:type="dxa"/>
        </w:tblCellMar>
      </w:tblPr>
      <w:tblGrid>
        <w:gridCol w:w="4127"/>
        <w:gridCol w:w="2218"/>
        <w:gridCol w:w="1616"/>
      </w:tblGrid>
      <w:tr w14:paraId="6C6BEF6F">
        <w:tblPrEx>
          <w:tblCellMar>
            <w:top w:w="0" w:type="dxa"/>
            <w:left w:w="108" w:type="dxa"/>
            <w:bottom w:w="0" w:type="dxa"/>
            <w:right w:w="108" w:type="dxa"/>
          </w:tblCellMar>
        </w:tblPrEx>
        <w:trPr>
          <w:trHeight w:val="420" w:hRule="atLeast"/>
          <w:jc w:val="center"/>
        </w:trPr>
        <w:tc>
          <w:tcPr>
            <w:tcW w:w="4127" w:type="dxa"/>
            <w:tcBorders>
              <w:top w:val="single" w:color="auto" w:sz="4" w:space="0"/>
              <w:left w:val="single" w:color="auto" w:sz="4" w:space="0"/>
              <w:bottom w:val="single" w:color="auto" w:sz="4" w:space="0"/>
              <w:right w:val="single" w:color="auto" w:sz="4" w:space="0"/>
            </w:tcBorders>
            <w:vAlign w:val="center"/>
          </w:tcPr>
          <w:p w14:paraId="0E820ED1">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审定单项造价M（万元）</w:t>
            </w:r>
          </w:p>
        </w:tc>
        <w:tc>
          <w:tcPr>
            <w:tcW w:w="2218" w:type="dxa"/>
            <w:tcBorders>
              <w:top w:val="single" w:color="auto" w:sz="4" w:space="0"/>
              <w:left w:val="nil"/>
              <w:bottom w:val="nil"/>
              <w:right w:val="single" w:color="auto" w:sz="4" w:space="0"/>
            </w:tcBorders>
            <w:vAlign w:val="center"/>
          </w:tcPr>
          <w:p w14:paraId="3FAB1C63">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基本审核费</w:t>
            </w:r>
          </w:p>
          <w:p w14:paraId="2B5891A7">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费率取值标准‰</w:t>
            </w:r>
          </w:p>
        </w:tc>
        <w:tc>
          <w:tcPr>
            <w:tcW w:w="1616" w:type="dxa"/>
            <w:tcBorders>
              <w:top w:val="single" w:color="auto" w:sz="4" w:space="0"/>
              <w:left w:val="single" w:color="auto" w:sz="6" w:space="0"/>
              <w:bottom w:val="single" w:color="auto" w:sz="4" w:space="0"/>
              <w:right w:val="single" w:color="auto" w:sz="4" w:space="0"/>
            </w:tcBorders>
            <w:vAlign w:val="center"/>
          </w:tcPr>
          <w:p w14:paraId="4D45FAA8">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4E7D939A">
        <w:tblPrEx>
          <w:tblCellMar>
            <w:top w:w="0" w:type="dxa"/>
            <w:left w:w="108" w:type="dxa"/>
            <w:bottom w:w="0" w:type="dxa"/>
            <w:right w:w="108" w:type="dxa"/>
          </w:tblCellMar>
        </w:tblPrEx>
        <w:trPr>
          <w:trHeight w:val="397" w:hRule="atLeast"/>
          <w:jc w:val="center"/>
        </w:trPr>
        <w:tc>
          <w:tcPr>
            <w:tcW w:w="4127" w:type="dxa"/>
            <w:tcBorders>
              <w:top w:val="single" w:color="auto" w:sz="4" w:space="0"/>
              <w:left w:val="single" w:color="auto" w:sz="4" w:space="0"/>
              <w:bottom w:val="single" w:color="auto" w:sz="4" w:space="0"/>
              <w:right w:val="single" w:color="auto" w:sz="4" w:space="0"/>
            </w:tcBorders>
            <w:vAlign w:val="center"/>
          </w:tcPr>
          <w:p w14:paraId="3232CDD4">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M＜100 </w:t>
            </w:r>
          </w:p>
        </w:tc>
        <w:tc>
          <w:tcPr>
            <w:tcW w:w="2218" w:type="dxa"/>
            <w:tcBorders>
              <w:top w:val="single" w:color="auto" w:sz="4" w:space="0"/>
              <w:left w:val="nil"/>
              <w:bottom w:val="single" w:color="auto" w:sz="4" w:space="0"/>
              <w:right w:val="single" w:color="auto" w:sz="4" w:space="0"/>
            </w:tcBorders>
            <w:vAlign w:val="center"/>
          </w:tcPr>
          <w:p w14:paraId="2970A281">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616" w:type="dxa"/>
            <w:vMerge w:val="restart"/>
            <w:tcBorders>
              <w:top w:val="single" w:color="auto" w:sz="4" w:space="0"/>
              <w:left w:val="single" w:color="auto" w:sz="4" w:space="0"/>
              <w:bottom w:val="single" w:color="auto" w:sz="4" w:space="0"/>
              <w:right w:val="single" w:color="auto" w:sz="4" w:space="0"/>
            </w:tcBorders>
            <w:vAlign w:val="center"/>
          </w:tcPr>
          <w:p w14:paraId="110B9B40">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按差额累进法计算。</w:t>
            </w:r>
          </w:p>
          <w:p w14:paraId="669D3505">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p>
        </w:tc>
      </w:tr>
      <w:tr w14:paraId="062EB2F9">
        <w:tblPrEx>
          <w:tblCellMar>
            <w:top w:w="0" w:type="dxa"/>
            <w:left w:w="108" w:type="dxa"/>
            <w:bottom w:w="0" w:type="dxa"/>
            <w:right w:w="108" w:type="dxa"/>
          </w:tblCellMar>
        </w:tblPrEx>
        <w:trPr>
          <w:trHeight w:val="397" w:hRule="atLeast"/>
          <w:jc w:val="center"/>
        </w:trPr>
        <w:tc>
          <w:tcPr>
            <w:tcW w:w="4127" w:type="dxa"/>
            <w:tcBorders>
              <w:top w:val="single" w:color="auto" w:sz="4" w:space="0"/>
              <w:left w:val="single" w:color="auto" w:sz="4" w:space="0"/>
              <w:bottom w:val="single" w:color="auto" w:sz="4" w:space="0"/>
              <w:right w:val="single" w:color="auto" w:sz="4" w:space="0"/>
            </w:tcBorders>
            <w:vAlign w:val="center"/>
          </w:tcPr>
          <w:p w14:paraId="41410449">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100≤M＜500</w:t>
            </w:r>
          </w:p>
        </w:tc>
        <w:tc>
          <w:tcPr>
            <w:tcW w:w="2218" w:type="dxa"/>
            <w:tcBorders>
              <w:top w:val="nil"/>
              <w:left w:val="nil"/>
              <w:bottom w:val="single" w:color="auto" w:sz="4" w:space="0"/>
              <w:right w:val="single" w:color="auto" w:sz="4" w:space="0"/>
            </w:tcBorders>
            <w:vAlign w:val="center"/>
          </w:tcPr>
          <w:p w14:paraId="389A83BD">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616" w:type="dxa"/>
            <w:vMerge w:val="continue"/>
            <w:tcBorders>
              <w:top w:val="single" w:color="auto" w:sz="4" w:space="0"/>
              <w:left w:val="single" w:color="auto" w:sz="4" w:space="0"/>
              <w:bottom w:val="single" w:color="auto" w:sz="4" w:space="0"/>
              <w:right w:val="single" w:color="auto" w:sz="4" w:space="0"/>
            </w:tcBorders>
            <w:vAlign w:val="center"/>
          </w:tcPr>
          <w:p w14:paraId="069933A9">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p>
        </w:tc>
      </w:tr>
      <w:tr w14:paraId="05DEBD16">
        <w:tblPrEx>
          <w:tblCellMar>
            <w:top w:w="0" w:type="dxa"/>
            <w:left w:w="108" w:type="dxa"/>
            <w:bottom w:w="0" w:type="dxa"/>
            <w:right w:w="108" w:type="dxa"/>
          </w:tblCellMar>
        </w:tblPrEx>
        <w:trPr>
          <w:trHeight w:val="397" w:hRule="atLeast"/>
          <w:jc w:val="center"/>
        </w:trPr>
        <w:tc>
          <w:tcPr>
            <w:tcW w:w="4127" w:type="dxa"/>
            <w:tcBorders>
              <w:top w:val="single" w:color="auto" w:sz="4" w:space="0"/>
              <w:left w:val="single" w:color="auto" w:sz="4" w:space="0"/>
              <w:bottom w:val="single" w:color="auto" w:sz="4" w:space="0"/>
              <w:right w:val="single" w:color="auto" w:sz="4" w:space="0"/>
            </w:tcBorders>
            <w:vAlign w:val="center"/>
          </w:tcPr>
          <w:p w14:paraId="5FF10219">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500≤M＜1000</w:t>
            </w:r>
          </w:p>
        </w:tc>
        <w:tc>
          <w:tcPr>
            <w:tcW w:w="2218" w:type="dxa"/>
            <w:tcBorders>
              <w:top w:val="nil"/>
              <w:left w:val="nil"/>
              <w:bottom w:val="single" w:color="auto" w:sz="4" w:space="0"/>
              <w:right w:val="single" w:color="auto" w:sz="4" w:space="0"/>
            </w:tcBorders>
            <w:vAlign w:val="center"/>
          </w:tcPr>
          <w:p w14:paraId="4D5B9BFB">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1.65</w:t>
            </w:r>
          </w:p>
        </w:tc>
        <w:tc>
          <w:tcPr>
            <w:tcW w:w="1616" w:type="dxa"/>
            <w:vMerge w:val="continue"/>
            <w:tcBorders>
              <w:top w:val="single" w:color="auto" w:sz="4" w:space="0"/>
              <w:left w:val="single" w:color="auto" w:sz="4" w:space="0"/>
              <w:bottom w:val="single" w:color="auto" w:sz="4" w:space="0"/>
              <w:right w:val="single" w:color="auto" w:sz="4" w:space="0"/>
            </w:tcBorders>
            <w:vAlign w:val="center"/>
          </w:tcPr>
          <w:p w14:paraId="58FC7766">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p>
        </w:tc>
      </w:tr>
      <w:tr w14:paraId="4DC04231">
        <w:tblPrEx>
          <w:tblCellMar>
            <w:top w:w="0" w:type="dxa"/>
            <w:left w:w="108" w:type="dxa"/>
            <w:bottom w:w="0" w:type="dxa"/>
            <w:right w:w="108" w:type="dxa"/>
          </w:tblCellMar>
        </w:tblPrEx>
        <w:trPr>
          <w:trHeight w:val="397" w:hRule="atLeast"/>
          <w:jc w:val="center"/>
        </w:trPr>
        <w:tc>
          <w:tcPr>
            <w:tcW w:w="4127" w:type="dxa"/>
            <w:tcBorders>
              <w:top w:val="single" w:color="auto" w:sz="4" w:space="0"/>
              <w:left w:val="single" w:color="auto" w:sz="4" w:space="0"/>
              <w:bottom w:val="single" w:color="auto" w:sz="4" w:space="0"/>
              <w:right w:val="single" w:color="auto" w:sz="4" w:space="0"/>
            </w:tcBorders>
            <w:vAlign w:val="center"/>
          </w:tcPr>
          <w:p w14:paraId="7C387DDE">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1000≤M＜5000</w:t>
            </w:r>
          </w:p>
        </w:tc>
        <w:tc>
          <w:tcPr>
            <w:tcW w:w="2218" w:type="dxa"/>
            <w:tcBorders>
              <w:top w:val="nil"/>
              <w:left w:val="nil"/>
              <w:bottom w:val="single" w:color="auto" w:sz="4" w:space="0"/>
              <w:right w:val="single" w:color="auto" w:sz="4" w:space="0"/>
            </w:tcBorders>
            <w:vAlign w:val="center"/>
          </w:tcPr>
          <w:p w14:paraId="569BED27">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1.05</w:t>
            </w:r>
          </w:p>
        </w:tc>
        <w:tc>
          <w:tcPr>
            <w:tcW w:w="1616" w:type="dxa"/>
            <w:vMerge w:val="continue"/>
            <w:tcBorders>
              <w:top w:val="single" w:color="auto" w:sz="4" w:space="0"/>
              <w:left w:val="single" w:color="auto" w:sz="4" w:space="0"/>
              <w:bottom w:val="single" w:color="auto" w:sz="4" w:space="0"/>
              <w:right w:val="single" w:color="auto" w:sz="4" w:space="0"/>
            </w:tcBorders>
            <w:vAlign w:val="center"/>
          </w:tcPr>
          <w:p w14:paraId="26E9318E">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p>
        </w:tc>
      </w:tr>
      <w:tr w14:paraId="26BC0870">
        <w:tblPrEx>
          <w:tblCellMar>
            <w:top w:w="0" w:type="dxa"/>
            <w:left w:w="108" w:type="dxa"/>
            <w:bottom w:w="0" w:type="dxa"/>
            <w:right w:w="108" w:type="dxa"/>
          </w:tblCellMar>
        </w:tblPrEx>
        <w:trPr>
          <w:trHeight w:val="397" w:hRule="atLeast"/>
          <w:jc w:val="center"/>
        </w:trPr>
        <w:tc>
          <w:tcPr>
            <w:tcW w:w="4127" w:type="dxa"/>
            <w:tcBorders>
              <w:top w:val="single" w:color="auto" w:sz="4" w:space="0"/>
              <w:left w:val="single" w:color="auto" w:sz="4" w:space="0"/>
              <w:bottom w:val="single" w:color="auto" w:sz="4" w:space="0"/>
              <w:right w:val="single" w:color="auto" w:sz="4" w:space="0"/>
            </w:tcBorders>
            <w:vAlign w:val="center"/>
          </w:tcPr>
          <w:p w14:paraId="311AFE5E">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5000≤M＜10000</w:t>
            </w:r>
          </w:p>
        </w:tc>
        <w:tc>
          <w:tcPr>
            <w:tcW w:w="2218" w:type="dxa"/>
            <w:tcBorders>
              <w:top w:val="nil"/>
              <w:left w:val="nil"/>
              <w:bottom w:val="single" w:color="auto" w:sz="4" w:space="0"/>
              <w:right w:val="single" w:color="auto" w:sz="4" w:space="0"/>
            </w:tcBorders>
            <w:vAlign w:val="center"/>
          </w:tcPr>
          <w:p w14:paraId="186481D3">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0.6</w:t>
            </w:r>
          </w:p>
        </w:tc>
        <w:tc>
          <w:tcPr>
            <w:tcW w:w="1616" w:type="dxa"/>
            <w:vMerge w:val="continue"/>
            <w:tcBorders>
              <w:top w:val="single" w:color="auto" w:sz="4" w:space="0"/>
              <w:left w:val="single" w:color="auto" w:sz="4" w:space="0"/>
              <w:bottom w:val="single" w:color="auto" w:sz="4" w:space="0"/>
              <w:right w:val="single" w:color="auto" w:sz="4" w:space="0"/>
            </w:tcBorders>
            <w:vAlign w:val="center"/>
          </w:tcPr>
          <w:p w14:paraId="1271D3E6">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p>
        </w:tc>
      </w:tr>
      <w:tr w14:paraId="59E4A698">
        <w:tblPrEx>
          <w:tblCellMar>
            <w:top w:w="0" w:type="dxa"/>
            <w:left w:w="108" w:type="dxa"/>
            <w:bottom w:w="0" w:type="dxa"/>
            <w:right w:w="108" w:type="dxa"/>
          </w:tblCellMar>
        </w:tblPrEx>
        <w:trPr>
          <w:trHeight w:val="397" w:hRule="atLeast"/>
          <w:jc w:val="center"/>
        </w:trPr>
        <w:tc>
          <w:tcPr>
            <w:tcW w:w="4127" w:type="dxa"/>
            <w:tcBorders>
              <w:top w:val="single" w:color="auto" w:sz="4" w:space="0"/>
              <w:left w:val="single" w:color="auto" w:sz="4" w:space="0"/>
              <w:bottom w:val="single" w:color="auto" w:sz="4" w:space="0"/>
              <w:right w:val="single" w:color="auto" w:sz="4" w:space="0"/>
            </w:tcBorders>
            <w:vAlign w:val="center"/>
          </w:tcPr>
          <w:p w14:paraId="602298FF">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10000≤M＜20000</w:t>
            </w:r>
          </w:p>
        </w:tc>
        <w:tc>
          <w:tcPr>
            <w:tcW w:w="2218" w:type="dxa"/>
            <w:tcBorders>
              <w:top w:val="nil"/>
              <w:left w:val="nil"/>
              <w:bottom w:val="single" w:color="auto" w:sz="4" w:space="0"/>
              <w:right w:val="single" w:color="auto" w:sz="4" w:space="0"/>
            </w:tcBorders>
            <w:vAlign w:val="center"/>
          </w:tcPr>
          <w:p w14:paraId="61CB774E">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0.40</w:t>
            </w:r>
          </w:p>
        </w:tc>
        <w:tc>
          <w:tcPr>
            <w:tcW w:w="1616" w:type="dxa"/>
            <w:vMerge w:val="continue"/>
            <w:tcBorders>
              <w:top w:val="single" w:color="auto" w:sz="4" w:space="0"/>
              <w:left w:val="single" w:color="auto" w:sz="4" w:space="0"/>
              <w:bottom w:val="single" w:color="auto" w:sz="4" w:space="0"/>
              <w:right w:val="single" w:color="auto" w:sz="4" w:space="0"/>
            </w:tcBorders>
            <w:vAlign w:val="center"/>
          </w:tcPr>
          <w:p w14:paraId="5976F545">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p>
        </w:tc>
      </w:tr>
      <w:tr w14:paraId="3DB0063F">
        <w:tblPrEx>
          <w:tblCellMar>
            <w:top w:w="0" w:type="dxa"/>
            <w:left w:w="108" w:type="dxa"/>
            <w:bottom w:w="0" w:type="dxa"/>
            <w:right w:w="108" w:type="dxa"/>
          </w:tblCellMar>
        </w:tblPrEx>
        <w:trPr>
          <w:trHeight w:val="397" w:hRule="atLeast"/>
          <w:jc w:val="center"/>
        </w:trPr>
        <w:tc>
          <w:tcPr>
            <w:tcW w:w="4127" w:type="dxa"/>
            <w:tcBorders>
              <w:top w:val="single" w:color="auto" w:sz="4" w:space="0"/>
              <w:left w:val="single" w:color="auto" w:sz="4" w:space="0"/>
              <w:bottom w:val="single" w:color="auto" w:sz="4" w:space="0"/>
              <w:right w:val="single" w:color="auto" w:sz="4" w:space="0"/>
            </w:tcBorders>
            <w:vAlign w:val="center"/>
          </w:tcPr>
          <w:p w14:paraId="7EA8BE63">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20000≤M＜40000</w:t>
            </w:r>
          </w:p>
        </w:tc>
        <w:tc>
          <w:tcPr>
            <w:tcW w:w="2218" w:type="dxa"/>
            <w:tcBorders>
              <w:top w:val="nil"/>
              <w:left w:val="nil"/>
              <w:bottom w:val="single" w:color="auto" w:sz="4" w:space="0"/>
              <w:right w:val="single" w:color="auto" w:sz="4" w:space="0"/>
            </w:tcBorders>
            <w:vAlign w:val="center"/>
          </w:tcPr>
          <w:p w14:paraId="6A5974B8">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0.30</w:t>
            </w:r>
          </w:p>
        </w:tc>
        <w:tc>
          <w:tcPr>
            <w:tcW w:w="1616" w:type="dxa"/>
            <w:vMerge w:val="continue"/>
            <w:tcBorders>
              <w:top w:val="single" w:color="auto" w:sz="4" w:space="0"/>
              <w:left w:val="single" w:color="auto" w:sz="4" w:space="0"/>
              <w:bottom w:val="single" w:color="auto" w:sz="4" w:space="0"/>
              <w:right w:val="single" w:color="auto" w:sz="4" w:space="0"/>
            </w:tcBorders>
            <w:vAlign w:val="center"/>
          </w:tcPr>
          <w:p w14:paraId="00DF2DCA">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p>
        </w:tc>
      </w:tr>
      <w:tr w14:paraId="5176ADF7">
        <w:tblPrEx>
          <w:tblCellMar>
            <w:top w:w="0" w:type="dxa"/>
            <w:left w:w="108" w:type="dxa"/>
            <w:bottom w:w="0" w:type="dxa"/>
            <w:right w:w="108" w:type="dxa"/>
          </w:tblCellMar>
        </w:tblPrEx>
        <w:trPr>
          <w:trHeight w:val="397" w:hRule="atLeast"/>
          <w:jc w:val="center"/>
        </w:trPr>
        <w:tc>
          <w:tcPr>
            <w:tcW w:w="4127" w:type="dxa"/>
            <w:tcBorders>
              <w:top w:val="single" w:color="auto" w:sz="4" w:space="0"/>
              <w:left w:val="single" w:color="auto" w:sz="4" w:space="0"/>
              <w:bottom w:val="single" w:color="auto" w:sz="4" w:space="0"/>
              <w:right w:val="single" w:color="auto" w:sz="4" w:space="0"/>
            </w:tcBorders>
            <w:vAlign w:val="center"/>
          </w:tcPr>
          <w:p w14:paraId="7D9642B2">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40000≤M＜60000</w:t>
            </w:r>
          </w:p>
        </w:tc>
        <w:tc>
          <w:tcPr>
            <w:tcW w:w="2218" w:type="dxa"/>
            <w:tcBorders>
              <w:top w:val="nil"/>
              <w:left w:val="nil"/>
              <w:bottom w:val="single" w:color="auto" w:sz="4" w:space="0"/>
              <w:right w:val="single" w:color="auto" w:sz="4" w:space="0"/>
            </w:tcBorders>
            <w:vAlign w:val="center"/>
          </w:tcPr>
          <w:p w14:paraId="2F80F236">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1616" w:type="dxa"/>
            <w:vMerge w:val="continue"/>
            <w:tcBorders>
              <w:top w:val="single" w:color="auto" w:sz="4" w:space="0"/>
              <w:left w:val="single" w:color="auto" w:sz="4" w:space="0"/>
              <w:bottom w:val="single" w:color="auto" w:sz="4" w:space="0"/>
              <w:right w:val="single" w:color="auto" w:sz="4" w:space="0"/>
            </w:tcBorders>
            <w:vAlign w:val="center"/>
          </w:tcPr>
          <w:p w14:paraId="5C3A9F30">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p>
        </w:tc>
      </w:tr>
      <w:tr w14:paraId="095EF467">
        <w:tblPrEx>
          <w:tblCellMar>
            <w:top w:w="0" w:type="dxa"/>
            <w:left w:w="108" w:type="dxa"/>
            <w:bottom w:w="0" w:type="dxa"/>
            <w:right w:w="108" w:type="dxa"/>
          </w:tblCellMar>
        </w:tblPrEx>
        <w:trPr>
          <w:trHeight w:val="397" w:hRule="atLeast"/>
          <w:jc w:val="center"/>
        </w:trPr>
        <w:tc>
          <w:tcPr>
            <w:tcW w:w="4127" w:type="dxa"/>
            <w:tcBorders>
              <w:top w:val="single" w:color="auto" w:sz="4" w:space="0"/>
              <w:left w:val="single" w:color="auto" w:sz="4" w:space="0"/>
              <w:bottom w:val="single" w:color="auto" w:sz="4" w:space="0"/>
              <w:right w:val="single" w:color="auto" w:sz="4" w:space="0"/>
            </w:tcBorders>
            <w:vAlign w:val="center"/>
          </w:tcPr>
          <w:p w14:paraId="6384D924">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60000≤M＜80000</w:t>
            </w:r>
          </w:p>
        </w:tc>
        <w:tc>
          <w:tcPr>
            <w:tcW w:w="2218" w:type="dxa"/>
            <w:tcBorders>
              <w:top w:val="nil"/>
              <w:left w:val="nil"/>
              <w:bottom w:val="single" w:color="auto" w:sz="4" w:space="0"/>
              <w:right w:val="single" w:color="auto" w:sz="4" w:space="0"/>
            </w:tcBorders>
            <w:vAlign w:val="center"/>
          </w:tcPr>
          <w:p w14:paraId="7214BAE8">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0.20</w:t>
            </w:r>
          </w:p>
        </w:tc>
        <w:tc>
          <w:tcPr>
            <w:tcW w:w="1616" w:type="dxa"/>
            <w:vMerge w:val="continue"/>
            <w:tcBorders>
              <w:top w:val="single" w:color="auto" w:sz="4" w:space="0"/>
              <w:left w:val="single" w:color="auto" w:sz="4" w:space="0"/>
              <w:bottom w:val="single" w:color="auto" w:sz="4" w:space="0"/>
              <w:right w:val="single" w:color="auto" w:sz="4" w:space="0"/>
            </w:tcBorders>
            <w:vAlign w:val="center"/>
          </w:tcPr>
          <w:p w14:paraId="414EAAB1">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p>
        </w:tc>
      </w:tr>
      <w:tr w14:paraId="72D9A0A1">
        <w:tblPrEx>
          <w:tblCellMar>
            <w:top w:w="0" w:type="dxa"/>
            <w:left w:w="108" w:type="dxa"/>
            <w:bottom w:w="0" w:type="dxa"/>
            <w:right w:w="108" w:type="dxa"/>
          </w:tblCellMar>
        </w:tblPrEx>
        <w:trPr>
          <w:trHeight w:val="397" w:hRule="atLeast"/>
          <w:jc w:val="center"/>
        </w:trPr>
        <w:tc>
          <w:tcPr>
            <w:tcW w:w="4127" w:type="dxa"/>
            <w:tcBorders>
              <w:top w:val="single" w:color="auto" w:sz="4" w:space="0"/>
              <w:left w:val="single" w:color="auto" w:sz="4" w:space="0"/>
              <w:bottom w:val="single" w:color="auto" w:sz="4" w:space="0"/>
              <w:right w:val="single" w:color="auto" w:sz="4" w:space="0"/>
            </w:tcBorders>
            <w:vAlign w:val="center"/>
          </w:tcPr>
          <w:p w14:paraId="6C9B93D7">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80000≤M＜100000</w:t>
            </w:r>
          </w:p>
        </w:tc>
        <w:tc>
          <w:tcPr>
            <w:tcW w:w="2218" w:type="dxa"/>
            <w:tcBorders>
              <w:top w:val="nil"/>
              <w:left w:val="nil"/>
              <w:bottom w:val="single" w:color="auto" w:sz="4" w:space="0"/>
              <w:right w:val="single" w:color="auto" w:sz="4" w:space="0"/>
            </w:tcBorders>
            <w:vAlign w:val="center"/>
          </w:tcPr>
          <w:p w14:paraId="3F5F2D44">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0.15</w:t>
            </w:r>
          </w:p>
        </w:tc>
        <w:tc>
          <w:tcPr>
            <w:tcW w:w="1616" w:type="dxa"/>
            <w:vMerge w:val="continue"/>
            <w:tcBorders>
              <w:top w:val="single" w:color="auto" w:sz="4" w:space="0"/>
              <w:left w:val="single" w:color="auto" w:sz="4" w:space="0"/>
              <w:bottom w:val="single" w:color="auto" w:sz="4" w:space="0"/>
              <w:right w:val="single" w:color="auto" w:sz="4" w:space="0"/>
            </w:tcBorders>
            <w:vAlign w:val="center"/>
          </w:tcPr>
          <w:p w14:paraId="19A5641F">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p>
        </w:tc>
      </w:tr>
      <w:tr w14:paraId="11606370">
        <w:tblPrEx>
          <w:tblCellMar>
            <w:top w:w="0" w:type="dxa"/>
            <w:left w:w="108" w:type="dxa"/>
            <w:bottom w:w="0" w:type="dxa"/>
            <w:right w:w="108" w:type="dxa"/>
          </w:tblCellMar>
        </w:tblPrEx>
        <w:trPr>
          <w:trHeight w:val="397" w:hRule="atLeast"/>
          <w:jc w:val="center"/>
        </w:trPr>
        <w:tc>
          <w:tcPr>
            <w:tcW w:w="4127" w:type="dxa"/>
            <w:tcBorders>
              <w:top w:val="single" w:color="auto" w:sz="4" w:space="0"/>
              <w:left w:val="single" w:color="auto" w:sz="4" w:space="0"/>
              <w:bottom w:val="single" w:color="auto" w:sz="4" w:space="0"/>
              <w:right w:val="single" w:color="auto" w:sz="4" w:space="0"/>
            </w:tcBorders>
            <w:vAlign w:val="center"/>
          </w:tcPr>
          <w:p w14:paraId="43EA9061">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100000≤M＜200000</w:t>
            </w:r>
          </w:p>
        </w:tc>
        <w:tc>
          <w:tcPr>
            <w:tcW w:w="2218" w:type="dxa"/>
            <w:tcBorders>
              <w:top w:val="single" w:color="auto" w:sz="4" w:space="0"/>
              <w:left w:val="nil"/>
              <w:bottom w:val="single" w:color="auto" w:sz="6" w:space="0"/>
              <w:right w:val="single" w:color="auto" w:sz="4" w:space="0"/>
            </w:tcBorders>
            <w:vAlign w:val="center"/>
          </w:tcPr>
          <w:p w14:paraId="62C7291D">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0.10</w:t>
            </w:r>
          </w:p>
        </w:tc>
        <w:tc>
          <w:tcPr>
            <w:tcW w:w="1616" w:type="dxa"/>
            <w:vMerge w:val="continue"/>
            <w:tcBorders>
              <w:top w:val="single" w:color="auto" w:sz="4" w:space="0"/>
              <w:left w:val="single" w:color="auto" w:sz="4" w:space="0"/>
              <w:bottom w:val="single" w:color="auto" w:sz="4" w:space="0"/>
              <w:right w:val="single" w:color="auto" w:sz="4" w:space="0"/>
            </w:tcBorders>
            <w:vAlign w:val="center"/>
          </w:tcPr>
          <w:p w14:paraId="4CDD529F">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p>
        </w:tc>
      </w:tr>
      <w:tr w14:paraId="217A5B1D">
        <w:tblPrEx>
          <w:tblCellMar>
            <w:top w:w="0" w:type="dxa"/>
            <w:left w:w="108" w:type="dxa"/>
            <w:bottom w:w="0" w:type="dxa"/>
            <w:right w:w="108" w:type="dxa"/>
          </w:tblCellMar>
        </w:tblPrEx>
        <w:trPr>
          <w:trHeight w:val="397" w:hRule="atLeast"/>
          <w:jc w:val="center"/>
        </w:trPr>
        <w:tc>
          <w:tcPr>
            <w:tcW w:w="4127" w:type="dxa"/>
            <w:tcBorders>
              <w:top w:val="single" w:color="auto" w:sz="4" w:space="0"/>
              <w:left w:val="single" w:color="auto" w:sz="4" w:space="0"/>
              <w:bottom w:val="single" w:color="auto" w:sz="4" w:space="0"/>
              <w:right w:val="single" w:color="auto" w:sz="4" w:space="0"/>
            </w:tcBorders>
            <w:vAlign w:val="center"/>
          </w:tcPr>
          <w:p w14:paraId="0A391781">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200000≤M＜300000</w:t>
            </w:r>
          </w:p>
        </w:tc>
        <w:tc>
          <w:tcPr>
            <w:tcW w:w="2218" w:type="dxa"/>
            <w:tcBorders>
              <w:top w:val="single" w:color="auto" w:sz="6" w:space="0"/>
              <w:left w:val="nil"/>
              <w:bottom w:val="single" w:color="auto" w:sz="6" w:space="0"/>
              <w:right w:val="single" w:color="auto" w:sz="4" w:space="0"/>
            </w:tcBorders>
            <w:vAlign w:val="center"/>
          </w:tcPr>
          <w:p w14:paraId="0F52EA21">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0.08</w:t>
            </w:r>
          </w:p>
        </w:tc>
        <w:tc>
          <w:tcPr>
            <w:tcW w:w="1616" w:type="dxa"/>
            <w:vMerge w:val="continue"/>
            <w:tcBorders>
              <w:top w:val="single" w:color="auto" w:sz="4" w:space="0"/>
              <w:left w:val="single" w:color="auto" w:sz="4" w:space="0"/>
              <w:bottom w:val="single" w:color="auto" w:sz="4" w:space="0"/>
              <w:right w:val="single" w:color="auto" w:sz="4" w:space="0"/>
            </w:tcBorders>
            <w:vAlign w:val="center"/>
          </w:tcPr>
          <w:p w14:paraId="3D8ABF78">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p>
        </w:tc>
      </w:tr>
      <w:tr w14:paraId="1478C021">
        <w:tblPrEx>
          <w:tblCellMar>
            <w:top w:w="0" w:type="dxa"/>
            <w:left w:w="108" w:type="dxa"/>
            <w:bottom w:w="0" w:type="dxa"/>
            <w:right w:w="108" w:type="dxa"/>
          </w:tblCellMar>
        </w:tblPrEx>
        <w:trPr>
          <w:trHeight w:val="397" w:hRule="atLeast"/>
          <w:jc w:val="center"/>
        </w:trPr>
        <w:tc>
          <w:tcPr>
            <w:tcW w:w="4127" w:type="dxa"/>
            <w:tcBorders>
              <w:top w:val="single" w:color="auto" w:sz="4" w:space="0"/>
              <w:left w:val="single" w:color="auto" w:sz="4" w:space="0"/>
              <w:bottom w:val="single" w:color="auto" w:sz="4" w:space="0"/>
              <w:right w:val="single" w:color="auto" w:sz="4" w:space="0"/>
            </w:tcBorders>
            <w:vAlign w:val="center"/>
          </w:tcPr>
          <w:p w14:paraId="60E69EED">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300000≤M＜400000</w:t>
            </w:r>
          </w:p>
        </w:tc>
        <w:tc>
          <w:tcPr>
            <w:tcW w:w="2218" w:type="dxa"/>
            <w:tcBorders>
              <w:top w:val="single" w:color="auto" w:sz="6" w:space="0"/>
              <w:left w:val="nil"/>
              <w:bottom w:val="single" w:color="auto" w:sz="6" w:space="0"/>
              <w:right w:val="single" w:color="auto" w:sz="4" w:space="0"/>
            </w:tcBorders>
            <w:vAlign w:val="center"/>
          </w:tcPr>
          <w:p w14:paraId="5004F579">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0.06</w:t>
            </w:r>
          </w:p>
        </w:tc>
        <w:tc>
          <w:tcPr>
            <w:tcW w:w="1616" w:type="dxa"/>
            <w:vMerge w:val="continue"/>
            <w:tcBorders>
              <w:top w:val="single" w:color="auto" w:sz="4" w:space="0"/>
              <w:left w:val="single" w:color="auto" w:sz="4" w:space="0"/>
              <w:bottom w:val="single" w:color="auto" w:sz="4" w:space="0"/>
              <w:right w:val="single" w:color="auto" w:sz="4" w:space="0"/>
            </w:tcBorders>
            <w:vAlign w:val="center"/>
          </w:tcPr>
          <w:p w14:paraId="2E50E1E1">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p>
        </w:tc>
      </w:tr>
      <w:tr w14:paraId="108C2836">
        <w:tblPrEx>
          <w:tblCellMar>
            <w:top w:w="0" w:type="dxa"/>
            <w:left w:w="108" w:type="dxa"/>
            <w:bottom w:w="0" w:type="dxa"/>
            <w:right w:w="108" w:type="dxa"/>
          </w:tblCellMar>
        </w:tblPrEx>
        <w:trPr>
          <w:trHeight w:val="397" w:hRule="atLeast"/>
          <w:jc w:val="center"/>
        </w:trPr>
        <w:tc>
          <w:tcPr>
            <w:tcW w:w="4127" w:type="dxa"/>
            <w:tcBorders>
              <w:top w:val="single" w:color="auto" w:sz="4" w:space="0"/>
              <w:left w:val="single" w:color="auto" w:sz="4" w:space="0"/>
              <w:bottom w:val="single" w:color="auto" w:sz="4" w:space="0"/>
              <w:right w:val="single" w:color="auto" w:sz="4" w:space="0"/>
            </w:tcBorders>
            <w:vAlign w:val="center"/>
          </w:tcPr>
          <w:p w14:paraId="3A644367">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400000≤M＜500000</w:t>
            </w:r>
          </w:p>
        </w:tc>
        <w:tc>
          <w:tcPr>
            <w:tcW w:w="2218" w:type="dxa"/>
            <w:tcBorders>
              <w:top w:val="single" w:color="auto" w:sz="6" w:space="0"/>
              <w:left w:val="nil"/>
              <w:bottom w:val="single" w:color="auto" w:sz="6" w:space="0"/>
              <w:right w:val="single" w:color="auto" w:sz="4" w:space="0"/>
            </w:tcBorders>
            <w:vAlign w:val="center"/>
          </w:tcPr>
          <w:p w14:paraId="5A577DAE">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0.04</w:t>
            </w:r>
          </w:p>
        </w:tc>
        <w:tc>
          <w:tcPr>
            <w:tcW w:w="1616" w:type="dxa"/>
            <w:vMerge w:val="continue"/>
            <w:tcBorders>
              <w:top w:val="single" w:color="auto" w:sz="4" w:space="0"/>
              <w:left w:val="single" w:color="auto" w:sz="4" w:space="0"/>
              <w:bottom w:val="single" w:color="auto" w:sz="4" w:space="0"/>
              <w:right w:val="single" w:color="auto" w:sz="4" w:space="0"/>
            </w:tcBorders>
            <w:vAlign w:val="center"/>
          </w:tcPr>
          <w:p w14:paraId="6CA46A8B">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p>
        </w:tc>
      </w:tr>
      <w:tr w14:paraId="2E66C2E1">
        <w:tblPrEx>
          <w:tblCellMar>
            <w:top w:w="0" w:type="dxa"/>
            <w:left w:w="108" w:type="dxa"/>
            <w:bottom w:w="0" w:type="dxa"/>
            <w:right w:w="108" w:type="dxa"/>
          </w:tblCellMar>
        </w:tblPrEx>
        <w:trPr>
          <w:trHeight w:val="397" w:hRule="atLeast"/>
          <w:jc w:val="center"/>
        </w:trPr>
        <w:tc>
          <w:tcPr>
            <w:tcW w:w="4127" w:type="dxa"/>
            <w:tcBorders>
              <w:top w:val="single" w:color="auto" w:sz="4" w:space="0"/>
              <w:left w:val="single" w:color="auto" w:sz="4" w:space="0"/>
              <w:bottom w:val="single" w:color="auto" w:sz="4" w:space="0"/>
              <w:right w:val="single" w:color="auto" w:sz="4" w:space="0"/>
            </w:tcBorders>
            <w:vAlign w:val="center"/>
          </w:tcPr>
          <w:p w14:paraId="2797C3A2">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500000≤M</w:t>
            </w:r>
          </w:p>
        </w:tc>
        <w:tc>
          <w:tcPr>
            <w:tcW w:w="2218" w:type="dxa"/>
            <w:tcBorders>
              <w:top w:val="single" w:color="auto" w:sz="6" w:space="0"/>
              <w:left w:val="nil"/>
              <w:bottom w:val="single" w:color="auto" w:sz="4" w:space="0"/>
              <w:right w:val="single" w:color="auto" w:sz="4" w:space="0"/>
            </w:tcBorders>
            <w:vAlign w:val="center"/>
          </w:tcPr>
          <w:p w14:paraId="158DF17D">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0.03</w:t>
            </w:r>
          </w:p>
        </w:tc>
        <w:tc>
          <w:tcPr>
            <w:tcW w:w="1616" w:type="dxa"/>
            <w:vMerge w:val="continue"/>
            <w:tcBorders>
              <w:top w:val="single" w:color="auto" w:sz="4" w:space="0"/>
              <w:left w:val="single" w:color="auto" w:sz="4" w:space="0"/>
              <w:bottom w:val="single" w:color="auto" w:sz="4" w:space="0"/>
              <w:right w:val="single" w:color="auto" w:sz="4" w:space="0"/>
            </w:tcBorders>
            <w:vAlign w:val="center"/>
          </w:tcPr>
          <w:p w14:paraId="660A04FD">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p>
        </w:tc>
      </w:tr>
    </w:tbl>
    <w:p w14:paraId="3811BC12">
      <w:pPr>
        <w:pageBreakBefore w:val="0"/>
        <w:kinsoku/>
        <w:wordWrap/>
        <w:topLinePunct w:val="0"/>
        <w:autoSpaceDE/>
        <w:autoSpaceDN/>
        <w:bidi w:val="0"/>
        <w:spacing w:line="400" w:lineRule="exact"/>
        <w:textAlignment w:val="auto"/>
        <w:rPr>
          <w:rFonts w:ascii="宋体" w:hAnsi="宋体" w:eastAsia="宋体" w:cs="宋体"/>
          <w:color w:val="auto"/>
          <w:szCs w:val="21"/>
          <w:highlight w:val="none"/>
        </w:rPr>
      </w:pPr>
    </w:p>
    <w:p w14:paraId="52CC3A0D">
      <w:pPr>
        <w:pageBreakBefore w:val="0"/>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4.分段计费系数设置如下表：</w:t>
      </w:r>
    </w:p>
    <w:p w14:paraId="2557B748">
      <w:pPr>
        <w:pageBreakBefore w:val="0"/>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预算审核服务费分段计费系数表</w:t>
      </w:r>
    </w:p>
    <w:tbl>
      <w:tblPr>
        <w:tblStyle w:val="32"/>
        <w:tblW w:w="0" w:type="auto"/>
        <w:tblInd w:w="0" w:type="dxa"/>
        <w:tblLayout w:type="fixed"/>
        <w:tblCellMar>
          <w:top w:w="0" w:type="dxa"/>
          <w:left w:w="108" w:type="dxa"/>
          <w:bottom w:w="0" w:type="dxa"/>
          <w:right w:w="108" w:type="dxa"/>
        </w:tblCellMar>
      </w:tblPr>
      <w:tblGrid>
        <w:gridCol w:w="4357"/>
        <w:gridCol w:w="3522"/>
      </w:tblGrid>
      <w:tr w14:paraId="3C94F4F2">
        <w:tblPrEx>
          <w:tblCellMar>
            <w:top w:w="0" w:type="dxa"/>
            <w:left w:w="108" w:type="dxa"/>
            <w:bottom w:w="0" w:type="dxa"/>
            <w:right w:w="108" w:type="dxa"/>
          </w:tblCellMar>
        </w:tblPrEx>
        <w:trPr>
          <w:trHeight w:val="532" w:hRule="atLeast"/>
        </w:trPr>
        <w:tc>
          <w:tcPr>
            <w:tcW w:w="4357" w:type="dxa"/>
            <w:tcBorders>
              <w:top w:val="single" w:color="auto" w:sz="4" w:space="0"/>
              <w:left w:val="single" w:color="auto" w:sz="4" w:space="0"/>
              <w:bottom w:val="single" w:color="auto" w:sz="4" w:space="0"/>
              <w:right w:val="single" w:color="auto" w:sz="4" w:space="0"/>
            </w:tcBorders>
            <w:vAlign w:val="center"/>
          </w:tcPr>
          <w:p w14:paraId="53A6C3F6">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lang w:eastAsia="ar-SA"/>
              </w:rPr>
            </w:pPr>
            <w:r>
              <w:rPr>
                <w:rFonts w:hint="eastAsia" w:ascii="宋体" w:hAnsi="宋体" w:eastAsia="宋体" w:cs="宋体"/>
                <w:color w:val="auto"/>
                <w:szCs w:val="21"/>
                <w:highlight w:val="none"/>
              </w:rPr>
              <w:t>送审单项造价M（万元）</w:t>
            </w:r>
          </w:p>
        </w:tc>
        <w:tc>
          <w:tcPr>
            <w:tcW w:w="3522" w:type="dxa"/>
            <w:tcBorders>
              <w:top w:val="single" w:color="auto" w:sz="4" w:space="0"/>
              <w:left w:val="nil"/>
              <w:bottom w:val="single" w:color="auto" w:sz="4" w:space="0"/>
              <w:right w:val="single" w:color="auto" w:sz="4" w:space="0"/>
            </w:tcBorders>
            <w:vAlign w:val="center"/>
          </w:tcPr>
          <w:p w14:paraId="011F75D3">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lang w:eastAsia="ar-SA"/>
              </w:rPr>
            </w:pPr>
            <w:r>
              <w:rPr>
                <w:rFonts w:hint="eastAsia" w:ascii="宋体" w:hAnsi="宋体" w:eastAsia="宋体" w:cs="宋体"/>
                <w:color w:val="auto"/>
                <w:szCs w:val="21"/>
                <w:highlight w:val="none"/>
              </w:rPr>
              <w:t>分段计费系数</w:t>
            </w:r>
          </w:p>
        </w:tc>
      </w:tr>
      <w:tr w14:paraId="2D2918BC">
        <w:tblPrEx>
          <w:tblCellMar>
            <w:top w:w="0" w:type="dxa"/>
            <w:left w:w="108" w:type="dxa"/>
            <w:bottom w:w="0" w:type="dxa"/>
            <w:right w:w="108" w:type="dxa"/>
          </w:tblCellMar>
        </w:tblPrEx>
        <w:trPr>
          <w:trHeight w:val="556" w:hRule="atLeast"/>
        </w:trPr>
        <w:tc>
          <w:tcPr>
            <w:tcW w:w="4357" w:type="dxa"/>
            <w:tcBorders>
              <w:top w:val="nil"/>
              <w:left w:val="single" w:color="auto" w:sz="4" w:space="0"/>
              <w:bottom w:val="single" w:color="auto" w:sz="4" w:space="0"/>
              <w:right w:val="single" w:color="auto" w:sz="4" w:space="0"/>
            </w:tcBorders>
            <w:vAlign w:val="center"/>
          </w:tcPr>
          <w:p w14:paraId="3A4B4AD5">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lang w:eastAsia="ar-SA"/>
              </w:rPr>
            </w:pPr>
            <w:r>
              <w:rPr>
                <w:rFonts w:hint="eastAsia" w:ascii="宋体" w:hAnsi="宋体" w:eastAsia="宋体" w:cs="宋体"/>
                <w:color w:val="auto"/>
                <w:szCs w:val="21"/>
                <w:highlight w:val="none"/>
              </w:rPr>
              <w:t>M＜200</w:t>
            </w:r>
          </w:p>
        </w:tc>
        <w:tc>
          <w:tcPr>
            <w:tcW w:w="3522" w:type="dxa"/>
            <w:tcBorders>
              <w:top w:val="nil"/>
              <w:left w:val="nil"/>
              <w:bottom w:val="single" w:color="auto" w:sz="4" w:space="0"/>
              <w:right w:val="single" w:color="auto" w:sz="4" w:space="0"/>
            </w:tcBorders>
            <w:vAlign w:val="center"/>
          </w:tcPr>
          <w:p w14:paraId="3CBD57F4">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lang w:eastAsia="ar-SA"/>
              </w:rPr>
            </w:pPr>
            <w:r>
              <w:rPr>
                <w:rFonts w:hint="eastAsia" w:ascii="宋体" w:hAnsi="宋体" w:eastAsia="宋体" w:cs="宋体"/>
                <w:color w:val="auto"/>
                <w:szCs w:val="21"/>
                <w:highlight w:val="none"/>
              </w:rPr>
              <w:t>1.2</w:t>
            </w:r>
          </w:p>
        </w:tc>
      </w:tr>
      <w:tr w14:paraId="6D44689F">
        <w:tblPrEx>
          <w:tblCellMar>
            <w:top w:w="0" w:type="dxa"/>
            <w:left w:w="108" w:type="dxa"/>
            <w:bottom w:w="0" w:type="dxa"/>
            <w:right w:w="108" w:type="dxa"/>
          </w:tblCellMar>
        </w:tblPrEx>
        <w:trPr>
          <w:trHeight w:val="514" w:hRule="atLeast"/>
        </w:trPr>
        <w:tc>
          <w:tcPr>
            <w:tcW w:w="4357" w:type="dxa"/>
            <w:tcBorders>
              <w:top w:val="nil"/>
              <w:left w:val="single" w:color="auto" w:sz="4" w:space="0"/>
              <w:bottom w:val="single" w:color="auto" w:sz="4" w:space="0"/>
              <w:right w:val="single" w:color="auto" w:sz="4" w:space="0"/>
            </w:tcBorders>
            <w:vAlign w:val="center"/>
          </w:tcPr>
          <w:p w14:paraId="15131AEA">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lang w:eastAsia="ar-SA"/>
              </w:rPr>
            </w:pPr>
            <w:r>
              <w:rPr>
                <w:rFonts w:hint="eastAsia" w:ascii="宋体" w:hAnsi="宋体" w:eastAsia="宋体" w:cs="宋体"/>
                <w:color w:val="auto"/>
                <w:szCs w:val="21"/>
                <w:highlight w:val="none"/>
              </w:rPr>
              <w:t>200≤M＜1000</w:t>
            </w:r>
          </w:p>
        </w:tc>
        <w:tc>
          <w:tcPr>
            <w:tcW w:w="3522" w:type="dxa"/>
            <w:tcBorders>
              <w:top w:val="nil"/>
              <w:left w:val="nil"/>
              <w:bottom w:val="single" w:color="auto" w:sz="4" w:space="0"/>
              <w:right w:val="single" w:color="auto" w:sz="4" w:space="0"/>
            </w:tcBorders>
            <w:vAlign w:val="center"/>
          </w:tcPr>
          <w:p w14:paraId="0CFDE17C">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lang w:eastAsia="ar-SA"/>
              </w:rPr>
            </w:pPr>
            <w:r>
              <w:rPr>
                <w:rFonts w:hint="eastAsia" w:ascii="宋体" w:hAnsi="宋体" w:eastAsia="宋体" w:cs="宋体"/>
                <w:color w:val="auto"/>
                <w:szCs w:val="21"/>
                <w:highlight w:val="none"/>
              </w:rPr>
              <w:t>1</w:t>
            </w:r>
          </w:p>
        </w:tc>
      </w:tr>
      <w:tr w14:paraId="65FD9904">
        <w:tblPrEx>
          <w:tblCellMar>
            <w:top w:w="0" w:type="dxa"/>
            <w:left w:w="108" w:type="dxa"/>
            <w:bottom w:w="0" w:type="dxa"/>
            <w:right w:w="108" w:type="dxa"/>
          </w:tblCellMar>
        </w:tblPrEx>
        <w:trPr>
          <w:trHeight w:val="499" w:hRule="atLeast"/>
        </w:trPr>
        <w:tc>
          <w:tcPr>
            <w:tcW w:w="4357" w:type="dxa"/>
            <w:tcBorders>
              <w:top w:val="nil"/>
              <w:left w:val="single" w:color="auto" w:sz="4" w:space="0"/>
              <w:bottom w:val="single" w:color="auto" w:sz="4" w:space="0"/>
              <w:right w:val="single" w:color="auto" w:sz="4" w:space="0"/>
            </w:tcBorders>
            <w:vAlign w:val="center"/>
          </w:tcPr>
          <w:p w14:paraId="3A458A5C">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lang w:eastAsia="ar-SA"/>
              </w:rPr>
            </w:pPr>
            <w:r>
              <w:rPr>
                <w:rFonts w:hint="eastAsia" w:ascii="宋体" w:hAnsi="宋体" w:eastAsia="宋体" w:cs="宋体"/>
                <w:color w:val="auto"/>
                <w:szCs w:val="21"/>
                <w:highlight w:val="none"/>
              </w:rPr>
              <w:t>1000≤M＜5000</w:t>
            </w:r>
          </w:p>
        </w:tc>
        <w:tc>
          <w:tcPr>
            <w:tcW w:w="3522" w:type="dxa"/>
            <w:tcBorders>
              <w:top w:val="nil"/>
              <w:left w:val="nil"/>
              <w:bottom w:val="single" w:color="auto" w:sz="4" w:space="0"/>
              <w:right w:val="single" w:color="auto" w:sz="4" w:space="0"/>
            </w:tcBorders>
            <w:vAlign w:val="center"/>
          </w:tcPr>
          <w:p w14:paraId="50BEB809">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lang w:eastAsia="ar-SA"/>
              </w:rPr>
            </w:pPr>
            <w:r>
              <w:rPr>
                <w:rFonts w:hint="eastAsia" w:ascii="宋体" w:hAnsi="宋体" w:eastAsia="宋体" w:cs="宋体"/>
                <w:color w:val="auto"/>
                <w:szCs w:val="21"/>
                <w:highlight w:val="none"/>
              </w:rPr>
              <w:t>0.8</w:t>
            </w:r>
          </w:p>
        </w:tc>
      </w:tr>
      <w:tr w14:paraId="282245CA">
        <w:tblPrEx>
          <w:tblCellMar>
            <w:top w:w="0" w:type="dxa"/>
            <w:left w:w="108" w:type="dxa"/>
            <w:bottom w:w="0" w:type="dxa"/>
            <w:right w:w="108" w:type="dxa"/>
          </w:tblCellMar>
        </w:tblPrEx>
        <w:trPr>
          <w:trHeight w:val="499" w:hRule="atLeast"/>
        </w:trPr>
        <w:tc>
          <w:tcPr>
            <w:tcW w:w="4357" w:type="dxa"/>
            <w:tcBorders>
              <w:top w:val="nil"/>
              <w:left w:val="single" w:color="auto" w:sz="4" w:space="0"/>
              <w:bottom w:val="single" w:color="auto" w:sz="4" w:space="0"/>
              <w:right w:val="single" w:color="auto" w:sz="4" w:space="0"/>
            </w:tcBorders>
            <w:vAlign w:val="center"/>
          </w:tcPr>
          <w:p w14:paraId="496C1978">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lang w:eastAsia="ar-SA"/>
              </w:rPr>
            </w:pPr>
            <w:r>
              <w:rPr>
                <w:rFonts w:hint="eastAsia" w:ascii="宋体" w:hAnsi="宋体" w:eastAsia="宋体" w:cs="宋体"/>
                <w:color w:val="auto"/>
                <w:szCs w:val="21"/>
                <w:highlight w:val="none"/>
              </w:rPr>
              <w:t>5000≤M＜10000</w:t>
            </w:r>
          </w:p>
        </w:tc>
        <w:tc>
          <w:tcPr>
            <w:tcW w:w="3522" w:type="dxa"/>
            <w:tcBorders>
              <w:top w:val="nil"/>
              <w:left w:val="nil"/>
              <w:bottom w:val="single" w:color="auto" w:sz="4" w:space="0"/>
              <w:right w:val="single" w:color="auto" w:sz="4" w:space="0"/>
            </w:tcBorders>
            <w:vAlign w:val="center"/>
          </w:tcPr>
          <w:p w14:paraId="15010F39">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lang w:eastAsia="ar-SA"/>
              </w:rPr>
            </w:pPr>
            <w:r>
              <w:rPr>
                <w:rFonts w:hint="eastAsia" w:ascii="宋体" w:hAnsi="宋体" w:eastAsia="宋体" w:cs="宋体"/>
                <w:color w:val="auto"/>
                <w:szCs w:val="21"/>
                <w:highlight w:val="none"/>
              </w:rPr>
              <w:t>0.7</w:t>
            </w:r>
          </w:p>
        </w:tc>
      </w:tr>
      <w:tr w14:paraId="1EA184E4">
        <w:tblPrEx>
          <w:tblCellMar>
            <w:top w:w="0" w:type="dxa"/>
            <w:left w:w="108" w:type="dxa"/>
            <w:bottom w:w="0" w:type="dxa"/>
            <w:right w:w="108" w:type="dxa"/>
          </w:tblCellMar>
        </w:tblPrEx>
        <w:trPr>
          <w:trHeight w:val="499" w:hRule="atLeast"/>
        </w:trPr>
        <w:tc>
          <w:tcPr>
            <w:tcW w:w="4357" w:type="dxa"/>
            <w:tcBorders>
              <w:top w:val="nil"/>
              <w:left w:val="single" w:color="auto" w:sz="4" w:space="0"/>
              <w:bottom w:val="single" w:color="auto" w:sz="4" w:space="0"/>
              <w:right w:val="single" w:color="auto" w:sz="4" w:space="0"/>
            </w:tcBorders>
            <w:vAlign w:val="center"/>
          </w:tcPr>
          <w:p w14:paraId="5E6A6D99">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lang w:eastAsia="ar-SA"/>
              </w:rPr>
            </w:pPr>
            <w:r>
              <w:rPr>
                <w:rFonts w:hint="eastAsia" w:ascii="宋体" w:hAnsi="宋体" w:eastAsia="宋体" w:cs="宋体"/>
                <w:color w:val="auto"/>
                <w:szCs w:val="21"/>
                <w:highlight w:val="none"/>
              </w:rPr>
              <w:t>10000≤M＜20000</w:t>
            </w:r>
          </w:p>
        </w:tc>
        <w:tc>
          <w:tcPr>
            <w:tcW w:w="3522" w:type="dxa"/>
            <w:tcBorders>
              <w:top w:val="nil"/>
              <w:left w:val="nil"/>
              <w:bottom w:val="single" w:color="auto" w:sz="4" w:space="0"/>
              <w:right w:val="single" w:color="auto" w:sz="4" w:space="0"/>
            </w:tcBorders>
            <w:vAlign w:val="center"/>
          </w:tcPr>
          <w:p w14:paraId="31AF328E">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lang w:eastAsia="ar-SA"/>
              </w:rPr>
            </w:pPr>
            <w:r>
              <w:rPr>
                <w:rFonts w:hint="eastAsia" w:ascii="宋体" w:hAnsi="宋体" w:eastAsia="宋体" w:cs="宋体"/>
                <w:color w:val="auto"/>
                <w:szCs w:val="21"/>
                <w:highlight w:val="none"/>
              </w:rPr>
              <w:t>0.55</w:t>
            </w:r>
          </w:p>
        </w:tc>
      </w:tr>
      <w:tr w14:paraId="6BEBF7CE">
        <w:tblPrEx>
          <w:tblCellMar>
            <w:top w:w="0" w:type="dxa"/>
            <w:left w:w="108" w:type="dxa"/>
            <w:bottom w:w="0" w:type="dxa"/>
            <w:right w:w="108" w:type="dxa"/>
          </w:tblCellMar>
        </w:tblPrEx>
        <w:trPr>
          <w:trHeight w:val="499" w:hRule="atLeast"/>
        </w:trPr>
        <w:tc>
          <w:tcPr>
            <w:tcW w:w="4357" w:type="dxa"/>
            <w:tcBorders>
              <w:top w:val="nil"/>
              <w:left w:val="single" w:color="auto" w:sz="4" w:space="0"/>
              <w:bottom w:val="single" w:color="auto" w:sz="4" w:space="0"/>
              <w:right w:val="single" w:color="auto" w:sz="4" w:space="0"/>
            </w:tcBorders>
            <w:vAlign w:val="center"/>
          </w:tcPr>
          <w:p w14:paraId="1E08C2C3">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lang w:eastAsia="ar-SA"/>
              </w:rPr>
            </w:pPr>
            <w:r>
              <w:rPr>
                <w:rFonts w:hint="eastAsia" w:ascii="宋体" w:hAnsi="宋体" w:eastAsia="宋体" w:cs="宋体"/>
                <w:color w:val="auto"/>
                <w:szCs w:val="21"/>
                <w:highlight w:val="none"/>
              </w:rPr>
              <w:t>20000≤M＜40000</w:t>
            </w:r>
          </w:p>
        </w:tc>
        <w:tc>
          <w:tcPr>
            <w:tcW w:w="3522" w:type="dxa"/>
            <w:tcBorders>
              <w:top w:val="nil"/>
              <w:left w:val="nil"/>
              <w:bottom w:val="single" w:color="auto" w:sz="4" w:space="0"/>
              <w:right w:val="single" w:color="auto" w:sz="4" w:space="0"/>
            </w:tcBorders>
            <w:vAlign w:val="center"/>
          </w:tcPr>
          <w:p w14:paraId="390E2EFD">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lang w:eastAsia="ar-SA"/>
              </w:rPr>
            </w:pPr>
            <w:r>
              <w:rPr>
                <w:rFonts w:hint="eastAsia" w:ascii="宋体" w:hAnsi="宋体" w:eastAsia="宋体" w:cs="宋体"/>
                <w:color w:val="auto"/>
                <w:szCs w:val="21"/>
                <w:highlight w:val="none"/>
              </w:rPr>
              <w:t>0.45</w:t>
            </w:r>
          </w:p>
        </w:tc>
      </w:tr>
      <w:tr w14:paraId="2676F49E">
        <w:tblPrEx>
          <w:tblCellMar>
            <w:top w:w="0" w:type="dxa"/>
            <w:left w:w="108" w:type="dxa"/>
            <w:bottom w:w="0" w:type="dxa"/>
            <w:right w:w="108" w:type="dxa"/>
          </w:tblCellMar>
        </w:tblPrEx>
        <w:trPr>
          <w:trHeight w:val="499" w:hRule="atLeast"/>
        </w:trPr>
        <w:tc>
          <w:tcPr>
            <w:tcW w:w="4357" w:type="dxa"/>
            <w:tcBorders>
              <w:top w:val="nil"/>
              <w:left w:val="single" w:color="auto" w:sz="4" w:space="0"/>
              <w:bottom w:val="single" w:color="auto" w:sz="4" w:space="0"/>
              <w:right w:val="single" w:color="auto" w:sz="4" w:space="0"/>
            </w:tcBorders>
            <w:vAlign w:val="center"/>
          </w:tcPr>
          <w:p w14:paraId="21A6737E">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lang w:eastAsia="ar-SA"/>
              </w:rPr>
            </w:pPr>
            <w:r>
              <w:rPr>
                <w:rFonts w:hint="eastAsia" w:ascii="宋体" w:hAnsi="宋体" w:eastAsia="宋体" w:cs="宋体"/>
                <w:color w:val="auto"/>
                <w:szCs w:val="21"/>
                <w:highlight w:val="none"/>
              </w:rPr>
              <w:t>40000≤M＜60000</w:t>
            </w:r>
          </w:p>
        </w:tc>
        <w:tc>
          <w:tcPr>
            <w:tcW w:w="3522" w:type="dxa"/>
            <w:tcBorders>
              <w:top w:val="nil"/>
              <w:left w:val="nil"/>
              <w:bottom w:val="single" w:color="auto" w:sz="4" w:space="0"/>
              <w:right w:val="single" w:color="auto" w:sz="4" w:space="0"/>
            </w:tcBorders>
            <w:vAlign w:val="center"/>
          </w:tcPr>
          <w:p w14:paraId="62A575D3">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lang w:eastAsia="ar-SA"/>
              </w:rPr>
            </w:pPr>
            <w:r>
              <w:rPr>
                <w:rFonts w:hint="eastAsia" w:ascii="宋体" w:hAnsi="宋体" w:eastAsia="宋体" w:cs="宋体"/>
                <w:color w:val="auto"/>
                <w:szCs w:val="21"/>
                <w:highlight w:val="none"/>
              </w:rPr>
              <w:t>0.35</w:t>
            </w:r>
          </w:p>
        </w:tc>
      </w:tr>
      <w:tr w14:paraId="5A42025A">
        <w:tblPrEx>
          <w:tblCellMar>
            <w:top w:w="0" w:type="dxa"/>
            <w:left w:w="108" w:type="dxa"/>
            <w:bottom w:w="0" w:type="dxa"/>
            <w:right w:w="108" w:type="dxa"/>
          </w:tblCellMar>
        </w:tblPrEx>
        <w:trPr>
          <w:trHeight w:val="499" w:hRule="atLeast"/>
        </w:trPr>
        <w:tc>
          <w:tcPr>
            <w:tcW w:w="4357" w:type="dxa"/>
            <w:tcBorders>
              <w:top w:val="nil"/>
              <w:left w:val="single" w:color="auto" w:sz="4" w:space="0"/>
              <w:bottom w:val="single" w:color="auto" w:sz="4" w:space="0"/>
              <w:right w:val="single" w:color="auto" w:sz="4" w:space="0"/>
            </w:tcBorders>
            <w:vAlign w:val="center"/>
          </w:tcPr>
          <w:p w14:paraId="60DC57A2">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lang w:eastAsia="ar-SA"/>
              </w:rPr>
            </w:pPr>
            <w:r>
              <w:rPr>
                <w:rFonts w:hint="eastAsia" w:ascii="宋体" w:hAnsi="宋体" w:eastAsia="宋体" w:cs="宋体"/>
                <w:color w:val="auto"/>
                <w:szCs w:val="21"/>
                <w:highlight w:val="none"/>
              </w:rPr>
              <w:t>60000≤M＜80000</w:t>
            </w:r>
          </w:p>
        </w:tc>
        <w:tc>
          <w:tcPr>
            <w:tcW w:w="3522" w:type="dxa"/>
            <w:tcBorders>
              <w:top w:val="nil"/>
              <w:left w:val="nil"/>
              <w:bottom w:val="single" w:color="auto" w:sz="4" w:space="0"/>
              <w:right w:val="single" w:color="auto" w:sz="4" w:space="0"/>
            </w:tcBorders>
            <w:vAlign w:val="center"/>
          </w:tcPr>
          <w:p w14:paraId="7E0C35D5">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lang w:eastAsia="ar-SA"/>
              </w:rPr>
            </w:pPr>
            <w:r>
              <w:rPr>
                <w:rFonts w:hint="eastAsia" w:ascii="宋体" w:hAnsi="宋体" w:eastAsia="宋体" w:cs="宋体"/>
                <w:color w:val="auto"/>
                <w:szCs w:val="21"/>
                <w:highlight w:val="none"/>
              </w:rPr>
              <w:t>0.3</w:t>
            </w:r>
          </w:p>
        </w:tc>
      </w:tr>
      <w:tr w14:paraId="6835596A">
        <w:tblPrEx>
          <w:tblCellMar>
            <w:top w:w="0" w:type="dxa"/>
            <w:left w:w="108" w:type="dxa"/>
            <w:bottom w:w="0" w:type="dxa"/>
            <w:right w:w="108" w:type="dxa"/>
          </w:tblCellMar>
        </w:tblPrEx>
        <w:trPr>
          <w:trHeight w:val="499" w:hRule="atLeast"/>
        </w:trPr>
        <w:tc>
          <w:tcPr>
            <w:tcW w:w="4357" w:type="dxa"/>
            <w:tcBorders>
              <w:top w:val="single" w:color="auto" w:sz="4" w:space="0"/>
              <w:left w:val="single" w:color="auto" w:sz="4" w:space="0"/>
              <w:bottom w:val="single" w:color="auto" w:sz="4" w:space="0"/>
              <w:right w:val="single" w:color="auto" w:sz="4" w:space="0"/>
            </w:tcBorders>
            <w:vAlign w:val="center"/>
          </w:tcPr>
          <w:p w14:paraId="60720935">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lang w:eastAsia="ar-SA"/>
              </w:rPr>
            </w:pPr>
            <w:r>
              <w:rPr>
                <w:rFonts w:hint="eastAsia" w:ascii="宋体" w:hAnsi="宋体" w:eastAsia="宋体" w:cs="宋体"/>
                <w:color w:val="auto"/>
                <w:szCs w:val="21"/>
                <w:highlight w:val="none"/>
              </w:rPr>
              <w:t>80000≤M＜100000</w:t>
            </w:r>
          </w:p>
        </w:tc>
        <w:tc>
          <w:tcPr>
            <w:tcW w:w="3522" w:type="dxa"/>
            <w:tcBorders>
              <w:top w:val="single" w:color="auto" w:sz="4" w:space="0"/>
              <w:left w:val="nil"/>
              <w:bottom w:val="single" w:color="auto" w:sz="4" w:space="0"/>
              <w:right w:val="single" w:color="auto" w:sz="4" w:space="0"/>
            </w:tcBorders>
            <w:vAlign w:val="center"/>
          </w:tcPr>
          <w:p w14:paraId="793BAF94">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lang w:eastAsia="ar-SA"/>
              </w:rPr>
            </w:pPr>
            <w:r>
              <w:rPr>
                <w:rFonts w:hint="eastAsia" w:ascii="宋体" w:hAnsi="宋体" w:eastAsia="宋体" w:cs="宋体"/>
                <w:color w:val="auto"/>
                <w:szCs w:val="21"/>
                <w:highlight w:val="none"/>
              </w:rPr>
              <w:t>0.25</w:t>
            </w:r>
          </w:p>
        </w:tc>
      </w:tr>
      <w:tr w14:paraId="32F55A00">
        <w:tblPrEx>
          <w:tblCellMar>
            <w:top w:w="0" w:type="dxa"/>
            <w:left w:w="108" w:type="dxa"/>
            <w:bottom w:w="0" w:type="dxa"/>
            <w:right w:w="108" w:type="dxa"/>
          </w:tblCellMar>
        </w:tblPrEx>
        <w:trPr>
          <w:trHeight w:val="499" w:hRule="atLeast"/>
        </w:trPr>
        <w:tc>
          <w:tcPr>
            <w:tcW w:w="4357" w:type="dxa"/>
            <w:tcBorders>
              <w:top w:val="single" w:color="auto" w:sz="4" w:space="0"/>
              <w:left w:val="single" w:color="auto" w:sz="4" w:space="0"/>
              <w:bottom w:val="single" w:color="auto" w:sz="4" w:space="0"/>
              <w:right w:val="single" w:color="auto" w:sz="4" w:space="0"/>
            </w:tcBorders>
            <w:vAlign w:val="center"/>
          </w:tcPr>
          <w:p w14:paraId="16508BD7">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lang w:eastAsia="ar-SA"/>
              </w:rPr>
            </w:pPr>
            <w:r>
              <w:rPr>
                <w:rFonts w:hint="eastAsia" w:ascii="宋体" w:hAnsi="宋体" w:eastAsia="宋体" w:cs="宋体"/>
                <w:color w:val="auto"/>
                <w:szCs w:val="21"/>
                <w:highlight w:val="none"/>
              </w:rPr>
              <w:t>100000≤M＜200000</w:t>
            </w:r>
          </w:p>
        </w:tc>
        <w:tc>
          <w:tcPr>
            <w:tcW w:w="3522" w:type="dxa"/>
            <w:tcBorders>
              <w:top w:val="single" w:color="auto" w:sz="4" w:space="0"/>
              <w:left w:val="nil"/>
              <w:bottom w:val="single" w:color="auto" w:sz="4" w:space="0"/>
              <w:right w:val="single" w:color="auto" w:sz="4" w:space="0"/>
            </w:tcBorders>
            <w:vAlign w:val="center"/>
          </w:tcPr>
          <w:p w14:paraId="630510D3">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lang w:eastAsia="ar-SA"/>
              </w:rPr>
            </w:pPr>
            <w:r>
              <w:rPr>
                <w:rFonts w:hint="eastAsia" w:ascii="宋体" w:hAnsi="宋体" w:eastAsia="宋体" w:cs="宋体"/>
                <w:color w:val="auto"/>
                <w:szCs w:val="21"/>
                <w:highlight w:val="none"/>
              </w:rPr>
              <w:t>0.2</w:t>
            </w:r>
          </w:p>
        </w:tc>
      </w:tr>
      <w:tr w14:paraId="19E91197">
        <w:tblPrEx>
          <w:tblCellMar>
            <w:top w:w="0" w:type="dxa"/>
            <w:left w:w="108" w:type="dxa"/>
            <w:bottom w:w="0" w:type="dxa"/>
            <w:right w:w="108" w:type="dxa"/>
          </w:tblCellMar>
        </w:tblPrEx>
        <w:trPr>
          <w:trHeight w:val="499" w:hRule="atLeast"/>
        </w:trPr>
        <w:tc>
          <w:tcPr>
            <w:tcW w:w="4357" w:type="dxa"/>
            <w:tcBorders>
              <w:top w:val="single" w:color="auto" w:sz="4" w:space="0"/>
              <w:left w:val="single" w:color="auto" w:sz="4" w:space="0"/>
              <w:bottom w:val="single" w:color="auto" w:sz="4" w:space="0"/>
              <w:right w:val="single" w:color="auto" w:sz="4" w:space="0"/>
            </w:tcBorders>
            <w:vAlign w:val="center"/>
          </w:tcPr>
          <w:p w14:paraId="22DF079F">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lang w:eastAsia="ar-SA"/>
              </w:rPr>
            </w:pPr>
            <w:r>
              <w:rPr>
                <w:rFonts w:hint="eastAsia" w:ascii="宋体" w:hAnsi="宋体" w:eastAsia="宋体" w:cs="宋体"/>
                <w:color w:val="auto"/>
                <w:szCs w:val="21"/>
                <w:highlight w:val="none"/>
              </w:rPr>
              <w:t>200000≤M＜300000</w:t>
            </w:r>
          </w:p>
        </w:tc>
        <w:tc>
          <w:tcPr>
            <w:tcW w:w="3522" w:type="dxa"/>
            <w:tcBorders>
              <w:top w:val="single" w:color="auto" w:sz="4" w:space="0"/>
              <w:left w:val="nil"/>
              <w:bottom w:val="single" w:color="auto" w:sz="4" w:space="0"/>
              <w:right w:val="single" w:color="auto" w:sz="4" w:space="0"/>
            </w:tcBorders>
            <w:vAlign w:val="center"/>
          </w:tcPr>
          <w:p w14:paraId="4668F5F9">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lang w:eastAsia="ar-SA"/>
              </w:rPr>
            </w:pPr>
            <w:r>
              <w:rPr>
                <w:rFonts w:hint="eastAsia" w:ascii="宋体" w:hAnsi="宋体" w:eastAsia="宋体" w:cs="宋体"/>
                <w:color w:val="auto"/>
                <w:szCs w:val="21"/>
                <w:highlight w:val="none"/>
              </w:rPr>
              <w:t>0.15</w:t>
            </w:r>
          </w:p>
        </w:tc>
      </w:tr>
      <w:tr w14:paraId="28D66BF2">
        <w:tblPrEx>
          <w:tblCellMar>
            <w:top w:w="0" w:type="dxa"/>
            <w:left w:w="108" w:type="dxa"/>
            <w:bottom w:w="0" w:type="dxa"/>
            <w:right w:w="108" w:type="dxa"/>
          </w:tblCellMar>
        </w:tblPrEx>
        <w:trPr>
          <w:trHeight w:val="499" w:hRule="atLeast"/>
        </w:trPr>
        <w:tc>
          <w:tcPr>
            <w:tcW w:w="4357" w:type="dxa"/>
            <w:tcBorders>
              <w:top w:val="single" w:color="auto" w:sz="4" w:space="0"/>
              <w:left w:val="single" w:color="auto" w:sz="4" w:space="0"/>
              <w:bottom w:val="single" w:color="auto" w:sz="4" w:space="0"/>
              <w:right w:val="single" w:color="auto" w:sz="4" w:space="0"/>
            </w:tcBorders>
            <w:vAlign w:val="center"/>
          </w:tcPr>
          <w:p w14:paraId="76A3B72E">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lang w:eastAsia="ar-SA"/>
              </w:rPr>
            </w:pPr>
            <w:r>
              <w:rPr>
                <w:rFonts w:hint="eastAsia" w:ascii="宋体" w:hAnsi="宋体" w:eastAsia="宋体" w:cs="宋体"/>
                <w:color w:val="auto"/>
                <w:szCs w:val="21"/>
                <w:highlight w:val="none"/>
              </w:rPr>
              <w:t>300000≤M＜400000</w:t>
            </w:r>
          </w:p>
        </w:tc>
        <w:tc>
          <w:tcPr>
            <w:tcW w:w="3522" w:type="dxa"/>
            <w:tcBorders>
              <w:top w:val="single" w:color="auto" w:sz="4" w:space="0"/>
              <w:left w:val="nil"/>
              <w:bottom w:val="single" w:color="auto" w:sz="4" w:space="0"/>
              <w:right w:val="single" w:color="auto" w:sz="4" w:space="0"/>
            </w:tcBorders>
            <w:vAlign w:val="center"/>
          </w:tcPr>
          <w:p w14:paraId="749D7F7E">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lang w:eastAsia="ar-SA"/>
              </w:rPr>
            </w:pPr>
            <w:r>
              <w:rPr>
                <w:rFonts w:hint="eastAsia" w:ascii="宋体" w:hAnsi="宋体" w:eastAsia="宋体" w:cs="宋体"/>
                <w:color w:val="auto"/>
                <w:szCs w:val="21"/>
                <w:highlight w:val="none"/>
              </w:rPr>
              <w:t>0.12</w:t>
            </w:r>
          </w:p>
        </w:tc>
      </w:tr>
      <w:tr w14:paraId="2C5C2BA1">
        <w:tblPrEx>
          <w:tblCellMar>
            <w:top w:w="0" w:type="dxa"/>
            <w:left w:w="108" w:type="dxa"/>
            <w:bottom w:w="0" w:type="dxa"/>
            <w:right w:w="108" w:type="dxa"/>
          </w:tblCellMar>
        </w:tblPrEx>
        <w:trPr>
          <w:trHeight w:val="499" w:hRule="atLeast"/>
        </w:trPr>
        <w:tc>
          <w:tcPr>
            <w:tcW w:w="4357" w:type="dxa"/>
            <w:tcBorders>
              <w:top w:val="single" w:color="auto" w:sz="4" w:space="0"/>
              <w:left w:val="single" w:color="auto" w:sz="4" w:space="0"/>
              <w:bottom w:val="single" w:color="auto" w:sz="4" w:space="0"/>
              <w:right w:val="single" w:color="auto" w:sz="4" w:space="0"/>
            </w:tcBorders>
            <w:vAlign w:val="center"/>
          </w:tcPr>
          <w:p w14:paraId="66970781">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lang w:eastAsia="ar-SA"/>
              </w:rPr>
            </w:pPr>
            <w:r>
              <w:rPr>
                <w:rFonts w:hint="eastAsia" w:ascii="宋体" w:hAnsi="宋体" w:eastAsia="宋体" w:cs="宋体"/>
                <w:color w:val="auto"/>
                <w:szCs w:val="21"/>
                <w:highlight w:val="none"/>
              </w:rPr>
              <w:t>400000≤M＜500000</w:t>
            </w:r>
          </w:p>
        </w:tc>
        <w:tc>
          <w:tcPr>
            <w:tcW w:w="3522" w:type="dxa"/>
            <w:tcBorders>
              <w:top w:val="single" w:color="auto" w:sz="4" w:space="0"/>
              <w:left w:val="nil"/>
              <w:bottom w:val="single" w:color="auto" w:sz="4" w:space="0"/>
              <w:right w:val="single" w:color="auto" w:sz="4" w:space="0"/>
            </w:tcBorders>
            <w:vAlign w:val="center"/>
          </w:tcPr>
          <w:p w14:paraId="3F1F79E8">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lang w:eastAsia="ar-SA"/>
              </w:rPr>
            </w:pPr>
            <w:r>
              <w:rPr>
                <w:rFonts w:hint="eastAsia" w:ascii="宋体" w:hAnsi="宋体" w:eastAsia="宋体" w:cs="宋体"/>
                <w:color w:val="auto"/>
                <w:szCs w:val="21"/>
                <w:highlight w:val="none"/>
              </w:rPr>
              <w:t>0.1</w:t>
            </w:r>
          </w:p>
        </w:tc>
      </w:tr>
      <w:tr w14:paraId="6B07B490">
        <w:tblPrEx>
          <w:tblCellMar>
            <w:top w:w="0" w:type="dxa"/>
            <w:left w:w="108" w:type="dxa"/>
            <w:bottom w:w="0" w:type="dxa"/>
            <w:right w:w="108" w:type="dxa"/>
          </w:tblCellMar>
        </w:tblPrEx>
        <w:trPr>
          <w:trHeight w:val="499" w:hRule="atLeast"/>
        </w:trPr>
        <w:tc>
          <w:tcPr>
            <w:tcW w:w="4357" w:type="dxa"/>
            <w:tcBorders>
              <w:top w:val="single" w:color="auto" w:sz="4" w:space="0"/>
              <w:left w:val="single" w:color="auto" w:sz="4" w:space="0"/>
              <w:bottom w:val="single" w:color="auto" w:sz="4" w:space="0"/>
              <w:right w:val="single" w:color="auto" w:sz="4" w:space="0"/>
            </w:tcBorders>
            <w:vAlign w:val="center"/>
          </w:tcPr>
          <w:p w14:paraId="481F87FE">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lang w:eastAsia="ar-SA"/>
              </w:rPr>
            </w:pPr>
            <w:r>
              <w:rPr>
                <w:rFonts w:hint="eastAsia" w:ascii="宋体" w:hAnsi="宋体" w:eastAsia="宋体" w:cs="宋体"/>
                <w:color w:val="auto"/>
                <w:szCs w:val="21"/>
                <w:highlight w:val="none"/>
              </w:rPr>
              <w:t>500000≤M</w:t>
            </w:r>
          </w:p>
        </w:tc>
        <w:tc>
          <w:tcPr>
            <w:tcW w:w="3522" w:type="dxa"/>
            <w:tcBorders>
              <w:top w:val="single" w:color="auto" w:sz="4" w:space="0"/>
              <w:left w:val="nil"/>
              <w:bottom w:val="single" w:color="auto" w:sz="4" w:space="0"/>
              <w:right w:val="single" w:color="auto" w:sz="4" w:space="0"/>
            </w:tcBorders>
            <w:vAlign w:val="center"/>
          </w:tcPr>
          <w:p w14:paraId="47CE130C">
            <w:pPr>
              <w:pageBreakBefore w:val="0"/>
              <w:widowControl/>
              <w:suppressAutoHyphens/>
              <w:kinsoku/>
              <w:wordWrap/>
              <w:topLinePunct w:val="0"/>
              <w:autoSpaceDE/>
              <w:autoSpaceDN/>
              <w:bidi w:val="0"/>
              <w:spacing w:line="400" w:lineRule="exact"/>
              <w:ind w:firstLine="420" w:firstLineChars="200"/>
              <w:jc w:val="left"/>
              <w:textAlignment w:val="auto"/>
              <w:rPr>
                <w:rFonts w:ascii="宋体" w:hAnsi="宋体" w:eastAsia="宋体" w:cs="宋体"/>
                <w:color w:val="auto"/>
                <w:szCs w:val="21"/>
                <w:highlight w:val="none"/>
                <w:lang w:eastAsia="ar-SA"/>
              </w:rPr>
            </w:pPr>
            <w:r>
              <w:rPr>
                <w:rFonts w:hint="eastAsia" w:ascii="宋体" w:hAnsi="宋体" w:eastAsia="宋体" w:cs="宋体"/>
                <w:color w:val="auto"/>
                <w:szCs w:val="21"/>
                <w:highlight w:val="none"/>
              </w:rPr>
              <w:t>0.08</w:t>
            </w:r>
          </w:p>
        </w:tc>
      </w:tr>
    </w:tbl>
    <w:p w14:paraId="267ED9A9">
      <w:pPr>
        <w:pageBreakBefore w:val="0"/>
        <w:widowControl/>
        <w:kinsoku/>
        <w:wordWrap/>
        <w:topLinePunct w:val="0"/>
        <w:autoSpaceDE/>
        <w:autoSpaceDN/>
        <w:bidi w:val="0"/>
        <w:spacing w:line="40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0D0B61F">
      <w:pPr>
        <w:pageBreakBefore w:val="0"/>
        <w:widowControl/>
        <w:kinsoku/>
        <w:wordWrap/>
        <w:topLinePunct w:val="0"/>
        <w:autoSpaceDE/>
        <w:autoSpaceDN/>
        <w:bidi w:val="0"/>
        <w:spacing w:line="400" w:lineRule="exact"/>
        <w:ind w:firstLine="420" w:firstLineChars="200"/>
        <w:textAlignment w:val="auto"/>
        <w:rPr>
          <w:rFonts w:ascii="Times New Roman" w:hAnsi="宋体" w:eastAsia="宋体" w:cs="宋体"/>
          <w:color w:val="auto"/>
          <w:szCs w:val="24"/>
          <w:highlight w:val="none"/>
        </w:rPr>
      </w:pPr>
      <w:r>
        <w:rPr>
          <w:rFonts w:hint="eastAsia" w:ascii="Times New Roman" w:hAnsi="宋体" w:eastAsia="宋体" w:cs="宋体"/>
          <w:color w:val="auto"/>
          <w:szCs w:val="21"/>
          <w:highlight w:val="none"/>
        </w:rPr>
        <w:t>5.单个工程预算审核服务费实行上限封顶，预算审核服务费超过20万元的，按20万元计</w:t>
      </w:r>
      <w:r>
        <w:rPr>
          <w:rFonts w:hint="eastAsia" w:ascii="Times New Roman" w:hAnsi="宋体" w:eastAsia="宋体" w:cs="宋体"/>
          <w:color w:val="auto"/>
          <w:szCs w:val="24"/>
          <w:highlight w:val="none"/>
        </w:rPr>
        <w:t>；</w:t>
      </w:r>
    </w:p>
    <w:p w14:paraId="5CEEF199">
      <w:pPr>
        <w:pageBreakBefore w:val="0"/>
        <w:kinsoku/>
        <w:wordWrap/>
        <w:topLinePunct w:val="0"/>
        <w:autoSpaceDE/>
        <w:autoSpaceDN/>
        <w:bidi w:val="0"/>
        <w:snapToGrid w:val="0"/>
        <w:spacing w:line="400" w:lineRule="exact"/>
        <w:ind w:left="21" w:leftChars="10" w:firstLine="420" w:firstLineChars="200"/>
        <w:textAlignment w:val="auto"/>
        <w:rPr>
          <w:rFonts w:ascii="Times New Roman" w:hAnsi="宋体" w:eastAsia="宋体" w:cs="宋体"/>
          <w:color w:val="auto"/>
          <w:szCs w:val="24"/>
          <w:highlight w:val="none"/>
        </w:rPr>
      </w:pPr>
      <w:r>
        <w:rPr>
          <w:rFonts w:hint="eastAsia" w:ascii="Times New Roman" w:hAnsi="宋体" w:eastAsia="宋体" w:cs="宋体"/>
          <w:color w:val="auto"/>
          <w:szCs w:val="24"/>
          <w:highlight w:val="none"/>
        </w:rPr>
        <w:t>6.</w:t>
      </w:r>
      <w:r>
        <w:rPr>
          <w:rFonts w:hint="eastAsia" w:ascii="宋体" w:hAnsi="宋体" w:eastAsia="宋体" w:cs="宋体"/>
          <w:color w:val="auto"/>
          <w:szCs w:val="21"/>
          <w:highlight w:val="none"/>
        </w:rPr>
        <w:t>乙方的响应报价已包括但不限于实施和完成编制工作所需的劳务费、技术服务费、交通、通讯、办公场地、管理费、税费和利润及政策性文件规定、合同包含的所有风险、责任等各项费用，除非上述费用在合同中另有说明，合同期内，费率不再调整。</w:t>
      </w:r>
    </w:p>
    <w:p w14:paraId="3EF946B7">
      <w:pPr>
        <w:pageBreakBefore w:val="0"/>
        <w:widowControl/>
        <w:kinsoku/>
        <w:wordWrap/>
        <w:topLinePunct w:val="0"/>
        <w:autoSpaceDE/>
        <w:autoSpaceDN/>
        <w:bidi w:val="0"/>
        <w:snapToGrid w:val="0"/>
        <w:spacing w:line="400" w:lineRule="exac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六、服务费的预算</w:t>
      </w:r>
      <w:r>
        <w:rPr>
          <w:rFonts w:hint="eastAsia" w:ascii="宋体" w:hAnsi="宋体" w:eastAsia="宋体" w:cs="宋体"/>
          <w:b/>
          <w:bCs/>
          <w:color w:val="auto"/>
          <w:szCs w:val="21"/>
          <w:highlight w:val="none"/>
          <w:lang w:bidi="ar"/>
        </w:rPr>
        <w:t>审核</w:t>
      </w:r>
      <w:r>
        <w:rPr>
          <w:rFonts w:hint="eastAsia" w:ascii="宋体" w:hAnsi="宋体" w:eastAsia="宋体" w:cs="宋体"/>
          <w:b/>
          <w:bCs/>
          <w:color w:val="auto"/>
          <w:szCs w:val="21"/>
          <w:highlight w:val="none"/>
        </w:rPr>
        <w:t>与支付方式</w:t>
      </w:r>
    </w:p>
    <w:p w14:paraId="0309ACDF">
      <w:pPr>
        <w:pageBreakBefore w:val="0"/>
        <w:kinsoku/>
        <w:wordWrap/>
        <w:topLinePunct w:val="0"/>
        <w:autoSpaceDE/>
        <w:autoSpaceDN/>
        <w:bidi w:val="0"/>
        <w:snapToGrid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1.服务费由乙方按季度对完成的服务项目向邕宁区财政局提出申请，经邕宁区财政局审核后报</w:t>
      </w:r>
      <w:r>
        <w:rPr>
          <w:rFonts w:hint="eastAsia" w:ascii="宋体" w:hAnsi="宋体" w:eastAsia="宋体" w:cs="宋体"/>
          <w:color w:val="auto"/>
          <w:szCs w:val="21"/>
          <w:highlight w:val="none"/>
          <w:lang w:val="en-US" w:eastAsia="zh-CN"/>
        </w:rPr>
        <w:t>邕宁</w:t>
      </w:r>
      <w:r>
        <w:rPr>
          <w:rFonts w:hint="eastAsia" w:ascii="宋体" w:hAnsi="宋体" w:eastAsia="宋体" w:cs="宋体"/>
          <w:color w:val="auto"/>
          <w:szCs w:val="21"/>
          <w:highlight w:val="none"/>
        </w:rPr>
        <w:t>区政府审批，按财政国库集中支付程序统一支付。</w:t>
      </w:r>
    </w:p>
    <w:p w14:paraId="3AA0BEA1">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2.因乙方原因中途中止</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服务工作的，由甲方与乙方协商，按实际完成的比例计取</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服务费，并提供相关说明报</w:t>
      </w:r>
      <w:r>
        <w:rPr>
          <w:rFonts w:hint="eastAsia" w:ascii="宋体" w:hAnsi="宋体" w:eastAsia="宋体" w:cs="宋体"/>
          <w:color w:val="auto"/>
          <w:szCs w:val="21"/>
          <w:highlight w:val="none"/>
          <w:lang w:val="en-US" w:eastAsia="zh-CN"/>
        </w:rPr>
        <w:t>邕宁</w:t>
      </w:r>
      <w:r>
        <w:rPr>
          <w:rFonts w:hint="eastAsia" w:ascii="宋体" w:hAnsi="宋体" w:eastAsia="宋体" w:cs="宋体"/>
          <w:color w:val="auto"/>
          <w:szCs w:val="21"/>
          <w:highlight w:val="none"/>
        </w:rPr>
        <w:t>区财政局备案；因乙方原因导致</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服务工作中止的，不计取</w:t>
      </w:r>
      <w:r>
        <w:rPr>
          <w:rFonts w:hint="eastAsia" w:ascii="宋体" w:hAnsi="宋体" w:eastAsia="宋体" w:cs="宋体"/>
          <w:color w:val="auto"/>
          <w:szCs w:val="21"/>
          <w:highlight w:val="none"/>
          <w:lang w:bidi="ar"/>
        </w:rPr>
        <w:t>审核服</w:t>
      </w:r>
      <w:r>
        <w:rPr>
          <w:rFonts w:hint="eastAsia" w:ascii="宋体" w:hAnsi="宋体" w:eastAsia="宋体" w:cs="宋体"/>
          <w:color w:val="auto"/>
          <w:szCs w:val="21"/>
          <w:highlight w:val="none"/>
        </w:rPr>
        <w:t>务费。</w:t>
      </w:r>
    </w:p>
    <w:p w14:paraId="605C1819">
      <w:pPr>
        <w:pageBreakBefore w:val="0"/>
        <w:kinsoku/>
        <w:wordWrap/>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合同履行期间，如乙方存在违法行为，在政府采购监督管理部门调查或被行政处罚期间，甲方可视情况中止合同，并通知城区财政局延期支付服务费，情节严重，给甲方造成损失的，甲方有权终止合同，并不予支付服务费，给甲方造成经济损失的，还应向甲方赔偿相应的损失。</w:t>
      </w:r>
    </w:p>
    <w:p w14:paraId="1729E59D">
      <w:pPr>
        <w:pageBreakBefore w:val="0"/>
        <w:kinsoku/>
        <w:wordWrap/>
        <w:topLinePunct w:val="0"/>
        <w:autoSpaceDE/>
        <w:autoSpaceDN/>
        <w:bidi w:val="0"/>
        <w:spacing w:line="400" w:lineRule="exact"/>
        <w:ind w:firstLine="422" w:firstLineChars="200"/>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七、权利和义务</w:t>
      </w:r>
    </w:p>
    <w:p w14:paraId="623E477B">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1.甲方的权利、义务</w:t>
      </w:r>
    </w:p>
    <w:p w14:paraId="38B467EB">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（1）甲方有权要求乙方提供响应文件中拟投入人员名单，并确保乙方投入的人员与响应文件一致。</w:t>
      </w:r>
    </w:p>
    <w:p w14:paraId="7FB5C02F">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（2）有权派出监督人员对乙方的业务开展情况和工作质量、廉政纪律执行情况等进行全程监督。</w:t>
      </w:r>
    </w:p>
    <w:p w14:paraId="4105E9E3">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（3）有权随时了解乙方的</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工作方案和进度并可提出意见和建议。</w:t>
      </w:r>
    </w:p>
    <w:p w14:paraId="0FEDBBBD">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（4）有权要求乙方提供或查阅乙方工作底稿（含电子文档）。</w:t>
      </w:r>
    </w:p>
    <w:p w14:paraId="16EB6D8F">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（5）有权合法、正确地使用</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报告。</w:t>
      </w:r>
    </w:p>
    <w:p w14:paraId="191B67D0">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（6）发现乙方有违规违纪问题可单方面解除合同并反馈征集人。</w:t>
      </w:r>
    </w:p>
    <w:p w14:paraId="5C26EE2D">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（7）如乙方与项目业主或施工单位有意串通增大工程量或弄虚作假增加预算</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额的，经查实甲方有权要求其赔偿相应的损失，终止合同，并反馈征集人。</w:t>
      </w:r>
    </w:p>
    <w:p w14:paraId="0309AECF">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（8）在特殊情况下有权指定乙方</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人员从事特定项目</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工作。</w:t>
      </w:r>
    </w:p>
    <w:p w14:paraId="62545C30">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（9）乙方送审的工作底稿未经三级批复核或不符合要求的,有权退回。</w:t>
      </w:r>
    </w:p>
    <w:p w14:paraId="36FE0E86">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（10）有义务向乙方提供或协调乙方取得工程</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所需的材料，协调相关部门和单位配合</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工作，并将乙方在</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过程中遇到的问题及时协调解决。</w:t>
      </w:r>
    </w:p>
    <w:p w14:paraId="0707EB84">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（11）有义务按规定及时配合乙方申请</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费。</w:t>
      </w:r>
    </w:p>
    <w:p w14:paraId="46FB9CC2">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2.乙方的权利、义务</w:t>
      </w:r>
    </w:p>
    <w:p w14:paraId="546E2122">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（1）有权要求甲方提供项目</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的全部资料。</w:t>
      </w:r>
    </w:p>
    <w:p w14:paraId="2E99D956">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（2）有权要求甲方帮助协调各有关部门的工作，要求甲方尽可能地支持、配合乙方实施</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工作。</w:t>
      </w:r>
    </w:p>
    <w:p w14:paraId="5D0FCD33">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（3）在审核工作按要求完成后，有权如期取得本合同约定的</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服务费。</w:t>
      </w:r>
    </w:p>
    <w:p w14:paraId="10CF1596">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（4）有义务根据提供的</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资料实事求是依法</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，并出具合法的</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报告。</w:t>
      </w:r>
    </w:p>
    <w:p w14:paraId="2121CB0C">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（5）有义务保守执业过程中悉知的甲方和项目业主的商业秘密。</w:t>
      </w:r>
    </w:p>
    <w:p w14:paraId="475FFC14">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（6）有义务按采购合同规定的时间内出具</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报告。</w:t>
      </w:r>
    </w:p>
    <w:p w14:paraId="54998E8B">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（7）乙方不得将甲方委托的</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工作转交第三方完成。</w:t>
      </w:r>
    </w:p>
    <w:p w14:paraId="69EA9EFD">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（8）有义务妥善保管甲方提供的</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资料，并在</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工作完成后，完整交回甲方。</w:t>
      </w:r>
    </w:p>
    <w:p w14:paraId="6E7A5684">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（9）甲方对乙方的办公场所及人员进行检查时，乙方有义务必须积极配合。</w:t>
      </w:r>
    </w:p>
    <w:p w14:paraId="77C10046">
      <w:pPr>
        <w:pageBreakBefore w:val="0"/>
        <w:kinsoku/>
        <w:wordWrap/>
        <w:topLinePunct w:val="0"/>
        <w:autoSpaceDE/>
        <w:autoSpaceDN/>
        <w:bidi w:val="0"/>
        <w:spacing w:line="400" w:lineRule="exact"/>
        <w:ind w:firstLine="422" w:firstLineChars="200"/>
        <w:textAlignment w:val="auto"/>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八、双方约定</w:t>
      </w:r>
    </w:p>
    <w:p w14:paraId="7F0B77F4">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kern w:val="0"/>
          <w:szCs w:val="21"/>
          <w:highlight w:val="none"/>
          <w:lang w:val="zh-CN"/>
        </w:rPr>
        <w:t>1.</w:t>
      </w:r>
      <w:r>
        <w:rPr>
          <w:rFonts w:hint="eastAsia" w:ascii="宋体" w:hAnsi="宋体" w:eastAsia="宋体" w:cs="宋体"/>
          <w:color w:val="auto"/>
          <w:szCs w:val="21"/>
          <w:highlight w:val="none"/>
        </w:rPr>
        <w:t xml:space="preserve"> 乙方应严格按照《工程造价咨询企业管理办法》、《建筑工程施工发包与承包计价管理办法》、《广西壮族自治区建设工程造价管理办法》等文件要求及工程项目相关合同、相关计价标准等实施</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事项，遵守职业道德。对</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工作中的重要事项以及专业技术人员的专业判断进行记录，依照相关法律法规发表专业意见，出具工程造价成果文件，并对提交的预算</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成果的真实性、完整性、准确性负责。</w:t>
      </w:r>
    </w:p>
    <w:p w14:paraId="4147ABDA">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2.乙方应在采购合同规定的时间前完成</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工作，并向甲方提交成果及工程量计算底稿。向甲方提交资料的时间原则上按如下规定：（1）按采购合同要求的时间完成（除甲方提供主要资料滞后外），乙方应按甲方要求向甲方提供经甲方</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通过的预算</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成果纸质版及电子文档，纸质文档一式四份须加盖乙方公章及执业印章。（2）对于未执行《南宁建设工程造价信息》的信息价或信息价缺项的材料、设备，应附上相应的询价、报价及定价资料并加盖乙方公章。</w:t>
      </w:r>
    </w:p>
    <w:p w14:paraId="7132A130">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3.如工程项目供应商、项目业主等提出与</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工作有关的疑问，乙方必须在规定的时间内提出书面答复意见，并送甲方审定后由甲方答复供应商、项目业主等。</w:t>
      </w:r>
    </w:p>
    <w:p w14:paraId="23164C1A">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4.乙方在签订采购合同后应积极主动地与甲方联系，落实具体事宜，安排充足的人员在规定的时间内完成</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工作，并将安排的该委托任务的负责人及相关</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人员姓名与联系电话书面反馈给甲方。</w:t>
      </w:r>
    </w:p>
    <w:p w14:paraId="2B090825">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5.如工程项目在预算</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过程中需要调整的，甲方应</w:t>
      </w:r>
      <w:r>
        <w:rPr>
          <w:rFonts w:hint="eastAsia" w:ascii="宋体" w:hAnsi="宋体" w:eastAsia="宋体" w:cs="宋体"/>
          <w:color w:val="auto"/>
          <w:szCs w:val="21"/>
          <w:highlight w:val="none"/>
          <w:lang w:val="en-US" w:eastAsia="zh-CN"/>
        </w:rPr>
        <w:t>立即</w:t>
      </w:r>
      <w:r>
        <w:rPr>
          <w:rFonts w:hint="eastAsia" w:ascii="宋体" w:hAnsi="宋体" w:eastAsia="宋体" w:cs="宋体"/>
          <w:color w:val="auto"/>
          <w:szCs w:val="21"/>
          <w:highlight w:val="none"/>
        </w:rPr>
        <w:t>通知乙方；如乙方在</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过程中发现问题的，应</w:t>
      </w:r>
      <w:r>
        <w:rPr>
          <w:rFonts w:hint="eastAsia" w:ascii="宋体" w:hAnsi="宋体" w:eastAsia="宋体" w:cs="宋体"/>
          <w:color w:val="auto"/>
          <w:szCs w:val="21"/>
          <w:highlight w:val="none"/>
          <w:lang w:val="en-US" w:eastAsia="zh-CN"/>
        </w:rPr>
        <w:t>立即</w:t>
      </w:r>
      <w:r>
        <w:rPr>
          <w:rFonts w:hint="eastAsia" w:ascii="宋体" w:hAnsi="宋体" w:eastAsia="宋体" w:cs="宋体"/>
          <w:color w:val="auto"/>
          <w:szCs w:val="21"/>
          <w:highlight w:val="none"/>
        </w:rPr>
        <w:t>通知甲方。</w:t>
      </w:r>
    </w:p>
    <w:p w14:paraId="5AC1F6FF">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6.乙方不得将甲方委托的</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工作内容透露给除甲方以外的任何人。如发现乙方有违规情况并经查实的，甲方有权终止合同并追究乙方违约责任，并报送征集人。</w:t>
      </w:r>
    </w:p>
    <w:p w14:paraId="78F92220">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7.合同有效期内，甲方认为乙方实际投入的</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人员不足以满足</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任务需要或认为</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人员不称职时，可向乙方发出要求增加或更换（必要时可指定）</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人员的通知，乙方在收到通知后的5天内应增加或更换相应的</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人员，由此产生的费用由乙方自行承担。</w:t>
      </w:r>
    </w:p>
    <w:p w14:paraId="2275EE29">
      <w:pPr>
        <w:pageBreakBefore w:val="0"/>
        <w:kinsoku/>
        <w:wordWrap/>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8.乙方可根据审核任务需要，经甲方同意后增加专业技术辅助人员，并将新增专业技术辅助人员报甲方登记备案。</w:t>
      </w:r>
    </w:p>
    <w:p w14:paraId="3EA7FF7A">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9.乙方已接受甲方委托</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某工程项目预算</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的，不能再为与该工程项目有关的供应商、项目业主或施工方提供与该工程项目有关的造价咨询服务；如发现乙方有违规情况，经查实，甲方有权终止合同并追究乙方违约责任，</w:t>
      </w:r>
      <w:r>
        <w:rPr>
          <w:rFonts w:hint="eastAsia" w:ascii="宋体" w:hAnsi="宋体" w:eastAsia="宋体" w:cs="宋体"/>
          <w:color w:val="auto"/>
          <w:szCs w:val="21"/>
          <w:highlight w:val="none"/>
          <w:lang w:val="en-US" w:eastAsia="zh-CN"/>
        </w:rPr>
        <w:t>并</w:t>
      </w:r>
      <w:r>
        <w:rPr>
          <w:rFonts w:hint="eastAsia" w:ascii="宋体" w:hAnsi="宋体" w:eastAsia="宋体" w:cs="宋体"/>
          <w:color w:val="auto"/>
          <w:szCs w:val="21"/>
          <w:highlight w:val="none"/>
        </w:rPr>
        <w:t>报送征集人。</w:t>
      </w:r>
    </w:p>
    <w:p w14:paraId="43C24ED2">
      <w:pPr>
        <w:pageBreakBefore w:val="0"/>
        <w:kinsoku/>
        <w:wordWrap/>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10.乙方应向甲方提交的成果及工程量计算底稿时必须已完成内部三级</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程序，并提供各级</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人的书面</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意见。根据项目</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情况，甲方认为有需要时，将对乙方内部三级</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各级</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员进行考评，并对是否宜继续参与政府投资建设项目</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工作作出认定。如甲方认为乙方的</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和复核人员不宜再参与政府投资建设项目预算</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工作的，乙方不得再安排其参与政府投资建设项目预算</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工作，甲方认为须经乙方对其进行严格业务培训后方可再安排相应工作的，乙方必须严格执行。</w:t>
      </w:r>
    </w:p>
    <w:p w14:paraId="31C51C60">
      <w:pPr>
        <w:spacing w:line="42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rPr>
        <w:t>招标控制价的审核，如已完成并提供招标控制价审核成果，但因市场原因需调整材料价格的，不另计审核服务费。</w:t>
      </w:r>
    </w:p>
    <w:p w14:paraId="041434E9">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甲方认为有必要时，可以约谈、询问乙方的法人代表及相关负责人，乙方不得拒绝。</w:t>
      </w:r>
    </w:p>
    <w:p w14:paraId="40E9C578">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13.其</w:t>
      </w:r>
      <w:r>
        <w:rPr>
          <w:rFonts w:hint="eastAsia" w:ascii="宋体" w:hAnsi="宋体" w:eastAsia="宋体" w:cs="宋体"/>
          <w:color w:val="auto"/>
          <w:szCs w:val="21"/>
          <w:highlight w:val="none"/>
        </w:rPr>
        <w:t>它约定：</w:t>
      </w:r>
      <w:r>
        <w:rPr>
          <w:rFonts w:hint="eastAsia" w:ascii="宋体" w:hAnsi="宋体" w:eastAsia="宋体" w:cs="宋体"/>
          <w:color w:val="auto"/>
          <w:szCs w:val="21"/>
          <w:highlight w:val="none"/>
          <w:u w:val="single"/>
        </w:rPr>
        <w:t xml:space="preserve">（由甲方根据项目具体情况约定）     </w:t>
      </w:r>
    </w:p>
    <w:p w14:paraId="1B990DF1">
      <w:pPr>
        <w:pageBreakBefore w:val="0"/>
        <w:kinsoku/>
        <w:wordWrap/>
        <w:topLinePunct w:val="0"/>
        <w:autoSpaceDE/>
        <w:autoSpaceDN/>
        <w:bidi w:val="0"/>
        <w:spacing w:line="400" w:lineRule="exact"/>
        <w:ind w:firstLine="422" w:firstLineChars="200"/>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九、服务评价</w:t>
      </w:r>
    </w:p>
    <w:p w14:paraId="4C3B02F8">
      <w:pPr>
        <w:pageBreakBefore w:val="0"/>
        <w:kinsoku/>
        <w:wordWrap/>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框架协议将建立用户反馈和评价机制,每个工程预算审核项目完成后采购人需按时填写邕宁区政府投资建设项目预算审核服务单位诚信综合评价表（详见附件1），如评价分值在60分以下，需由采购人写明相关实际情况，报邕宁区政府审批，按批复意见及服务协议约定解除合同。</w:t>
      </w:r>
    </w:p>
    <w:p w14:paraId="0C883EC9">
      <w:pPr>
        <w:pageBreakBefore w:val="0"/>
        <w:kinsoku/>
        <w:wordWrap/>
        <w:topLinePunct w:val="0"/>
        <w:autoSpaceDE/>
        <w:autoSpaceDN/>
        <w:bidi w:val="0"/>
        <w:spacing w:line="400" w:lineRule="exact"/>
        <w:ind w:firstLine="422" w:firstLineChars="200"/>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十、</w:t>
      </w:r>
      <w:r>
        <w:rPr>
          <w:rFonts w:hint="eastAsia" w:ascii="宋体" w:hAnsi="宋体" w:eastAsia="宋体" w:cs="宋体"/>
          <w:b/>
          <w:bCs/>
          <w:color w:val="auto"/>
          <w:szCs w:val="21"/>
          <w:highlight w:val="none"/>
        </w:rPr>
        <w:t>违约责任</w:t>
      </w:r>
    </w:p>
    <w:p w14:paraId="20B0C31B">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1.甲方违约，造成乙方损失的，应按《中华人民共和国民法典》有关规定承担责任。</w:t>
      </w:r>
    </w:p>
    <w:p w14:paraId="71C2E5F9">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2.因乙方违约造成甲方损失的，应按《中华人民共和国民法典》等相关法律法规赔偿因违约给甲方造成的损失。</w:t>
      </w:r>
    </w:p>
    <w:p w14:paraId="650C1377">
      <w:pPr>
        <w:pageBreakBefore w:val="0"/>
        <w:kinsoku/>
        <w:wordWrap/>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3.乙方须按采购合同规定的时间完成各项</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工作，若乙方出现未能按规定时间完成</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工作的，甲方有权停止委托</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任务，终止合同。甲方提供主要资料滞后的，乙方完成</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工作时限相应顺延，责任根据具体情况而定。</w:t>
      </w:r>
    </w:p>
    <w:p w14:paraId="69BE17B1">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4.若乙方不接受甲方</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业务委托的，应在收到通知后</w:t>
      </w:r>
      <w:r>
        <w:rPr>
          <w:rFonts w:hint="eastAsia" w:ascii="宋体" w:hAnsi="宋体" w:eastAsia="宋体" w:cs="宋体"/>
          <w:color w:val="auto"/>
          <w:szCs w:val="21"/>
          <w:highlight w:val="none"/>
          <w:lang w:val="en-US" w:eastAsia="zh-CN"/>
        </w:rPr>
        <w:t>5个工作日</w:t>
      </w:r>
      <w:r>
        <w:rPr>
          <w:rFonts w:hint="eastAsia" w:ascii="宋体" w:hAnsi="宋体" w:eastAsia="宋体" w:cs="宋体"/>
          <w:color w:val="auto"/>
          <w:szCs w:val="21"/>
          <w:highlight w:val="none"/>
        </w:rPr>
        <w:t>内向甲方做出合理充分的书面理由，否则甲方有权将有关情况报告征集人，列入供应商黑名单。</w:t>
      </w:r>
    </w:p>
    <w:p w14:paraId="298A5415">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5.乙方违反以下任何一项廉洁从业规定时，甲方将实行一票否决权，终止合同并追究乙方相关责任，并将乙方不良记录报送至征集人及市造价管理机构等信用体系管理机构。</w:t>
      </w:r>
    </w:p>
    <w:p w14:paraId="70B9CBE9">
      <w:pPr>
        <w:pageBreakBefore w:val="0"/>
        <w:kinsoku/>
        <w:wordWrap/>
        <w:topLinePunct w:val="0"/>
        <w:autoSpaceDE/>
        <w:autoSpaceDN/>
        <w:bidi w:val="0"/>
        <w:spacing w:line="400" w:lineRule="exact"/>
        <w:ind w:firstLine="420" w:firstLineChars="200"/>
        <w:textAlignment w:val="auto"/>
        <w:outlineLvl w:val="0"/>
        <w:rPr>
          <w:rFonts w:ascii="宋体" w:hAnsi="宋体" w:eastAsia="宋体" w:cs="宋体"/>
          <w:color w:val="auto"/>
          <w:szCs w:val="21"/>
          <w:highlight w:val="none"/>
        </w:rPr>
      </w:pPr>
      <w:bookmarkStart w:id="195" w:name="_Toc146703307"/>
      <w:bookmarkStart w:id="196" w:name="_Toc22053"/>
      <w:bookmarkStart w:id="197" w:name="_Toc144971856"/>
      <w:bookmarkStart w:id="198" w:name="_Toc30288"/>
      <w:r>
        <w:rPr>
          <w:rFonts w:hint="eastAsia" w:ascii="宋体" w:hAnsi="宋体" w:eastAsia="宋体" w:cs="宋体"/>
          <w:color w:val="auto"/>
          <w:szCs w:val="21"/>
          <w:highlight w:val="none"/>
        </w:rPr>
        <w:t>（1）采用行贿、欺骗、弄虚作假等不正当手段承接工程招标控制价</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业务；</w:t>
      </w:r>
      <w:bookmarkEnd w:id="195"/>
      <w:bookmarkEnd w:id="196"/>
      <w:bookmarkEnd w:id="197"/>
      <w:bookmarkEnd w:id="198"/>
    </w:p>
    <w:p w14:paraId="4CAEBF5C">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（2）与招标人或供应商串通，泄露招标控制价</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定价信息；</w:t>
      </w:r>
    </w:p>
    <w:p w14:paraId="0508A8E4">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（3）与项目业主或施工单位串通，有意增大或减少工程量、弄虚作假增加评审额、有意使工程量清单漏项，影响项目评审的客观、公正性；</w:t>
      </w:r>
    </w:p>
    <w:p w14:paraId="3418E90E">
      <w:pPr>
        <w:pageBreakBefore w:val="0"/>
        <w:kinsoku/>
        <w:wordWrap/>
        <w:topLinePunct w:val="0"/>
        <w:autoSpaceDE/>
        <w:autoSpaceDN/>
        <w:bidi w:val="0"/>
        <w:spacing w:line="400" w:lineRule="exact"/>
        <w:ind w:firstLine="420" w:firstLineChars="200"/>
        <w:textAlignment w:val="auto"/>
        <w:outlineLvl w:val="0"/>
        <w:rPr>
          <w:rFonts w:ascii="宋体" w:hAnsi="宋体" w:eastAsia="宋体" w:cs="宋体"/>
          <w:color w:val="auto"/>
          <w:szCs w:val="21"/>
          <w:highlight w:val="none"/>
        </w:rPr>
      </w:pPr>
      <w:bookmarkStart w:id="199" w:name="_Toc19401"/>
      <w:bookmarkStart w:id="200" w:name="_Toc1507"/>
      <w:bookmarkStart w:id="201" w:name="_Toc144971857"/>
      <w:bookmarkStart w:id="202" w:name="_Toc146703308"/>
      <w:r>
        <w:rPr>
          <w:rFonts w:hint="eastAsia" w:ascii="宋体" w:hAnsi="宋体" w:eastAsia="宋体" w:cs="宋体"/>
          <w:color w:val="auto"/>
          <w:szCs w:val="21"/>
          <w:highlight w:val="none"/>
        </w:rPr>
        <w:t>（4）向甲方工作人员请客、送礼及组织其它有可能影响客观公正评审的活动；</w:t>
      </w:r>
      <w:bookmarkEnd w:id="199"/>
      <w:bookmarkEnd w:id="200"/>
      <w:bookmarkEnd w:id="201"/>
      <w:bookmarkEnd w:id="202"/>
    </w:p>
    <w:p w14:paraId="3CF490CA">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（5）向外界泄露评审工作机密；</w:t>
      </w:r>
    </w:p>
    <w:p w14:paraId="5C328564">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（6）向项目业主或施工单位等相关单位、人员索要或接受回扣、礼金、有价证券、贵重物品等；</w:t>
      </w:r>
    </w:p>
    <w:p w14:paraId="6DA0065C">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（7）接受相关单位组织的有可能影响项目评审公平、公正的宴请及各类娱乐活动。</w:t>
      </w:r>
    </w:p>
    <w:p w14:paraId="75900E3D">
      <w:pPr>
        <w:spacing w:line="500" w:lineRule="exact"/>
        <w:ind w:firstLine="420" w:firstLineChars="200"/>
        <w:rPr>
          <w:rFonts w:ascii="宋体" w:hAnsi="宋体" w:eastAsia="宋体" w:cs="宋体"/>
          <w:color w:val="auto"/>
          <w:szCs w:val="21"/>
          <w:highlight w:val="none"/>
        </w:rPr>
      </w:pPr>
      <w:r>
        <w:rPr>
          <w:rFonts w:hint="eastAsia" w:ascii="Times New Roman" w:hAnsi="Times New Roman" w:eastAsia="宋体" w:cs="Times New Roman"/>
          <w:color w:val="auto"/>
          <w:szCs w:val="24"/>
          <w:highlight w:val="none"/>
        </w:rPr>
        <w:t>6.（</w:t>
      </w:r>
      <w:r>
        <w:rPr>
          <w:rFonts w:hint="eastAsia" w:ascii="宋体" w:hAnsi="宋体" w:eastAsia="宋体" w:cs="宋体"/>
          <w:color w:val="auto"/>
          <w:szCs w:val="21"/>
          <w:highlight w:val="none"/>
        </w:rPr>
        <w:t>1）单个项目工程出现错漏项清单超过三项（含三项）且单项金额超过审定总造价的5%，或单个项目错漏项清单总额超过8%，不予以计算服务费。</w:t>
      </w:r>
    </w:p>
    <w:p w14:paraId="79D22902">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（2）单个项目工程出现错漏项清单超过五项（含五项）且单项金额超过审定总造价的5%，或单个项目错漏项清单总额超过10%，不予以计算服务费且停一个季度服务期。</w:t>
      </w:r>
    </w:p>
    <w:p w14:paraId="00451C5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（3）单个项目工程出现错漏项清单超过五项（含五项）且单项金额超过审定总造价的10%以上，或单个项目错漏项清单总额超过审定造价的20%，不予以计算服务费且停半年服务期。</w:t>
      </w:r>
    </w:p>
    <w:p w14:paraId="0D549DB2">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（4）累计单个项目工程出现错漏项清单超过审定总造价的20%以上达到三个，清退出本次框架协议管理范围。</w:t>
      </w:r>
    </w:p>
    <w:p w14:paraId="4130027C">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 甲方将不定期的对乙方的办公情况及人员情况进行检查，乙方须根据框架协议约定在南宁市内有固定办公场所并提供本地化的服务，且投入专业技术人员必须符合响应文件承诺的拟投入人员（增加其他专业技术辅助人员不限，但不增加服务报酬），如确需变更的，乙方应提前书面报甲方（须提供拟接替该岗位人员的相关资料，接替人员所具有的职称等级、各类资格证书不得低于该岗位原工作人员），经甲方确认并同意后，方可变更相应的工作人员。乙方不满足上述条件的，视为乙方违约，甲方有权终止合同。</w:t>
      </w:r>
    </w:p>
    <w:p w14:paraId="481C8F01">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.乙方出现丢失或损坏甲方提供的</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资料的，出现第1次，甲方扣减20％的</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服务费；出现2次，甲方有权扣减50%的</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服务费，并终止合同。</w:t>
      </w:r>
    </w:p>
    <w:p w14:paraId="7C2A9C3B">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.若乙方在未出具任何</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结论的情况下，因自身原因中途将</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项目退回给甲方的，原则上，甲方不支付乙方任何</w:t>
      </w:r>
      <w:r>
        <w:rPr>
          <w:rFonts w:hint="eastAsia" w:ascii="宋体" w:hAnsi="宋体" w:eastAsia="宋体" w:cs="宋体"/>
          <w:color w:val="auto"/>
          <w:szCs w:val="21"/>
          <w:highlight w:val="none"/>
          <w:lang w:bidi="ar"/>
        </w:rPr>
        <w:t>审核</w:t>
      </w:r>
      <w:r>
        <w:rPr>
          <w:rFonts w:hint="eastAsia" w:ascii="宋体" w:hAnsi="宋体" w:eastAsia="宋体" w:cs="宋体"/>
          <w:color w:val="auto"/>
          <w:szCs w:val="21"/>
          <w:highlight w:val="none"/>
        </w:rPr>
        <w:t>费用。</w:t>
      </w:r>
    </w:p>
    <w:p w14:paraId="2BF73626">
      <w:pPr>
        <w:pageBreakBefore w:val="0"/>
        <w:kinsoku/>
        <w:wordWrap/>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10.乙方拒绝甲方约谈、询问的，甲方有权暂停委托乙方审核任务，直至乙方相关人员接受甲方约谈、询问为止。</w:t>
      </w:r>
    </w:p>
    <w:p w14:paraId="47CABC94">
      <w:pPr>
        <w:pageBreakBefore w:val="0"/>
        <w:kinsoku/>
        <w:wordWrap/>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11.对于乙方的违约行为，甲方认为有必要的，除可将其不良记录报送至征集人、市造价管理机构等信用体系管理机构外，还可以在全市财政系统通报，也可以上报市政府、自治区财政厅。</w:t>
      </w:r>
    </w:p>
    <w:p w14:paraId="05C24B1D">
      <w:pPr>
        <w:pageBreakBefore w:val="0"/>
        <w:kinsoku/>
        <w:wordWrap/>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lang w:val="en-US" w:eastAsia="zh-CN"/>
        </w:rPr>
      </w:pPr>
    </w:p>
    <w:p w14:paraId="098F150E">
      <w:pPr>
        <w:pageBreakBefore w:val="0"/>
        <w:kinsoku/>
        <w:wordWrap/>
        <w:topLinePunct w:val="0"/>
        <w:autoSpaceDE/>
        <w:autoSpaceDN/>
        <w:bidi w:val="0"/>
        <w:spacing w:line="400" w:lineRule="exact"/>
        <w:ind w:firstLine="422" w:firstLineChars="200"/>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十二、不可抗力事件处理</w:t>
      </w:r>
    </w:p>
    <w:p w14:paraId="48776771">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1.不可抗力事件发生后，应立即通知对方，并附送有关权威机构出具的证明。</w:t>
      </w:r>
    </w:p>
    <w:p w14:paraId="03FED3EC">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2.不可抗力事件延续120天以上，双方应通过友好协商，确定是否继续履行合同。</w:t>
      </w:r>
    </w:p>
    <w:p w14:paraId="10D1EA61">
      <w:pPr>
        <w:pageBreakBefore w:val="0"/>
        <w:kinsoku/>
        <w:wordWrap/>
        <w:topLinePunct w:val="0"/>
        <w:autoSpaceDE/>
        <w:autoSpaceDN/>
        <w:bidi w:val="0"/>
        <w:spacing w:line="400" w:lineRule="exact"/>
        <w:ind w:firstLine="422" w:firstLineChars="200"/>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十三、诉讼</w:t>
      </w:r>
    </w:p>
    <w:p w14:paraId="6A7DF606">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双方在执行合同中所发生的一切争议，应通过协商解决。如协商不成，</w:t>
      </w:r>
      <w:r>
        <w:rPr>
          <w:rFonts w:hint="eastAsia" w:ascii="宋体" w:hAnsi="宋体" w:eastAsia="宋体" w:cs="宋体"/>
          <w:color w:val="auto"/>
          <w:szCs w:val="21"/>
          <w:highlight w:val="none"/>
          <w:lang w:val="en-US" w:eastAsia="zh-CN"/>
        </w:rPr>
        <w:t>双方可就争议共同提请自治区或南宁市工程造价管理机构进行裁定，也</w:t>
      </w:r>
      <w:r>
        <w:rPr>
          <w:rFonts w:hint="eastAsia" w:ascii="宋体" w:hAnsi="宋体" w:eastAsia="宋体" w:cs="宋体"/>
          <w:color w:val="auto"/>
          <w:szCs w:val="21"/>
          <w:highlight w:val="none"/>
        </w:rPr>
        <w:t>可向合同签订地法院起诉，合同签订地在此约定为南宁市邕宁区。</w:t>
      </w:r>
    </w:p>
    <w:p w14:paraId="6569CE0E">
      <w:pPr>
        <w:pageBreakBefore w:val="0"/>
        <w:kinsoku/>
        <w:wordWrap/>
        <w:topLinePunct w:val="0"/>
        <w:autoSpaceDE/>
        <w:autoSpaceDN/>
        <w:bidi w:val="0"/>
        <w:spacing w:line="400" w:lineRule="exact"/>
        <w:ind w:firstLine="422" w:firstLineChars="200"/>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十四、合同生效及其它</w:t>
      </w:r>
    </w:p>
    <w:p w14:paraId="083F0DB6">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1.合同经双方法定代表人或授权委托代理人签字并加盖单位公章后生效。</w:t>
      </w:r>
    </w:p>
    <w:p w14:paraId="717D5703">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2.合同执行中，如需修改或补充合同内容，由双方协商另签署书面修改或补充协议作为主合同不可分割的一部分。</w:t>
      </w:r>
    </w:p>
    <w:p w14:paraId="5DACA5CA">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当事人一方要求变更或解除合同时，应当在变更或解除合同前5个工作日通知对方，因变更或解除合同使一方遭受损失的，除依法可以免除的责任外，应由责任方负责赔偿。变更或解除合同的通知或协议必须采取书面形式，协议未达成之前，原合同仍然有效。</w:t>
      </w:r>
    </w:p>
    <w:p w14:paraId="0FF7351C">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4.本合同未尽事宜，遵照《中华人民共和国民法典》有关条文执行。</w:t>
      </w:r>
    </w:p>
    <w:p w14:paraId="4CC662C5">
      <w:pPr>
        <w:pageBreakBefore w:val="0"/>
        <w:kinsoku/>
        <w:wordWrap/>
        <w:topLinePunct w:val="0"/>
        <w:autoSpaceDE/>
        <w:autoSpaceDN/>
        <w:bidi w:val="0"/>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5.本合同一式肆份，具有同等法律效力，甲乙双方各执贰份。</w:t>
      </w:r>
    </w:p>
    <w:p w14:paraId="2EA561C6">
      <w:pPr>
        <w:pageBreakBefore w:val="0"/>
        <w:kinsoku/>
        <w:wordWrap/>
        <w:topLinePunct w:val="0"/>
        <w:autoSpaceDE/>
        <w:autoSpaceDN/>
        <w:bidi w:val="0"/>
        <w:spacing w:line="400" w:lineRule="exact"/>
        <w:textAlignment w:val="auto"/>
        <w:rPr>
          <w:rFonts w:ascii="宋体" w:hAnsi="宋体" w:eastAsia="宋体" w:cs="宋体"/>
          <w:color w:val="auto"/>
          <w:szCs w:val="21"/>
          <w:highlight w:val="none"/>
        </w:rPr>
      </w:pPr>
    </w:p>
    <w:p w14:paraId="7F957791">
      <w:pPr>
        <w:keepNext/>
        <w:keepLines/>
        <w:pageBreakBefore w:val="0"/>
        <w:kinsoku/>
        <w:wordWrap/>
        <w:topLinePunct w:val="0"/>
        <w:autoSpaceDE/>
        <w:autoSpaceDN/>
        <w:bidi w:val="0"/>
        <w:spacing w:before="340" w:after="330" w:line="400" w:lineRule="exact"/>
        <w:textAlignment w:val="auto"/>
        <w:outlineLvl w:val="0"/>
        <w:rPr>
          <w:rFonts w:ascii="Times New Roman" w:hAnsi="Times New Roman" w:eastAsia="宋体" w:cs="Times New Roman"/>
          <w:b/>
          <w:bCs/>
          <w:color w:val="auto"/>
          <w:kern w:val="44"/>
          <w:sz w:val="44"/>
          <w:szCs w:val="44"/>
          <w:highlight w:val="none"/>
        </w:rPr>
      </w:pPr>
    </w:p>
    <w:p w14:paraId="6DDA5518">
      <w:pPr>
        <w:spacing w:line="540" w:lineRule="exact"/>
        <w:rPr>
          <w:rFonts w:ascii="宋体" w:hAnsi="宋体" w:cs="宋体"/>
          <w:color w:val="auto"/>
          <w:szCs w:val="21"/>
          <w:highlight w:val="none"/>
          <w:u w:val="single"/>
        </w:rPr>
      </w:pPr>
      <w:r>
        <w:rPr>
          <w:rFonts w:hint="eastAsia" w:ascii="宋体" w:hAnsi="宋体" w:cs="宋体"/>
          <w:color w:val="auto"/>
          <w:szCs w:val="21"/>
          <w:highlight w:val="none"/>
        </w:rPr>
        <w:t>甲方</w:t>
      </w:r>
      <w:r>
        <w:rPr>
          <w:rFonts w:hint="eastAsia" w:ascii="宋体" w:hAnsi="宋体" w:cs="宋体"/>
          <w:color w:val="auto"/>
          <w:szCs w:val="21"/>
          <w:highlight w:val="none"/>
          <w:u w:val="none"/>
          <w:lang w:eastAsia="zh-CN"/>
        </w:rPr>
        <w:t>（盖章）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u w:val="non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乙方</w:t>
      </w:r>
      <w:r>
        <w:rPr>
          <w:rFonts w:hint="eastAsia" w:ascii="宋体" w:hAnsi="宋体" w:cs="宋体"/>
          <w:color w:val="auto"/>
          <w:szCs w:val="21"/>
          <w:highlight w:val="none"/>
          <w:u w:val="none"/>
          <w:lang w:eastAsia="zh-CN"/>
        </w:rPr>
        <w:t>（盖章）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43ED9235">
      <w:pPr>
        <w:spacing w:line="540" w:lineRule="exact"/>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61EBE37">
      <w:pPr>
        <w:spacing w:line="540" w:lineRule="exact"/>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w:t>
      </w:r>
    </w:p>
    <w:p w14:paraId="36985265">
      <w:pPr>
        <w:spacing w:line="540" w:lineRule="exact"/>
        <w:rPr>
          <w:rFonts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p>
    <w:p w14:paraId="437EEBBC">
      <w:pPr>
        <w:spacing w:line="540" w:lineRule="exact"/>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E0D3136">
      <w:pPr>
        <w:spacing w:line="540" w:lineRule="exact"/>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7C84B044">
      <w:pPr>
        <w:spacing w:line="540" w:lineRule="exact"/>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p w14:paraId="5B2E138A">
      <w:pPr>
        <w:spacing w:line="540" w:lineRule="exact"/>
        <w:rPr>
          <w:rFonts w:ascii="宋体" w:hAnsi="宋体" w:cs="宋体"/>
          <w:color w:val="auto"/>
          <w:szCs w:val="21"/>
          <w:highlight w:val="none"/>
          <w:u w:val="single"/>
        </w:rPr>
      </w:pPr>
      <w:r>
        <w:rPr>
          <w:rFonts w:hint="eastAsia" w:ascii="宋体" w:hAnsi="宋体" w:cs="宋体"/>
          <w:color w:val="auto"/>
          <w:szCs w:val="21"/>
          <w:highlight w:val="none"/>
          <w:lang w:eastAsia="zh-CN"/>
        </w:rPr>
        <w:t>采购单位经办人</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开户名称：</w:t>
      </w:r>
      <w:r>
        <w:rPr>
          <w:rFonts w:hint="eastAsia" w:ascii="宋体" w:hAnsi="宋体" w:cs="宋体"/>
          <w:color w:val="auto"/>
          <w:szCs w:val="21"/>
          <w:highlight w:val="none"/>
          <w:u w:val="single"/>
        </w:rPr>
        <w:t xml:space="preserve">                                </w:t>
      </w:r>
    </w:p>
    <w:p w14:paraId="47E9B063">
      <w:pPr>
        <w:spacing w:line="540" w:lineRule="exact"/>
        <w:rPr>
          <w:rFonts w:ascii="宋体" w:hAnsi="宋体" w:cs="宋体"/>
          <w:color w:val="auto"/>
          <w:szCs w:val="21"/>
          <w:highlight w:val="none"/>
          <w:u w:val="single"/>
        </w:rPr>
      </w:pPr>
      <w:r>
        <w:rPr>
          <w:rFonts w:hint="eastAsia" w:ascii="宋体" w:hAnsi="宋体" w:cs="宋体"/>
          <w:color w:val="auto"/>
          <w:szCs w:val="21"/>
          <w:highlight w:val="none"/>
          <w:lang w:eastAsia="zh-CN"/>
        </w:rPr>
        <w:t>经办人联系电话</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银行账号：</w:t>
      </w:r>
      <w:r>
        <w:rPr>
          <w:rFonts w:hint="eastAsia" w:ascii="宋体" w:hAnsi="宋体" w:cs="宋体"/>
          <w:color w:val="auto"/>
          <w:szCs w:val="21"/>
          <w:highlight w:val="none"/>
          <w:u w:val="single"/>
        </w:rPr>
        <w:t xml:space="preserve">                                </w:t>
      </w:r>
    </w:p>
    <w:p w14:paraId="3B30C33A">
      <w:pPr>
        <w:spacing w:line="540" w:lineRule="exact"/>
        <w:rPr>
          <w:rFonts w:hint="eastAsia" w:ascii="宋体" w:hAnsi="宋体" w:cs="宋体"/>
          <w:color w:val="auto"/>
          <w:szCs w:val="21"/>
          <w:highlight w:val="none"/>
        </w:rPr>
      </w:pPr>
      <w:r>
        <w:rPr>
          <w:rFonts w:hint="eastAsia" w:ascii="宋体" w:hAnsi="宋体" w:cs="宋体"/>
          <w:color w:val="auto"/>
          <w:szCs w:val="21"/>
          <w:highlight w:val="none"/>
        </w:rPr>
        <w:t>合同签订日期：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   合同签订日期：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p>
    <w:p w14:paraId="2B9BB7CC">
      <w:pPr>
        <w:pageBreakBefore w:val="0"/>
        <w:kinsoku/>
        <w:wordWrap/>
        <w:topLinePunct w:val="0"/>
        <w:autoSpaceDE/>
        <w:autoSpaceDN/>
        <w:bidi w:val="0"/>
        <w:spacing w:line="400" w:lineRule="exact"/>
        <w:textAlignment w:val="auto"/>
        <w:rPr>
          <w:rFonts w:ascii="宋体" w:hAnsi="宋体" w:eastAsia="宋体" w:cs="宋体"/>
          <w:color w:val="auto"/>
          <w:sz w:val="28"/>
          <w:szCs w:val="28"/>
          <w:highlight w:val="none"/>
        </w:rPr>
      </w:pPr>
      <w:r>
        <w:rPr>
          <w:rFonts w:hint="eastAsia" w:ascii="宋体" w:hAnsi="宋体" w:cs="宋体"/>
          <w:color w:val="auto"/>
          <w:szCs w:val="21"/>
          <w:highlight w:val="none"/>
        </w:rPr>
        <w:t>合同签订地点：广西南宁市</w:t>
      </w:r>
      <w:r>
        <w:rPr>
          <w:rFonts w:hint="eastAsia" w:ascii="宋体" w:hAnsi="宋体" w:cs="宋体"/>
          <w:color w:val="auto"/>
          <w:szCs w:val="21"/>
          <w:highlight w:val="none"/>
          <w:lang w:eastAsia="zh-CN"/>
        </w:rPr>
        <w:t>邕宁区</w:t>
      </w: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 w:val="28"/>
          <w:szCs w:val="28"/>
          <w:highlight w:val="none"/>
        </w:rPr>
        <w:t xml:space="preserve">          </w:t>
      </w:r>
    </w:p>
    <w:p w14:paraId="4891FD00">
      <w:pPr>
        <w:pageBreakBefore w:val="0"/>
        <w:kinsoku/>
        <w:wordWrap/>
        <w:topLinePunct w:val="0"/>
        <w:autoSpaceDE/>
        <w:autoSpaceDN/>
        <w:bidi w:val="0"/>
        <w:spacing w:line="400" w:lineRule="exact"/>
        <w:textAlignment w:val="auto"/>
        <w:rPr>
          <w:rFonts w:ascii="宋体" w:hAnsi="宋体" w:eastAsia="宋体" w:cs="宋体"/>
          <w:color w:val="auto"/>
          <w:sz w:val="28"/>
          <w:szCs w:val="28"/>
          <w:highlight w:val="none"/>
        </w:rPr>
      </w:pPr>
    </w:p>
    <w:p w14:paraId="259665B7">
      <w:pPr>
        <w:spacing w:line="540" w:lineRule="exact"/>
        <w:jc w:val="left"/>
        <w:rPr>
          <w:rFonts w:ascii="Times New Roman" w:hAnsi="Times New Roman" w:eastAsia="方正小标宋简体" w:cs="Times New Roman"/>
          <w:color w:val="auto"/>
          <w:sz w:val="44"/>
          <w:szCs w:val="44"/>
          <w:highlight w:val="none"/>
          <w:shd w:val="clear" w:color="auto" w:fill="FFFFFF"/>
        </w:rPr>
      </w:pPr>
    </w:p>
    <w:p w14:paraId="273E3094">
      <w:pPr>
        <w:tabs>
          <w:tab w:val="center" w:pos="4153"/>
          <w:tab w:val="right" w:pos="8306"/>
        </w:tabs>
        <w:snapToGrid w:val="0"/>
        <w:jc w:val="left"/>
        <w:rPr>
          <w:rFonts w:ascii="仿宋_GB2312" w:hAnsi="Times New Roman" w:eastAsia="仿宋_GB2312" w:cs="Times New Roman"/>
          <w:color w:val="auto"/>
          <w:sz w:val="32"/>
          <w:szCs w:val="32"/>
          <w:highlight w:val="none"/>
        </w:rPr>
      </w:pPr>
    </w:p>
    <w:p w14:paraId="48561FEA">
      <w:pPr>
        <w:tabs>
          <w:tab w:val="left" w:pos="2472"/>
        </w:tabs>
        <w:spacing w:line="460" w:lineRule="exact"/>
        <w:jc w:val="center"/>
        <w:outlineLvl w:val="0"/>
        <w:rPr>
          <w:rFonts w:ascii="宋体" w:hAnsi="宋体" w:eastAsia="宋体" w:cs="宋体"/>
          <w:b/>
          <w:color w:val="auto"/>
          <w:sz w:val="36"/>
          <w:szCs w:val="20"/>
          <w:highlight w:val="none"/>
        </w:rPr>
        <w:sectPr>
          <w:pgSz w:w="11906" w:h="16838"/>
          <w:pgMar w:top="1134" w:right="1134" w:bottom="1134" w:left="1134" w:header="720" w:footer="720" w:gutter="0"/>
          <w:cols w:space="720" w:num="1"/>
          <w:docGrid w:linePitch="331" w:charSpace="0"/>
        </w:sectPr>
      </w:pPr>
    </w:p>
    <w:p w14:paraId="7309FAB9">
      <w:pPr>
        <w:tabs>
          <w:tab w:val="left" w:pos="2472"/>
        </w:tabs>
        <w:spacing w:line="400" w:lineRule="exact"/>
        <w:jc w:val="left"/>
        <w:outlineLvl w:val="0"/>
        <w:rPr>
          <w:rFonts w:ascii="宋体" w:hAnsi="宋体" w:eastAsia="宋体" w:cs="宋体"/>
          <w:b/>
          <w:color w:val="auto"/>
          <w:sz w:val="36"/>
          <w:szCs w:val="20"/>
          <w:highlight w:val="none"/>
        </w:rPr>
      </w:pPr>
      <w:bookmarkStart w:id="203" w:name="_Toc146703309"/>
      <w:bookmarkStart w:id="204" w:name="_Toc144971858"/>
      <w:r>
        <w:rPr>
          <w:rFonts w:hint="eastAsia" w:ascii="宋体" w:hAnsi="宋体" w:eastAsia="宋体" w:cs="宋体"/>
          <w:b/>
          <w:color w:val="auto"/>
          <w:sz w:val="36"/>
          <w:szCs w:val="20"/>
          <w:highlight w:val="none"/>
        </w:rPr>
        <w:t>附件1：</w:t>
      </w:r>
      <w:bookmarkEnd w:id="203"/>
      <w:bookmarkEnd w:id="204"/>
    </w:p>
    <w:p w14:paraId="5F0DDF9C">
      <w:pPr>
        <w:adjustRightInd w:val="0"/>
        <w:snapToGrid w:val="0"/>
        <w:spacing w:line="400" w:lineRule="exact"/>
        <w:jc w:val="center"/>
        <w:rPr>
          <w:rFonts w:ascii="方正小标宋简体" w:hAnsi="宋体" w:eastAsia="方正小标宋简体" w:cs="Times New Roman"/>
          <w:color w:val="auto"/>
          <w:kern w:val="0"/>
          <w:sz w:val="36"/>
          <w:szCs w:val="36"/>
          <w:highlight w:val="none"/>
        </w:rPr>
      </w:pPr>
      <w:r>
        <w:rPr>
          <w:rFonts w:hint="eastAsia" w:ascii="方正小标宋简体" w:hAnsi="宋体" w:eastAsia="方正小标宋简体" w:cs="Times New Roman"/>
          <w:color w:val="auto"/>
          <w:kern w:val="0"/>
          <w:sz w:val="36"/>
          <w:szCs w:val="36"/>
          <w:highlight w:val="none"/>
          <w:lang w:eastAsia="zh-CN"/>
        </w:rPr>
        <w:t>2026-2027</w:t>
      </w:r>
      <w:r>
        <w:rPr>
          <w:rFonts w:hint="eastAsia" w:ascii="方正小标宋简体" w:hAnsi="宋体" w:eastAsia="方正小标宋简体" w:cs="Times New Roman"/>
          <w:color w:val="auto"/>
          <w:kern w:val="0"/>
          <w:sz w:val="36"/>
          <w:szCs w:val="36"/>
          <w:highlight w:val="none"/>
        </w:rPr>
        <w:t>年邕宁区政府投资建设项目预算审核框架协议服务单位诚信综合评价表</w:t>
      </w:r>
    </w:p>
    <w:p w14:paraId="76865C28">
      <w:pPr>
        <w:adjustRightInd w:val="0"/>
        <w:snapToGrid w:val="0"/>
        <w:spacing w:line="320" w:lineRule="exact"/>
        <w:jc w:val="center"/>
        <w:rPr>
          <w:rFonts w:ascii="宋体" w:hAnsi="宋体" w:eastAsia="宋体" w:cs="Times New Roman"/>
          <w:b/>
          <w:color w:val="auto"/>
          <w:kern w:val="0"/>
          <w:sz w:val="28"/>
          <w:szCs w:val="28"/>
          <w:highlight w:val="none"/>
        </w:rPr>
      </w:pPr>
    </w:p>
    <w:p w14:paraId="1948838C">
      <w:pPr>
        <w:spacing w:line="320" w:lineRule="exac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 xml:space="preserve">项目名称：                                                                           </w:t>
      </w:r>
      <w:r>
        <w:rPr>
          <w:rFonts w:hint="eastAsia" w:ascii="宋体" w:hAnsi="宋体" w:eastAsia="宋体" w:cs="宋体"/>
          <w:b/>
          <w:color w:val="auto"/>
          <w:szCs w:val="21"/>
          <w:highlight w:val="none"/>
        </w:rPr>
        <w:t>成交供应商</w:t>
      </w:r>
      <w:r>
        <w:rPr>
          <w:rFonts w:hint="eastAsia" w:ascii="宋体" w:hAnsi="宋体" w:eastAsia="宋体" w:cs="Times New Roman"/>
          <w:b/>
          <w:color w:val="auto"/>
          <w:kern w:val="0"/>
          <w:szCs w:val="21"/>
          <w:highlight w:val="none"/>
        </w:rPr>
        <w:t xml:space="preserve">：                                                                                         </w:t>
      </w:r>
    </w:p>
    <w:p w14:paraId="46828778">
      <w:pPr>
        <w:spacing w:line="320" w:lineRule="exact"/>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填报时间：     年     月      日</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3303"/>
        <w:gridCol w:w="3919"/>
        <w:gridCol w:w="3068"/>
        <w:gridCol w:w="2306"/>
      </w:tblGrid>
      <w:tr w14:paraId="2822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2364" w:type="dxa"/>
          </w:tcPr>
          <w:p w14:paraId="35068C2B">
            <w:pPr>
              <w:spacing w:line="320" w:lineRule="exact"/>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评价标准</w:t>
            </w:r>
          </w:p>
        </w:tc>
        <w:tc>
          <w:tcPr>
            <w:tcW w:w="3303" w:type="dxa"/>
          </w:tcPr>
          <w:p w14:paraId="6E2FA90B">
            <w:pPr>
              <w:spacing w:line="320" w:lineRule="exact"/>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评价档次</w:t>
            </w:r>
          </w:p>
        </w:tc>
        <w:tc>
          <w:tcPr>
            <w:tcW w:w="3919" w:type="dxa"/>
          </w:tcPr>
          <w:p w14:paraId="24BD60AF">
            <w:pPr>
              <w:spacing w:line="320" w:lineRule="exact"/>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各档次分值（单位：分）</w:t>
            </w:r>
          </w:p>
        </w:tc>
        <w:tc>
          <w:tcPr>
            <w:tcW w:w="3068" w:type="dxa"/>
          </w:tcPr>
          <w:p w14:paraId="0976C8D3">
            <w:pPr>
              <w:spacing w:line="320" w:lineRule="exact"/>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评价分数（单位：分）</w:t>
            </w:r>
          </w:p>
        </w:tc>
        <w:tc>
          <w:tcPr>
            <w:tcW w:w="2306" w:type="dxa"/>
          </w:tcPr>
          <w:p w14:paraId="0E61A398">
            <w:pPr>
              <w:spacing w:line="320" w:lineRule="exact"/>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备  注</w:t>
            </w:r>
          </w:p>
        </w:tc>
      </w:tr>
      <w:tr w14:paraId="6DDE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364" w:type="dxa"/>
            <w:vMerge w:val="restart"/>
          </w:tcPr>
          <w:p w14:paraId="1E3B0617">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合法合规性</w:t>
            </w:r>
          </w:p>
          <w:p w14:paraId="4B9373A9">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（占比30%）</w:t>
            </w:r>
          </w:p>
        </w:tc>
        <w:tc>
          <w:tcPr>
            <w:tcW w:w="3303" w:type="dxa"/>
          </w:tcPr>
          <w:p w14:paraId="5C1C7511">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合法合规</w:t>
            </w:r>
          </w:p>
        </w:tc>
        <w:tc>
          <w:tcPr>
            <w:tcW w:w="3919" w:type="dxa"/>
          </w:tcPr>
          <w:p w14:paraId="3128AA74">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21-30</w:t>
            </w:r>
          </w:p>
        </w:tc>
        <w:tc>
          <w:tcPr>
            <w:tcW w:w="3068" w:type="dxa"/>
          </w:tcPr>
          <w:p w14:paraId="732448D7">
            <w:pPr>
              <w:spacing w:line="320" w:lineRule="exact"/>
              <w:jc w:val="center"/>
              <w:rPr>
                <w:rFonts w:ascii="宋体" w:hAnsi="宋体" w:eastAsia="宋体" w:cs="Times New Roman"/>
                <w:color w:val="auto"/>
                <w:kern w:val="0"/>
                <w:szCs w:val="21"/>
                <w:highlight w:val="none"/>
              </w:rPr>
            </w:pPr>
          </w:p>
        </w:tc>
        <w:tc>
          <w:tcPr>
            <w:tcW w:w="2306" w:type="dxa"/>
          </w:tcPr>
          <w:p w14:paraId="7E348558">
            <w:pPr>
              <w:spacing w:line="320" w:lineRule="exact"/>
              <w:jc w:val="center"/>
              <w:rPr>
                <w:rFonts w:ascii="宋体" w:hAnsi="宋体" w:eastAsia="宋体" w:cs="Times New Roman"/>
                <w:color w:val="auto"/>
                <w:kern w:val="0"/>
                <w:szCs w:val="21"/>
                <w:highlight w:val="none"/>
              </w:rPr>
            </w:pPr>
          </w:p>
        </w:tc>
      </w:tr>
      <w:tr w14:paraId="491F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364" w:type="dxa"/>
            <w:vMerge w:val="continue"/>
          </w:tcPr>
          <w:p w14:paraId="335C7701">
            <w:pPr>
              <w:spacing w:line="320" w:lineRule="exact"/>
              <w:jc w:val="center"/>
              <w:rPr>
                <w:rFonts w:ascii="宋体" w:hAnsi="宋体" w:eastAsia="宋体" w:cs="Times New Roman"/>
                <w:color w:val="auto"/>
                <w:kern w:val="0"/>
                <w:szCs w:val="21"/>
                <w:highlight w:val="none"/>
              </w:rPr>
            </w:pPr>
          </w:p>
        </w:tc>
        <w:tc>
          <w:tcPr>
            <w:tcW w:w="3303" w:type="dxa"/>
          </w:tcPr>
          <w:p w14:paraId="26269206">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基本合法合规</w:t>
            </w:r>
          </w:p>
        </w:tc>
        <w:tc>
          <w:tcPr>
            <w:tcW w:w="3919" w:type="dxa"/>
          </w:tcPr>
          <w:p w14:paraId="3B9A6C7C">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1-20</w:t>
            </w:r>
          </w:p>
        </w:tc>
        <w:tc>
          <w:tcPr>
            <w:tcW w:w="3068" w:type="dxa"/>
          </w:tcPr>
          <w:p w14:paraId="3D048B13">
            <w:pPr>
              <w:spacing w:line="320" w:lineRule="exact"/>
              <w:jc w:val="center"/>
              <w:rPr>
                <w:rFonts w:ascii="宋体" w:hAnsi="宋体" w:eastAsia="宋体" w:cs="Times New Roman"/>
                <w:color w:val="auto"/>
                <w:kern w:val="0"/>
                <w:szCs w:val="21"/>
                <w:highlight w:val="none"/>
              </w:rPr>
            </w:pPr>
          </w:p>
        </w:tc>
        <w:tc>
          <w:tcPr>
            <w:tcW w:w="2306" w:type="dxa"/>
          </w:tcPr>
          <w:p w14:paraId="7422450F">
            <w:pPr>
              <w:spacing w:line="320" w:lineRule="exact"/>
              <w:jc w:val="center"/>
              <w:rPr>
                <w:rFonts w:ascii="宋体" w:hAnsi="宋体" w:eastAsia="宋体" w:cs="Times New Roman"/>
                <w:color w:val="auto"/>
                <w:kern w:val="0"/>
                <w:szCs w:val="21"/>
                <w:highlight w:val="none"/>
              </w:rPr>
            </w:pPr>
          </w:p>
        </w:tc>
      </w:tr>
      <w:tr w14:paraId="0A2B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364" w:type="dxa"/>
            <w:vMerge w:val="continue"/>
          </w:tcPr>
          <w:p w14:paraId="0B4819A3">
            <w:pPr>
              <w:spacing w:line="320" w:lineRule="exact"/>
              <w:jc w:val="center"/>
              <w:rPr>
                <w:rFonts w:ascii="宋体" w:hAnsi="宋体" w:eastAsia="宋体" w:cs="Times New Roman"/>
                <w:color w:val="auto"/>
                <w:kern w:val="0"/>
                <w:szCs w:val="21"/>
                <w:highlight w:val="none"/>
              </w:rPr>
            </w:pPr>
          </w:p>
        </w:tc>
        <w:tc>
          <w:tcPr>
            <w:tcW w:w="3303" w:type="dxa"/>
          </w:tcPr>
          <w:p w14:paraId="023FDA9E">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不合法合规</w:t>
            </w:r>
          </w:p>
        </w:tc>
        <w:tc>
          <w:tcPr>
            <w:tcW w:w="3919" w:type="dxa"/>
          </w:tcPr>
          <w:p w14:paraId="1283FA9C">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w:t>
            </w:r>
          </w:p>
        </w:tc>
        <w:tc>
          <w:tcPr>
            <w:tcW w:w="3068" w:type="dxa"/>
          </w:tcPr>
          <w:p w14:paraId="2CC1FF77">
            <w:pPr>
              <w:spacing w:line="320" w:lineRule="exact"/>
              <w:jc w:val="center"/>
              <w:rPr>
                <w:rFonts w:ascii="宋体" w:hAnsi="宋体" w:eastAsia="宋体" w:cs="Times New Roman"/>
                <w:color w:val="auto"/>
                <w:kern w:val="0"/>
                <w:szCs w:val="21"/>
                <w:highlight w:val="none"/>
              </w:rPr>
            </w:pPr>
          </w:p>
        </w:tc>
        <w:tc>
          <w:tcPr>
            <w:tcW w:w="2306" w:type="dxa"/>
          </w:tcPr>
          <w:p w14:paraId="5D414645">
            <w:pPr>
              <w:spacing w:line="320" w:lineRule="exact"/>
              <w:jc w:val="center"/>
              <w:rPr>
                <w:rFonts w:ascii="宋体" w:hAnsi="宋体" w:eastAsia="宋体" w:cs="Times New Roman"/>
                <w:color w:val="auto"/>
                <w:kern w:val="0"/>
                <w:szCs w:val="21"/>
                <w:highlight w:val="none"/>
              </w:rPr>
            </w:pPr>
          </w:p>
        </w:tc>
      </w:tr>
      <w:tr w14:paraId="7CE2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364" w:type="dxa"/>
            <w:vMerge w:val="restart"/>
          </w:tcPr>
          <w:p w14:paraId="4B865594">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服务成果质量</w:t>
            </w:r>
          </w:p>
          <w:p w14:paraId="3BE6D219">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（占比30%）</w:t>
            </w:r>
          </w:p>
        </w:tc>
        <w:tc>
          <w:tcPr>
            <w:tcW w:w="3303" w:type="dxa"/>
          </w:tcPr>
          <w:p w14:paraId="083D35B8">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优良</w:t>
            </w:r>
          </w:p>
        </w:tc>
        <w:tc>
          <w:tcPr>
            <w:tcW w:w="3919" w:type="dxa"/>
          </w:tcPr>
          <w:p w14:paraId="4F55786D">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21-30</w:t>
            </w:r>
          </w:p>
        </w:tc>
        <w:tc>
          <w:tcPr>
            <w:tcW w:w="3068" w:type="dxa"/>
          </w:tcPr>
          <w:p w14:paraId="299D4308">
            <w:pPr>
              <w:spacing w:line="320" w:lineRule="exact"/>
              <w:jc w:val="center"/>
              <w:rPr>
                <w:rFonts w:ascii="宋体" w:hAnsi="宋体" w:eastAsia="宋体" w:cs="Times New Roman"/>
                <w:color w:val="auto"/>
                <w:kern w:val="0"/>
                <w:szCs w:val="21"/>
                <w:highlight w:val="none"/>
              </w:rPr>
            </w:pPr>
          </w:p>
        </w:tc>
        <w:tc>
          <w:tcPr>
            <w:tcW w:w="2306" w:type="dxa"/>
          </w:tcPr>
          <w:p w14:paraId="4085C44A">
            <w:pPr>
              <w:spacing w:line="320" w:lineRule="exact"/>
              <w:jc w:val="center"/>
              <w:rPr>
                <w:rFonts w:ascii="宋体" w:hAnsi="宋体" w:eastAsia="宋体" w:cs="Times New Roman"/>
                <w:color w:val="auto"/>
                <w:kern w:val="0"/>
                <w:szCs w:val="21"/>
                <w:highlight w:val="none"/>
              </w:rPr>
            </w:pPr>
          </w:p>
        </w:tc>
      </w:tr>
      <w:tr w14:paraId="0F91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364" w:type="dxa"/>
            <w:vMerge w:val="continue"/>
          </w:tcPr>
          <w:p w14:paraId="453F84CF">
            <w:pPr>
              <w:spacing w:line="320" w:lineRule="exact"/>
              <w:jc w:val="center"/>
              <w:rPr>
                <w:rFonts w:ascii="宋体" w:hAnsi="宋体" w:eastAsia="宋体" w:cs="Times New Roman"/>
                <w:color w:val="auto"/>
                <w:kern w:val="0"/>
                <w:szCs w:val="21"/>
                <w:highlight w:val="none"/>
              </w:rPr>
            </w:pPr>
          </w:p>
        </w:tc>
        <w:tc>
          <w:tcPr>
            <w:tcW w:w="3303" w:type="dxa"/>
          </w:tcPr>
          <w:p w14:paraId="44969261">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合格</w:t>
            </w:r>
          </w:p>
        </w:tc>
        <w:tc>
          <w:tcPr>
            <w:tcW w:w="3919" w:type="dxa"/>
          </w:tcPr>
          <w:p w14:paraId="3FC3B449">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1-20</w:t>
            </w:r>
          </w:p>
        </w:tc>
        <w:tc>
          <w:tcPr>
            <w:tcW w:w="3068" w:type="dxa"/>
          </w:tcPr>
          <w:p w14:paraId="508EAAEB">
            <w:pPr>
              <w:spacing w:line="320" w:lineRule="exact"/>
              <w:jc w:val="center"/>
              <w:rPr>
                <w:rFonts w:ascii="宋体" w:hAnsi="宋体" w:eastAsia="宋体" w:cs="Times New Roman"/>
                <w:color w:val="auto"/>
                <w:kern w:val="0"/>
                <w:szCs w:val="21"/>
                <w:highlight w:val="none"/>
              </w:rPr>
            </w:pPr>
          </w:p>
        </w:tc>
        <w:tc>
          <w:tcPr>
            <w:tcW w:w="2306" w:type="dxa"/>
          </w:tcPr>
          <w:p w14:paraId="4B4D8833">
            <w:pPr>
              <w:spacing w:line="320" w:lineRule="exact"/>
              <w:jc w:val="center"/>
              <w:rPr>
                <w:rFonts w:ascii="宋体" w:hAnsi="宋体" w:eastAsia="宋体" w:cs="Times New Roman"/>
                <w:color w:val="auto"/>
                <w:kern w:val="0"/>
                <w:szCs w:val="21"/>
                <w:highlight w:val="none"/>
              </w:rPr>
            </w:pPr>
          </w:p>
        </w:tc>
      </w:tr>
      <w:tr w14:paraId="0F52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364" w:type="dxa"/>
            <w:vMerge w:val="continue"/>
          </w:tcPr>
          <w:p w14:paraId="274DDFA6">
            <w:pPr>
              <w:spacing w:line="320" w:lineRule="exact"/>
              <w:jc w:val="center"/>
              <w:rPr>
                <w:rFonts w:ascii="宋体" w:hAnsi="宋体" w:eastAsia="宋体" w:cs="Times New Roman"/>
                <w:color w:val="auto"/>
                <w:kern w:val="0"/>
                <w:szCs w:val="21"/>
                <w:highlight w:val="none"/>
              </w:rPr>
            </w:pPr>
          </w:p>
        </w:tc>
        <w:tc>
          <w:tcPr>
            <w:tcW w:w="3303" w:type="dxa"/>
          </w:tcPr>
          <w:p w14:paraId="672C65B4">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差</w:t>
            </w:r>
          </w:p>
        </w:tc>
        <w:tc>
          <w:tcPr>
            <w:tcW w:w="3919" w:type="dxa"/>
          </w:tcPr>
          <w:p w14:paraId="7888C3E4">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w:t>
            </w:r>
          </w:p>
        </w:tc>
        <w:tc>
          <w:tcPr>
            <w:tcW w:w="3068" w:type="dxa"/>
          </w:tcPr>
          <w:p w14:paraId="658A8D7C">
            <w:pPr>
              <w:spacing w:line="320" w:lineRule="exact"/>
              <w:jc w:val="center"/>
              <w:rPr>
                <w:rFonts w:ascii="宋体" w:hAnsi="宋体" w:eastAsia="宋体" w:cs="Times New Roman"/>
                <w:color w:val="auto"/>
                <w:kern w:val="0"/>
                <w:szCs w:val="21"/>
                <w:highlight w:val="none"/>
              </w:rPr>
            </w:pPr>
          </w:p>
        </w:tc>
        <w:tc>
          <w:tcPr>
            <w:tcW w:w="2306" w:type="dxa"/>
          </w:tcPr>
          <w:p w14:paraId="533E14F1">
            <w:pPr>
              <w:spacing w:line="320" w:lineRule="exact"/>
              <w:jc w:val="center"/>
              <w:rPr>
                <w:rFonts w:ascii="宋体" w:hAnsi="宋体" w:eastAsia="宋体" w:cs="Times New Roman"/>
                <w:color w:val="auto"/>
                <w:kern w:val="0"/>
                <w:szCs w:val="21"/>
                <w:highlight w:val="none"/>
              </w:rPr>
            </w:pPr>
          </w:p>
        </w:tc>
      </w:tr>
      <w:tr w14:paraId="1F63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364" w:type="dxa"/>
            <w:vMerge w:val="restart"/>
          </w:tcPr>
          <w:p w14:paraId="34007733">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完成时限</w:t>
            </w:r>
          </w:p>
          <w:p w14:paraId="4B3BA3E6">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（占比20%）</w:t>
            </w:r>
          </w:p>
        </w:tc>
        <w:tc>
          <w:tcPr>
            <w:tcW w:w="3303" w:type="dxa"/>
          </w:tcPr>
          <w:p w14:paraId="01BE7221">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提前完成</w:t>
            </w:r>
          </w:p>
        </w:tc>
        <w:tc>
          <w:tcPr>
            <w:tcW w:w="3919" w:type="dxa"/>
          </w:tcPr>
          <w:p w14:paraId="0CB34DF5">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16-20</w:t>
            </w:r>
          </w:p>
        </w:tc>
        <w:tc>
          <w:tcPr>
            <w:tcW w:w="3068" w:type="dxa"/>
          </w:tcPr>
          <w:p w14:paraId="132CE5B9">
            <w:pPr>
              <w:spacing w:line="320" w:lineRule="exact"/>
              <w:jc w:val="center"/>
              <w:rPr>
                <w:rFonts w:ascii="宋体" w:hAnsi="宋体" w:eastAsia="宋体" w:cs="Times New Roman"/>
                <w:color w:val="auto"/>
                <w:kern w:val="0"/>
                <w:szCs w:val="21"/>
                <w:highlight w:val="none"/>
              </w:rPr>
            </w:pPr>
          </w:p>
        </w:tc>
        <w:tc>
          <w:tcPr>
            <w:tcW w:w="2306" w:type="dxa"/>
          </w:tcPr>
          <w:p w14:paraId="7BD4885C">
            <w:pPr>
              <w:spacing w:line="320" w:lineRule="exact"/>
              <w:jc w:val="center"/>
              <w:rPr>
                <w:rFonts w:ascii="宋体" w:hAnsi="宋体" w:eastAsia="宋体" w:cs="Times New Roman"/>
                <w:color w:val="auto"/>
                <w:kern w:val="0"/>
                <w:szCs w:val="21"/>
                <w:highlight w:val="none"/>
              </w:rPr>
            </w:pPr>
          </w:p>
        </w:tc>
      </w:tr>
      <w:tr w14:paraId="5882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364" w:type="dxa"/>
            <w:vMerge w:val="continue"/>
          </w:tcPr>
          <w:p w14:paraId="779968AE">
            <w:pPr>
              <w:spacing w:line="320" w:lineRule="exact"/>
              <w:jc w:val="center"/>
              <w:rPr>
                <w:rFonts w:ascii="宋体" w:hAnsi="宋体" w:eastAsia="宋体" w:cs="Times New Roman"/>
                <w:color w:val="auto"/>
                <w:kern w:val="0"/>
                <w:szCs w:val="21"/>
                <w:highlight w:val="none"/>
              </w:rPr>
            </w:pPr>
          </w:p>
        </w:tc>
        <w:tc>
          <w:tcPr>
            <w:tcW w:w="3303" w:type="dxa"/>
          </w:tcPr>
          <w:p w14:paraId="7E2A7996">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按时完成</w:t>
            </w:r>
          </w:p>
        </w:tc>
        <w:tc>
          <w:tcPr>
            <w:tcW w:w="3919" w:type="dxa"/>
          </w:tcPr>
          <w:p w14:paraId="3D9F8B71">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15</w:t>
            </w:r>
          </w:p>
        </w:tc>
        <w:tc>
          <w:tcPr>
            <w:tcW w:w="3068" w:type="dxa"/>
          </w:tcPr>
          <w:p w14:paraId="56F72CFE">
            <w:pPr>
              <w:spacing w:line="320" w:lineRule="exact"/>
              <w:jc w:val="center"/>
              <w:rPr>
                <w:rFonts w:ascii="宋体" w:hAnsi="宋体" w:eastAsia="宋体" w:cs="Times New Roman"/>
                <w:color w:val="auto"/>
                <w:kern w:val="0"/>
                <w:szCs w:val="21"/>
                <w:highlight w:val="none"/>
              </w:rPr>
            </w:pPr>
          </w:p>
        </w:tc>
        <w:tc>
          <w:tcPr>
            <w:tcW w:w="2306" w:type="dxa"/>
          </w:tcPr>
          <w:p w14:paraId="1EFDBB8C">
            <w:pPr>
              <w:spacing w:line="320" w:lineRule="exact"/>
              <w:jc w:val="center"/>
              <w:rPr>
                <w:rFonts w:ascii="宋体" w:hAnsi="宋体" w:eastAsia="宋体" w:cs="Times New Roman"/>
                <w:color w:val="auto"/>
                <w:kern w:val="0"/>
                <w:szCs w:val="21"/>
                <w:highlight w:val="none"/>
              </w:rPr>
            </w:pPr>
          </w:p>
        </w:tc>
      </w:tr>
      <w:tr w14:paraId="4FA1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364" w:type="dxa"/>
            <w:vMerge w:val="continue"/>
          </w:tcPr>
          <w:p w14:paraId="783A235D">
            <w:pPr>
              <w:spacing w:line="320" w:lineRule="exact"/>
              <w:jc w:val="center"/>
              <w:rPr>
                <w:rFonts w:ascii="宋体" w:hAnsi="宋体" w:eastAsia="宋体" w:cs="Times New Roman"/>
                <w:color w:val="auto"/>
                <w:kern w:val="0"/>
                <w:szCs w:val="21"/>
                <w:highlight w:val="none"/>
              </w:rPr>
            </w:pPr>
          </w:p>
        </w:tc>
        <w:tc>
          <w:tcPr>
            <w:tcW w:w="3303" w:type="dxa"/>
          </w:tcPr>
          <w:p w14:paraId="6A398250">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未按时完成</w:t>
            </w:r>
          </w:p>
        </w:tc>
        <w:tc>
          <w:tcPr>
            <w:tcW w:w="3919" w:type="dxa"/>
          </w:tcPr>
          <w:p w14:paraId="27BEFE16">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w:t>
            </w:r>
          </w:p>
        </w:tc>
        <w:tc>
          <w:tcPr>
            <w:tcW w:w="3068" w:type="dxa"/>
          </w:tcPr>
          <w:p w14:paraId="3B30C0CA">
            <w:pPr>
              <w:spacing w:line="320" w:lineRule="exact"/>
              <w:jc w:val="center"/>
              <w:rPr>
                <w:rFonts w:ascii="宋体" w:hAnsi="宋体" w:eastAsia="宋体" w:cs="Times New Roman"/>
                <w:color w:val="auto"/>
                <w:kern w:val="0"/>
                <w:szCs w:val="21"/>
                <w:highlight w:val="none"/>
              </w:rPr>
            </w:pPr>
          </w:p>
        </w:tc>
        <w:tc>
          <w:tcPr>
            <w:tcW w:w="2306" w:type="dxa"/>
          </w:tcPr>
          <w:p w14:paraId="05B456C9">
            <w:pPr>
              <w:spacing w:line="320" w:lineRule="exact"/>
              <w:jc w:val="center"/>
              <w:rPr>
                <w:rFonts w:ascii="宋体" w:hAnsi="宋体" w:eastAsia="宋体" w:cs="Times New Roman"/>
                <w:color w:val="auto"/>
                <w:kern w:val="0"/>
                <w:szCs w:val="21"/>
                <w:highlight w:val="none"/>
              </w:rPr>
            </w:pPr>
          </w:p>
        </w:tc>
      </w:tr>
      <w:tr w14:paraId="1417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364" w:type="dxa"/>
            <w:vMerge w:val="restart"/>
          </w:tcPr>
          <w:p w14:paraId="1E67AA70">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服务态度</w:t>
            </w:r>
          </w:p>
          <w:p w14:paraId="2D52B2B7">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（占比10%）</w:t>
            </w:r>
          </w:p>
        </w:tc>
        <w:tc>
          <w:tcPr>
            <w:tcW w:w="3303" w:type="dxa"/>
          </w:tcPr>
          <w:p w14:paraId="54B5E37E">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良好</w:t>
            </w:r>
          </w:p>
        </w:tc>
        <w:tc>
          <w:tcPr>
            <w:tcW w:w="3919" w:type="dxa"/>
          </w:tcPr>
          <w:p w14:paraId="1DFE0CAF">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6-10</w:t>
            </w:r>
          </w:p>
        </w:tc>
        <w:tc>
          <w:tcPr>
            <w:tcW w:w="3068" w:type="dxa"/>
          </w:tcPr>
          <w:p w14:paraId="3AFA7A88">
            <w:pPr>
              <w:spacing w:line="320" w:lineRule="exact"/>
              <w:jc w:val="center"/>
              <w:rPr>
                <w:rFonts w:ascii="宋体" w:hAnsi="宋体" w:eastAsia="宋体" w:cs="Times New Roman"/>
                <w:color w:val="auto"/>
                <w:kern w:val="0"/>
                <w:szCs w:val="21"/>
                <w:highlight w:val="none"/>
              </w:rPr>
            </w:pPr>
          </w:p>
        </w:tc>
        <w:tc>
          <w:tcPr>
            <w:tcW w:w="2306" w:type="dxa"/>
          </w:tcPr>
          <w:p w14:paraId="4B0C34B2">
            <w:pPr>
              <w:spacing w:line="320" w:lineRule="exact"/>
              <w:jc w:val="center"/>
              <w:rPr>
                <w:rFonts w:ascii="宋体" w:hAnsi="宋体" w:eastAsia="宋体" w:cs="Times New Roman"/>
                <w:color w:val="auto"/>
                <w:kern w:val="0"/>
                <w:szCs w:val="21"/>
                <w:highlight w:val="none"/>
              </w:rPr>
            </w:pPr>
          </w:p>
        </w:tc>
      </w:tr>
      <w:tr w14:paraId="1200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364" w:type="dxa"/>
            <w:vMerge w:val="continue"/>
          </w:tcPr>
          <w:p w14:paraId="745B265F">
            <w:pPr>
              <w:spacing w:line="320" w:lineRule="exact"/>
              <w:jc w:val="center"/>
              <w:rPr>
                <w:rFonts w:ascii="宋体" w:hAnsi="宋体" w:eastAsia="宋体" w:cs="Times New Roman"/>
                <w:color w:val="auto"/>
                <w:kern w:val="0"/>
                <w:szCs w:val="21"/>
                <w:highlight w:val="none"/>
              </w:rPr>
            </w:pPr>
          </w:p>
        </w:tc>
        <w:tc>
          <w:tcPr>
            <w:tcW w:w="3303" w:type="dxa"/>
          </w:tcPr>
          <w:p w14:paraId="57847663">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一般</w:t>
            </w:r>
          </w:p>
        </w:tc>
        <w:tc>
          <w:tcPr>
            <w:tcW w:w="3919" w:type="dxa"/>
          </w:tcPr>
          <w:p w14:paraId="3647D7B2">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1-5</w:t>
            </w:r>
          </w:p>
        </w:tc>
        <w:tc>
          <w:tcPr>
            <w:tcW w:w="3068" w:type="dxa"/>
          </w:tcPr>
          <w:p w14:paraId="74D9030C">
            <w:pPr>
              <w:spacing w:line="320" w:lineRule="exact"/>
              <w:jc w:val="center"/>
              <w:rPr>
                <w:rFonts w:ascii="宋体" w:hAnsi="宋体" w:eastAsia="宋体" w:cs="Times New Roman"/>
                <w:color w:val="auto"/>
                <w:kern w:val="0"/>
                <w:szCs w:val="21"/>
                <w:highlight w:val="none"/>
              </w:rPr>
            </w:pPr>
          </w:p>
        </w:tc>
        <w:tc>
          <w:tcPr>
            <w:tcW w:w="2306" w:type="dxa"/>
          </w:tcPr>
          <w:p w14:paraId="3F0A0631">
            <w:pPr>
              <w:spacing w:line="320" w:lineRule="exact"/>
              <w:jc w:val="center"/>
              <w:rPr>
                <w:rFonts w:ascii="宋体" w:hAnsi="宋体" w:eastAsia="宋体" w:cs="Times New Roman"/>
                <w:color w:val="auto"/>
                <w:kern w:val="0"/>
                <w:szCs w:val="21"/>
                <w:highlight w:val="none"/>
              </w:rPr>
            </w:pPr>
          </w:p>
        </w:tc>
      </w:tr>
      <w:tr w14:paraId="26B3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364" w:type="dxa"/>
            <w:vMerge w:val="continue"/>
          </w:tcPr>
          <w:p w14:paraId="3E4DE689">
            <w:pPr>
              <w:spacing w:line="320" w:lineRule="exact"/>
              <w:jc w:val="center"/>
              <w:rPr>
                <w:rFonts w:ascii="宋体" w:hAnsi="宋体" w:eastAsia="宋体" w:cs="Times New Roman"/>
                <w:color w:val="auto"/>
                <w:kern w:val="0"/>
                <w:szCs w:val="21"/>
                <w:highlight w:val="none"/>
              </w:rPr>
            </w:pPr>
          </w:p>
        </w:tc>
        <w:tc>
          <w:tcPr>
            <w:tcW w:w="3303" w:type="dxa"/>
          </w:tcPr>
          <w:p w14:paraId="1344562E">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差</w:t>
            </w:r>
          </w:p>
        </w:tc>
        <w:tc>
          <w:tcPr>
            <w:tcW w:w="3919" w:type="dxa"/>
          </w:tcPr>
          <w:p w14:paraId="5577A345">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w:t>
            </w:r>
          </w:p>
        </w:tc>
        <w:tc>
          <w:tcPr>
            <w:tcW w:w="3068" w:type="dxa"/>
          </w:tcPr>
          <w:p w14:paraId="4F7ABBD9">
            <w:pPr>
              <w:spacing w:line="320" w:lineRule="exact"/>
              <w:jc w:val="center"/>
              <w:rPr>
                <w:rFonts w:ascii="宋体" w:hAnsi="宋体" w:eastAsia="宋体" w:cs="Times New Roman"/>
                <w:color w:val="auto"/>
                <w:kern w:val="0"/>
                <w:szCs w:val="21"/>
                <w:highlight w:val="none"/>
              </w:rPr>
            </w:pPr>
          </w:p>
        </w:tc>
        <w:tc>
          <w:tcPr>
            <w:tcW w:w="2306" w:type="dxa"/>
          </w:tcPr>
          <w:p w14:paraId="65B915A4">
            <w:pPr>
              <w:spacing w:line="320" w:lineRule="exact"/>
              <w:jc w:val="center"/>
              <w:rPr>
                <w:rFonts w:ascii="宋体" w:hAnsi="宋体" w:eastAsia="宋体" w:cs="Times New Roman"/>
                <w:color w:val="auto"/>
                <w:kern w:val="0"/>
                <w:szCs w:val="21"/>
                <w:highlight w:val="none"/>
              </w:rPr>
            </w:pPr>
          </w:p>
        </w:tc>
      </w:tr>
      <w:tr w14:paraId="388F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364" w:type="dxa"/>
            <w:vMerge w:val="restart"/>
          </w:tcPr>
          <w:p w14:paraId="6876D2C0">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人员配备情况</w:t>
            </w:r>
          </w:p>
          <w:p w14:paraId="7ACC3A6D">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（占比10%）</w:t>
            </w:r>
          </w:p>
        </w:tc>
        <w:tc>
          <w:tcPr>
            <w:tcW w:w="3303" w:type="dxa"/>
          </w:tcPr>
          <w:p w14:paraId="2FFB3719">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人员配备齐全、业务能力强</w:t>
            </w:r>
          </w:p>
        </w:tc>
        <w:tc>
          <w:tcPr>
            <w:tcW w:w="3919" w:type="dxa"/>
          </w:tcPr>
          <w:p w14:paraId="1CEB617E">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6-10</w:t>
            </w:r>
          </w:p>
        </w:tc>
        <w:tc>
          <w:tcPr>
            <w:tcW w:w="3068" w:type="dxa"/>
          </w:tcPr>
          <w:p w14:paraId="1BBCFCA9">
            <w:pPr>
              <w:spacing w:line="320" w:lineRule="exact"/>
              <w:jc w:val="center"/>
              <w:rPr>
                <w:rFonts w:ascii="宋体" w:hAnsi="宋体" w:eastAsia="宋体" w:cs="Times New Roman"/>
                <w:color w:val="auto"/>
                <w:kern w:val="0"/>
                <w:szCs w:val="21"/>
                <w:highlight w:val="none"/>
              </w:rPr>
            </w:pPr>
          </w:p>
        </w:tc>
        <w:tc>
          <w:tcPr>
            <w:tcW w:w="2306" w:type="dxa"/>
          </w:tcPr>
          <w:p w14:paraId="7E36D753">
            <w:pPr>
              <w:spacing w:line="320" w:lineRule="exact"/>
              <w:jc w:val="center"/>
              <w:rPr>
                <w:rFonts w:ascii="宋体" w:hAnsi="宋体" w:eastAsia="宋体" w:cs="Times New Roman"/>
                <w:color w:val="auto"/>
                <w:kern w:val="0"/>
                <w:szCs w:val="21"/>
                <w:highlight w:val="none"/>
              </w:rPr>
            </w:pPr>
          </w:p>
        </w:tc>
      </w:tr>
      <w:tr w14:paraId="4CCC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364" w:type="dxa"/>
            <w:vMerge w:val="continue"/>
          </w:tcPr>
          <w:p w14:paraId="1F6D5CA5">
            <w:pPr>
              <w:spacing w:line="320" w:lineRule="exact"/>
              <w:jc w:val="center"/>
              <w:rPr>
                <w:rFonts w:ascii="宋体" w:hAnsi="宋体" w:eastAsia="宋体" w:cs="Times New Roman"/>
                <w:color w:val="auto"/>
                <w:kern w:val="0"/>
                <w:szCs w:val="21"/>
                <w:highlight w:val="none"/>
              </w:rPr>
            </w:pPr>
          </w:p>
        </w:tc>
        <w:tc>
          <w:tcPr>
            <w:tcW w:w="3303" w:type="dxa"/>
          </w:tcPr>
          <w:p w14:paraId="3EC51420">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人员配备齐全、业务能力一般</w:t>
            </w:r>
          </w:p>
        </w:tc>
        <w:tc>
          <w:tcPr>
            <w:tcW w:w="3919" w:type="dxa"/>
          </w:tcPr>
          <w:p w14:paraId="6D8BAF90">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1-5</w:t>
            </w:r>
          </w:p>
        </w:tc>
        <w:tc>
          <w:tcPr>
            <w:tcW w:w="3068" w:type="dxa"/>
          </w:tcPr>
          <w:p w14:paraId="07D5A160">
            <w:pPr>
              <w:spacing w:line="320" w:lineRule="exact"/>
              <w:jc w:val="center"/>
              <w:rPr>
                <w:rFonts w:ascii="宋体" w:hAnsi="宋体" w:eastAsia="宋体" w:cs="Times New Roman"/>
                <w:color w:val="auto"/>
                <w:kern w:val="0"/>
                <w:szCs w:val="21"/>
                <w:highlight w:val="none"/>
              </w:rPr>
            </w:pPr>
          </w:p>
        </w:tc>
        <w:tc>
          <w:tcPr>
            <w:tcW w:w="2306" w:type="dxa"/>
          </w:tcPr>
          <w:p w14:paraId="18483707">
            <w:pPr>
              <w:spacing w:line="320" w:lineRule="exact"/>
              <w:jc w:val="center"/>
              <w:rPr>
                <w:rFonts w:ascii="宋体" w:hAnsi="宋体" w:eastAsia="宋体" w:cs="Times New Roman"/>
                <w:color w:val="auto"/>
                <w:kern w:val="0"/>
                <w:szCs w:val="21"/>
                <w:highlight w:val="none"/>
              </w:rPr>
            </w:pPr>
          </w:p>
        </w:tc>
      </w:tr>
      <w:tr w14:paraId="0F11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364" w:type="dxa"/>
            <w:vMerge w:val="continue"/>
          </w:tcPr>
          <w:p w14:paraId="66FEEA30">
            <w:pPr>
              <w:spacing w:line="320" w:lineRule="exact"/>
              <w:jc w:val="center"/>
              <w:rPr>
                <w:rFonts w:ascii="宋体" w:hAnsi="宋体" w:eastAsia="宋体" w:cs="Times New Roman"/>
                <w:color w:val="auto"/>
                <w:kern w:val="0"/>
                <w:szCs w:val="21"/>
                <w:highlight w:val="none"/>
              </w:rPr>
            </w:pPr>
          </w:p>
        </w:tc>
        <w:tc>
          <w:tcPr>
            <w:tcW w:w="3303" w:type="dxa"/>
          </w:tcPr>
          <w:p w14:paraId="7DEFC2FF">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人员配备不齐全、业务能力差</w:t>
            </w:r>
          </w:p>
        </w:tc>
        <w:tc>
          <w:tcPr>
            <w:tcW w:w="3919" w:type="dxa"/>
          </w:tcPr>
          <w:p w14:paraId="6C307253">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w:t>
            </w:r>
          </w:p>
        </w:tc>
        <w:tc>
          <w:tcPr>
            <w:tcW w:w="3068" w:type="dxa"/>
          </w:tcPr>
          <w:p w14:paraId="5D2B0712">
            <w:pPr>
              <w:spacing w:line="320" w:lineRule="exact"/>
              <w:jc w:val="center"/>
              <w:rPr>
                <w:rFonts w:ascii="宋体" w:hAnsi="宋体" w:eastAsia="宋体" w:cs="Times New Roman"/>
                <w:color w:val="auto"/>
                <w:kern w:val="0"/>
                <w:szCs w:val="21"/>
                <w:highlight w:val="none"/>
              </w:rPr>
            </w:pPr>
          </w:p>
        </w:tc>
        <w:tc>
          <w:tcPr>
            <w:tcW w:w="2306" w:type="dxa"/>
          </w:tcPr>
          <w:p w14:paraId="03DEEA9E">
            <w:pPr>
              <w:spacing w:line="320" w:lineRule="exact"/>
              <w:jc w:val="center"/>
              <w:rPr>
                <w:rFonts w:ascii="宋体" w:hAnsi="宋体" w:eastAsia="宋体" w:cs="Times New Roman"/>
                <w:color w:val="auto"/>
                <w:kern w:val="0"/>
                <w:szCs w:val="21"/>
                <w:highlight w:val="none"/>
              </w:rPr>
            </w:pPr>
          </w:p>
        </w:tc>
      </w:tr>
      <w:tr w14:paraId="1172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364" w:type="dxa"/>
          </w:tcPr>
          <w:p w14:paraId="47CE2A8F">
            <w:pPr>
              <w:spacing w:line="32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评分合计</w:t>
            </w:r>
          </w:p>
        </w:tc>
        <w:tc>
          <w:tcPr>
            <w:tcW w:w="3303" w:type="dxa"/>
          </w:tcPr>
          <w:p w14:paraId="1E21E788">
            <w:pPr>
              <w:spacing w:line="320" w:lineRule="exact"/>
              <w:jc w:val="center"/>
              <w:rPr>
                <w:rFonts w:ascii="宋体" w:hAnsi="宋体" w:eastAsia="宋体" w:cs="Times New Roman"/>
                <w:color w:val="auto"/>
                <w:kern w:val="0"/>
                <w:szCs w:val="21"/>
                <w:highlight w:val="none"/>
              </w:rPr>
            </w:pPr>
          </w:p>
        </w:tc>
        <w:tc>
          <w:tcPr>
            <w:tcW w:w="3919" w:type="dxa"/>
          </w:tcPr>
          <w:p w14:paraId="5257AE25">
            <w:pPr>
              <w:spacing w:line="320" w:lineRule="exact"/>
              <w:jc w:val="center"/>
              <w:rPr>
                <w:rFonts w:ascii="宋体" w:hAnsi="宋体" w:eastAsia="宋体" w:cs="Times New Roman"/>
                <w:color w:val="auto"/>
                <w:kern w:val="0"/>
                <w:szCs w:val="21"/>
                <w:highlight w:val="none"/>
              </w:rPr>
            </w:pPr>
          </w:p>
        </w:tc>
        <w:tc>
          <w:tcPr>
            <w:tcW w:w="3068" w:type="dxa"/>
          </w:tcPr>
          <w:p w14:paraId="0FC42445">
            <w:pPr>
              <w:spacing w:line="320" w:lineRule="exact"/>
              <w:jc w:val="center"/>
              <w:rPr>
                <w:rFonts w:ascii="宋体" w:hAnsi="宋体" w:eastAsia="宋体" w:cs="Times New Roman"/>
                <w:color w:val="auto"/>
                <w:kern w:val="0"/>
                <w:szCs w:val="21"/>
                <w:highlight w:val="none"/>
              </w:rPr>
            </w:pPr>
          </w:p>
        </w:tc>
        <w:tc>
          <w:tcPr>
            <w:tcW w:w="2306" w:type="dxa"/>
          </w:tcPr>
          <w:p w14:paraId="739A1FC5">
            <w:pPr>
              <w:spacing w:line="320" w:lineRule="exact"/>
              <w:jc w:val="center"/>
              <w:rPr>
                <w:rFonts w:ascii="宋体" w:hAnsi="宋体" w:eastAsia="宋体" w:cs="Times New Roman"/>
                <w:color w:val="auto"/>
                <w:kern w:val="0"/>
                <w:szCs w:val="21"/>
                <w:highlight w:val="none"/>
              </w:rPr>
            </w:pPr>
          </w:p>
        </w:tc>
      </w:tr>
    </w:tbl>
    <w:p w14:paraId="4E0E1F78">
      <w:pPr>
        <w:spacing w:line="320" w:lineRule="exac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采购单位经办人：  </w:t>
      </w:r>
    </w:p>
    <w:p w14:paraId="36575CE8">
      <w:pPr>
        <w:spacing w:line="320" w:lineRule="exac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采购单位负责人： </w:t>
      </w:r>
    </w:p>
    <w:p w14:paraId="2781A379">
      <w:pPr>
        <w:spacing w:line="320" w:lineRule="exac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（采购单位盖章）                                                 </w:t>
      </w:r>
    </w:p>
    <w:p w14:paraId="2B079D07">
      <w:pPr>
        <w:tabs>
          <w:tab w:val="left" w:pos="2472"/>
        </w:tabs>
        <w:spacing w:line="320" w:lineRule="exact"/>
        <w:jc w:val="center"/>
        <w:outlineLvl w:val="0"/>
        <w:rPr>
          <w:rFonts w:ascii="宋体" w:hAnsi="宋体" w:eastAsia="宋体" w:cs="宋体"/>
          <w:b/>
          <w:color w:val="auto"/>
          <w:sz w:val="36"/>
          <w:szCs w:val="20"/>
          <w:highlight w:val="none"/>
        </w:rPr>
        <w:sectPr>
          <w:pgSz w:w="16838" w:h="11906" w:orient="landscape"/>
          <w:pgMar w:top="1134" w:right="1134" w:bottom="1134" w:left="1134" w:header="720" w:footer="720" w:gutter="0"/>
          <w:cols w:space="720" w:num="1"/>
          <w:docGrid w:linePitch="331" w:charSpace="0"/>
        </w:sectPr>
      </w:pPr>
      <w:r>
        <w:rPr>
          <w:rFonts w:hint="eastAsia" w:ascii="宋体" w:hAnsi="宋体" w:eastAsia="宋体" w:cs="Times New Roman"/>
          <w:color w:val="auto"/>
          <w:kern w:val="0"/>
          <w:szCs w:val="21"/>
          <w:highlight w:val="none"/>
        </w:rPr>
        <w:t>填报说明：1.本表作为</w:t>
      </w:r>
      <w:r>
        <w:rPr>
          <w:rFonts w:hint="eastAsia" w:ascii="宋体" w:hAnsi="宋体" w:eastAsia="宋体" w:cs="Times New Roman"/>
          <w:color w:val="auto"/>
          <w:kern w:val="0"/>
          <w:szCs w:val="21"/>
          <w:highlight w:val="none"/>
          <w:lang w:eastAsia="zh-CN"/>
        </w:rPr>
        <w:t>2026-2027</w:t>
      </w:r>
      <w:r>
        <w:rPr>
          <w:rFonts w:hint="eastAsia" w:ascii="宋体" w:hAnsi="宋体" w:eastAsia="宋体" w:cs="Times New Roman"/>
          <w:color w:val="auto"/>
          <w:kern w:val="0"/>
          <w:szCs w:val="21"/>
          <w:highlight w:val="none"/>
        </w:rPr>
        <w:t>年邕宁区政府投资建设项目预算审核框架协议服务单位诚信综合评价的依据，如评价分值在60分以下累计三次及以上的，需由采购人写明相关实际情况，报城区政府审批，按批复意见及框架协议约定解除合同。（综合考核评价分为：不合格、合格、良好、优秀四个等级，总评分值在0~60分（不含60分）为不合格、60~80分（不含80分）为合格、80~90分（不含90分）为良好、90~100分为优秀。）</w:t>
      </w:r>
    </w:p>
    <w:p w14:paraId="441A4189">
      <w:pPr>
        <w:tabs>
          <w:tab w:val="left" w:pos="2472"/>
        </w:tabs>
        <w:spacing w:line="460" w:lineRule="exact"/>
        <w:jc w:val="center"/>
        <w:outlineLvl w:val="0"/>
        <w:rPr>
          <w:rFonts w:ascii="宋体" w:hAnsi="宋体" w:eastAsia="宋体" w:cs="宋体"/>
          <w:b/>
          <w:color w:val="auto"/>
          <w:sz w:val="36"/>
          <w:szCs w:val="20"/>
          <w:highlight w:val="none"/>
        </w:rPr>
      </w:pPr>
    </w:p>
    <w:p w14:paraId="425AE9E7">
      <w:pPr>
        <w:tabs>
          <w:tab w:val="left" w:pos="2472"/>
        </w:tabs>
        <w:spacing w:line="460" w:lineRule="exact"/>
        <w:jc w:val="center"/>
        <w:outlineLvl w:val="0"/>
        <w:rPr>
          <w:rFonts w:ascii="宋体" w:hAnsi="宋体" w:eastAsia="宋体" w:cs="宋体"/>
          <w:b/>
          <w:color w:val="auto"/>
          <w:sz w:val="36"/>
          <w:szCs w:val="20"/>
          <w:highlight w:val="none"/>
        </w:rPr>
      </w:pPr>
    </w:p>
    <w:p w14:paraId="05189277">
      <w:pPr>
        <w:tabs>
          <w:tab w:val="left" w:pos="2472"/>
        </w:tabs>
        <w:spacing w:line="460" w:lineRule="exact"/>
        <w:jc w:val="center"/>
        <w:outlineLvl w:val="0"/>
        <w:rPr>
          <w:rFonts w:ascii="宋体" w:hAnsi="宋体" w:eastAsia="宋体" w:cs="宋体"/>
          <w:b/>
          <w:color w:val="auto"/>
          <w:sz w:val="36"/>
          <w:szCs w:val="20"/>
          <w:highlight w:val="none"/>
        </w:rPr>
      </w:pPr>
    </w:p>
    <w:p w14:paraId="6B425672">
      <w:pPr>
        <w:tabs>
          <w:tab w:val="left" w:pos="2472"/>
        </w:tabs>
        <w:spacing w:line="460" w:lineRule="exact"/>
        <w:jc w:val="center"/>
        <w:outlineLvl w:val="0"/>
        <w:rPr>
          <w:rFonts w:ascii="宋体" w:hAnsi="宋体" w:eastAsia="宋体" w:cs="宋体"/>
          <w:b/>
          <w:color w:val="auto"/>
          <w:sz w:val="36"/>
          <w:szCs w:val="20"/>
          <w:highlight w:val="none"/>
        </w:rPr>
      </w:pPr>
    </w:p>
    <w:p w14:paraId="7EB2AB2F">
      <w:pPr>
        <w:tabs>
          <w:tab w:val="left" w:pos="2472"/>
        </w:tabs>
        <w:spacing w:line="460" w:lineRule="exact"/>
        <w:jc w:val="center"/>
        <w:outlineLvl w:val="0"/>
        <w:rPr>
          <w:rFonts w:ascii="宋体" w:hAnsi="宋体" w:eastAsia="宋体" w:cs="宋体"/>
          <w:b/>
          <w:color w:val="auto"/>
          <w:sz w:val="36"/>
          <w:szCs w:val="20"/>
          <w:highlight w:val="none"/>
        </w:rPr>
      </w:pPr>
    </w:p>
    <w:p w14:paraId="7F0E1880">
      <w:pPr>
        <w:tabs>
          <w:tab w:val="left" w:pos="2472"/>
        </w:tabs>
        <w:spacing w:line="460" w:lineRule="exact"/>
        <w:jc w:val="center"/>
        <w:outlineLvl w:val="0"/>
        <w:rPr>
          <w:rFonts w:ascii="宋体" w:hAnsi="宋体" w:eastAsia="宋体" w:cs="宋体"/>
          <w:b/>
          <w:color w:val="auto"/>
          <w:sz w:val="36"/>
          <w:szCs w:val="20"/>
          <w:highlight w:val="none"/>
        </w:rPr>
      </w:pPr>
    </w:p>
    <w:p w14:paraId="2B89E5E5">
      <w:pPr>
        <w:tabs>
          <w:tab w:val="left" w:pos="2472"/>
        </w:tabs>
        <w:spacing w:line="460" w:lineRule="exact"/>
        <w:jc w:val="center"/>
        <w:outlineLvl w:val="0"/>
        <w:rPr>
          <w:rFonts w:ascii="宋体" w:hAnsi="宋体" w:eastAsia="宋体" w:cs="宋体"/>
          <w:b/>
          <w:color w:val="auto"/>
          <w:sz w:val="36"/>
          <w:szCs w:val="20"/>
          <w:highlight w:val="none"/>
        </w:rPr>
      </w:pPr>
    </w:p>
    <w:p w14:paraId="2260C5CE">
      <w:pPr>
        <w:tabs>
          <w:tab w:val="left" w:pos="2472"/>
        </w:tabs>
        <w:spacing w:line="460" w:lineRule="exact"/>
        <w:jc w:val="center"/>
        <w:outlineLvl w:val="0"/>
        <w:rPr>
          <w:rFonts w:ascii="宋体" w:hAnsi="宋体" w:eastAsia="宋体" w:cs="宋体"/>
          <w:b/>
          <w:color w:val="auto"/>
          <w:sz w:val="36"/>
          <w:szCs w:val="20"/>
          <w:highlight w:val="none"/>
        </w:rPr>
      </w:pPr>
    </w:p>
    <w:p w14:paraId="1E1CDB99">
      <w:pPr>
        <w:tabs>
          <w:tab w:val="left" w:pos="2472"/>
        </w:tabs>
        <w:spacing w:line="460" w:lineRule="exact"/>
        <w:jc w:val="center"/>
        <w:outlineLvl w:val="0"/>
        <w:rPr>
          <w:rFonts w:ascii="宋体" w:hAnsi="宋体" w:eastAsia="宋体" w:cs="宋体"/>
          <w:b/>
          <w:color w:val="auto"/>
          <w:sz w:val="36"/>
          <w:szCs w:val="20"/>
          <w:highlight w:val="none"/>
        </w:rPr>
      </w:pPr>
    </w:p>
    <w:p w14:paraId="64A5A98A">
      <w:pPr>
        <w:tabs>
          <w:tab w:val="left" w:pos="2472"/>
        </w:tabs>
        <w:spacing w:line="460" w:lineRule="exact"/>
        <w:jc w:val="center"/>
        <w:outlineLvl w:val="0"/>
        <w:rPr>
          <w:rFonts w:ascii="宋体" w:hAnsi="宋体" w:eastAsia="宋体" w:cs="宋体"/>
          <w:b/>
          <w:color w:val="auto"/>
          <w:sz w:val="36"/>
          <w:szCs w:val="20"/>
          <w:highlight w:val="none"/>
        </w:rPr>
      </w:pPr>
    </w:p>
    <w:p w14:paraId="2354ECA3">
      <w:pPr>
        <w:tabs>
          <w:tab w:val="left" w:pos="2472"/>
        </w:tabs>
        <w:spacing w:line="460" w:lineRule="exact"/>
        <w:jc w:val="center"/>
        <w:outlineLvl w:val="0"/>
        <w:rPr>
          <w:rFonts w:ascii="宋体" w:hAnsi="宋体" w:eastAsia="宋体" w:cs="宋体"/>
          <w:b/>
          <w:color w:val="auto"/>
          <w:sz w:val="36"/>
          <w:szCs w:val="20"/>
          <w:highlight w:val="none"/>
        </w:rPr>
      </w:pPr>
    </w:p>
    <w:p w14:paraId="3C7906CB">
      <w:pPr>
        <w:tabs>
          <w:tab w:val="left" w:pos="2472"/>
        </w:tabs>
        <w:spacing w:line="460" w:lineRule="exact"/>
        <w:jc w:val="center"/>
        <w:outlineLvl w:val="0"/>
        <w:rPr>
          <w:rFonts w:ascii="宋体" w:hAnsi="宋体" w:eastAsia="宋体" w:cs="宋体"/>
          <w:b/>
          <w:color w:val="auto"/>
          <w:sz w:val="36"/>
          <w:szCs w:val="20"/>
          <w:highlight w:val="none"/>
        </w:rPr>
      </w:pPr>
    </w:p>
    <w:p w14:paraId="3F394A8B">
      <w:pPr>
        <w:tabs>
          <w:tab w:val="left" w:pos="2472"/>
        </w:tabs>
        <w:spacing w:line="460" w:lineRule="exact"/>
        <w:jc w:val="center"/>
        <w:outlineLvl w:val="0"/>
        <w:rPr>
          <w:rFonts w:ascii="宋体" w:hAnsi="宋体" w:eastAsia="宋体" w:cs="宋体"/>
          <w:b/>
          <w:color w:val="auto"/>
          <w:sz w:val="36"/>
          <w:szCs w:val="20"/>
          <w:highlight w:val="none"/>
        </w:rPr>
      </w:pPr>
      <w:bookmarkStart w:id="205" w:name="_Toc146703310"/>
      <w:r>
        <w:rPr>
          <w:rFonts w:hint="eastAsia" w:ascii="宋体" w:hAnsi="宋体" w:eastAsia="宋体" w:cs="宋体"/>
          <w:b/>
          <w:color w:val="auto"/>
          <w:sz w:val="36"/>
          <w:szCs w:val="20"/>
          <w:highlight w:val="none"/>
        </w:rPr>
        <w:t>第六章 响应文件格式</w:t>
      </w:r>
      <w:bookmarkEnd w:id="193"/>
      <w:bookmarkEnd w:id="194"/>
      <w:bookmarkEnd w:id="205"/>
    </w:p>
    <w:p w14:paraId="6F860E30">
      <w:pPr>
        <w:spacing w:line="360" w:lineRule="auto"/>
        <w:rPr>
          <w:rFonts w:ascii="宋体" w:hAnsi="宋体" w:eastAsia="宋体" w:cs="宋体"/>
          <w:color w:val="auto"/>
          <w:szCs w:val="20"/>
          <w:highlight w:val="none"/>
        </w:rPr>
        <w:sectPr>
          <w:pgSz w:w="11906" w:h="16838"/>
          <w:pgMar w:top="1134" w:right="1134" w:bottom="1134" w:left="1134" w:header="720" w:footer="720" w:gutter="0"/>
          <w:cols w:space="720" w:num="1"/>
          <w:docGrid w:linePitch="331" w:charSpace="0"/>
        </w:sectPr>
      </w:pPr>
    </w:p>
    <w:p w14:paraId="01021FDF">
      <w:pPr>
        <w:ind w:firstLine="551" w:firstLineChars="196"/>
        <w:jc w:val="center"/>
        <w:outlineLvl w:val="1"/>
        <w:rPr>
          <w:rFonts w:ascii="宋体" w:hAnsi="宋体" w:eastAsia="宋体" w:cs="宋体"/>
          <w:b/>
          <w:bCs/>
          <w:color w:val="auto"/>
          <w:sz w:val="28"/>
          <w:szCs w:val="28"/>
          <w:highlight w:val="none"/>
        </w:rPr>
      </w:pPr>
      <w:bookmarkStart w:id="206" w:name="_Toc80093011"/>
      <w:bookmarkStart w:id="207" w:name="_Toc146703311"/>
      <w:bookmarkStart w:id="208" w:name="_Toc20704"/>
      <w:r>
        <w:rPr>
          <w:rFonts w:hint="eastAsia" w:ascii="宋体" w:hAnsi="宋体" w:eastAsia="宋体" w:cs="宋体"/>
          <w:b/>
          <w:bCs/>
          <w:color w:val="auto"/>
          <w:sz w:val="28"/>
          <w:szCs w:val="28"/>
          <w:highlight w:val="none"/>
        </w:rPr>
        <w:t>第一节 响应文件外层包装封面格式</w:t>
      </w:r>
      <w:bookmarkEnd w:id="206"/>
      <w:bookmarkEnd w:id="207"/>
      <w:bookmarkEnd w:id="208"/>
    </w:p>
    <w:p w14:paraId="7401F086">
      <w:pPr>
        <w:spacing w:before="120" w:beforeLines="50" w:after="120" w:afterLines="50"/>
        <w:jc w:val="center"/>
        <w:rPr>
          <w:rFonts w:ascii="宋体" w:hAnsi="宋体" w:eastAsia="宋体" w:cs="宋体"/>
          <w:color w:val="auto"/>
          <w:spacing w:val="20"/>
          <w:sz w:val="44"/>
          <w:szCs w:val="44"/>
          <w:highlight w:val="none"/>
        </w:rPr>
      </w:pPr>
    </w:p>
    <w:p w14:paraId="16B81779">
      <w:pPr>
        <w:spacing w:before="120" w:beforeLines="50" w:after="120" w:afterLines="50"/>
        <w:jc w:val="center"/>
        <w:rPr>
          <w:rFonts w:ascii="宋体" w:hAnsi="宋体" w:eastAsia="宋体" w:cs="宋体"/>
          <w:color w:val="auto"/>
          <w:spacing w:val="20"/>
          <w:sz w:val="44"/>
          <w:szCs w:val="44"/>
          <w:highlight w:val="none"/>
        </w:rPr>
      </w:pPr>
    </w:p>
    <w:p w14:paraId="0D038329">
      <w:pPr>
        <w:spacing w:before="120" w:beforeLines="50" w:after="120" w:afterLines="50"/>
        <w:jc w:val="center"/>
        <w:rPr>
          <w:rFonts w:ascii="宋体" w:hAnsi="宋体" w:eastAsia="宋体" w:cs="宋体"/>
          <w:color w:val="auto"/>
          <w:spacing w:val="20"/>
          <w:sz w:val="44"/>
          <w:szCs w:val="44"/>
          <w:highlight w:val="none"/>
        </w:rPr>
      </w:pPr>
    </w:p>
    <w:p w14:paraId="4FEC0AA6">
      <w:pPr>
        <w:spacing w:before="120" w:beforeLines="50" w:after="120" w:afterLines="50"/>
        <w:jc w:val="center"/>
        <w:rPr>
          <w:rFonts w:ascii="宋体" w:hAnsi="宋体" w:eastAsia="宋体" w:cs="宋体"/>
          <w:color w:val="auto"/>
          <w:spacing w:val="20"/>
          <w:sz w:val="44"/>
          <w:szCs w:val="44"/>
          <w:highlight w:val="none"/>
        </w:rPr>
      </w:pPr>
    </w:p>
    <w:p w14:paraId="50140882">
      <w:pPr>
        <w:spacing w:before="120" w:beforeLines="50" w:after="120" w:afterLines="50"/>
        <w:jc w:val="center"/>
        <w:rPr>
          <w:rFonts w:ascii="宋体" w:hAnsi="宋体" w:eastAsia="宋体" w:cs="宋体"/>
          <w:color w:val="auto"/>
          <w:spacing w:val="20"/>
          <w:sz w:val="44"/>
          <w:szCs w:val="44"/>
          <w:highlight w:val="none"/>
        </w:rPr>
      </w:pPr>
      <w:r>
        <w:rPr>
          <w:rFonts w:hint="eastAsia" w:ascii="宋体" w:hAnsi="宋体" w:eastAsia="宋体" w:cs="宋体"/>
          <w:color w:val="auto"/>
          <w:spacing w:val="20"/>
          <w:sz w:val="44"/>
          <w:szCs w:val="44"/>
          <w:highlight w:val="none"/>
        </w:rPr>
        <w:t>XXXXX（项目名称）</w:t>
      </w:r>
    </w:p>
    <w:p w14:paraId="330F304D">
      <w:pPr>
        <w:spacing w:before="120" w:beforeLines="50" w:after="120" w:afterLines="50"/>
        <w:jc w:val="center"/>
        <w:rPr>
          <w:rFonts w:ascii="宋体" w:hAnsi="宋体" w:eastAsia="宋体" w:cs="宋体"/>
          <w:color w:val="auto"/>
          <w:spacing w:val="40"/>
          <w:w w:val="110"/>
          <w:sz w:val="44"/>
          <w:szCs w:val="44"/>
          <w:highlight w:val="none"/>
        </w:rPr>
      </w:pPr>
      <w:r>
        <w:rPr>
          <w:rFonts w:hint="eastAsia" w:ascii="宋体" w:hAnsi="宋体" w:eastAsia="宋体" w:cs="宋体"/>
          <w:color w:val="auto"/>
          <w:spacing w:val="40"/>
          <w:w w:val="110"/>
          <w:sz w:val="44"/>
          <w:szCs w:val="44"/>
          <w:highlight w:val="none"/>
        </w:rPr>
        <w:t>响应文件</w:t>
      </w:r>
    </w:p>
    <w:p w14:paraId="1543052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（电子响应文件）</w:t>
      </w:r>
    </w:p>
    <w:tbl>
      <w:tblPr>
        <w:tblStyle w:val="32"/>
        <w:tblW w:w="0" w:type="auto"/>
        <w:jc w:val="center"/>
        <w:tblLayout w:type="fixed"/>
        <w:tblCellMar>
          <w:top w:w="0" w:type="dxa"/>
          <w:left w:w="108" w:type="dxa"/>
          <w:bottom w:w="0" w:type="dxa"/>
          <w:right w:w="108" w:type="dxa"/>
        </w:tblCellMar>
      </w:tblPr>
      <w:tblGrid>
        <w:gridCol w:w="1601"/>
        <w:gridCol w:w="6172"/>
      </w:tblGrid>
      <w:tr w14:paraId="7F1735D8">
        <w:tblPrEx>
          <w:tblCellMar>
            <w:top w:w="0" w:type="dxa"/>
            <w:left w:w="108" w:type="dxa"/>
            <w:bottom w:w="0" w:type="dxa"/>
            <w:right w:w="108" w:type="dxa"/>
          </w:tblCellMar>
        </w:tblPrEx>
        <w:trPr>
          <w:jc w:val="center"/>
        </w:trPr>
        <w:tc>
          <w:tcPr>
            <w:tcW w:w="7773" w:type="dxa"/>
            <w:gridSpan w:val="2"/>
            <w:vAlign w:val="bottom"/>
          </w:tcPr>
          <w:p w14:paraId="7A9506EF">
            <w:pPr>
              <w:jc w:val="distribute"/>
              <w:rPr>
                <w:rFonts w:ascii="宋体" w:hAnsi="宋体" w:eastAsia="宋体" w:cs="宋体"/>
                <w:color w:val="auto"/>
                <w:sz w:val="24"/>
                <w:szCs w:val="24"/>
                <w:highlight w:val="none"/>
              </w:rPr>
            </w:pPr>
          </w:p>
          <w:p w14:paraId="2ED0B38F">
            <w:pPr>
              <w:rPr>
                <w:rFonts w:ascii="宋体" w:hAnsi="宋体" w:eastAsia="宋体" w:cs="宋体"/>
                <w:color w:val="auto"/>
                <w:sz w:val="24"/>
                <w:szCs w:val="24"/>
                <w:highlight w:val="none"/>
              </w:rPr>
            </w:pPr>
          </w:p>
          <w:p w14:paraId="218AA5C6">
            <w:pPr>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 目名称：</w:t>
            </w:r>
            <w:r>
              <w:rPr>
                <w:rFonts w:hint="eastAsia" w:ascii="宋体" w:hAnsi="宋体" w:eastAsia="宋体" w:cs="宋体"/>
                <w:color w:val="auto"/>
                <w:szCs w:val="21"/>
                <w:highlight w:val="none"/>
              </w:rPr>
              <w:t>　</w:t>
            </w:r>
            <w:r>
              <w:rPr>
                <w:rFonts w:hint="eastAsia" w:ascii="宋体" w:hAnsi="宋体" w:eastAsia="宋体" w:cs="宋体"/>
                <w:color w:val="auto"/>
                <w:szCs w:val="21"/>
                <w:highlight w:val="none"/>
                <w:u w:val="single"/>
              </w:rPr>
              <w:t xml:space="preserve">                                             </w:t>
            </w:r>
          </w:p>
          <w:p w14:paraId="1E664899">
            <w:pPr>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u w:val="single"/>
              </w:rPr>
              <w:t>封闭式框架协议采购</w:t>
            </w:r>
          </w:p>
          <w:p w14:paraId="739DD283">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r>
      <w:tr w14:paraId="52283554">
        <w:tblPrEx>
          <w:tblCellMar>
            <w:top w:w="0" w:type="dxa"/>
            <w:left w:w="108" w:type="dxa"/>
            <w:bottom w:w="0" w:type="dxa"/>
            <w:right w:w="108" w:type="dxa"/>
          </w:tblCellMar>
        </w:tblPrEx>
        <w:trPr>
          <w:jc w:val="center"/>
        </w:trPr>
        <w:tc>
          <w:tcPr>
            <w:tcW w:w="1601" w:type="dxa"/>
            <w:vAlign w:val="bottom"/>
          </w:tcPr>
          <w:p w14:paraId="436474F5">
            <w:pPr>
              <w:jc w:val="distribute"/>
              <w:rPr>
                <w:rFonts w:ascii="宋体" w:hAnsi="宋体" w:eastAsia="宋体" w:cs="宋体"/>
                <w:color w:val="auto"/>
                <w:sz w:val="24"/>
                <w:szCs w:val="24"/>
                <w:highlight w:val="none"/>
              </w:rPr>
            </w:pPr>
          </w:p>
        </w:tc>
        <w:tc>
          <w:tcPr>
            <w:tcW w:w="6172" w:type="dxa"/>
            <w:tcBorders>
              <w:top w:val="single" w:color="000000" w:sz="4" w:space="0"/>
              <w:bottom w:val="single" w:color="000000" w:sz="4" w:space="0"/>
            </w:tcBorders>
            <w:vAlign w:val="bottom"/>
          </w:tcPr>
          <w:p w14:paraId="1E9F1006">
            <w:pPr>
              <w:jc w:val="left"/>
              <w:rPr>
                <w:rFonts w:ascii="宋体" w:hAnsi="宋体" w:eastAsia="宋体" w:cs="宋体"/>
                <w:color w:val="auto"/>
                <w:sz w:val="24"/>
                <w:szCs w:val="24"/>
                <w:highlight w:val="none"/>
              </w:rPr>
            </w:pPr>
          </w:p>
        </w:tc>
      </w:tr>
      <w:tr w14:paraId="063FE525">
        <w:tblPrEx>
          <w:tblCellMar>
            <w:top w:w="0" w:type="dxa"/>
            <w:left w:w="108" w:type="dxa"/>
            <w:bottom w:w="0" w:type="dxa"/>
            <w:right w:w="108" w:type="dxa"/>
          </w:tblCellMar>
        </w:tblPrEx>
        <w:trPr>
          <w:jc w:val="center"/>
        </w:trPr>
        <w:tc>
          <w:tcPr>
            <w:tcW w:w="1601" w:type="dxa"/>
            <w:vAlign w:val="bottom"/>
          </w:tcPr>
          <w:p w14:paraId="3932031F">
            <w:pPr>
              <w:jc w:val="distribut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6172" w:type="dxa"/>
            <w:tcBorders>
              <w:top w:val="single" w:color="000000" w:sz="4" w:space="0"/>
              <w:bottom w:val="single" w:color="000000" w:sz="4" w:space="0"/>
            </w:tcBorders>
            <w:vAlign w:val="bottom"/>
          </w:tcPr>
          <w:p w14:paraId="3232C9E5">
            <w:pPr>
              <w:jc w:val="left"/>
              <w:rPr>
                <w:rFonts w:ascii="宋体" w:hAnsi="宋体" w:eastAsia="宋体" w:cs="宋体"/>
                <w:color w:val="auto"/>
                <w:sz w:val="24"/>
                <w:szCs w:val="24"/>
                <w:highlight w:val="none"/>
              </w:rPr>
            </w:pPr>
          </w:p>
        </w:tc>
      </w:tr>
      <w:tr w14:paraId="615E31FA">
        <w:tblPrEx>
          <w:tblCellMar>
            <w:top w:w="0" w:type="dxa"/>
            <w:left w:w="108" w:type="dxa"/>
            <w:bottom w:w="0" w:type="dxa"/>
            <w:right w:w="108" w:type="dxa"/>
          </w:tblCellMar>
        </w:tblPrEx>
        <w:trPr>
          <w:jc w:val="center"/>
        </w:trPr>
        <w:tc>
          <w:tcPr>
            <w:tcW w:w="1601" w:type="dxa"/>
            <w:vAlign w:val="bottom"/>
          </w:tcPr>
          <w:p w14:paraId="7DCF6C49">
            <w:pPr>
              <w:jc w:val="distribut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供应商地址：</w:t>
            </w:r>
          </w:p>
        </w:tc>
        <w:tc>
          <w:tcPr>
            <w:tcW w:w="6172" w:type="dxa"/>
            <w:tcBorders>
              <w:top w:val="single" w:color="000000" w:sz="4" w:space="0"/>
              <w:bottom w:val="single" w:color="000000" w:sz="4" w:space="0"/>
            </w:tcBorders>
            <w:vAlign w:val="bottom"/>
          </w:tcPr>
          <w:p w14:paraId="0B01FFEF">
            <w:pPr>
              <w:jc w:val="left"/>
              <w:rPr>
                <w:rFonts w:ascii="宋体" w:hAnsi="宋体" w:eastAsia="宋体" w:cs="宋体"/>
                <w:color w:val="auto"/>
                <w:sz w:val="24"/>
                <w:szCs w:val="24"/>
                <w:highlight w:val="none"/>
              </w:rPr>
            </w:pPr>
          </w:p>
        </w:tc>
      </w:tr>
    </w:tbl>
    <w:p w14:paraId="63ABA949">
      <w:pPr>
        <w:ind w:firstLine="4200" w:firstLineChars="1750"/>
        <w:rPr>
          <w:rFonts w:ascii="宋体" w:hAnsi="宋体" w:eastAsia="宋体" w:cs="宋体"/>
          <w:color w:val="auto"/>
          <w:sz w:val="24"/>
          <w:szCs w:val="24"/>
          <w:highlight w:val="none"/>
        </w:rPr>
      </w:pPr>
    </w:p>
    <w:p w14:paraId="488727F1">
      <w:pPr>
        <w:ind w:firstLine="4200" w:firstLineChars="1750"/>
        <w:rPr>
          <w:rFonts w:ascii="宋体" w:hAnsi="宋体" w:eastAsia="宋体" w:cs="宋体"/>
          <w:color w:val="auto"/>
          <w:sz w:val="24"/>
          <w:szCs w:val="24"/>
          <w:highlight w:val="none"/>
        </w:rPr>
      </w:pPr>
    </w:p>
    <w:p w14:paraId="64C48524">
      <w:pPr>
        <w:ind w:firstLine="4200" w:firstLineChars="1750"/>
        <w:rPr>
          <w:rFonts w:ascii="宋体" w:hAnsi="宋体" w:eastAsia="宋体" w:cs="宋体"/>
          <w:color w:val="auto"/>
          <w:sz w:val="24"/>
          <w:szCs w:val="24"/>
          <w:highlight w:val="none"/>
        </w:rPr>
      </w:pPr>
    </w:p>
    <w:p w14:paraId="3FB85C3A">
      <w:pPr>
        <w:ind w:firstLine="5880" w:firstLineChars="24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响应截止时间前不得解密</w:t>
      </w:r>
    </w:p>
    <w:p w14:paraId="2904439D">
      <w:pPr>
        <w:ind w:firstLine="6480" w:firstLineChars="2700"/>
        <w:rPr>
          <w:rFonts w:ascii="宋体" w:hAnsi="宋体" w:eastAsia="宋体" w:cs="宋体"/>
          <w:color w:val="auto"/>
          <w:sz w:val="24"/>
          <w:szCs w:val="24"/>
          <w:highlight w:val="none"/>
        </w:rPr>
        <w:sectPr>
          <w:headerReference r:id="rId7" w:type="default"/>
          <w:footerReference r:id="rId8" w:type="default"/>
          <w:pgSz w:w="11906" w:h="16838"/>
          <w:pgMar w:top="1134" w:right="1134" w:bottom="1134" w:left="1134" w:header="720" w:footer="720" w:gutter="0"/>
          <w:cols w:space="720" w:num="1"/>
          <w:docGrid w:linePitch="285" w:charSpace="0"/>
        </w:sectPr>
      </w:pPr>
      <w:r>
        <w:rPr>
          <w:rFonts w:hint="eastAsia" w:ascii="宋体" w:hAnsi="宋体" w:eastAsia="宋体" w:cs="宋体"/>
          <w:color w:val="auto"/>
          <w:sz w:val="24"/>
          <w:szCs w:val="24"/>
          <w:highlight w:val="none"/>
        </w:rPr>
        <w:t>年   月   日</w:t>
      </w:r>
    </w:p>
    <w:p w14:paraId="19757560">
      <w:pPr>
        <w:jc w:val="center"/>
        <w:outlineLvl w:val="1"/>
        <w:rPr>
          <w:rFonts w:ascii="宋体" w:hAnsi="宋体" w:eastAsia="宋体" w:cs="宋体"/>
          <w:b/>
          <w:bCs/>
          <w:color w:val="auto"/>
          <w:sz w:val="28"/>
          <w:szCs w:val="28"/>
          <w:highlight w:val="none"/>
        </w:rPr>
      </w:pPr>
      <w:bookmarkStart w:id="209" w:name="_Toc80093012"/>
      <w:bookmarkStart w:id="210" w:name="_Toc10589"/>
      <w:bookmarkStart w:id="211" w:name="_Toc146703312"/>
      <w:r>
        <w:rPr>
          <w:rFonts w:hint="eastAsia" w:ascii="宋体" w:hAnsi="宋体" w:eastAsia="宋体" w:cs="宋体"/>
          <w:b/>
          <w:bCs/>
          <w:color w:val="auto"/>
          <w:sz w:val="28"/>
          <w:szCs w:val="28"/>
          <w:highlight w:val="none"/>
        </w:rPr>
        <w:t>第二节 资格证明文件格式</w:t>
      </w:r>
      <w:bookmarkEnd w:id="209"/>
      <w:bookmarkEnd w:id="210"/>
      <w:bookmarkEnd w:id="211"/>
    </w:p>
    <w:p w14:paraId="6DECCA62">
      <w:pPr>
        <w:spacing w:line="360" w:lineRule="auto"/>
        <w:ind w:firstLine="420"/>
        <w:rPr>
          <w:rFonts w:ascii="宋体" w:hAnsi="宋体" w:eastAsia="宋体" w:cs="宋体"/>
          <w:color w:val="auto"/>
          <w:sz w:val="30"/>
          <w:szCs w:val="20"/>
          <w:highlight w:val="none"/>
        </w:rPr>
      </w:pPr>
    </w:p>
    <w:p w14:paraId="65DED5D9">
      <w:pPr>
        <w:snapToGrid w:val="0"/>
        <w:spacing w:before="120" w:beforeLines="50" w:after="50"/>
        <w:jc w:val="center"/>
        <w:rPr>
          <w:rFonts w:ascii="宋体" w:hAnsi="宋体" w:eastAsia="宋体" w:cs="宋体"/>
          <w:bCs/>
          <w:color w:val="auto"/>
          <w:sz w:val="32"/>
          <w:szCs w:val="20"/>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32"/>
          <w:szCs w:val="32"/>
          <w:highlight w:val="none"/>
        </w:rPr>
        <w:t>电子响应文件</w:t>
      </w:r>
    </w:p>
    <w:p w14:paraId="5C33A84C">
      <w:pPr>
        <w:snapToGrid w:val="0"/>
        <w:spacing w:before="120" w:beforeLines="50" w:after="50"/>
        <w:rPr>
          <w:rFonts w:ascii="宋体" w:hAnsi="宋体" w:eastAsia="宋体" w:cs="宋体"/>
          <w:color w:val="auto"/>
          <w:sz w:val="24"/>
          <w:szCs w:val="20"/>
          <w:highlight w:val="none"/>
        </w:rPr>
      </w:pPr>
    </w:p>
    <w:p w14:paraId="5EE940CC">
      <w:pPr>
        <w:snapToGrid w:val="0"/>
        <w:spacing w:before="120" w:beforeLines="50" w:after="50"/>
        <w:jc w:val="center"/>
        <w:rPr>
          <w:rFonts w:ascii="宋体" w:hAnsi="宋体" w:eastAsia="宋体" w:cs="宋体"/>
          <w:b/>
          <w:color w:val="auto"/>
          <w:sz w:val="24"/>
          <w:szCs w:val="20"/>
          <w:highlight w:val="none"/>
        </w:rPr>
      </w:pPr>
      <w:r>
        <w:rPr>
          <w:rFonts w:hint="eastAsia" w:ascii="宋体" w:hAnsi="宋体" w:eastAsia="宋体" w:cs="宋体"/>
          <w:b/>
          <w:color w:val="auto"/>
          <w:sz w:val="32"/>
          <w:szCs w:val="32"/>
          <w:highlight w:val="none"/>
        </w:rPr>
        <w:t>资格证明文件（封面）</w:t>
      </w:r>
    </w:p>
    <w:p w14:paraId="405469D3">
      <w:pPr>
        <w:snapToGrid w:val="0"/>
        <w:spacing w:before="120" w:beforeLines="50" w:after="50"/>
        <w:rPr>
          <w:rFonts w:ascii="宋体" w:hAnsi="宋体" w:eastAsia="宋体" w:cs="宋体"/>
          <w:bCs/>
          <w:color w:val="auto"/>
          <w:sz w:val="24"/>
          <w:szCs w:val="20"/>
          <w:highlight w:val="none"/>
        </w:rPr>
      </w:pPr>
    </w:p>
    <w:p w14:paraId="1D3E611A">
      <w:pPr>
        <w:snapToGrid w:val="0"/>
        <w:spacing w:before="120" w:beforeLines="50" w:after="50"/>
        <w:rPr>
          <w:rFonts w:ascii="宋体" w:hAnsi="宋体" w:eastAsia="宋体" w:cs="宋体"/>
          <w:bCs/>
          <w:color w:val="auto"/>
          <w:sz w:val="24"/>
          <w:szCs w:val="20"/>
          <w:highlight w:val="none"/>
        </w:rPr>
      </w:pPr>
    </w:p>
    <w:p w14:paraId="4568D527">
      <w:pPr>
        <w:snapToGrid w:val="0"/>
        <w:spacing w:before="120" w:beforeLines="50" w:after="50"/>
        <w:rPr>
          <w:rFonts w:ascii="宋体" w:hAnsi="宋体" w:eastAsia="宋体" w:cs="宋体"/>
          <w:bCs/>
          <w:color w:val="auto"/>
          <w:sz w:val="24"/>
          <w:szCs w:val="20"/>
          <w:highlight w:val="none"/>
        </w:rPr>
      </w:pPr>
    </w:p>
    <w:p w14:paraId="544DE69D">
      <w:pPr>
        <w:snapToGrid w:val="0"/>
        <w:spacing w:before="120" w:beforeLines="50" w:after="50"/>
        <w:rPr>
          <w:rFonts w:ascii="宋体" w:hAnsi="宋体" w:eastAsia="宋体" w:cs="宋体"/>
          <w:bCs/>
          <w:color w:val="auto"/>
          <w:sz w:val="24"/>
          <w:szCs w:val="20"/>
          <w:highlight w:val="none"/>
        </w:rPr>
      </w:pPr>
    </w:p>
    <w:p w14:paraId="392AD4C0">
      <w:pPr>
        <w:snapToGrid w:val="0"/>
        <w:spacing w:before="120" w:beforeLines="50" w:after="50"/>
        <w:rPr>
          <w:rFonts w:ascii="宋体" w:hAnsi="宋体" w:eastAsia="宋体" w:cs="宋体"/>
          <w:bCs/>
          <w:color w:val="auto"/>
          <w:sz w:val="24"/>
          <w:szCs w:val="20"/>
          <w:highlight w:val="none"/>
        </w:rPr>
      </w:pPr>
    </w:p>
    <w:p w14:paraId="1FF5A49A">
      <w:pPr>
        <w:snapToGrid w:val="0"/>
        <w:spacing w:before="120" w:beforeLines="50" w:after="50"/>
        <w:rPr>
          <w:rFonts w:ascii="宋体" w:hAnsi="宋体" w:eastAsia="宋体" w:cs="宋体"/>
          <w:bCs/>
          <w:color w:val="auto"/>
          <w:sz w:val="24"/>
          <w:szCs w:val="20"/>
          <w:highlight w:val="none"/>
        </w:rPr>
      </w:pPr>
    </w:p>
    <w:p w14:paraId="2C739465">
      <w:pPr>
        <w:snapToGrid w:val="0"/>
        <w:spacing w:before="120" w:beforeLines="50" w:after="50"/>
        <w:rPr>
          <w:rFonts w:ascii="宋体" w:hAnsi="宋体" w:eastAsia="宋体" w:cs="宋体"/>
          <w:bCs/>
          <w:color w:val="auto"/>
          <w:sz w:val="24"/>
          <w:szCs w:val="20"/>
          <w:highlight w:val="none"/>
        </w:rPr>
      </w:pPr>
    </w:p>
    <w:p w14:paraId="535ABF43">
      <w:pPr>
        <w:snapToGrid w:val="0"/>
        <w:spacing w:before="120" w:beforeLines="50" w:after="50"/>
        <w:ind w:firstLine="540" w:firstLineChars="225"/>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　</w:t>
      </w:r>
    </w:p>
    <w:p w14:paraId="1C7DD631">
      <w:pPr>
        <w:snapToGrid w:val="0"/>
        <w:spacing w:before="120" w:beforeLines="50" w:after="50"/>
        <w:ind w:firstLine="540" w:firstLineChars="225"/>
        <w:rPr>
          <w:rFonts w:ascii="宋体" w:hAnsi="宋体" w:eastAsia="宋体" w:cs="宋体"/>
          <w:bCs/>
          <w:color w:val="auto"/>
          <w:sz w:val="24"/>
          <w:szCs w:val="20"/>
          <w:highlight w:val="none"/>
        </w:rPr>
      </w:pPr>
    </w:p>
    <w:p w14:paraId="4B4DDE25">
      <w:pPr>
        <w:snapToGrid w:val="0"/>
        <w:spacing w:before="120" w:beforeLines="50" w:after="50"/>
        <w:ind w:firstLine="540" w:firstLineChars="225"/>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项目编号：</w:t>
      </w:r>
    </w:p>
    <w:p w14:paraId="5FAE7153">
      <w:pPr>
        <w:snapToGrid w:val="0"/>
        <w:spacing w:before="120" w:beforeLines="50" w:after="50"/>
        <w:ind w:firstLine="540" w:firstLineChars="225"/>
        <w:rPr>
          <w:rFonts w:ascii="宋体" w:hAnsi="宋体" w:eastAsia="宋体" w:cs="宋体"/>
          <w:bCs/>
          <w:color w:val="auto"/>
          <w:sz w:val="24"/>
          <w:szCs w:val="20"/>
          <w:highlight w:val="none"/>
        </w:rPr>
      </w:pPr>
      <w:r>
        <w:rPr>
          <w:rFonts w:hint="eastAsia" w:ascii="宋体" w:hAnsi="宋体" w:eastAsia="宋体" w:cs="宋体"/>
          <w:bCs/>
          <w:color w:val="auto"/>
          <w:sz w:val="24"/>
          <w:szCs w:val="24"/>
          <w:highlight w:val="none"/>
        </w:rPr>
        <w:t xml:space="preserve"> </w:t>
      </w:r>
    </w:p>
    <w:p w14:paraId="40CA62BF">
      <w:pPr>
        <w:snapToGrid w:val="0"/>
        <w:spacing w:before="50" w:after="50"/>
        <w:ind w:firstLine="540" w:firstLineChars="225"/>
        <w:rPr>
          <w:rFonts w:ascii="宋体" w:hAnsi="宋体" w:eastAsia="宋体" w:cs="宋体"/>
          <w:bCs/>
          <w:color w:val="auto"/>
          <w:sz w:val="24"/>
          <w:szCs w:val="24"/>
          <w:highlight w:val="none"/>
        </w:rPr>
      </w:pPr>
    </w:p>
    <w:p w14:paraId="2AB584DB">
      <w:pPr>
        <w:snapToGrid w:val="0"/>
        <w:spacing w:before="50" w:after="50"/>
        <w:ind w:firstLine="540" w:firstLineChars="225"/>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供应商名称：</w:t>
      </w:r>
    </w:p>
    <w:p w14:paraId="1EFF4B56">
      <w:pPr>
        <w:snapToGrid w:val="0"/>
        <w:spacing w:before="50" w:after="50"/>
        <w:ind w:firstLine="540" w:firstLineChars="225"/>
        <w:rPr>
          <w:rFonts w:ascii="宋体" w:hAnsi="宋体" w:eastAsia="宋体" w:cs="宋体"/>
          <w:bCs/>
          <w:color w:val="auto"/>
          <w:sz w:val="24"/>
          <w:szCs w:val="24"/>
          <w:highlight w:val="none"/>
        </w:rPr>
      </w:pPr>
    </w:p>
    <w:p w14:paraId="0E15CE4D">
      <w:pPr>
        <w:snapToGrid w:val="0"/>
        <w:spacing w:before="50" w:after="50"/>
        <w:ind w:firstLine="960" w:firstLineChars="400"/>
        <w:rPr>
          <w:rFonts w:ascii="宋体" w:hAnsi="宋体" w:eastAsia="宋体" w:cs="宋体"/>
          <w:bCs/>
          <w:color w:val="auto"/>
          <w:sz w:val="24"/>
          <w:szCs w:val="24"/>
          <w:highlight w:val="none"/>
        </w:rPr>
      </w:pPr>
    </w:p>
    <w:p w14:paraId="528D00F9">
      <w:pPr>
        <w:snapToGrid w:val="0"/>
        <w:spacing w:before="120" w:beforeLines="50" w:after="50"/>
        <w:ind w:firstLine="645"/>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47F907C1">
      <w:pPr>
        <w:spacing w:line="360" w:lineRule="auto"/>
        <w:ind w:firstLine="420"/>
        <w:rPr>
          <w:rFonts w:ascii="宋体" w:hAnsi="宋体" w:eastAsia="宋体" w:cs="宋体"/>
          <w:color w:val="auto"/>
          <w:sz w:val="30"/>
          <w:szCs w:val="20"/>
          <w:highlight w:val="none"/>
        </w:rPr>
        <w:sectPr>
          <w:pgSz w:w="11906" w:h="16838"/>
          <w:pgMar w:top="1134" w:right="1134" w:bottom="1134" w:left="1134" w:header="720" w:footer="720" w:gutter="0"/>
          <w:cols w:space="720" w:num="1"/>
          <w:docGrid w:linePitch="331" w:charSpace="0"/>
        </w:sectPr>
      </w:pPr>
    </w:p>
    <w:p w14:paraId="55EEBA01">
      <w:pPr>
        <w:jc w:val="center"/>
        <w:rPr>
          <w:rFonts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44194ACC">
      <w:pPr>
        <w:snapToGrid w:val="0"/>
        <w:spacing w:line="360" w:lineRule="auto"/>
        <w:rPr>
          <w:rFonts w:ascii="宋体" w:hAnsi="宋体" w:eastAsia="宋体" w:cs="宋体"/>
          <w:color w:val="auto"/>
          <w:kern w:val="0"/>
          <w:sz w:val="24"/>
          <w:szCs w:val="24"/>
          <w:highlight w:val="none"/>
        </w:rPr>
      </w:pPr>
    </w:p>
    <w:p w14:paraId="73A5F11B">
      <w:pPr>
        <w:snapToGrid w:val="0"/>
        <w:spacing w:line="360"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w:t>
      </w:r>
      <w:r>
        <w:rPr>
          <w:rFonts w:hint="eastAsia" w:ascii="宋体" w:hAnsi="宋体" w:eastAsia="宋体" w:cs="宋体"/>
          <w:color w:val="auto"/>
          <w:sz w:val="24"/>
          <w:szCs w:val="24"/>
          <w:highlight w:val="none"/>
        </w:rPr>
        <w:t>营业执照(或事业法人登记证或其他工商等登记证明材料)复印件（供应商为自然人的，须提供</w:t>
      </w:r>
      <w:r>
        <w:rPr>
          <w:rFonts w:hint="eastAsia" w:ascii="宋体" w:hAnsi="宋体" w:eastAsia="宋体" w:cs="宋体"/>
          <w:color w:val="auto"/>
          <w:kern w:val="0"/>
          <w:sz w:val="24"/>
          <w:szCs w:val="24"/>
          <w:highlight w:val="none"/>
        </w:rPr>
        <w:t>自然人的身份证明</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……………………………………………………………（页码）</w:t>
      </w:r>
    </w:p>
    <w:p w14:paraId="1ABE62E1">
      <w:pPr>
        <w:snapToGrid w:val="0"/>
        <w:spacing w:line="360"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二、符合参与政府采购活动的资格条件依法缴纳税收、社会保障资金等方面的材料…………………………………………………………………………………………（页码）</w:t>
      </w:r>
    </w:p>
    <w:p w14:paraId="1899C211">
      <w:pPr>
        <w:snapToGrid w:val="0"/>
        <w:spacing w:line="360"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三、财务状况报告方面的材料…………………………………………………………（页码）</w:t>
      </w:r>
    </w:p>
    <w:p w14:paraId="0E3E0710">
      <w:pPr>
        <w:snapToGrid w:val="0"/>
        <w:spacing w:line="360" w:lineRule="auto"/>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四、供应商直接控股股东信息</w:t>
      </w:r>
      <w:r>
        <w:rPr>
          <w:rFonts w:hint="eastAsia" w:ascii="宋体" w:hAnsi="宋体" w:eastAsia="宋体" w:cs="宋体"/>
          <w:color w:val="auto"/>
          <w:kern w:val="0"/>
          <w:sz w:val="24"/>
          <w:szCs w:val="24"/>
          <w:highlight w:val="none"/>
        </w:rPr>
        <w:t>…………………………………………………………（页码）</w:t>
      </w:r>
    </w:p>
    <w:p w14:paraId="15A9E346">
      <w:pPr>
        <w:snapToGrid w:val="0"/>
        <w:spacing w:line="360" w:lineRule="auto"/>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五、供应商直接关联关系信息表</w:t>
      </w:r>
      <w:r>
        <w:rPr>
          <w:rFonts w:hint="eastAsia" w:ascii="宋体" w:hAnsi="宋体" w:eastAsia="宋体" w:cs="宋体"/>
          <w:color w:val="auto"/>
          <w:kern w:val="0"/>
          <w:sz w:val="24"/>
          <w:szCs w:val="24"/>
          <w:highlight w:val="none"/>
        </w:rPr>
        <w:t>………………………………………………………（页码）</w:t>
      </w:r>
    </w:p>
    <w:p w14:paraId="41CAF86C">
      <w:pPr>
        <w:snapToGrid w:val="0"/>
        <w:spacing w:line="360"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六、响应资格声明函……………………………………………………………………（页码）</w:t>
      </w:r>
    </w:p>
    <w:p w14:paraId="495B6DFD">
      <w:pPr>
        <w:snapToGrid w:val="0"/>
        <w:spacing w:line="360" w:lineRule="auto"/>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七、符合特定资格条件的有关证明材料</w:t>
      </w:r>
      <w:r>
        <w:rPr>
          <w:rFonts w:hint="eastAsia" w:ascii="宋体" w:hAnsi="宋体" w:eastAsia="宋体" w:cs="宋体"/>
          <w:color w:val="auto"/>
          <w:kern w:val="0"/>
          <w:sz w:val="24"/>
          <w:szCs w:val="24"/>
          <w:highlight w:val="none"/>
        </w:rPr>
        <w:t>………………………………………………（页码）</w:t>
      </w:r>
    </w:p>
    <w:p w14:paraId="546E8424">
      <w:pPr>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八、其他证明材料（如有）……………………………………………………………（页码）</w:t>
      </w:r>
    </w:p>
    <w:p w14:paraId="0E4FA0B1">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注：以上目录是基本格式要求，各供应商可根据自身情况进一步向下增加内容或细化。</w:t>
      </w:r>
    </w:p>
    <w:p w14:paraId="17D0FF8B">
      <w:pPr>
        <w:spacing w:line="360" w:lineRule="auto"/>
        <w:ind w:firstLine="420"/>
        <w:rPr>
          <w:rFonts w:ascii="宋体" w:hAnsi="宋体" w:eastAsia="宋体" w:cs="宋体"/>
          <w:color w:val="auto"/>
          <w:sz w:val="30"/>
          <w:szCs w:val="20"/>
          <w:highlight w:val="none"/>
        </w:rPr>
        <w:sectPr>
          <w:pgSz w:w="11906" w:h="16838"/>
          <w:pgMar w:top="1134" w:right="1134" w:bottom="1134" w:left="1134" w:header="720" w:footer="720" w:gutter="0"/>
          <w:cols w:space="720" w:num="1"/>
          <w:docGrid w:linePitch="331" w:charSpace="0"/>
        </w:sectPr>
      </w:pPr>
    </w:p>
    <w:p w14:paraId="7E4C44C9">
      <w:pPr>
        <w:snapToGrid w:val="0"/>
        <w:spacing w:line="360" w:lineRule="auto"/>
        <w:rPr>
          <w:rFonts w:ascii="宋体" w:hAnsi="宋体" w:eastAsia="宋体" w:cs="宋体"/>
          <w:b/>
          <w:color w:val="auto"/>
          <w:kern w:val="0"/>
          <w:sz w:val="32"/>
          <w:szCs w:val="32"/>
          <w:highlight w:val="none"/>
          <w:lang w:val="zh-CN"/>
        </w:rPr>
      </w:pPr>
    </w:p>
    <w:p w14:paraId="744B7FD3">
      <w:pPr>
        <w:spacing w:line="360" w:lineRule="auto"/>
        <w:jc w:val="center"/>
        <w:rPr>
          <w:rFonts w:ascii="宋体" w:hAnsi="宋体" w:eastAsia="宋体" w:cs="宋体"/>
          <w:b/>
          <w:color w:val="auto"/>
          <w:sz w:val="30"/>
          <w:szCs w:val="30"/>
          <w:highlight w:val="none"/>
        </w:rPr>
      </w:pPr>
      <w:r>
        <w:rPr>
          <w:rFonts w:hint="eastAsia" w:ascii="宋体" w:hAnsi="宋体" w:eastAsia="宋体" w:cs="宋体"/>
          <w:b/>
          <w:color w:val="auto"/>
          <w:kern w:val="0"/>
          <w:sz w:val="32"/>
          <w:szCs w:val="32"/>
          <w:highlight w:val="none"/>
          <w:lang w:val="zh-CN"/>
        </w:rPr>
        <w:t>一、</w:t>
      </w:r>
      <w:r>
        <w:rPr>
          <w:rFonts w:hint="eastAsia" w:ascii="宋体" w:hAnsi="宋体" w:eastAsia="宋体" w:cs="宋体"/>
          <w:b/>
          <w:color w:val="auto"/>
          <w:sz w:val="30"/>
          <w:szCs w:val="30"/>
          <w:highlight w:val="none"/>
        </w:rPr>
        <w:t>营业执照(或事业法人登记证或其他工商等登记证明材料)复印件（供应商为自然人的，提供自然人的身份证明）</w:t>
      </w:r>
    </w:p>
    <w:p w14:paraId="568896A2">
      <w:pPr>
        <w:spacing w:line="360" w:lineRule="auto"/>
        <w:rPr>
          <w:rFonts w:ascii="宋体" w:hAnsi="宋体" w:eastAsia="宋体" w:cs="宋体"/>
          <w:b/>
          <w:color w:val="auto"/>
          <w:sz w:val="30"/>
          <w:szCs w:val="30"/>
          <w:highlight w:val="none"/>
        </w:rPr>
      </w:pPr>
    </w:p>
    <w:p w14:paraId="7C580C41">
      <w:pPr>
        <w:snapToGrid w:val="0"/>
        <w:spacing w:line="360" w:lineRule="auto"/>
        <w:ind w:firstLine="576"/>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               供应商名称(电子签章)：                              </w:t>
      </w:r>
    </w:p>
    <w:p w14:paraId="0A6A8EE9">
      <w:pPr>
        <w:spacing w:line="360" w:lineRule="auto"/>
        <w:jc w:val="center"/>
        <w:rPr>
          <w:rFonts w:ascii="宋体" w:hAnsi="宋体" w:eastAsia="宋体" w:cs="宋体"/>
          <w:b/>
          <w:color w:val="auto"/>
          <w:sz w:val="30"/>
          <w:szCs w:val="30"/>
          <w:highlight w:val="none"/>
        </w:rPr>
      </w:pPr>
      <w:r>
        <w:rPr>
          <w:rFonts w:hint="eastAsia" w:ascii="宋体" w:hAnsi="宋体" w:eastAsia="宋体" w:cs="宋体"/>
          <w:color w:val="auto"/>
          <w:kern w:val="0"/>
          <w:sz w:val="24"/>
          <w:szCs w:val="24"/>
          <w:highlight w:val="none"/>
          <w:lang w:val="zh-CN"/>
        </w:rPr>
        <w:t xml:space="preserve">                   日期：  年  月</w:t>
      </w:r>
    </w:p>
    <w:p w14:paraId="0388B7D5">
      <w:pPr>
        <w:spacing w:line="360" w:lineRule="auto"/>
        <w:jc w:val="center"/>
        <w:rPr>
          <w:rFonts w:ascii="宋体" w:hAnsi="宋体" w:eastAsia="宋体" w:cs="宋体"/>
          <w:b/>
          <w:color w:val="auto"/>
          <w:sz w:val="30"/>
          <w:szCs w:val="30"/>
          <w:highlight w:val="none"/>
        </w:rPr>
      </w:pPr>
    </w:p>
    <w:p w14:paraId="7B438B91">
      <w:pPr>
        <w:snapToGrid w:val="0"/>
        <w:spacing w:line="360" w:lineRule="auto"/>
        <w:ind w:right="480"/>
        <w:jc w:val="center"/>
        <w:rPr>
          <w:rFonts w:ascii="宋体" w:hAnsi="宋体" w:eastAsia="宋体" w:cs="宋体"/>
          <w:b/>
          <w:color w:val="auto"/>
          <w:kern w:val="0"/>
          <w:sz w:val="32"/>
          <w:szCs w:val="32"/>
          <w:highlight w:val="none"/>
        </w:rPr>
      </w:pPr>
      <w:r>
        <w:rPr>
          <w:rFonts w:hint="eastAsia" w:ascii="宋体" w:hAnsi="宋体" w:eastAsia="宋体" w:cs="宋体"/>
          <w:b/>
          <w:color w:val="auto"/>
          <w:sz w:val="30"/>
          <w:szCs w:val="30"/>
          <w:highlight w:val="none"/>
        </w:rPr>
        <w:t>二、</w:t>
      </w:r>
      <w:r>
        <w:rPr>
          <w:rFonts w:hint="eastAsia" w:ascii="宋体" w:hAnsi="宋体" w:eastAsia="宋体" w:cs="宋体"/>
          <w:b/>
          <w:color w:val="auto"/>
          <w:kern w:val="0"/>
          <w:sz w:val="32"/>
          <w:szCs w:val="32"/>
          <w:highlight w:val="none"/>
        </w:rPr>
        <w:t>符合参与政府采购活动的资格条件依法缴纳税收、社会保障资金等方面的材料</w:t>
      </w:r>
    </w:p>
    <w:p w14:paraId="55FAD43A">
      <w:pPr>
        <w:snapToGrid w:val="0"/>
        <w:spacing w:line="360" w:lineRule="auto"/>
        <w:ind w:firstLine="480" w:firstLineChars="200"/>
        <w:rPr>
          <w:rFonts w:ascii="宋体" w:hAnsi="宋体" w:eastAsia="宋体" w:cs="宋体"/>
          <w:color w:val="auto"/>
          <w:sz w:val="24"/>
          <w:szCs w:val="24"/>
          <w:highlight w:val="none"/>
        </w:rPr>
      </w:pPr>
    </w:p>
    <w:p w14:paraId="5458467F">
      <w:pPr>
        <w:snapToGrid w:val="0"/>
        <w:spacing w:line="360" w:lineRule="auto"/>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                                          </w:t>
      </w:r>
    </w:p>
    <w:p w14:paraId="0ACBFCA9">
      <w:pPr>
        <w:snapToGrid w:val="0"/>
        <w:spacing w:line="360" w:lineRule="auto"/>
        <w:ind w:firstLine="5040" w:firstLineChars="21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 xml:space="preserve"> 供应商名称(电子签章)：</w:t>
      </w:r>
    </w:p>
    <w:p w14:paraId="7F3C6417">
      <w:pPr>
        <w:snapToGrid w:val="0"/>
        <w:spacing w:line="360" w:lineRule="auto"/>
        <w:ind w:firstLine="5160" w:firstLineChars="215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0349953E">
      <w:pPr>
        <w:snapToGrid w:val="0"/>
        <w:spacing w:line="360" w:lineRule="auto"/>
        <w:ind w:right="480"/>
        <w:jc w:val="center"/>
        <w:rPr>
          <w:rFonts w:ascii="宋体" w:hAnsi="宋体" w:eastAsia="宋体" w:cs="宋体"/>
          <w:b/>
          <w:color w:val="auto"/>
          <w:kern w:val="0"/>
          <w:sz w:val="32"/>
          <w:szCs w:val="32"/>
          <w:highlight w:val="none"/>
        </w:rPr>
      </w:pPr>
      <w:r>
        <w:rPr>
          <w:rFonts w:hint="eastAsia" w:ascii="宋体" w:hAnsi="宋体" w:eastAsia="宋体" w:cs="宋体"/>
          <w:b/>
          <w:color w:val="auto"/>
          <w:sz w:val="30"/>
          <w:szCs w:val="30"/>
          <w:highlight w:val="none"/>
        </w:rPr>
        <w:t>三、</w:t>
      </w:r>
      <w:r>
        <w:rPr>
          <w:rFonts w:hint="eastAsia" w:ascii="宋体" w:hAnsi="宋体" w:eastAsia="宋体" w:cs="宋体"/>
          <w:b/>
          <w:color w:val="auto"/>
          <w:kern w:val="0"/>
          <w:sz w:val="32"/>
          <w:szCs w:val="32"/>
          <w:highlight w:val="none"/>
        </w:rPr>
        <w:t>财务状况报告方面的材料</w:t>
      </w:r>
    </w:p>
    <w:p w14:paraId="729833E0">
      <w:pPr>
        <w:snapToGrid w:val="0"/>
        <w:spacing w:line="360" w:lineRule="auto"/>
        <w:ind w:firstLine="480" w:firstLineChars="200"/>
        <w:rPr>
          <w:rFonts w:ascii="宋体" w:hAnsi="宋体" w:eastAsia="宋体" w:cs="宋体"/>
          <w:color w:val="auto"/>
          <w:sz w:val="24"/>
          <w:szCs w:val="24"/>
          <w:highlight w:val="none"/>
        </w:rPr>
      </w:pPr>
    </w:p>
    <w:p w14:paraId="7E9D2E5C">
      <w:pPr>
        <w:snapToGrid w:val="0"/>
        <w:spacing w:line="360" w:lineRule="auto"/>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                                          </w:t>
      </w:r>
    </w:p>
    <w:p w14:paraId="56D544F0">
      <w:pPr>
        <w:snapToGrid w:val="0"/>
        <w:spacing w:line="360" w:lineRule="auto"/>
        <w:ind w:firstLine="5040" w:firstLineChars="21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 xml:space="preserve"> 供应商名称(电子签章)：</w:t>
      </w:r>
    </w:p>
    <w:p w14:paraId="1B51D5B7">
      <w:pPr>
        <w:snapToGrid w:val="0"/>
        <w:spacing w:line="360" w:lineRule="auto"/>
        <w:ind w:firstLine="5160" w:firstLineChars="215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31F5777C">
      <w:pPr>
        <w:snapToGrid w:val="0"/>
        <w:spacing w:line="360" w:lineRule="auto"/>
        <w:ind w:firstLine="5160" w:firstLineChars="2150"/>
        <w:rPr>
          <w:rFonts w:ascii="宋体" w:hAnsi="宋体" w:eastAsia="宋体" w:cs="宋体"/>
          <w:color w:val="auto"/>
          <w:kern w:val="0"/>
          <w:sz w:val="24"/>
          <w:szCs w:val="24"/>
          <w:highlight w:val="none"/>
          <w:lang w:val="zh-CN"/>
        </w:rPr>
      </w:pPr>
    </w:p>
    <w:p w14:paraId="72A2700E">
      <w:pPr>
        <w:snapToGrid w:val="0"/>
        <w:spacing w:line="360" w:lineRule="auto"/>
        <w:ind w:right="480"/>
        <w:jc w:val="center"/>
        <w:rPr>
          <w:rFonts w:ascii="宋体" w:hAnsi="宋体" w:eastAsia="宋体" w:cs="宋体"/>
          <w:b/>
          <w:color w:val="auto"/>
          <w:kern w:val="0"/>
          <w:sz w:val="32"/>
          <w:szCs w:val="32"/>
          <w:highlight w:val="none"/>
          <w:lang w:val="zh-CN"/>
        </w:rPr>
      </w:pPr>
    </w:p>
    <w:p w14:paraId="5FAEF7FE">
      <w:pPr>
        <w:snapToGrid w:val="0"/>
        <w:spacing w:line="360" w:lineRule="auto"/>
        <w:ind w:right="480"/>
        <w:jc w:val="center"/>
        <w:rPr>
          <w:rFonts w:ascii="宋体" w:hAnsi="宋体" w:eastAsia="宋体" w:cs="宋体"/>
          <w:b/>
          <w:color w:val="auto"/>
          <w:sz w:val="28"/>
          <w:szCs w:val="28"/>
          <w:highlight w:val="none"/>
        </w:rPr>
      </w:pPr>
      <w:r>
        <w:rPr>
          <w:rFonts w:hint="eastAsia" w:ascii="宋体" w:hAnsi="宋体" w:eastAsia="宋体" w:cs="宋体"/>
          <w:b/>
          <w:color w:val="auto"/>
          <w:kern w:val="0"/>
          <w:sz w:val="32"/>
          <w:szCs w:val="32"/>
          <w:highlight w:val="none"/>
        </w:rPr>
        <w:br w:type="page"/>
      </w:r>
    </w:p>
    <w:p w14:paraId="6B0C931A">
      <w:pPr>
        <w:snapToGrid w:val="0"/>
        <w:spacing w:before="50" w:after="120" w:afterLines="50" w:line="360" w:lineRule="auto"/>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四、供应商直接控股股东信息表</w:t>
      </w:r>
    </w:p>
    <w:tbl>
      <w:tblPr>
        <w:tblStyle w:val="32"/>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04E08A10">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1FF3411">
            <w:pPr>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79FC3D9">
            <w:pPr>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D994E60">
            <w:pPr>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588E13C">
            <w:pPr>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C35CBB6">
            <w:pPr>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4AA4B0A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25C5FC">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1542DB">
            <w:pPr>
              <w:spacing w:line="360" w:lineRule="auto"/>
              <w:jc w:val="center"/>
              <w:rPr>
                <w:rFonts w:ascii="宋体" w:hAnsi="宋体" w:eastAsia="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DC3A5D">
            <w:pPr>
              <w:spacing w:line="360" w:lineRule="auto"/>
              <w:jc w:val="center"/>
              <w:rPr>
                <w:rFonts w:ascii="宋体" w:hAnsi="宋体" w:eastAsia="宋体" w:cs="宋体"/>
                <w:color w:val="auto"/>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2CCF02">
            <w:pPr>
              <w:spacing w:line="360" w:lineRule="auto"/>
              <w:jc w:val="center"/>
              <w:rPr>
                <w:rFonts w:ascii="宋体" w:hAnsi="宋体" w:eastAsia="宋体" w:cs="宋体"/>
                <w:color w:val="auto"/>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BAD134">
            <w:pPr>
              <w:spacing w:line="360" w:lineRule="auto"/>
              <w:jc w:val="center"/>
              <w:rPr>
                <w:rFonts w:ascii="宋体" w:hAnsi="宋体" w:eastAsia="宋体" w:cs="宋体"/>
                <w:color w:val="auto"/>
                <w:kern w:val="0"/>
                <w:sz w:val="24"/>
                <w:szCs w:val="24"/>
                <w:highlight w:val="none"/>
              </w:rPr>
            </w:pPr>
          </w:p>
        </w:tc>
      </w:tr>
      <w:tr w14:paraId="6538A2EF">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2C04B4">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7AA223">
            <w:pPr>
              <w:spacing w:line="360" w:lineRule="auto"/>
              <w:jc w:val="center"/>
              <w:rPr>
                <w:rFonts w:ascii="宋体" w:hAnsi="宋体" w:eastAsia="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EE767C">
            <w:pPr>
              <w:spacing w:line="360" w:lineRule="auto"/>
              <w:jc w:val="center"/>
              <w:rPr>
                <w:rFonts w:ascii="宋体" w:hAnsi="宋体" w:eastAsia="宋体" w:cs="宋体"/>
                <w:color w:val="auto"/>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F95F1A">
            <w:pPr>
              <w:spacing w:line="360" w:lineRule="auto"/>
              <w:jc w:val="center"/>
              <w:rPr>
                <w:rFonts w:ascii="宋体" w:hAnsi="宋体" w:eastAsia="宋体" w:cs="宋体"/>
                <w:color w:val="auto"/>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FC2D9B">
            <w:pPr>
              <w:spacing w:line="360" w:lineRule="auto"/>
              <w:jc w:val="center"/>
              <w:rPr>
                <w:rFonts w:ascii="宋体" w:hAnsi="宋体" w:eastAsia="宋体" w:cs="宋体"/>
                <w:color w:val="auto"/>
                <w:kern w:val="0"/>
                <w:sz w:val="24"/>
                <w:szCs w:val="24"/>
                <w:highlight w:val="none"/>
              </w:rPr>
            </w:pPr>
          </w:p>
        </w:tc>
      </w:tr>
      <w:tr w14:paraId="308FB12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3608FD">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9012D9">
            <w:pPr>
              <w:spacing w:line="360" w:lineRule="auto"/>
              <w:jc w:val="center"/>
              <w:rPr>
                <w:rFonts w:ascii="宋体" w:hAnsi="宋体" w:eastAsia="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66C747">
            <w:pPr>
              <w:spacing w:line="360" w:lineRule="auto"/>
              <w:jc w:val="center"/>
              <w:rPr>
                <w:rFonts w:ascii="宋体" w:hAnsi="宋体" w:eastAsia="宋体" w:cs="宋体"/>
                <w:color w:val="auto"/>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74A871">
            <w:pPr>
              <w:spacing w:line="360" w:lineRule="auto"/>
              <w:jc w:val="center"/>
              <w:rPr>
                <w:rFonts w:ascii="宋体" w:hAnsi="宋体" w:eastAsia="宋体" w:cs="宋体"/>
                <w:color w:val="auto"/>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BBFDA4">
            <w:pPr>
              <w:spacing w:line="360" w:lineRule="auto"/>
              <w:jc w:val="center"/>
              <w:rPr>
                <w:rFonts w:ascii="宋体" w:hAnsi="宋体" w:eastAsia="宋体" w:cs="宋体"/>
                <w:color w:val="auto"/>
                <w:kern w:val="0"/>
                <w:sz w:val="24"/>
                <w:szCs w:val="24"/>
                <w:highlight w:val="none"/>
              </w:rPr>
            </w:pPr>
          </w:p>
        </w:tc>
      </w:tr>
      <w:tr w14:paraId="78F90074">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AADD50">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9C2F65">
            <w:pPr>
              <w:spacing w:line="360" w:lineRule="auto"/>
              <w:jc w:val="center"/>
              <w:rPr>
                <w:rFonts w:ascii="宋体" w:hAnsi="宋体" w:eastAsia="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6A868E">
            <w:pPr>
              <w:spacing w:line="360" w:lineRule="auto"/>
              <w:jc w:val="center"/>
              <w:rPr>
                <w:rFonts w:ascii="宋体" w:hAnsi="宋体" w:eastAsia="宋体" w:cs="宋体"/>
                <w:color w:val="auto"/>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1A15DF">
            <w:pPr>
              <w:spacing w:line="360" w:lineRule="auto"/>
              <w:jc w:val="center"/>
              <w:rPr>
                <w:rFonts w:ascii="宋体" w:hAnsi="宋体" w:eastAsia="宋体" w:cs="宋体"/>
                <w:color w:val="auto"/>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C5816A">
            <w:pPr>
              <w:spacing w:line="360" w:lineRule="auto"/>
              <w:jc w:val="center"/>
              <w:rPr>
                <w:rFonts w:ascii="宋体" w:hAnsi="宋体" w:eastAsia="宋体" w:cs="宋体"/>
                <w:color w:val="auto"/>
                <w:kern w:val="0"/>
                <w:sz w:val="24"/>
                <w:szCs w:val="24"/>
                <w:highlight w:val="none"/>
              </w:rPr>
            </w:pPr>
          </w:p>
        </w:tc>
      </w:tr>
    </w:tbl>
    <w:p w14:paraId="35C36FEC">
      <w:pPr>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0E98789">
      <w:pPr>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4610CB8">
      <w:pPr>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2.本表所指的控股关系仅限于直接控股关系，不包括间接的控股关系。公司实际控制人与公司之间的关系不属于本表所指的直接控股关系。</w:t>
      </w:r>
    </w:p>
    <w:p w14:paraId="667952FC">
      <w:pPr>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3.供应商不存在直接控股股东的，则填“无”。</w:t>
      </w:r>
    </w:p>
    <w:p w14:paraId="448636B4">
      <w:pPr>
        <w:snapToGrid w:val="0"/>
        <w:spacing w:line="360" w:lineRule="auto"/>
        <w:jc w:val="left"/>
        <w:rPr>
          <w:rFonts w:ascii="宋体" w:hAnsi="宋体" w:eastAsia="宋体" w:cs="宋体"/>
          <w:color w:val="auto"/>
          <w:sz w:val="24"/>
          <w:szCs w:val="24"/>
          <w:highlight w:val="none"/>
        </w:rPr>
      </w:pPr>
    </w:p>
    <w:p w14:paraId="201062BC">
      <w:pPr>
        <w:snapToGrid w:val="0"/>
        <w:spacing w:line="360" w:lineRule="auto"/>
        <w:jc w:val="left"/>
        <w:rPr>
          <w:rFonts w:ascii="宋体" w:hAnsi="宋体" w:eastAsia="宋体" w:cs="宋体"/>
          <w:color w:val="auto"/>
          <w:sz w:val="24"/>
          <w:szCs w:val="24"/>
          <w:highlight w:val="none"/>
        </w:rPr>
      </w:pPr>
    </w:p>
    <w:p w14:paraId="7A0194FD">
      <w:pPr>
        <w:snapToGrid w:val="0"/>
        <w:spacing w:line="360" w:lineRule="auto"/>
        <w:jc w:val="left"/>
        <w:rPr>
          <w:rFonts w:ascii="宋体" w:hAnsi="宋体" w:eastAsia="宋体" w:cs="宋体"/>
          <w:color w:val="auto"/>
          <w:sz w:val="24"/>
          <w:szCs w:val="24"/>
          <w:highlight w:val="none"/>
        </w:rPr>
      </w:pPr>
    </w:p>
    <w:p w14:paraId="1C6E2ACB">
      <w:pPr>
        <w:snapToGrid w:val="0"/>
        <w:spacing w:line="360" w:lineRule="auto"/>
        <w:jc w:val="left"/>
        <w:rPr>
          <w:rFonts w:ascii="宋体" w:hAnsi="宋体" w:eastAsia="宋体" w:cs="宋体"/>
          <w:color w:val="auto"/>
          <w:sz w:val="24"/>
          <w:szCs w:val="24"/>
          <w:highlight w:val="none"/>
        </w:rPr>
      </w:pPr>
    </w:p>
    <w:p w14:paraId="3225CCB7">
      <w:pPr>
        <w:snapToGrid w:val="0"/>
        <w:spacing w:line="360" w:lineRule="auto"/>
        <w:jc w:val="left"/>
        <w:rPr>
          <w:rFonts w:ascii="宋体" w:hAnsi="宋体" w:eastAsia="宋体" w:cs="宋体"/>
          <w:color w:val="auto"/>
          <w:sz w:val="24"/>
          <w:szCs w:val="24"/>
          <w:highlight w:val="none"/>
        </w:rPr>
      </w:pPr>
    </w:p>
    <w:p w14:paraId="04CBE3F6">
      <w:pPr>
        <w:snapToGrid w:val="0"/>
        <w:spacing w:line="360" w:lineRule="auto"/>
        <w:ind w:firstLine="5040" w:firstLineChars="21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供应商名称(电子签章)：</w:t>
      </w:r>
    </w:p>
    <w:p w14:paraId="06417C38">
      <w:pPr>
        <w:snapToGrid w:val="0"/>
        <w:spacing w:line="360" w:lineRule="auto"/>
        <w:ind w:firstLine="5160" w:firstLineChars="215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02CF1EAE">
      <w:pPr>
        <w:snapToGrid w:val="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5B101B8">
      <w:pPr>
        <w:snapToGrid w:val="0"/>
        <w:spacing w:line="360" w:lineRule="auto"/>
        <w:jc w:val="center"/>
        <w:rPr>
          <w:rFonts w:ascii="宋体" w:hAnsi="宋体" w:eastAsia="宋体" w:cs="宋体"/>
          <w:color w:val="auto"/>
          <w:sz w:val="32"/>
          <w:szCs w:val="32"/>
          <w:highlight w:val="none"/>
        </w:rPr>
      </w:pPr>
      <w:r>
        <w:rPr>
          <w:rFonts w:hint="eastAsia" w:ascii="宋体" w:hAnsi="宋体" w:eastAsia="宋体" w:cs="宋体"/>
          <w:b/>
          <w:color w:val="auto"/>
          <w:sz w:val="32"/>
          <w:szCs w:val="32"/>
          <w:highlight w:val="none"/>
        </w:rPr>
        <w:t>五、供应商直接管理关系信息表</w:t>
      </w:r>
    </w:p>
    <w:tbl>
      <w:tblPr>
        <w:tblStyle w:val="32"/>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3234E6D5">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3A957C1">
            <w:pPr>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3A336B9">
            <w:pPr>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AAC8100">
            <w:pPr>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1186630">
            <w:pPr>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1E8D86C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93735D">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F386E9">
            <w:pPr>
              <w:spacing w:line="360" w:lineRule="auto"/>
              <w:jc w:val="center"/>
              <w:rPr>
                <w:rFonts w:ascii="宋体" w:hAnsi="宋体" w:eastAsia="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63B1FE">
            <w:pPr>
              <w:spacing w:line="360" w:lineRule="auto"/>
              <w:jc w:val="center"/>
              <w:rPr>
                <w:rFonts w:ascii="宋体" w:hAnsi="宋体" w:eastAsia="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8D17B9">
            <w:pPr>
              <w:spacing w:line="360" w:lineRule="auto"/>
              <w:jc w:val="center"/>
              <w:rPr>
                <w:rFonts w:ascii="宋体" w:hAnsi="宋体" w:eastAsia="宋体" w:cs="宋体"/>
                <w:color w:val="auto"/>
                <w:kern w:val="0"/>
                <w:sz w:val="24"/>
                <w:szCs w:val="24"/>
                <w:highlight w:val="none"/>
              </w:rPr>
            </w:pPr>
          </w:p>
        </w:tc>
      </w:tr>
      <w:tr w14:paraId="17C5716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3BF194">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B87EE7">
            <w:pPr>
              <w:spacing w:line="360" w:lineRule="auto"/>
              <w:jc w:val="center"/>
              <w:rPr>
                <w:rFonts w:ascii="宋体" w:hAnsi="宋体" w:eastAsia="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13AA4F">
            <w:pPr>
              <w:spacing w:line="360" w:lineRule="auto"/>
              <w:jc w:val="center"/>
              <w:rPr>
                <w:rFonts w:ascii="宋体" w:hAnsi="宋体" w:eastAsia="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E6856B">
            <w:pPr>
              <w:spacing w:line="360" w:lineRule="auto"/>
              <w:jc w:val="center"/>
              <w:rPr>
                <w:rFonts w:ascii="宋体" w:hAnsi="宋体" w:eastAsia="宋体" w:cs="宋体"/>
                <w:color w:val="auto"/>
                <w:kern w:val="0"/>
                <w:sz w:val="24"/>
                <w:szCs w:val="24"/>
                <w:highlight w:val="none"/>
              </w:rPr>
            </w:pPr>
          </w:p>
        </w:tc>
      </w:tr>
      <w:tr w14:paraId="44AF27B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DC37A0">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532AE2">
            <w:pPr>
              <w:spacing w:line="360" w:lineRule="auto"/>
              <w:jc w:val="center"/>
              <w:rPr>
                <w:rFonts w:ascii="宋体" w:hAnsi="宋体" w:eastAsia="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41D22B">
            <w:pPr>
              <w:spacing w:line="360" w:lineRule="auto"/>
              <w:jc w:val="center"/>
              <w:rPr>
                <w:rFonts w:ascii="宋体" w:hAnsi="宋体" w:eastAsia="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33FA54">
            <w:pPr>
              <w:spacing w:line="360" w:lineRule="auto"/>
              <w:jc w:val="center"/>
              <w:rPr>
                <w:rFonts w:ascii="宋体" w:hAnsi="宋体" w:eastAsia="宋体" w:cs="宋体"/>
                <w:color w:val="auto"/>
                <w:kern w:val="0"/>
                <w:sz w:val="24"/>
                <w:szCs w:val="24"/>
                <w:highlight w:val="none"/>
              </w:rPr>
            </w:pPr>
          </w:p>
        </w:tc>
      </w:tr>
      <w:tr w14:paraId="6C7BECA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F046CF">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C9DCA6">
            <w:pPr>
              <w:spacing w:line="360" w:lineRule="auto"/>
              <w:jc w:val="center"/>
              <w:rPr>
                <w:rFonts w:ascii="宋体" w:hAnsi="宋体" w:eastAsia="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6846C5">
            <w:pPr>
              <w:spacing w:line="360" w:lineRule="auto"/>
              <w:jc w:val="center"/>
              <w:rPr>
                <w:rFonts w:ascii="宋体" w:hAnsi="宋体" w:eastAsia="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609504">
            <w:pPr>
              <w:spacing w:line="360" w:lineRule="auto"/>
              <w:jc w:val="center"/>
              <w:rPr>
                <w:rFonts w:ascii="宋体" w:hAnsi="宋体" w:eastAsia="宋体" w:cs="宋体"/>
                <w:color w:val="auto"/>
                <w:kern w:val="0"/>
                <w:sz w:val="24"/>
                <w:szCs w:val="24"/>
                <w:highlight w:val="none"/>
              </w:rPr>
            </w:pPr>
          </w:p>
        </w:tc>
      </w:tr>
    </w:tbl>
    <w:p w14:paraId="222014BA">
      <w:pPr>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252ACE4">
      <w:pPr>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1.管理关系：是指不具有出资持股关系的其他单位之间存在的管理与被管理关系，如一些上下级关系的事业单位和团体组织。</w:t>
      </w:r>
    </w:p>
    <w:p w14:paraId="026B2DC2">
      <w:pPr>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6"/>
          <w:sz w:val="24"/>
          <w:szCs w:val="24"/>
          <w:highlight w:val="none"/>
        </w:rPr>
        <w:t>本表所指的管理关系仅限于直接管理关系，不包括间接的管理关系。</w:t>
      </w:r>
    </w:p>
    <w:p w14:paraId="3637CAD0">
      <w:pPr>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3.供应商不存在直接管理关系的，则填“无”。</w:t>
      </w:r>
    </w:p>
    <w:p w14:paraId="3D6D11AD">
      <w:pPr>
        <w:snapToGrid w:val="0"/>
        <w:spacing w:line="360" w:lineRule="auto"/>
        <w:jc w:val="left"/>
        <w:rPr>
          <w:rFonts w:ascii="宋体" w:hAnsi="宋体" w:eastAsia="宋体" w:cs="宋体"/>
          <w:color w:val="auto"/>
          <w:sz w:val="24"/>
          <w:szCs w:val="24"/>
          <w:highlight w:val="none"/>
        </w:rPr>
      </w:pPr>
    </w:p>
    <w:p w14:paraId="7296F904">
      <w:pPr>
        <w:snapToGrid w:val="0"/>
        <w:spacing w:line="360" w:lineRule="auto"/>
        <w:jc w:val="left"/>
        <w:rPr>
          <w:rFonts w:ascii="宋体" w:hAnsi="宋体" w:eastAsia="宋体" w:cs="宋体"/>
          <w:color w:val="auto"/>
          <w:sz w:val="24"/>
          <w:szCs w:val="24"/>
          <w:highlight w:val="none"/>
        </w:rPr>
      </w:pPr>
    </w:p>
    <w:p w14:paraId="2C7C6809">
      <w:pPr>
        <w:snapToGrid w:val="0"/>
        <w:spacing w:line="360" w:lineRule="auto"/>
        <w:jc w:val="left"/>
        <w:rPr>
          <w:rFonts w:ascii="宋体" w:hAnsi="宋体" w:eastAsia="宋体" w:cs="宋体"/>
          <w:color w:val="auto"/>
          <w:sz w:val="24"/>
          <w:szCs w:val="24"/>
          <w:highlight w:val="none"/>
        </w:rPr>
      </w:pPr>
    </w:p>
    <w:p w14:paraId="4661C27C">
      <w:pPr>
        <w:snapToGrid w:val="0"/>
        <w:spacing w:line="360" w:lineRule="auto"/>
        <w:jc w:val="left"/>
        <w:rPr>
          <w:rFonts w:ascii="宋体" w:hAnsi="宋体" w:eastAsia="宋体" w:cs="宋体"/>
          <w:color w:val="auto"/>
          <w:sz w:val="24"/>
          <w:szCs w:val="24"/>
          <w:highlight w:val="none"/>
        </w:rPr>
      </w:pPr>
    </w:p>
    <w:p w14:paraId="6F971D20">
      <w:pPr>
        <w:snapToGrid w:val="0"/>
        <w:spacing w:line="360" w:lineRule="auto"/>
        <w:jc w:val="left"/>
        <w:rPr>
          <w:rFonts w:ascii="宋体" w:hAnsi="宋体" w:eastAsia="宋体" w:cs="宋体"/>
          <w:color w:val="auto"/>
          <w:sz w:val="24"/>
          <w:szCs w:val="24"/>
          <w:highlight w:val="none"/>
        </w:rPr>
      </w:pPr>
    </w:p>
    <w:p w14:paraId="31BB7972">
      <w:pPr>
        <w:snapToGrid w:val="0"/>
        <w:spacing w:line="360" w:lineRule="auto"/>
        <w:jc w:val="left"/>
        <w:rPr>
          <w:rFonts w:ascii="宋体" w:hAnsi="宋体" w:eastAsia="宋体" w:cs="宋体"/>
          <w:color w:val="auto"/>
          <w:sz w:val="24"/>
          <w:szCs w:val="24"/>
          <w:highlight w:val="none"/>
        </w:rPr>
      </w:pPr>
    </w:p>
    <w:p w14:paraId="45336416">
      <w:pPr>
        <w:snapToGrid w:val="0"/>
        <w:spacing w:line="360" w:lineRule="auto"/>
        <w:jc w:val="left"/>
        <w:rPr>
          <w:rFonts w:ascii="宋体" w:hAnsi="宋体" w:eastAsia="宋体" w:cs="宋体"/>
          <w:color w:val="auto"/>
          <w:sz w:val="24"/>
          <w:szCs w:val="24"/>
          <w:highlight w:val="none"/>
        </w:rPr>
      </w:pPr>
    </w:p>
    <w:p w14:paraId="50C4494E">
      <w:pPr>
        <w:snapToGrid w:val="0"/>
        <w:spacing w:line="360" w:lineRule="auto"/>
        <w:jc w:val="left"/>
        <w:rPr>
          <w:rFonts w:ascii="宋体" w:hAnsi="宋体" w:eastAsia="宋体" w:cs="宋体"/>
          <w:color w:val="auto"/>
          <w:sz w:val="24"/>
          <w:szCs w:val="24"/>
          <w:highlight w:val="none"/>
        </w:rPr>
      </w:pPr>
    </w:p>
    <w:p w14:paraId="5E10F9CE">
      <w:pPr>
        <w:snapToGrid w:val="0"/>
        <w:spacing w:line="360" w:lineRule="auto"/>
        <w:ind w:firstLine="5040" w:firstLineChars="21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供应商名称(电子签章)：</w:t>
      </w:r>
    </w:p>
    <w:p w14:paraId="391A5C66">
      <w:pPr>
        <w:snapToGrid w:val="0"/>
        <w:spacing w:line="360" w:lineRule="auto"/>
        <w:ind w:firstLine="5160" w:firstLineChars="215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0F89FA69">
      <w:pPr>
        <w:snapToGrid w:val="0"/>
        <w:spacing w:before="50" w:after="120" w:afterLines="50"/>
        <w:jc w:val="left"/>
        <w:rPr>
          <w:rFonts w:ascii="宋体" w:hAnsi="宋体" w:eastAsia="宋体" w:cs="宋体"/>
          <w:color w:val="auto"/>
          <w:szCs w:val="21"/>
          <w:highlight w:val="none"/>
        </w:rPr>
      </w:pPr>
    </w:p>
    <w:p w14:paraId="46C2C349">
      <w:pPr>
        <w:snapToGrid w:val="0"/>
        <w:spacing w:before="120" w:beforeLines="50" w:after="50"/>
        <w:jc w:val="left"/>
        <w:rPr>
          <w:rFonts w:ascii="宋体" w:hAnsi="宋体" w:eastAsia="宋体" w:cs="宋体"/>
          <w:b/>
          <w:color w:val="auto"/>
          <w:sz w:val="24"/>
          <w:szCs w:val="20"/>
          <w:highlight w:val="none"/>
        </w:rPr>
      </w:pPr>
    </w:p>
    <w:p w14:paraId="3371EFD5">
      <w:pPr>
        <w:snapToGrid w:val="0"/>
        <w:spacing w:before="120" w:beforeLines="50" w:after="50"/>
        <w:jc w:val="left"/>
        <w:rPr>
          <w:rFonts w:ascii="宋体" w:hAnsi="宋体" w:eastAsia="宋体" w:cs="宋体"/>
          <w:b/>
          <w:color w:val="auto"/>
          <w:sz w:val="24"/>
          <w:szCs w:val="24"/>
          <w:highlight w:val="none"/>
        </w:rPr>
      </w:pPr>
    </w:p>
    <w:p w14:paraId="35931D0A">
      <w:pPr>
        <w:snapToGrid w:val="0"/>
        <w:spacing w:before="120" w:beforeLines="50" w:after="50"/>
        <w:jc w:val="left"/>
        <w:rPr>
          <w:rFonts w:ascii="宋体" w:hAnsi="宋体" w:eastAsia="宋体" w:cs="宋体"/>
          <w:b/>
          <w:color w:val="auto"/>
          <w:sz w:val="24"/>
          <w:szCs w:val="20"/>
          <w:highlight w:val="none"/>
        </w:rPr>
      </w:pPr>
      <w:r>
        <w:rPr>
          <w:rFonts w:hint="eastAsia" w:ascii="宋体" w:hAnsi="宋体" w:eastAsia="宋体" w:cs="宋体"/>
          <w:b/>
          <w:color w:val="auto"/>
          <w:sz w:val="24"/>
          <w:szCs w:val="20"/>
          <w:highlight w:val="none"/>
        </w:rPr>
        <w:t xml:space="preserve"> </w:t>
      </w:r>
    </w:p>
    <w:p w14:paraId="4E36BE56">
      <w:pPr>
        <w:snapToGrid w:val="0"/>
        <w:spacing w:before="120" w:beforeLines="50" w:after="50"/>
        <w:jc w:val="left"/>
        <w:rPr>
          <w:rFonts w:ascii="宋体" w:hAnsi="宋体" w:eastAsia="宋体" w:cs="宋体"/>
          <w:b/>
          <w:color w:val="auto"/>
          <w:sz w:val="24"/>
          <w:szCs w:val="20"/>
          <w:highlight w:val="none"/>
        </w:rPr>
      </w:pPr>
    </w:p>
    <w:p w14:paraId="51251BAA">
      <w:pPr>
        <w:keepNext/>
        <w:keepLines/>
        <w:spacing w:before="340" w:after="330" w:line="576" w:lineRule="auto"/>
        <w:outlineLvl w:val="0"/>
        <w:rPr>
          <w:rFonts w:ascii="Times New Roman" w:hAnsi="Times New Roman" w:eastAsia="宋体" w:cs="Times New Roman"/>
          <w:b/>
          <w:bCs/>
          <w:color w:val="auto"/>
          <w:kern w:val="44"/>
          <w:sz w:val="44"/>
          <w:szCs w:val="44"/>
          <w:highlight w:val="none"/>
        </w:rPr>
      </w:pPr>
    </w:p>
    <w:p w14:paraId="6F262DEF">
      <w:pPr>
        <w:snapToGrid w:val="0"/>
        <w:spacing w:before="50" w:after="120" w:afterLines="50"/>
        <w:jc w:val="left"/>
        <w:rPr>
          <w:rFonts w:ascii="宋体" w:hAnsi="宋体" w:eastAsia="宋体" w:cs="宋体"/>
          <w:color w:val="auto"/>
          <w:szCs w:val="24"/>
          <w:highlight w:val="none"/>
        </w:rPr>
      </w:pPr>
    </w:p>
    <w:p w14:paraId="3E2913B6">
      <w:pPr>
        <w:snapToGrid w:val="0"/>
        <w:spacing w:before="50" w:after="120" w:afterLines="50"/>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六、响应资格声明函</w:t>
      </w:r>
    </w:p>
    <w:p w14:paraId="46BDC51B">
      <w:pPr>
        <w:tabs>
          <w:tab w:val="left" w:pos="720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致：_</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（采购代理机构名称）</w:t>
      </w:r>
    </w:p>
    <w:p w14:paraId="5907E8F3">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我方愿意参加贵方组织的_</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（项目编号：       ）项目的响应，为便于贵方公正、择优地确定供应商，我方就本次响应有关事项郑重声明如下：</w:t>
      </w:r>
    </w:p>
    <w:p w14:paraId="77EB4305">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1.我方承诺已经具备《中华人民共和国政府采购法》第二十二条中规定的参加政府采购活动的供应商应当具备的条件：</w:t>
      </w:r>
    </w:p>
    <w:p w14:paraId="0A8FF48D">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w:t>
      </w:r>
    </w:p>
    <w:p w14:paraId="08A29107">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（2）具有良好的商业信誉和健全的财务会计制度；</w:t>
      </w:r>
    </w:p>
    <w:p w14:paraId="1E8FDE09">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（3）具有履行合同所必需的设备和专业技术能力；</w:t>
      </w:r>
    </w:p>
    <w:p w14:paraId="7744EDB7">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（4）有依法缴纳税收和社会保障资金的良好记录；</w:t>
      </w:r>
    </w:p>
    <w:p w14:paraId="155F9A84">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（5）参加政府采购活动前三年内，在经营活动中没有重大违法记录；</w:t>
      </w:r>
    </w:p>
    <w:p w14:paraId="6710D73C">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（6）法律、行政法规规定的其他条件。</w:t>
      </w:r>
    </w:p>
    <w:p w14:paraId="59D91E6B">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D7F4E1A">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3.经查询，在“信用中国”和“中国政府采购网”网站我方未被列入失信被执行人、重大税收违法案件当事人名单、政府采购严重违法失信行为记录名单。</w:t>
      </w:r>
    </w:p>
    <w:p w14:paraId="2117AF53">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4.以上事项如有虚假或隐瞒，我方愿意承担一切后果，并不再寻求任何旨在减轻或免除法律责任的辩解。 </w:t>
      </w:r>
    </w:p>
    <w:p w14:paraId="5F99773C">
      <w:pPr>
        <w:tabs>
          <w:tab w:val="left" w:pos="7200"/>
        </w:tabs>
        <w:spacing w:line="320" w:lineRule="exact"/>
        <w:ind w:firstLine="270" w:firstLineChars="15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说明：</w:t>
      </w:r>
    </w:p>
    <w:p w14:paraId="063D9E14">
      <w:pPr>
        <w:spacing w:line="320" w:lineRule="exact"/>
        <w:ind w:firstLine="360" w:firstLineChars="200"/>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1.供应商应当通过 “信用中国”（www.creditchina.gov.cn）和“中国政府采购网”网站（www.ccgp.gov.cn）查询供应商相关主体的信用记录。查询时间为本项目响应截止时间前10日至响应截止时间中任意一天。对列入失信被执行人、重大税收违法案件当事人名单、政府采购严重违法失信行为记录名单的供应商，将被拒绝参与本项目政府采购活动。</w:t>
      </w:r>
    </w:p>
    <w:p w14:paraId="0754BDF9">
      <w:pPr>
        <w:spacing w:line="320" w:lineRule="exact"/>
        <w:ind w:firstLine="360" w:firstLineChars="200"/>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CBFB0E3">
      <w:pPr>
        <w:snapToGrid w:val="0"/>
        <w:spacing w:before="50" w:after="120" w:afterLines="50" w:line="320" w:lineRule="exact"/>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w:t>
      </w:r>
      <w:r>
        <w:rPr>
          <w:rFonts w:hint="eastAsia" w:ascii="宋体" w:hAnsi="宋体" w:eastAsia="宋体" w:cs="宋体"/>
          <w:b/>
          <w:color w:val="auto"/>
          <w:sz w:val="18"/>
          <w:szCs w:val="18"/>
          <w:highlight w:val="none"/>
        </w:rPr>
        <w:t xml:space="preserve">  3.如为联合体响应，盖章处须加盖联合体各方公章并由联合体各方法定代表人分别签署，否则响应无效。</w:t>
      </w:r>
    </w:p>
    <w:p w14:paraId="36B19FC6">
      <w:pPr>
        <w:snapToGrid w:val="0"/>
        <w:spacing w:before="50" w:after="240" w:afterLines="100"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F365811">
      <w:pPr>
        <w:snapToGrid w:val="0"/>
        <w:spacing w:before="50" w:after="240" w:afterLines="100" w:line="360" w:lineRule="auto"/>
        <w:ind w:left="7428" w:leftChars="2223" w:hanging="2760" w:hangingChars="1150"/>
        <w:jc w:val="left"/>
        <w:rPr>
          <w:rFonts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lang w:val="zh-CN"/>
        </w:rPr>
        <w:t>供应商名称(电子签章)：</w:t>
      </w:r>
      <w:r>
        <w:rPr>
          <w:rFonts w:hint="eastAsia" w:ascii="宋体" w:hAnsi="宋体" w:eastAsia="宋体" w:cs="宋体"/>
          <w:color w:val="auto"/>
          <w:szCs w:val="21"/>
          <w:highlight w:val="none"/>
        </w:rPr>
        <w:t xml:space="preserve">                                     年    月    日</w:t>
      </w:r>
    </w:p>
    <w:p w14:paraId="3B7B72BC">
      <w:pPr>
        <w:spacing w:line="600" w:lineRule="exact"/>
        <w:jc w:val="center"/>
        <w:rPr>
          <w:rFonts w:ascii="宋体" w:hAnsi="宋体" w:eastAsia="宋体" w:cs="宋体"/>
          <w:b/>
          <w:bCs/>
          <w:color w:val="auto"/>
          <w:sz w:val="30"/>
          <w:szCs w:val="30"/>
          <w:highlight w:val="none"/>
        </w:rPr>
      </w:pPr>
    </w:p>
    <w:p w14:paraId="3EE74049">
      <w:pPr>
        <w:spacing w:line="600" w:lineRule="exact"/>
        <w:jc w:val="center"/>
        <w:rPr>
          <w:rFonts w:ascii="宋体" w:hAnsi="宋体" w:eastAsia="宋体" w:cs="宋体"/>
          <w:b/>
          <w:bCs/>
          <w:color w:val="auto"/>
          <w:sz w:val="30"/>
          <w:szCs w:val="30"/>
          <w:highlight w:val="none"/>
        </w:rPr>
      </w:pPr>
    </w:p>
    <w:p w14:paraId="53447F9E">
      <w:pPr>
        <w:spacing w:line="600" w:lineRule="exact"/>
        <w:jc w:val="center"/>
        <w:rPr>
          <w:rFonts w:ascii="宋体" w:hAnsi="宋体" w:eastAsia="宋体" w:cs="宋体"/>
          <w:b/>
          <w:bCs/>
          <w:color w:val="auto"/>
          <w:sz w:val="30"/>
          <w:szCs w:val="30"/>
          <w:highlight w:val="none"/>
        </w:rPr>
      </w:pPr>
    </w:p>
    <w:p w14:paraId="2833AB73">
      <w:pPr>
        <w:spacing w:line="600" w:lineRule="exact"/>
        <w:jc w:val="center"/>
        <w:rPr>
          <w:rFonts w:ascii="宋体" w:hAnsi="宋体" w:eastAsia="宋体" w:cs="宋体"/>
          <w:b/>
          <w:bCs/>
          <w:color w:val="auto"/>
          <w:sz w:val="30"/>
          <w:szCs w:val="30"/>
          <w:highlight w:val="none"/>
        </w:rPr>
      </w:pPr>
    </w:p>
    <w:p w14:paraId="2F2810F7">
      <w:pPr>
        <w:rPr>
          <w:rFonts w:ascii="Times New Roman" w:hAnsi="Times New Roman" w:eastAsia="宋体" w:cs="Times New Roman"/>
          <w:color w:val="auto"/>
          <w:szCs w:val="24"/>
          <w:highlight w:val="none"/>
        </w:rPr>
      </w:pPr>
    </w:p>
    <w:p w14:paraId="7E213E7C">
      <w:pPr>
        <w:spacing w:line="600" w:lineRule="exact"/>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七、符合特定资格条件的有关证明材料</w:t>
      </w:r>
    </w:p>
    <w:p w14:paraId="74A7746C">
      <w:pPr>
        <w:spacing w:line="600" w:lineRule="exact"/>
        <w:jc w:val="center"/>
        <w:rPr>
          <w:rFonts w:ascii="宋体" w:hAnsi="宋体" w:eastAsia="宋体" w:cs="宋体"/>
          <w:b/>
          <w:bCs/>
          <w:color w:val="auto"/>
          <w:sz w:val="30"/>
          <w:szCs w:val="30"/>
          <w:highlight w:val="none"/>
        </w:rPr>
      </w:pPr>
    </w:p>
    <w:p w14:paraId="51FDA92E">
      <w:pPr>
        <w:spacing w:line="600" w:lineRule="exact"/>
        <w:jc w:val="center"/>
        <w:rPr>
          <w:rFonts w:ascii="宋体" w:hAnsi="宋体" w:eastAsia="宋体" w:cs="宋体"/>
          <w:b/>
          <w:bCs/>
          <w:color w:val="auto"/>
          <w:sz w:val="30"/>
          <w:szCs w:val="30"/>
          <w:highlight w:val="none"/>
        </w:rPr>
      </w:pPr>
    </w:p>
    <w:p w14:paraId="7C186956">
      <w:pPr>
        <w:snapToGrid w:val="0"/>
        <w:spacing w:line="360" w:lineRule="auto"/>
        <w:ind w:firstLine="5040" w:firstLineChars="21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供应商名称(电子签章)：</w:t>
      </w:r>
    </w:p>
    <w:p w14:paraId="33DA5E0C">
      <w:pPr>
        <w:snapToGrid w:val="0"/>
        <w:spacing w:line="360" w:lineRule="auto"/>
        <w:ind w:firstLine="5160" w:firstLineChars="215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1BDADB24">
      <w:pPr>
        <w:spacing w:line="600" w:lineRule="exact"/>
        <w:jc w:val="center"/>
        <w:rPr>
          <w:rFonts w:ascii="宋体" w:hAnsi="宋体" w:eastAsia="宋体" w:cs="宋体"/>
          <w:color w:val="auto"/>
          <w:szCs w:val="20"/>
          <w:highlight w:val="none"/>
        </w:rPr>
      </w:pPr>
    </w:p>
    <w:p w14:paraId="70118034">
      <w:pPr>
        <w:autoSpaceDE w:val="0"/>
        <w:autoSpaceDN w:val="0"/>
        <w:adjustRightInd w:val="0"/>
        <w:spacing w:line="360" w:lineRule="auto"/>
        <w:ind w:firstLine="1506" w:firstLineChars="500"/>
        <w:jc w:val="left"/>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八、其他证明材料（如有）</w:t>
      </w:r>
    </w:p>
    <w:p w14:paraId="51D14600">
      <w:pPr>
        <w:wordWrap w:val="0"/>
        <w:spacing w:after="160"/>
        <w:ind w:left="2000" w:hanging="400"/>
        <w:outlineLvl w:val="5"/>
        <w:rPr>
          <w:rFonts w:ascii="宋体" w:hAnsi="宋体" w:eastAsia="宋体" w:cs="宋体"/>
          <w:b/>
          <w:color w:val="auto"/>
          <w:szCs w:val="24"/>
          <w:highlight w:val="none"/>
        </w:rPr>
      </w:pPr>
    </w:p>
    <w:p w14:paraId="31120252">
      <w:pPr>
        <w:rPr>
          <w:rFonts w:ascii="宋体" w:hAnsi="宋体" w:eastAsia="宋体" w:cs="宋体"/>
          <w:color w:val="auto"/>
          <w:szCs w:val="24"/>
          <w:highlight w:val="none"/>
        </w:rPr>
      </w:pPr>
    </w:p>
    <w:p w14:paraId="274305AD">
      <w:pPr>
        <w:snapToGrid w:val="0"/>
        <w:spacing w:line="360" w:lineRule="auto"/>
        <w:ind w:firstLine="5040" w:firstLineChars="21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供应商名称(电子签章)：</w:t>
      </w:r>
    </w:p>
    <w:p w14:paraId="37DEC722">
      <w:pPr>
        <w:snapToGrid w:val="0"/>
        <w:spacing w:line="360" w:lineRule="auto"/>
        <w:ind w:firstLine="5160" w:firstLineChars="215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4C9CF2DC">
      <w:pPr>
        <w:wordWrap w:val="0"/>
        <w:spacing w:after="160"/>
        <w:ind w:left="2000" w:hanging="400"/>
        <w:outlineLvl w:val="5"/>
        <w:rPr>
          <w:rFonts w:ascii="宋体" w:hAnsi="宋体" w:eastAsia="宋体" w:cs="宋体"/>
          <w:b/>
          <w:color w:val="auto"/>
          <w:szCs w:val="24"/>
          <w:highlight w:val="none"/>
        </w:rPr>
        <w:sectPr>
          <w:pgSz w:w="11906" w:h="16838"/>
          <w:pgMar w:top="1134" w:right="1134" w:bottom="1134" w:left="1134" w:header="720" w:footer="720" w:gutter="0"/>
          <w:cols w:space="720" w:num="1"/>
          <w:docGrid w:linePitch="331" w:charSpace="0"/>
        </w:sectPr>
      </w:pPr>
    </w:p>
    <w:p w14:paraId="645FD48B">
      <w:pPr>
        <w:jc w:val="center"/>
        <w:rPr>
          <w:rFonts w:ascii="宋体" w:hAnsi="宋体" w:eastAsia="宋体" w:cs="宋体"/>
          <w:color w:val="auto"/>
          <w:szCs w:val="21"/>
          <w:highlight w:val="none"/>
        </w:rPr>
      </w:pPr>
    </w:p>
    <w:p w14:paraId="64C43657">
      <w:pPr>
        <w:jc w:val="center"/>
        <w:outlineLvl w:val="1"/>
        <w:rPr>
          <w:rFonts w:ascii="宋体" w:hAnsi="宋体" w:eastAsia="宋体" w:cs="宋体"/>
          <w:b/>
          <w:bCs/>
          <w:color w:val="auto"/>
          <w:sz w:val="28"/>
          <w:szCs w:val="28"/>
          <w:highlight w:val="none"/>
        </w:rPr>
      </w:pPr>
      <w:bookmarkStart w:id="212" w:name="_Toc17397"/>
      <w:bookmarkStart w:id="213" w:name="_Toc146703313"/>
      <w:bookmarkStart w:id="214" w:name="_Toc80093013"/>
      <w:bookmarkStart w:id="215" w:name="_Toc19686838"/>
      <w:r>
        <w:rPr>
          <w:rFonts w:hint="eastAsia" w:ascii="宋体" w:hAnsi="宋体" w:eastAsia="宋体" w:cs="宋体"/>
          <w:b/>
          <w:bCs/>
          <w:color w:val="auto"/>
          <w:sz w:val="28"/>
          <w:szCs w:val="28"/>
          <w:highlight w:val="none"/>
        </w:rPr>
        <w:t>第三节 商务文件格式</w:t>
      </w:r>
      <w:bookmarkEnd w:id="212"/>
      <w:bookmarkEnd w:id="213"/>
      <w:bookmarkEnd w:id="214"/>
      <w:bookmarkEnd w:id="215"/>
    </w:p>
    <w:p w14:paraId="32A81857">
      <w:pPr>
        <w:snapToGrid w:val="0"/>
        <w:spacing w:before="120" w:beforeLines="50" w:after="50"/>
        <w:rPr>
          <w:rFonts w:ascii="宋体" w:hAnsi="宋体" w:eastAsia="宋体" w:cs="宋体"/>
          <w:color w:val="auto"/>
          <w:sz w:val="30"/>
          <w:szCs w:val="20"/>
          <w:highlight w:val="none"/>
        </w:rPr>
      </w:pPr>
    </w:p>
    <w:p w14:paraId="00CA1400">
      <w:pPr>
        <w:snapToGrid w:val="0"/>
        <w:spacing w:before="120" w:beforeLines="50" w:after="50"/>
        <w:rPr>
          <w:rFonts w:ascii="宋体" w:hAnsi="宋体" w:eastAsia="宋体" w:cs="宋体"/>
          <w:bCs/>
          <w:color w:val="auto"/>
          <w:sz w:val="32"/>
          <w:szCs w:val="20"/>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Cs w:val="24"/>
          <w:highlight w:val="none"/>
        </w:rPr>
        <w:t xml:space="preserve">             电子响应文件</w:t>
      </w:r>
    </w:p>
    <w:p w14:paraId="1040875A">
      <w:pPr>
        <w:snapToGrid w:val="0"/>
        <w:spacing w:before="120" w:beforeLines="50" w:after="50"/>
        <w:rPr>
          <w:rFonts w:ascii="宋体" w:hAnsi="宋体" w:eastAsia="宋体" w:cs="宋体"/>
          <w:color w:val="auto"/>
          <w:sz w:val="24"/>
          <w:szCs w:val="20"/>
          <w:highlight w:val="none"/>
        </w:rPr>
      </w:pPr>
    </w:p>
    <w:p w14:paraId="171666CE">
      <w:pPr>
        <w:snapToGrid w:val="0"/>
        <w:spacing w:before="120" w:beforeLines="50" w:after="50"/>
        <w:jc w:val="center"/>
        <w:rPr>
          <w:rFonts w:ascii="宋体" w:hAnsi="宋体" w:eastAsia="宋体" w:cs="宋体"/>
          <w:b/>
          <w:color w:val="auto"/>
          <w:sz w:val="24"/>
          <w:szCs w:val="20"/>
          <w:highlight w:val="none"/>
        </w:rPr>
      </w:pPr>
      <w:r>
        <w:rPr>
          <w:rFonts w:hint="eastAsia" w:ascii="宋体" w:hAnsi="宋体" w:eastAsia="宋体" w:cs="宋体"/>
          <w:b/>
          <w:color w:val="auto"/>
          <w:sz w:val="32"/>
          <w:szCs w:val="32"/>
          <w:highlight w:val="none"/>
        </w:rPr>
        <w:t>商务文件（封面）</w:t>
      </w:r>
    </w:p>
    <w:p w14:paraId="60E0E074">
      <w:pPr>
        <w:snapToGrid w:val="0"/>
        <w:spacing w:before="120" w:beforeLines="50" w:after="50"/>
        <w:rPr>
          <w:rFonts w:ascii="宋体" w:hAnsi="宋体" w:eastAsia="宋体" w:cs="宋体"/>
          <w:bCs/>
          <w:color w:val="auto"/>
          <w:sz w:val="24"/>
          <w:szCs w:val="20"/>
          <w:highlight w:val="none"/>
        </w:rPr>
      </w:pPr>
    </w:p>
    <w:p w14:paraId="48A2E1B2">
      <w:pPr>
        <w:snapToGrid w:val="0"/>
        <w:spacing w:before="120" w:beforeLines="50" w:after="50"/>
        <w:ind w:firstLine="540" w:firstLineChars="225"/>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p>
    <w:p w14:paraId="13E72FB0">
      <w:pPr>
        <w:snapToGrid w:val="0"/>
        <w:spacing w:before="120" w:beforeLines="50" w:after="50"/>
        <w:ind w:firstLine="540" w:firstLineChars="225"/>
        <w:rPr>
          <w:rFonts w:ascii="宋体" w:hAnsi="宋体" w:eastAsia="宋体" w:cs="宋体"/>
          <w:bCs/>
          <w:color w:val="auto"/>
          <w:sz w:val="24"/>
          <w:szCs w:val="24"/>
          <w:highlight w:val="none"/>
        </w:rPr>
      </w:pPr>
    </w:p>
    <w:p w14:paraId="6C05789B">
      <w:pPr>
        <w:snapToGrid w:val="0"/>
        <w:spacing w:before="120" w:beforeLines="50" w:after="50"/>
        <w:ind w:firstLine="540" w:firstLineChars="225"/>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项目编号：</w:t>
      </w:r>
    </w:p>
    <w:p w14:paraId="16B5485F">
      <w:pPr>
        <w:snapToGrid w:val="0"/>
        <w:spacing w:before="120" w:beforeLines="50" w:after="50"/>
        <w:ind w:firstLine="540" w:firstLineChars="225"/>
        <w:rPr>
          <w:rFonts w:ascii="宋体" w:hAnsi="宋体" w:eastAsia="宋体" w:cs="宋体"/>
          <w:bCs/>
          <w:color w:val="auto"/>
          <w:sz w:val="24"/>
          <w:szCs w:val="20"/>
          <w:highlight w:val="none"/>
        </w:rPr>
      </w:pPr>
      <w:r>
        <w:rPr>
          <w:rFonts w:hint="eastAsia" w:ascii="宋体" w:hAnsi="宋体" w:eastAsia="宋体" w:cs="宋体"/>
          <w:bCs/>
          <w:color w:val="auto"/>
          <w:sz w:val="24"/>
          <w:szCs w:val="24"/>
          <w:highlight w:val="none"/>
        </w:rPr>
        <w:t xml:space="preserve"> </w:t>
      </w:r>
    </w:p>
    <w:p w14:paraId="2697A8A7">
      <w:pPr>
        <w:snapToGrid w:val="0"/>
        <w:spacing w:before="120" w:beforeLines="50" w:after="50"/>
        <w:ind w:firstLine="540" w:firstLineChars="225"/>
        <w:rPr>
          <w:rFonts w:ascii="宋体" w:hAnsi="宋体" w:eastAsia="宋体" w:cs="宋体"/>
          <w:bCs/>
          <w:color w:val="auto"/>
          <w:sz w:val="24"/>
          <w:szCs w:val="20"/>
          <w:highlight w:val="none"/>
        </w:rPr>
      </w:pPr>
    </w:p>
    <w:p w14:paraId="0A0B7BEA">
      <w:pPr>
        <w:snapToGrid w:val="0"/>
        <w:spacing w:before="50" w:after="50"/>
        <w:ind w:firstLine="540" w:firstLineChars="225"/>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供应商名称：</w:t>
      </w:r>
    </w:p>
    <w:p w14:paraId="2F6F7664">
      <w:pPr>
        <w:snapToGrid w:val="0"/>
        <w:spacing w:before="50" w:after="50"/>
        <w:ind w:firstLine="540" w:firstLineChars="225"/>
        <w:rPr>
          <w:rFonts w:ascii="宋体" w:hAnsi="宋体" w:eastAsia="宋体" w:cs="宋体"/>
          <w:bCs/>
          <w:color w:val="auto"/>
          <w:sz w:val="24"/>
          <w:szCs w:val="24"/>
          <w:highlight w:val="none"/>
        </w:rPr>
      </w:pPr>
    </w:p>
    <w:p w14:paraId="6617714C">
      <w:pPr>
        <w:snapToGrid w:val="0"/>
        <w:spacing w:before="50" w:after="50"/>
        <w:ind w:firstLine="540" w:firstLineChars="225"/>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供应商地址：</w:t>
      </w:r>
    </w:p>
    <w:p w14:paraId="53AE3F72">
      <w:pPr>
        <w:snapToGrid w:val="0"/>
        <w:spacing w:before="50" w:after="50"/>
        <w:ind w:firstLine="960" w:firstLineChars="400"/>
        <w:rPr>
          <w:rFonts w:ascii="宋体" w:hAnsi="宋体" w:eastAsia="宋体" w:cs="宋体"/>
          <w:bCs/>
          <w:color w:val="auto"/>
          <w:sz w:val="24"/>
          <w:szCs w:val="24"/>
          <w:highlight w:val="none"/>
        </w:rPr>
      </w:pPr>
    </w:p>
    <w:p w14:paraId="46444219">
      <w:pPr>
        <w:snapToGrid w:val="0"/>
        <w:spacing w:before="120" w:beforeLines="50" w:after="50"/>
        <w:ind w:firstLine="64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12F48F21">
      <w:pPr>
        <w:snapToGrid w:val="0"/>
        <w:spacing w:before="120" w:beforeLines="50" w:after="50"/>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14:paraId="2760B2AC">
      <w:pPr>
        <w:spacing w:line="360" w:lineRule="auto"/>
        <w:ind w:right="420"/>
        <w:rPr>
          <w:rFonts w:ascii="宋体" w:hAnsi="宋体" w:eastAsia="宋体" w:cs="宋体"/>
          <w:color w:val="auto"/>
          <w:sz w:val="24"/>
          <w:szCs w:val="20"/>
          <w:highlight w:val="none"/>
        </w:rPr>
      </w:pPr>
    </w:p>
    <w:p w14:paraId="46FE16EE">
      <w:pPr>
        <w:spacing w:line="360" w:lineRule="auto"/>
        <w:ind w:right="420"/>
        <w:rPr>
          <w:rFonts w:ascii="宋体" w:hAnsi="宋体" w:eastAsia="宋体" w:cs="宋体"/>
          <w:color w:val="auto"/>
          <w:sz w:val="24"/>
          <w:szCs w:val="20"/>
          <w:highlight w:val="none"/>
        </w:rPr>
      </w:pPr>
    </w:p>
    <w:p w14:paraId="2F4E909C">
      <w:pPr>
        <w:spacing w:line="360" w:lineRule="auto"/>
        <w:ind w:right="420"/>
        <w:rPr>
          <w:rFonts w:ascii="宋体" w:hAnsi="宋体" w:eastAsia="宋体" w:cs="宋体"/>
          <w:color w:val="auto"/>
          <w:sz w:val="24"/>
          <w:szCs w:val="20"/>
          <w:highlight w:val="none"/>
        </w:rPr>
      </w:pPr>
    </w:p>
    <w:p w14:paraId="78AB913B">
      <w:pPr>
        <w:spacing w:line="360" w:lineRule="auto"/>
        <w:ind w:right="420"/>
        <w:rPr>
          <w:rFonts w:ascii="宋体" w:hAnsi="宋体" w:eastAsia="宋体" w:cs="宋体"/>
          <w:color w:val="auto"/>
          <w:sz w:val="24"/>
          <w:szCs w:val="20"/>
          <w:highlight w:val="none"/>
        </w:rPr>
      </w:pPr>
    </w:p>
    <w:p w14:paraId="47D68F44">
      <w:pPr>
        <w:spacing w:line="360" w:lineRule="auto"/>
        <w:ind w:right="420"/>
        <w:rPr>
          <w:rFonts w:ascii="宋体" w:hAnsi="宋体" w:eastAsia="宋体" w:cs="宋体"/>
          <w:color w:val="auto"/>
          <w:sz w:val="24"/>
          <w:szCs w:val="20"/>
          <w:highlight w:val="none"/>
        </w:rPr>
      </w:pPr>
    </w:p>
    <w:p w14:paraId="62A8E3BC">
      <w:pPr>
        <w:spacing w:line="360" w:lineRule="auto"/>
        <w:ind w:right="420"/>
        <w:rPr>
          <w:rFonts w:ascii="宋体" w:hAnsi="宋体" w:eastAsia="宋体" w:cs="宋体"/>
          <w:color w:val="auto"/>
          <w:sz w:val="24"/>
          <w:szCs w:val="20"/>
          <w:highlight w:val="none"/>
        </w:rPr>
      </w:pPr>
    </w:p>
    <w:p w14:paraId="3E6DECDD">
      <w:pPr>
        <w:spacing w:line="360" w:lineRule="auto"/>
        <w:ind w:right="420"/>
        <w:rPr>
          <w:rFonts w:ascii="宋体" w:hAnsi="宋体" w:eastAsia="宋体" w:cs="宋体"/>
          <w:color w:val="auto"/>
          <w:sz w:val="24"/>
          <w:szCs w:val="20"/>
          <w:highlight w:val="none"/>
        </w:rPr>
      </w:pPr>
    </w:p>
    <w:p w14:paraId="4EC7ED9A">
      <w:pPr>
        <w:spacing w:line="360" w:lineRule="auto"/>
        <w:ind w:right="420"/>
        <w:rPr>
          <w:rFonts w:ascii="宋体" w:hAnsi="宋体" w:eastAsia="宋体" w:cs="宋体"/>
          <w:color w:val="auto"/>
          <w:sz w:val="24"/>
          <w:szCs w:val="20"/>
          <w:highlight w:val="none"/>
        </w:rPr>
      </w:pPr>
    </w:p>
    <w:p w14:paraId="57FA5BCE">
      <w:pPr>
        <w:spacing w:line="360" w:lineRule="auto"/>
        <w:ind w:right="420"/>
        <w:rPr>
          <w:rFonts w:ascii="宋体" w:hAnsi="宋体" w:eastAsia="宋体" w:cs="宋体"/>
          <w:color w:val="auto"/>
          <w:sz w:val="24"/>
          <w:szCs w:val="20"/>
          <w:highlight w:val="none"/>
        </w:rPr>
      </w:pPr>
    </w:p>
    <w:p w14:paraId="517867E6">
      <w:pPr>
        <w:keepNext/>
        <w:keepLines/>
        <w:spacing w:before="340" w:after="330" w:line="576" w:lineRule="auto"/>
        <w:outlineLvl w:val="0"/>
        <w:rPr>
          <w:rFonts w:ascii="Times New Roman" w:hAnsi="Times New Roman" w:eastAsia="宋体" w:cs="Times New Roman"/>
          <w:b/>
          <w:bCs/>
          <w:color w:val="auto"/>
          <w:kern w:val="44"/>
          <w:sz w:val="44"/>
          <w:szCs w:val="44"/>
          <w:highlight w:val="none"/>
        </w:rPr>
      </w:pPr>
    </w:p>
    <w:p w14:paraId="5EC1BDCF">
      <w:pPr>
        <w:rPr>
          <w:rFonts w:ascii="Times New Roman" w:hAnsi="Times New Roman" w:eastAsia="宋体" w:cs="Times New Roman"/>
          <w:color w:val="auto"/>
          <w:szCs w:val="24"/>
          <w:highlight w:val="none"/>
        </w:rPr>
      </w:pPr>
    </w:p>
    <w:p w14:paraId="1D423DD7">
      <w:pPr>
        <w:spacing w:line="360" w:lineRule="auto"/>
        <w:ind w:right="420"/>
        <w:rPr>
          <w:rFonts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 xml:space="preserve"> </w:t>
      </w:r>
    </w:p>
    <w:p w14:paraId="32805681">
      <w:pPr>
        <w:rPr>
          <w:rFonts w:ascii="宋体" w:hAnsi="宋体" w:eastAsia="宋体" w:cs="宋体"/>
          <w:b/>
          <w:color w:val="auto"/>
          <w:kern w:val="0"/>
          <w:sz w:val="24"/>
          <w:szCs w:val="24"/>
          <w:highlight w:val="none"/>
        </w:rPr>
      </w:pPr>
    </w:p>
    <w:p w14:paraId="1541991B">
      <w:pPr>
        <w:jc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商务文件目录</w:t>
      </w:r>
    </w:p>
    <w:p w14:paraId="61466745">
      <w:pPr>
        <w:adjustRightInd w:val="0"/>
        <w:spacing w:line="360" w:lineRule="auto"/>
        <w:ind w:left="2"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一、无串标行为承诺函…………………………………………………………………（页码）</w:t>
      </w:r>
    </w:p>
    <w:p w14:paraId="1E8C0C05">
      <w:pPr>
        <w:adjustRightInd w:val="0"/>
        <w:spacing w:line="360" w:lineRule="auto"/>
        <w:ind w:left="2"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二、法定代表人身份证明及法定代表人有效身份证正反面复印件………（页码）</w:t>
      </w:r>
    </w:p>
    <w:p w14:paraId="4630B752">
      <w:pPr>
        <w:adjustRightInd w:val="0"/>
        <w:spacing w:line="360" w:lineRule="auto"/>
        <w:ind w:left="2"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三、法定代表人授权委托书（如有委托时）……………………………………（页码）</w:t>
      </w:r>
    </w:p>
    <w:p w14:paraId="3A83661E">
      <w:pPr>
        <w:adjustRightInd w:val="0"/>
        <w:spacing w:line="360" w:lineRule="auto"/>
        <w:ind w:left="2"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zh-CN"/>
        </w:rPr>
        <w:t>商务条款偏离表………………………………</w:t>
      </w:r>
      <w:r>
        <w:rPr>
          <w:rFonts w:hint="eastAsia" w:ascii="宋体" w:hAnsi="宋体" w:eastAsia="宋体" w:cs="宋体"/>
          <w:color w:val="auto"/>
          <w:sz w:val="24"/>
          <w:szCs w:val="24"/>
          <w:highlight w:val="none"/>
        </w:rPr>
        <w:t>……………………………………（页码）</w:t>
      </w:r>
    </w:p>
    <w:p w14:paraId="25174349">
      <w:pPr>
        <w:adjustRightInd w:val="0"/>
        <w:spacing w:line="360" w:lineRule="auto"/>
        <w:ind w:left="2" w:firstLine="480" w:firstLineChars="200"/>
        <w:rPr>
          <w:rFonts w:ascii="宋体" w:hAnsi="宋体" w:eastAsia="宋体" w:cs="宋体"/>
          <w:color w:val="auto"/>
          <w:sz w:val="24"/>
          <w:szCs w:val="24"/>
          <w:highlight w:val="none"/>
        </w:rPr>
      </w:pPr>
      <w:bookmarkStart w:id="216" w:name="OLE_LINK7"/>
      <w:bookmarkStart w:id="217" w:name="OLE_LINK6"/>
      <w:bookmarkStart w:id="218" w:name="OLE_LINK5"/>
      <w:r>
        <w:rPr>
          <w:rFonts w:hint="eastAsia" w:ascii="宋体" w:hAnsi="宋体" w:eastAsia="宋体" w:cs="宋体"/>
          <w:color w:val="auto"/>
          <w:sz w:val="24"/>
          <w:szCs w:val="24"/>
          <w:highlight w:val="none"/>
        </w:rPr>
        <w:t>五、人员配备一览表…………………………………………………………（页码）</w:t>
      </w:r>
    </w:p>
    <w:p w14:paraId="083D73D5">
      <w:pPr>
        <w:adjustRightInd w:val="0"/>
        <w:spacing w:line="360" w:lineRule="auto"/>
        <w:ind w:left="2"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六、供应商类似业绩证明文件</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…（页码）</w:t>
      </w:r>
      <w:bookmarkEnd w:id="216"/>
      <w:bookmarkEnd w:id="217"/>
    </w:p>
    <w:p w14:paraId="1CB27F8F">
      <w:pPr>
        <w:adjustRightInd w:val="0"/>
        <w:spacing w:line="360" w:lineRule="auto"/>
        <w:ind w:left="2"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七、企业信誉证明文件</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…（页码）</w:t>
      </w:r>
    </w:p>
    <w:p w14:paraId="6DBD7029">
      <w:pPr>
        <w:adjustRightInd w:val="0"/>
        <w:spacing w:line="360" w:lineRule="auto"/>
        <w:ind w:left="2"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八、其他商务文件或说明</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…（页码）</w:t>
      </w:r>
    </w:p>
    <w:bookmarkEnd w:id="218"/>
    <w:p w14:paraId="12C7B340">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注：以上目录是基本格式要求，各供应商可根据自身情况进一步向下增加内容或细化。</w:t>
      </w:r>
    </w:p>
    <w:p w14:paraId="4BD59800">
      <w:pPr>
        <w:snapToGrid w:val="0"/>
        <w:spacing w:line="360" w:lineRule="auto"/>
        <w:ind w:firstLine="420" w:firstLineChars="200"/>
        <w:jc w:val="left"/>
        <w:rPr>
          <w:rFonts w:ascii="宋体" w:hAnsi="宋体" w:eastAsia="宋体" w:cs="宋体"/>
          <w:color w:val="auto"/>
          <w:szCs w:val="24"/>
          <w:highlight w:val="none"/>
        </w:rPr>
        <w:sectPr>
          <w:pgSz w:w="11906" w:h="16838"/>
          <w:pgMar w:top="1134" w:right="1134" w:bottom="1134" w:left="1134" w:header="720" w:footer="720" w:gutter="0"/>
          <w:cols w:space="720" w:num="1"/>
          <w:docGrid w:linePitch="331" w:charSpace="0"/>
        </w:sectPr>
      </w:pPr>
    </w:p>
    <w:p w14:paraId="7B6B6077">
      <w:pPr>
        <w:snapToGrid w:val="0"/>
        <w:spacing w:before="120" w:beforeLines="50" w:after="50"/>
        <w:ind w:left="420"/>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一、无串标行为承诺函</w:t>
      </w:r>
    </w:p>
    <w:p w14:paraId="26800864">
      <w:pPr>
        <w:snapToGrid w:val="0"/>
        <w:spacing w:before="120" w:beforeLines="50" w:after="50"/>
        <w:ind w:left="420"/>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供应商参加本项目无围标串标行为的承诺函</w:t>
      </w:r>
    </w:p>
    <w:p w14:paraId="3A183A64">
      <w:pPr>
        <w:snapToGrid w:val="0"/>
        <w:spacing w:before="120" w:beforeLines="50" w:after="50"/>
        <w:rPr>
          <w:rFonts w:ascii="宋体" w:hAnsi="宋体" w:eastAsia="宋体" w:cs="宋体"/>
          <w:b/>
          <w:color w:val="auto"/>
          <w:szCs w:val="21"/>
          <w:highlight w:val="none"/>
        </w:rPr>
      </w:pPr>
    </w:p>
    <w:p w14:paraId="6D2987A3">
      <w:pPr>
        <w:snapToGrid w:val="0"/>
        <w:spacing w:before="120" w:beforeLines="50" w:after="50"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一、我方承诺无下列相互串通响应的情形：</w:t>
      </w:r>
    </w:p>
    <w:p w14:paraId="7B058DA6">
      <w:pPr>
        <w:snapToGrid w:val="0"/>
        <w:spacing w:before="120" w:beforeLines="50" w:after="50" w:line="360" w:lineRule="auto"/>
        <w:ind w:firstLine="411" w:firstLineChars="196"/>
        <w:jc w:val="left"/>
        <w:rPr>
          <w:rFonts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1.不同供应商的响应文件由同一单位或者个人编制；或者不同供应商报名的IP地址一致的；</w:t>
      </w:r>
    </w:p>
    <w:p w14:paraId="262C912B">
      <w:pPr>
        <w:snapToGrid w:val="0"/>
        <w:spacing w:before="120" w:beforeLines="50" w:after="50" w:line="360" w:lineRule="auto"/>
        <w:ind w:firstLine="411" w:firstLineChars="196"/>
        <w:jc w:val="left"/>
        <w:rPr>
          <w:rFonts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2.不同供应商委托同一单位或者个人办理响应事宜；</w:t>
      </w:r>
    </w:p>
    <w:p w14:paraId="23B4056C">
      <w:pPr>
        <w:snapToGrid w:val="0"/>
        <w:spacing w:before="120" w:beforeLines="50" w:after="50" w:line="360" w:lineRule="auto"/>
        <w:ind w:firstLine="411" w:firstLineChars="196"/>
        <w:jc w:val="left"/>
        <w:rPr>
          <w:rFonts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29252D5F">
      <w:pPr>
        <w:snapToGrid w:val="0"/>
        <w:spacing w:before="120" w:beforeLines="50" w:after="50" w:line="360" w:lineRule="auto"/>
        <w:ind w:firstLine="411" w:firstLineChars="196"/>
        <w:jc w:val="left"/>
        <w:rPr>
          <w:rFonts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4.不同供应商的响应文件异常一致或者响应报价呈规律性差异；</w:t>
      </w:r>
    </w:p>
    <w:p w14:paraId="2C70DC33">
      <w:pPr>
        <w:snapToGrid w:val="0"/>
        <w:spacing w:before="120" w:beforeLines="50" w:after="50" w:line="360" w:lineRule="auto"/>
        <w:ind w:firstLine="411" w:firstLineChars="196"/>
        <w:jc w:val="left"/>
        <w:rPr>
          <w:rFonts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155F73B1">
      <w:pPr>
        <w:snapToGrid w:val="0"/>
        <w:spacing w:before="120" w:beforeLines="50" w:after="50" w:line="360" w:lineRule="auto"/>
        <w:ind w:firstLine="411" w:firstLineChars="196"/>
        <w:jc w:val="left"/>
        <w:rPr>
          <w:rFonts w:ascii="宋体" w:hAnsi="宋体" w:eastAsia="宋体" w:cs="宋体"/>
          <w:color w:val="auto"/>
          <w:szCs w:val="21"/>
          <w:highlight w:val="none"/>
        </w:rPr>
      </w:pPr>
      <w:r>
        <w:rPr>
          <w:rFonts w:hint="eastAsia" w:ascii="宋体" w:hAnsi="宋体" w:eastAsia="宋体" w:cs="宋体"/>
          <w:color w:val="auto"/>
          <w:szCs w:val="21"/>
          <w:highlight w:val="none"/>
        </w:rPr>
        <w:t>6.不同供应商的响应保证金从同一单位或者个人账户转出。</w:t>
      </w:r>
    </w:p>
    <w:p w14:paraId="380E8831">
      <w:pPr>
        <w:snapToGrid w:val="0"/>
        <w:spacing w:before="120" w:beforeLines="50" w:after="50" w:line="360" w:lineRule="auto"/>
        <w:jc w:val="left"/>
        <w:rPr>
          <w:rFonts w:ascii="宋体" w:hAnsi="宋体" w:eastAsia="宋体" w:cs="宋体"/>
          <w:color w:val="auto"/>
          <w:szCs w:val="21"/>
          <w:highlight w:val="none"/>
        </w:rPr>
      </w:pPr>
      <w:r>
        <w:rPr>
          <w:rFonts w:hint="eastAsia" w:ascii="宋体" w:hAnsi="宋体" w:eastAsia="宋体" w:cs="宋体"/>
          <w:b/>
          <w:color w:val="auto"/>
          <w:szCs w:val="21"/>
          <w:highlight w:val="none"/>
        </w:rPr>
        <w:t>二、我方承诺无下列恶意串通的情形：</w:t>
      </w:r>
    </w:p>
    <w:p w14:paraId="06E2B5E2">
      <w:pPr>
        <w:snapToGrid w:val="0"/>
        <w:spacing w:before="120" w:beforeLines="50" w:after="50" w:line="360" w:lineRule="auto"/>
        <w:ind w:firstLine="411" w:firstLineChars="196"/>
        <w:jc w:val="left"/>
        <w:rPr>
          <w:rFonts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1.供应商直接或者间接从采购人或者采购代理机构处获得其他供应商的相关信息并修改其响应文件或者响应文件；</w:t>
      </w:r>
    </w:p>
    <w:p w14:paraId="2639DFD0">
      <w:pPr>
        <w:snapToGrid w:val="0"/>
        <w:spacing w:before="120" w:beforeLines="50" w:after="50" w:line="360" w:lineRule="auto"/>
        <w:ind w:firstLine="411" w:firstLineChars="196"/>
        <w:jc w:val="left"/>
        <w:rPr>
          <w:rFonts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2.供应商按照采购人或者采购代理机构的授意撤换、修改响应文件或者响应文件；</w:t>
      </w:r>
    </w:p>
    <w:p w14:paraId="0BD6BFB5">
      <w:pPr>
        <w:snapToGrid w:val="0"/>
        <w:spacing w:before="120" w:beforeLines="50" w:after="50" w:line="360" w:lineRule="auto"/>
        <w:ind w:firstLine="411" w:firstLineChars="196"/>
        <w:jc w:val="left"/>
        <w:rPr>
          <w:rFonts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721E7312">
      <w:pPr>
        <w:snapToGrid w:val="0"/>
        <w:spacing w:before="120" w:beforeLines="50" w:after="50" w:line="360" w:lineRule="auto"/>
        <w:ind w:firstLine="411" w:firstLineChars="196"/>
        <w:jc w:val="left"/>
        <w:rPr>
          <w:rFonts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60AC423F">
      <w:pPr>
        <w:snapToGrid w:val="0"/>
        <w:spacing w:before="120" w:beforeLines="50" w:after="50" w:line="360" w:lineRule="auto"/>
        <w:ind w:firstLine="411" w:firstLineChars="196"/>
        <w:jc w:val="left"/>
        <w:rPr>
          <w:rFonts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5.供应商之间事先约定一致抬高或者压低响应报价，或者在征集项目中事先约定轮流以高价位或者低价位入围，或者事先约定由某一特定供应商入围，然后再参加响应；</w:t>
      </w:r>
    </w:p>
    <w:p w14:paraId="2E02352D">
      <w:pPr>
        <w:snapToGrid w:val="0"/>
        <w:spacing w:before="120" w:beforeLines="50" w:after="50" w:line="360" w:lineRule="auto"/>
        <w:ind w:firstLine="411" w:firstLineChars="196"/>
        <w:jc w:val="left"/>
        <w:rPr>
          <w:rFonts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6.供应商之间商定部分供应商放弃参加政府采购活动或者放弃入围；</w:t>
      </w:r>
    </w:p>
    <w:p w14:paraId="073E48EF">
      <w:pPr>
        <w:snapToGrid w:val="0"/>
        <w:spacing w:before="120" w:beforeLines="50" w:after="50" w:line="360" w:lineRule="auto"/>
        <w:ind w:firstLine="411" w:firstLineChars="196"/>
        <w:jc w:val="left"/>
        <w:rPr>
          <w:rFonts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7.供应商与采购人或者采购代理机构之间、供应商相互之间，为谋求特定供应商入围或者排斥其他供应商的其他串通行为。</w:t>
      </w:r>
    </w:p>
    <w:p w14:paraId="0FF6801B">
      <w:pPr>
        <w:snapToGrid w:val="0"/>
        <w:spacing w:before="120" w:beforeLines="50" w:after="50" w:line="360" w:lineRule="auto"/>
        <w:ind w:firstLine="413" w:firstLineChars="196"/>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以上情形一经核查属实，我方愿意承担一切后果，并不再寻求任何旨在减轻或者免除法律责任的辩解。</w:t>
      </w:r>
    </w:p>
    <w:p w14:paraId="449BD988">
      <w:pPr>
        <w:snapToGrid w:val="0"/>
        <w:spacing w:line="360" w:lineRule="auto"/>
        <w:ind w:firstLine="4935" w:firstLineChars="2350"/>
        <w:rPr>
          <w:rFonts w:ascii="宋体" w:hAnsi="宋体" w:eastAsia="宋体" w:cs="宋体"/>
          <w:color w:val="auto"/>
          <w:kern w:val="0"/>
          <w:sz w:val="24"/>
          <w:szCs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szCs w:val="24"/>
          <w:highlight w:val="none"/>
          <w:lang w:val="zh-CN"/>
        </w:rPr>
        <w:t>供应商名称(电子签章)：</w:t>
      </w:r>
    </w:p>
    <w:p w14:paraId="135FFF9A">
      <w:pPr>
        <w:snapToGrid w:val="0"/>
        <w:spacing w:line="360" w:lineRule="auto"/>
        <w:ind w:firstLine="5160" w:firstLineChars="215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77466358">
      <w:pPr>
        <w:snapToGrid w:val="0"/>
        <w:spacing w:before="295" w:after="295" w:line="360" w:lineRule="auto"/>
        <w:jc w:val="center"/>
        <w:rPr>
          <w:rFonts w:ascii="宋体" w:hAnsi="宋体" w:eastAsia="宋体" w:cs="宋体"/>
          <w:b/>
          <w:color w:val="auto"/>
          <w:sz w:val="24"/>
          <w:szCs w:val="20"/>
          <w:highlight w:val="none"/>
        </w:rPr>
      </w:pPr>
      <w:r>
        <w:rPr>
          <w:rFonts w:hint="eastAsia" w:ascii="宋体" w:hAnsi="宋体" w:eastAsia="宋体" w:cs="宋体"/>
          <w:b/>
          <w:color w:val="auto"/>
          <w:sz w:val="24"/>
          <w:szCs w:val="20"/>
          <w:highlight w:val="none"/>
        </w:rPr>
        <w:br w:type="page"/>
      </w:r>
      <w:r>
        <w:rPr>
          <w:rFonts w:hint="eastAsia" w:ascii="宋体" w:hAnsi="宋体" w:eastAsia="宋体" w:cs="宋体"/>
          <w:b/>
          <w:bCs/>
          <w:color w:val="auto"/>
          <w:sz w:val="30"/>
          <w:szCs w:val="30"/>
          <w:highlight w:val="none"/>
        </w:rPr>
        <w:t>二、法定代表人身份证明</w:t>
      </w:r>
    </w:p>
    <w:p w14:paraId="54B9B8BE">
      <w:pPr>
        <w:spacing w:before="240" w:beforeLines="100" w:after="120" w:afterLines="50"/>
        <w:ind w:left="540"/>
        <w:jc w:val="center"/>
        <w:rPr>
          <w:rFonts w:ascii="宋体" w:hAnsi="宋体" w:eastAsia="宋体" w:cs="宋体"/>
          <w:b/>
          <w:color w:val="auto"/>
          <w:sz w:val="32"/>
          <w:szCs w:val="32"/>
          <w:highlight w:val="none"/>
        </w:rPr>
      </w:pPr>
    </w:p>
    <w:p w14:paraId="6DEF2277">
      <w:pPr>
        <w:spacing w:before="240" w:beforeLines="100" w:after="120" w:afterLines="50"/>
        <w:ind w:left="540"/>
        <w:jc w:val="center"/>
        <w:rPr>
          <w:rFonts w:ascii="宋体" w:hAnsi="宋体" w:eastAsia="宋体" w:cs="宋体"/>
          <w:color w:val="auto"/>
          <w:sz w:val="32"/>
          <w:szCs w:val="32"/>
          <w:highlight w:val="none"/>
        </w:rPr>
      </w:pPr>
      <w:r>
        <w:rPr>
          <w:rFonts w:hint="eastAsia" w:ascii="宋体" w:hAnsi="宋体" w:eastAsia="宋体" w:cs="宋体"/>
          <w:b/>
          <w:color w:val="auto"/>
          <w:sz w:val="32"/>
          <w:szCs w:val="32"/>
          <w:highlight w:val="none"/>
        </w:rPr>
        <w:t>法定代表人身份证明</w:t>
      </w:r>
    </w:p>
    <w:p w14:paraId="3906825E">
      <w:pPr>
        <w:spacing w:line="500" w:lineRule="exact"/>
        <w:ind w:left="54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p>
    <w:p w14:paraId="6926B289">
      <w:pPr>
        <w:spacing w:line="500" w:lineRule="exact"/>
        <w:ind w:left="54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7142DDEF">
      <w:pPr>
        <w:spacing w:line="500" w:lineRule="exact"/>
        <w:ind w:left="54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 xml:space="preserve">                </w:t>
      </w:r>
    </w:p>
    <w:p w14:paraId="726C38B3">
      <w:pPr>
        <w:spacing w:line="500" w:lineRule="exact"/>
        <w:ind w:left="54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14:paraId="346A2A78">
      <w:pPr>
        <w:spacing w:line="500" w:lineRule="exact"/>
        <w:ind w:left="54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5D027E55">
      <w:pPr>
        <w:spacing w:line="500" w:lineRule="exact"/>
        <w:ind w:left="54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（供应商名称）              </w:t>
      </w:r>
      <w:r>
        <w:rPr>
          <w:rFonts w:hint="eastAsia" w:ascii="宋体" w:hAnsi="宋体" w:eastAsia="宋体" w:cs="宋体"/>
          <w:color w:val="auto"/>
          <w:sz w:val="24"/>
          <w:szCs w:val="24"/>
          <w:highlight w:val="none"/>
        </w:rPr>
        <w:t>的法定代表人。</w:t>
      </w:r>
    </w:p>
    <w:p w14:paraId="617AD28A">
      <w:pPr>
        <w:spacing w:line="500" w:lineRule="exact"/>
        <w:ind w:left="54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27A4C190">
      <w:pPr>
        <w:spacing w:line="500" w:lineRule="exact"/>
        <w:ind w:left="540"/>
        <w:rPr>
          <w:rFonts w:ascii="宋体" w:hAnsi="宋体" w:eastAsia="宋体" w:cs="宋体"/>
          <w:color w:val="auto"/>
          <w:sz w:val="24"/>
          <w:szCs w:val="24"/>
          <w:highlight w:val="none"/>
        </w:rPr>
      </w:pPr>
    </w:p>
    <w:p w14:paraId="1FB61C59">
      <w:pPr>
        <w:spacing w:line="500" w:lineRule="exact"/>
        <w:ind w:left="540"/>
        <w:rPr>
          <w:rFonts w:ascii="宋体" w:hAnsi="宋体" w:eastAsia="宋体" w:cs="宋体"/>
          <w:color w:val="auto"/>
          <w:sz w:val="24"/>
          <w:szCs w:val="24"/>
          <w:highlight w:val="none"/>
        </w:rPr>
      </w:pPr>
    </w:p>
    <w:p w14:paraId="03499A99">
      <w:pPr>
        <w:spacing w:line="500" w:lineRule="exact"/>
        <w:ind w:left="54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附件：法定代表人有效身份证正反面复印件</w:t>
      </w:r>
    </w:p>
    <w:p w14:paraId="2F287C42">
      <w:pPr>
        <w:spacing w:line="500" w:lineRule="exact"/>
        <w:ind w:left="540"/>
        <w:rPr>
          <w:rFonts w:ascii="宋体" w:hAnsi="宋体" w:eastAsia="宋体" w:cs="宋体"/>
          <w:color w:val="auto"/>
          <w:sz w:val="24"/>
          <w:szCs w:val="24"/>
          <w:highlight w:val="none"/>
        </w:rPr>
      </w:pPr>
    </w:p>
    <w:p w14:paraId="2776C5F0">
      <w:pPr>
        <w:snapToGrid w:val="0"/>
        <w:spacing w:line="360" w:lineRule="auto"/>
        <w:ind w:firstLine="4935" w:firstLineChars="2350"/>
        <w:rPr>
          <w:rFonts w:ascii="宋体" w:hAnsi="宋体" w:eastAsia="宋体" w:cs="宋体"/>
          <w:color w:val="auto"/>
          <w:kern w:val="0"/>
          <w:sz w:val="24"/>
          <w:szCs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szCs w:val="24"/>
          <w:highlight w:val="none"/>
          <w:lang w:val="zh-CN"/>
        </w:rPr>
        <w:t>供应商名称(电子签章)：</w:t>
      </w:r>
    </w:p>
    <w:p w14:paraId="2378A0F7">
      <w:pPr>
        <w:snapToGrid w:val="0"/>
        <w:spacing w:line="360" w:lineRule="auto"/>
        <w:ind w:firstLine="5160" w:firstLineChars="215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073DF7BC">
      <w:pPr>
        <w:snapToGrid w:val="0"/>
        <w:spacing w:before="120" w:beforeLines="50" w:after="50"/>
        <w:jc w:val="center"/>
        <w:rPr>
          <w:rFonts w:ascii="宋体" w:hAnsi="宋体" w:eastAsia="宋体" w:cs="宋体"/>
          <w:b/>
          <w:color w:val="auto"/>
          <w:sz w:val="24"/>
          <w:szCs w:val="24"/>
          <w:highlight w:val="none"/>
        </w:rPr>
      </w:pPr>
    </w:p>
    <w:p w14:paraId="7087BB31">
      <w:pPr>
        <w:snapToGrid w:val="0"/>
        <w:spacing w:before="120" w:beforeLines="50" w:after="50"/>
        <w:ind w:firstLine="600" w:firstLineChars="25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注：自然人响应的无需提供</w:t>
      </w:r>
    </w:p>
    <w:p w14:paraId="16E95C1A">
      <w:pPr>
        <w:snapToGrid w:val="0"/>
        <w:spacing w:before="120" w:beforeLines="50" w:after="50"/>
        <w:ind w:firstLine="600" w:firstLineChars="250"/>
        <w:jc w:val="left"/>
        <w:rPr>
          <w:rFonts w:ascii="宋体" w:hAnsi="宋体" w:eastAsia="宋体" w:cs="宋体"/>
          <w:color w:val="auto"/>
          <w:sz w:val="24"/>
          <w:szCs w:val="24"/>
          <w:highlight w:val="none"/>
        </w:rPr>
      </w:pPr>
    </w:p>
    <w:p w14:paraId="5E725418">
      <w:pPr>
        <w:snapToGrid w:val="0"/>
        <w:spacing w:before="120" w:beforeLines="50" w:after="50"/>
        <w:ind w:firstLine="602" w:firstLineChars="250"/>
        <w:jc w:val="left"/>
        <w:rPr>
          <w:rFonts w:ascii="宋体" w:hAnsi="宋体" w:eastAsia="宋体" w:cs="宋体"/>
          <w:b/>
          <w:color w:val="auto"/>
          <w:sz w:val="24"/>
          <w:szCs w:val="20"/>
          <w:highlight w:val="none"/>
        </w:rPr>
      </w:pPr>
    </w:p>
    <w:tbl>
      <w:tblPr>
        <w:tblStyle w:val="32"/>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05E1D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383A8931">
            <w:pPr>
              <w:spacing w:line="360" w:lineRule="auto"/>
              <w:rPr>
                <w:rFonts w:ascii="宋体" w:hAnsi="宋体" w:eastAsia="宋体" w:cs="宋体"/>
                <w:b/>
                <w:color w:val="auto"/>
                <w:sz w:val="24"/>
                <w:szCs w:val="24"/>
                <w:highlight w:val="none"/>
              </w:rPr>
            </w:pPr>
          </w:p>
          <w:p w14:paraId="1E44E50C">
            <w:pPr>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法定代表身份证复印件粘帖处（正、反面）</w:t>
            </w:r>
          </w:p>
        </w:tc>
      </w:tr>
    </w:tbl>
    <w:p w14:paraId="5907D5A5">
      <w:pPr>
        <w:snapToGrid w:val="0"/>
        <w:spacing w:before="295" w:after="295" w:line="360" w:lineRule="auto"/>
        <w:jc w:val="center"/>
        <w:rPr>
          <w:rFonts w:ascii="宋体" w:hAnsi="宋体" w:eastAsia="宋体" w:cs="宋体"/>
          <w:b/>
          <w:color w:val="auto"/>
          <w:sz w:val="24"/>
          <w:szCs w:val="20"/>
          <w:highlight w:val="none"/>
        </w:rPr>
      </w:pPr>
      <w:r>
        <w:rPr>
          <w:rFonts w:hint="eastAsia" w:ascii="宋体" w:hAnsi="宋体" w:eastAsia="宋体" w:cs="宋体"/>
          <w:b/>
          <w:color w:val="auto"/>
          <w:sz w:val="24"/>
          <w:szCs w:val="20"/>
          <w:highlight w:val="none"/>
        </w:rPr>
        <w:t>附件：</w:t>
      </w:r>
      <w:r>
        <w:rPr>
          <w:rFonts w:hint="eastAsia" w:ascii="宋体" w:hAnsi="宋体" w:eastAsia="宋体" w:cs="宋体"/>
          <w:b/>
          <w:color w:val="auto"/>
          <w:sz w:val="24"/>
          <w:szCs w:val="20"/>
          <w:highlight w:val="none"/>
        </w:rPr>
        <w:br w:type="page"/>
      </w:r>
      <w:r>
        <w:rPr>
          <w:rFonts w:hint="eastAsia" w:ascii="宋体" w:hAnsi="宋体" w:eastAsia="宋体" w:cs="宋体"/>
          <w:b/>
          <w:bCs/>
          <w:color w:val="auto"/>
          <w:sz w:val="30"/>
          <w:szCs w:val="30"/>
          <w:highlight w:val="none"/>
        </w:rPr>
        <w:t>三、法定代表人授权委托书（如有委托时）</w:t>
      </w:r>
    </w:p>
    <w:p w14:paraId="51A61ABC">
      <w:pPr>
        <w:snapToGrid w:val="0"/>
        <w:spacing w:before="120" w:beforeLines="50" w:after="50"/>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法定代表人授权委托书</w:t>
      </w:r>
    </w:p>
    <w:p w14:paraId="7C867CA0">
      <w:pPr>
        <w:snapToGrid w:val="0"/>
        <w:spacing w:before="120" w:beforeLines="50" w:after="50"/>
        <w:jc w:val="center"/>
        <w:rPr>
          <w:rFonts w:ascii="宋体" w:hAnsi="宋体" w:eastAsia="宋体" w:cs="宋体"/>
          <w:b/>
          <w:color w:val="auto"/>
          <w:sz w:val="24"/>
          <w:szCs w:val="24"/>
          <w:highlight w:val="none"/>
        </w:rPr>
      </w:pPr>
    </w:p>
    <w:p w14:paraId="4684F7DF">
      <w:pPr>
        <w:spacing w:line="440" w:lineRule="exact"/>
        <w:ind w:firstLine="420" w:firstLineChars="200"/>
        <w:rPr>
          <w:rFonts w:ascii="宋体" w:hAnsi="宋体" w:eastAsia="宋体" w:cs="宋体"/>
          <w:color w:val="auto"/>
          <w:szCs w:val="20"/>
          <w:highlight w:val="none"/>
        </w:rPr>
      </w:pPr>
      <w:r>
        <w:rPr>
          <w:rFonts w:hint="eastAsia" w:ascii="宋体" w:hAnsi="宋体" w:eastAsia="宋体" w:cs="宋体"/>
          <w:color w:val="auto"/>
          <w:szCs w:val="20"/>
          <w:highlight w:val="none"/>
        </w:rPr>
        <w:t>致：</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（采购代理机构名称）</w:t>
      </w:r>
    </w:p>
    <w:p w14:paraId="791B6A4D">
      <w:pPr>
        <w:spacing w:line="440" w:lineRule="exact"/>
        <w:ind w:firstLine="420" w:firstLineChars="200"/>
        <w:rPr>
          <w:rFonts w:ascii="宋体" w:hAnsi="宋体" w:eastAsia="宋体" w:cs="宋体"/>
          <w:color w:val="auto"/>
          <w:szCs w:val="20"/>
          <w:highlight w:val="none"/>
        </w:rPr>
      </w:pPr>
      <w:r>
        <w:rPr>
          <w:rFonts w:hint="eastAsia" w:ascii="宋体" w:hAnsi="宋体" w:eastAsia="宋体" w:cs="宋体"/>
          <w:color w:val="auto"/>
          <w:szCs w:val="20"/>
          <w:highlight w:val="none"/>
        </w:rPr>
        <w:t>本人</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（姓名）系</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（供应商名称）的法定代表人，现授权我单位在职正式员工</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（姓名和职务）为我方代理人。代理人根据授权，以我方名义签署、澄清、说明、补正、递交、撤回、修改贵方组织的</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项目（项目编号：</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）的响应文件、签订合同和处理一切有关事宜，其法律后果由我方承担。</w:t>
      </w:r>
    </w:p>
    <w:p w14:paraId="630BA3CE">
      <w:pPr>
        <w:spacing w:line="440" w:lineRule="exact"/>
        <w:ind w:firstLine="420" w:firstLineChars="200"/>
        <w:rPr>
          <w:rFonts w:ascii="宋体" w:hAnsi="宋体" w:eastAsia="宋体" w:cs="宋体"/>
          <w:color w:val="auto"/>
          <w:szCs w:val="20"/>
          <w:highlight w:val="none"/>
        </w:rPr>
      </w:pPr>
      <w:r>
        <w:rPr>
          <w:rFonts w:hint="eastAsia" w:ascii="宋体" w:hAnsi="宋体" w:eastAsia="宋体" w:cs="宋体"/>
          <w:color w:val="auto"/>
          <w:szCs w:val="20"/>
          <w:highlight w:val="none"/>
        </w:rPr>
        <w:t>本授权书于</w:t>
      </w:r>
      <w:r>
        <w:rPr>
          <w:rFonts w:hint="eastAsia" w:ascii="宋体" w:hAnsi="宋体" w:eastAsia="宋体" w:cs="宋体"/>
          <w:color w:val="auto"/>
          <w:spacing w:val="10"/>
          <w:sz w:val="24"/>
          <w:szCs w:val="20"/>
          <w:highlight w:val="none"/>
          <w:u w:val="single"/>
        </w:rPr>
        <w:t xml:space="preserve">    </w:t>
      </w:r>
      <w:r>
        <w:rPr>
          <w:rFonts w:hint="eastAsia" w:ascii="宋体" w:hAnsi="宋体" w:eastAsia="宋体" w:cs="宋体"/>
          <w:color w:val="auto"/>
          <w:szCs w:val="20"/>
          <w:highlight w:val="none"/>
        </w:rPr>
        <w:t>年</w:t>
      </w:r>
      <w:r>
        <w:rPr>
          <w:rFonts w:hint="eastAsia" w:ascii="宋体" w:hAnsi="宋体" w:eastAsia="宋体" w:cs="宋体"/>
          <w:color w:val="auto"/>
          <w:spacing w:val="10"/>
          <w:sz w:val="24"/>
          <w:szCs w:val="20"/>
          <w:highlight w:val="none"/>
          <w:u w:val="single"/>
        </w:rPr>
        <w:t xml:space="preserve">    </w:t>
      </w:r>
      <w:r>
        <w:rPr>
          <w:rFonts w:hint="eastAsia" w:ascii="宋体" w:hAnsi="宋体" w:eastAsia="宋体" w:cs="宋体"/>
          <w:color w:val="auto"/>
          <w:szCs w:val="20"/>
          <w:highlight w:val="none"/>
        </w:rPr>
        <w:t>月</w:t>
      </w:r>
      <w:r>
        <w:rPr>
          <w:rFonts w:hint="eastAsia" w:ascii="宋体" w:hAnsi="宋体" w:eastAsia="宋体" w:cs="宋体"/>
          <w:color w:val="auto"/>
          <w:spacing w:val="10"/>
          <w:sz w:val="24"/>
          <w:szCs w:val="20"/>
          <w:highlight w:val="none"/>
          <w:u w:val="single"/>
        </w:rPr>
        <w:t xml:space="preserve">    </w:t>
      </w:r>
      <w:r>
        <w:rPr>
          <w:rFonts w:hint="eastAsia" w:ascii="宋体" w:hAnsi="宋体" w:eastAsia="宋体" w:cs="宋体"/>
          <w:color w:val="auto"/>
          <w:szCs w:val="20"/>
          <w:highlight w:val="none"/>
        </w:rPr>
        <w:t>日签字生效，委托期限：</w:t>
      </w:r>
      <w:r>
        <w:rPr>
          <w:rFonts w:hint="eastAsia" w:ascii="宋体" w:hAnsi="宋体" w:eastAsia="宋体" w:cs="宋体"/>
          <w:color w:val="auto"/>
          <w:spacing w:val="10"/>
          <w:sz w:val="24"/>
          <w:szCs w:val="20"/>
          <w:highlight w:val="none"/>
          <w:u w:val="single"/>
        </w:rPr>
        <w:t xml:space="preserve">    </w:t>
      </w:r>
      <w:r>
        <w:rPr>
          <w:rFonts w:hint="eastAsia" w:ascii="宋体" w:hAnsi="宋体" w:eastAsia="宋体" w:cs="宋体"/>
          <w:color w:val="auto"/>
          <w:szCs w:val="20"/>
          <w:highlight w:val="none"/>
        </w:rPr>
        <w:t>。</w:t>
      </w:r>
    </w:p>
    <w:p w14:paraId="208260B3">
      <w:pPr>
        <w:spacing w:line="360" w:lineRule="auto"/>
        <w:ind w:firstLine="420"/>
        <w:rPr>
          <w:rFonts w:ascii="宋体" w:hAnsi="宋体" w:eastAsia="宋体" w:cs="宋体"/>
          <w:color w:val="auto"/>
          <w:szCs w:val="20"/>
          <w:highlight w:val="none"/>
        </w:rPr>
      </w:pPr>
      <w:r>
        <w:rPr>
          <w:rFonts w:hint="eastAsia" w:ascii="宋体" w:hAnsi="宋体" w:eastAsia="宋体" w:cs="宋体"/>
          <w:color w:val="auto"/>
          <w:szCs w:val="20"/>
          <w:highlight w:val="none"/>
        </w:rPr>
        <w:t>代理人无转委托权。</w:t>
      </w:r>
    </w:p>
    <w:p w14:paraId="68F3BF18">
      <w:pPr>
        <w:spacing w:line="360" w:lineRule="auto"/>
        <w:ind w:firstLine="420"/>
        <w:rPr>
          <w:rFonts w:ascii="宋体" w:hAnsi="宋体" w:eastAsia="宋体" w:cs="宋体"/>
          <w:color w:val="auto"/>
          <w:szCs w:val="20"/>
          <w:highlight w:val="none"/>
        </w:rPr>
      </w:pPr>
    </w:p>
    <w:p w14:paraId="65130C87">
      <w:pPr>
        <w:spacing w:line="360" w:lineRule="auto"/>
        <w:ind w:firstLine="420"/>
        <w:rPr>
          <w:rFonts w:ascii="宋体" w:hAnsi="宋体" w:eastAsia="宋体" w:cs="宋体"/>
          <w:color w:val="auto"/>
          <w:szCs w:val="20"/>
          <w:highlight w:val="none"/>
          <w:u w:val="single"/>
        </w:rPr>
      </w:pPr>
      <w:r>
        <w:rPr>
          <w:rFonts w:hint="eastAsia" w:ascii="宋体" w:hAnsi="宋体" w:eastAsia="宋体" w:cs="宋体"/>
          <w:color w:val="auto"/>
          <w:szCs w:val="20"/>
          <w:highlight w:val="none"/>
        </w:rPr>
        <w:t>供应商（或联合体响应</w:t>
      </w:r>
      <w:r>
        <w:rPr>
          <w:rFonts w:hint="eastAsia" w:ascii="宋体" w:hAnsi="宋体" w:eastAsia="宋体" w:cs="宋体"/>
          <w:color w:val="auto"/>
          <w:kern w:val="0"/>
          <w:szCs w:val="21"/>
          <w:highlight w:val="none"/>
        </w:rPr>
        <w:t>牵头人名称</w:t>
      </w:r>
      <w:r>
        <w:rPr>
          <w:rFonts w:hint="eastAsia" w:ascii="宋体" w:hAnsi="宋体" w:eastAsia="宋体" w:cs="宋体"/>
          <w:color w:val="auto"/>
          <w:szCs w:val="20"/>
          <w:highlight w:val="none"/>
        </w:rPr>
        <w:t>）（盖单位公章）：</w:t>
      </w:r>
      <w:r>
        <w:rPr>
          <w:rFonts w:hint="eastAsia" w:ascii="宋体" w:hAnsi="宋体" w:eastAsia="宋体" w:cs="宋体"/>
          <w:color w:val="auto"/>
          <w:szCs w:val="20"/>
          <w:highlight w:val="none"/>
          <w:u w:val="single"/>
        </w:rPr>
        <w:t xml:space="preserve">                                    </w:t>
      </w:r>
    </w:p>
    <w:p w14:paraId="5DB3FB8C">
      <w:pPr>
        <w:spacing w:line="360" w:lineRule="auto"/>
        <w:ind w:firstLine="420"/>
        <w:rPr>
          <w:rFonts w:ascii="宋体" w:hAnsi="宋体" w:eastAsia="宋体" w:cs="宋体"/>
          <w:color w:val="auto"/>
          <w:szCs w:val="20"/>
          <w:highlight w:val="none"/>
          <w:u w:val="single"/>
        </w:rPr>
      </w:pPr>
      <w:r>
        <w:rPr>
          <w:rFonts w:hint="eastAsia" w:ascii="宋体" w:hAnsi="宋体" w:eastAsia="宋体" w:cs="宋体"/>
          <w:color w:val="auto"/>
          <w:szCs w:val="20"/>
          <w:highlight w:val="none"/>
        </w:rPr>
        <w:t>法定代表人（签字）：</w:t>
      </w:r>
      <w:r>
        <w:rPr>
          <w:rFonts w:hint="eastAsia" w:ascii="宋体" w:hAnsi="宋体" w:eastAsia="宋体" w:cs="宋体"/>
          <w:color w:val="auto"/>
          <w:szCs w:val="20"/>
          <w:highlight w:val="none"/>
          <w:u w:val="single"/>
        </w:rPr>
        <w:t xml:space="preserve">                                </w:t>
      </w:r>
    </w:p>
    <w:p w14:paraId="33FA2D4D">
      <w:pPr>
        <w:spacing w:line="360" w:lineRule="auto"/>
        <w:ind w:firstLine="420"/>
        <w:rPr>
          <w:rFonts w:ascii="宋体" w:hAnsi="宋体" w:eastAsia="宋体" w:cs="宋体"/>
          <w:color w:val="auto"/>
          <w:szCs w:val="20"/>
          <w:highlight w:val="none"/>
          <w:u w:val="single"/>
        </w:rPr>
      </w:pPr>
      <w:r>
        <w:rPr>
          <w:rFonts w:hint="eastAsia" w:ascii="宋体" w:hAnsi="宋体" w:eastAsia="宋体" w:cs="宋体"/>
          <w:color w:val="auto"/>
          <w:szCs w:val="20"/>
          <w:highlight w:val="none"/>
        </w:rPr>
        <w:t>法定代表人身份证号码：</w:t>
      </w:r>
      <w:r>
        <w:rPr>
          <w:rFonts w:hint="eastAsia" w:ascii="宋体" w:hAnsi="宋体" w:eastAsia="宋体" w:cs="宋体"/>
          <w:color w:val="auto"/>
          <w:szCs w:val="20"/>
          <w:highlight w:val="none"/>
          <w:u w:val="single"/>
        </w:rPr>
        <w:t xml:space="preserve">                                   </w:t>
      </w:r>
    </w:p>
    <w:p w14:paraId="09924A38">
      <w:pPr>
        <w:spacing w:line="360" w:lineRule="auto"/>
        <w:ind w:firstLine="420" w:firstLineChars="200"/>
        <w:rPr>
          <w:rFonts w:ascii="宋体" w:hAnsi="宋体" w:eastAsia="宋体" w:cs="宋体"/>
          <w:color w:val="auto"/>
          <w:szCs w:val="20"/>
          <w:highlight w:val="none"/>
        </w:rPr>
      </w:pPr>
      <w:r>
        <w:rPr>
          <w:rFonts w:hint="eastAsia" w:ascii="宋体" w:hAnsi="宋体" w:eastAsia="宋体" w:cs="宋体"/>
          <w:color w:val="auto"/>
          <w:szCs w:val="20"/>
          <w:highlight w:val="none"/>
        </w:rPr>
        <w:t>委托代理人（签字）：</w:t>
      </w:r>
      <w:r>
        <w:rPr>
          <w:rFonts w:hint="eastAsia" w:ascii="宋体" w:hAnsi="宋体" w:eastAsia="宋体" w:cs="宋体"/>
          <w:color w:val="auto"/>
          <w:szCs w:val="20"/>
          <w:highlight w:val="none"/>
          <w:u w:val="single"/>
        </w:rPr>
        <w:t xml:space="preserve">                                </w:t>
      </w:r>
    </w:p>
    <w:p w14:paraId="78857AEB">
      <w:pPr>
        <w:spacing w:line="360" w:lineRule="auto"/>
        <w:ind w:firstLine="420"/>
        <w:rPr>
          <w:rFonts w:ascii="宋体" w:hAnsi="宋体" w:eastAsia="宋体" w:cs="宋体"/>
          <w:color w:val="auto"/>
          <w:szCs w:val="20"/>
          <w:highlight w:val="none"/>
          <w:u w:val="single"/>
        </w:rPr>
      </w:pPr>
      <w:r>
        <w:rPr>
          <w:rFonts w:hint="eastAsia" w:ascii="宋体" w:hAnsi="宋体" w:eastAsia="宋体" w:cs="宋体"/>
          <w:color w:val="auto"/>
          <w:szCs w:val="20"/>
          <w:highlight w:val="none"/>
        </w:rPr>
        <w:t>委托代理人身份证号码：</w:t>
      </w:r>
      <w:r>
        <w:rPr>
          <w:rFonts w:hint="eastAsia" w:ascii="宋体" w:hAnsi="宋体" w:eastAsia="宋体" w:cs="宋体"/>
          <w:color w:val="auto"/>
          <w:szCs w:val="20"/>
          <w:highlight w:val="none"/>
          <w:u w:val="single"/>
        </w:rPr>
        <w:t xml:space="preserve">                                   </w:t>
      </w:r>
    </w:p>
    <w:p w14:paraId="7E8956BF">
      <w:pPr>
        <w:spacing w:line="360" w:lineRule="auto"/>
        <w:ind w:firstLine="420"/>
        <w:rPr>
          <w:rFonts w:ascii="宋体" w:hAnsi="宋体" w:eastAsia="宋体" w:cs="宋体"/>
          <w:color w:val="auto"/>
          <w:szCs w:val="20"/>
          <w:highlight w:val="none"/>
          <w:u w:val="single"/>
        </w:rPr>
      </w:pPr>
    </w:p>
    <w:p w14:paraId="0FC5124D">
      <w:pPr>
        <w:spacing w:line="360" w:lineRule="auto"/>
        <w:ind w:firstLine="420"/>
        <w:rPr>
          <w:rFonts w:ascii="宋体" w:hAnsi="宋体" w:eastAsia="宋体" w:cs="宋体"/>
          <w:color w:val="auto"/>
          <w:szCs w:val="20"/>
          <w:highlight w:val="none"/>
          <w:u w:val="single"/>
        </w:rPr>
      </w:pPr>
      <w:r>
        <w:rPr>
          <w:rFonts w:hint="eastAsia" w:ascii="宋体" w:hAnsi="宋体" w:eastAsia="宋体" w:cs="宋体"/>
          <w:color w:val="auto"/>
          <w:kern w:val="0"/>
          <w:szCs w:val="21"/>
          <w:highlight w:val="none"/>
        </w:rPr>
        <w:t>成员一名称：</w:t>
      </w:r>
      <w:r>
        <w:rPr>
          <w:rFonts w:hint="eastAsia" w:ascii="宋体" w:hAnsi="宋体" w:eastAsia="宋体" w:cs="宋体"/>
          <w:color w:val="auto"/>
          <w:szCs w:val="20"/>
          <w:highlight w:val="none"/>
        </w:rPr>
        <w:t>（盖单位公章）：</w:t>
      </w:r>
      <w:r>
        <w:rPr>
          <w:rFonts w:hint="eastAsia" w:ascii="宋体" w:hAnsi="宋体" w:eastAsia="宋体" w:cs="宋体"/>
          <w:color w:val="auto"/>
          <w:szCs w:val="20"/>
          <w:highlight w:val="none"/>
          <w:u w:val="single"/>
        </w:rPr>
        <w:t xml:space="preserve">                                    </w:t>
      </w:r>
    </w:p>
    <w:p w14:paraId="3D937AB6">
      <w:pPr>
        <w:spacing w:line="360" w:lineRule="auto"/>
        <w:ind w:firstLine="420"/>
        <w:rPr>
          <w:rFonts w:ascii="宋体" w:hAnsi="宋体" w:eastAsia="宋体" w:cs="宋体"/>
          <w:color w:val="auto"/>
          <w:szCs w:val="20"/>
          <w:highlight w:val="none"/>
          <w:u w:val="single"/>
        </w:rPr>
      </w:pPr>
      <w:r>
        <w:rPr>
          <w:rFonts w:hint="eastAsia" w:ascii="宋体" w:hAnsi="宋体" w:eastAsia="宋体" w:cs="宋体"/>
          <w:color w:val="auto"/>
          <w:szCs w:val="20"/>
          <w:highlight w:val="none"/>
        </w:rPr>
        <w:t>法定代表人（签字）：</w:t>
      </w:r>
      <w:r>
        <w:rPr>
          <w:rFonts w:hint="eastAsia" w:ascii="宋体" w:hAnsi="宋体" w:eastAsia="宋体" w:cs="宋体"/>
          <w:color w:val="auto"/>
          <w:szCs w:val="20"/>
          <w:highlight w:val="none"/>
          <w:u w:val="single"/>
        </w:rPr>
        <w:t xml:space="preserve">                                </w:t>
      </w:r>
    </w:p>
    <w:p w14:paraId="22E3DF25">
      <w:pPr>
        <w:spacing w:line="360" w:lineRule="auto"/>
        <w:ind w:firstLine="420"/>
        <w:rPr>
          <w:rFonts w:ascii="宋体" w:hAnsi="宋体" w:eastAsia="宋体" w:cs="宋体"/>
          <w:color w:val="auto"/>
          <w:szCs w:val="20"/>
          <w:highlight w:val="none"/>
          <w:u w:val="single"/>
        </w:rPr>
      </w:pPr>
    </w:p>
    <w:p w14:paraId="1A6D900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成员二名称：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（盖单位公章）</w:t>
      </w:r>
    </w:p>
    <w:p w14:paraId="17E504B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（签字）</w:t>
      </w:r>
    </w:p>
    <w:p w14:paraId="42FDEF0E">
      <w:pPr>
        <w:ind w:firstLine="420" w:firstLineChars="200"/>
        <w:rPr>
          <w:rFonts w:ascii="宋体" w:hAnsi="宋体" w:eastAsia="宋体" w:cs="宋体"/>
          <w:color w:val="auto"/>
          <w:szCs w:val="20"/>
          <w:highlight w:val="none"/>
        </w:rPr>
      </w:pPr>
      <w:r>
        <w:rPr>
          <w:rFonts w:hint="eastAsia" w:ascii="宋体" w:hAnsi="宋体" w:eastAsia="宋体" w:cs="宋体"/>
          <w:color w:val="auto"/>
          <w:szCs w:val="20"/>
          <w:highlight w:val="none"/>
        </w:rPr>
        <w:t>......</w:t>
      </w:r>
    </w:p>
    <w:p w14:paraId="445F3F6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注：</w:t>
      </w:r>
    </w:p>
    <w:p w14:paraId="6637A16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1.法定代表人和委托代理人必须在授权委托书上亲笔签名，不得使用印章、签名章或者其他电子制版签名代替，</w:t>
      </w:r>
      <w:r>
        <w:rPr>
          <w:rFonts w:hint="eastAsia" w:ascii="宋体" w:hAnsi="宋体" w:eastAsia="宋体" w:cs="宋体"/>
          <w:b/>
          <w:bCs/>
          <w:color w:val="auto"/>
          <w:szCs w:val="21"/>
          <w:highlight w:val="none"/>
        </w:rPr>
        <w:t>否则作无效响应处理</w:t>
      </w:r>
      <w:r>
        <w:rPr>
          <w:rFonts w:hint="eastAsia" w:ascii="宋体" w:hAnsi="宋体" w:eastAsia="宋体" w:cs="宋体"/>
          <w:color w:val="auto"/>
          <w:szCs w:val="21"/>
          <w:highlight w:val="none"/>
        </w:rPr>
        <w:t>；</w:t>
      </w:r>
    </w:p>
    <w:p w14:paraId="04D2D1BC">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2.以联合体形式响应的，本授权委托书应由联合体牵头人的法定代表人按上述规定签署。</w:t>
      </w:r>
    </w:p>
    <w:p w14:paraId="3265E408">
      <w:pPr>
        <w:snapToGrid w:val="0"/>
        <w:spacing w:before="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3. 供应商为其他组织或者自然人时，本征集文件规定的法定代表人指负责人或者自然人。本征集文件所称负责人是指参加响应的其他组织营业执照上的负责人，本征集文件所称自然人指参与响应的自然人本人。</w:t>
      </w:r>
    </w:p>
    <w:p w14:paraId="0B2F1FF5">
      <w:pPr>
        <w:snapToGrid w:val="0"/>
        <w:spacing w:before="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4. 若为联合体响应须各方签字或盖章。</w:t>
      </w:r>
    </w:p>
    <w:p w14:paraId="464ECE6A">
      <w:pPr>
        <w:spacing w:line="360" w:lineRule="auto"/>
        <w:rPr>
          <w:rFonts w:ascii="宋体" w:hAnsi="宋体" w:eastAsia="宋体" w:cs="宋体"/>
          <w:b/>
          <w:color w:val="auto"/>
          <w:sz w:val="24"/>
          <w:szCs w:val="24"/>
          <w:highlight w:val="none"/>
        </w:rPr>
      </w:pPr>
    </w:p>
    <w:p w14:paraId="5B35D7B5">
      <w:pPr>
        <w:spacing w:line="360" w:lineRule="auto"/>
        <w:rPr>
          <w:rFonts w:ascii="Times New Roman" w:hAnsi="Times New Roman" w:eastAsia="宋体" w:cs="Times New Roman"/>
          <w:color w:val="auto"/>
          <w:szCs w:val="24"/>
          <w:highlight w:val="none"/>
        </w:rPr>
      </w:pPr>
    </w:p>
    <w:p w14:paraId="674D4587">
      <w:pPr>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p>
    <w:tbl>
      <w:tblPr>
        <w:tblStyle w:val="32"/>
        <w:tblpPr w:leftFromText="180" w:rightFromText="180" w:vertAnchor="text" w:horzAnchor="margin" w:tblpY="2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3424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Pr>
          <w:p w14:paraId="4FE71995">
            <w:pPr>
              <w:spacing w:line="360" w:lineRule="auto"/>
              <w:rPr>
                <w:rFonts w:ascii="宋体" w:hAnsi="宋体" w:eastAsia="宋体" w:cs="宋体"/>
                <w:b/>
                <w:color w:val="auto"/>
                <w:sz w:val="24"/>
                <w:szCs w:val="24"/>
                <w:highlight w:val="none"/>
              </w:rPr>
            </w:pPr>
          </w:p>
          <w:p w14:paraId="0A41F5E0">
            <w:pPr>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全权代表身份证复印件粘帖处（正、反面）</w:t>
            </w:r>
          </w:p>
        </w:tc>
      </w:tr>
    </w:tbl>
    <w:p w14:paraId="23792267">
      <w:pPr>
        <w:snapToGrid w:val="0"/>
        <w:spacing w:before="50" w:after="120" w:afterLines="50" w:line="360" w:lineRule="auto"/>
        <w:jc w:val="left"/>
        <w:rPr>
          <w:rFonts w:ascii="宋体" w:hAnsi="宋体" w:eastAsia="宋体" w:cs="宋体"/>
          <w:color w:val="auto"/>
          <w:szCs w:val="21"/>
          <w:highlight w:val="none"/>
        </w:rPr>
      </w:pPr>
    </w:p>
    <w:p w14:paraId="091993F4">
      <w:pPr>
        <w:snapToGrid w:val="0"/>
        <w:spacing w:before="120" w:beforeLines="50" w:after="50"/>
        <w:ind w:firstLine="566" w:firstLineChars="236"/>
        <w:jc w:val="center"/>
        <w:rPr>
          <w:rFonts w:ascii="宋体" w:hAnsi="宋体" w:eastAsia="宋体" w:cs="宋体"/>
          <w:color w:val="auto"/>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page"/>
      </w:r>
    </w:p>
    <w:p w14:paraId="7C4F8033">
      <w:pPr>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四、商务条款偏离表</w:t>
      </w:r>
    </w:p>
    <w:p w14:paraId="0AE57E64">
      <w:pPr>
        <w:jc w:val="center"/>
        <w:rPr>
          <w:rFonts w:ascii="宋体" w:hAnsi="宋体" w:eastAsia="宋体" w:cs="宋体"/>
          <w:b/>
          <w:color w:val="auto"/>
          <w:sz w:val="24"/>
          <w:szCs w:val="20"/>
          <w:highlight w:val="none"/>
        </w:rPr>
      </w:pPr>
      <w:r>
        <w:rPr>
          <w:rFonts w:hint="eastAsia" w:ascii="宋体" w:hAnsi="宋体" w:eastAsia="宋体" w:cs="宋体"/>
          <w:color w:val="auto"/>
          <w:sz w:val="30"/>
          <w:szCs w:val="20"/>
          <w:highlight w:val="none"/>
        </w:rPr>
        <w:t>(注：按项目需求表具体项目修改)</w:t>
      </w:r>
    </w:p>
    <w:p w14:paraId="21762B3A">
      <w:pPr>
        <w:snapToGrid w:val="0"/>
        <w:spacing w:before="50"/>
        <w:jc w:val="left"/>
        <w:rPr>
          <w:rFonts w:ascii="宋体" w:hAnsi="宋体" w:eastAsia="宋体" w:cs="宋体"/>
          <w:color w:val="auto"/>
          <w:sz w:val="24"/>
          <w:szCs w:val="24"/>
          <w:highlight w:val="none"/>
        </w:rPr>
      </w:pPr>
    </w:p>
    <w:p w14:paraId="1D2D8D12">
      <w:pPr>
        <w:spacing w:line="360" w:lineRule="auto"/>
        <w:ind w:left="-424" w:leftChars="-202" w:firstLine="420" w:firstLineChars="200"/>
        <w:rPr>
          <w:rFonts w:ascii="宋体" w:hAnsi="宋体" w:eastAsia="宋体" w:cs="宋体"/>
          <w:color w:val="auto"/>
          <w:sz w:val="24"/>
          <w:szCs w:val="24"/>
          <w:highlight w:val="none"/>
        </w:rPr>
      </w:pPr>
      <w:r>
        <w:rPr>
          <w:rFonts w:hint="eastAsia" w:ascii="宋体" w:hAnsi="宋体" w:eastAsia="宋体" w:cs="宋体"/>
          <w:color w:val="auto"/>
          <w:szCs w:val="20"/>
          <w:highlight w:val="none"/>
        </w:rPr>
        <w:t>请逐条对应本项目征集文件第二章“服务需求一览表”中“商务条款”的要求，详细填写相应的具体内容。“偏离说明”一栏应当选择“正偏离”、“负偏离”或“无偏离”进行填写。</w:t>
      </w:r>
    </w:p>
    <w:tbl>
      <w:tblPr>
        <w:tblStyle w:val="32"/>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14C1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76A5DCEB">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1945DF54">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征集文件的商务需求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10CF7CBA">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147512BB">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3144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6BF8693D">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4700FB3E">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  ……</w:t>
            </w:r>
          </w:p>
          <w:p w14:paraId="721233B3">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  ……</w:t>
            </w:r>
          </w:p>
          <w:p w14:paraId="2153BEAD">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  ……</w:t>
            </w:r>
          </w:p>
          <w:p w14:paraId="4855AF35">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17F99FD2">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  ……</w:t>
            </w:r>
          </w:p>
          <w:p w14:paraId="54CDC2BB">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  ……</w:t>
            </w:r>
          </w:p>
          <w:p w14:paraId="08C393C0">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  ……</w:t>
            </w:r>
          </w:p>
          <w:p w14:paraId="36EEF952">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3597778E">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tc>
      </w:tr>
      <w:tr w14:paraId="6892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482911AC">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0156A709">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  ……</w:t>
            </w:r>
          </w:p>
          <w:p w14:paraId="459179BB">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  ……</w:t>
            </w:r>
          </w:p>
          <w:p w14:paraId="7845780A">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  ……</w:t>
            </w:r>
          </w:p>
          <w:p w14:paraId="3E29C42E">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0D41CFB3">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  ……</w:t>
            </w:r>
          </w:p>
          <w:p w14:paraId="3A765CC9">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  ……</w:t>
            </w:r>
          </w:p>
          <w:p w14:paraId="08B45695">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  ……</w:t>
            </w:r>
          </w:p>
          <w:p w14:paraId="62E7DCC5">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5A16D1A5">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tc>
      </w:tr>
      <w:tr w14:paraId="3465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0918A3DD">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787CDC4F">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  ……</w:t>
            </w:r>
          </w:p>
          <w:p w14:paraId="1CCD32AF">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  ……</w:t>
            </w:r>
          </w:p>
          <w:p w14:paraId="601E56B8">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  ……</w:t>
            </w:r>
          </w:p>
          <w:p w14:paraId="7A40BF4C">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7A11EC08">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  ……</w:t>
            </w:r>
          </w:p>
          <w:p w14:paraId="5C5975C6">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  ……</w:t>
            </w:r>
          </w:p>
          <w:p w14:paraId="51500A8E">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  ……</w:t>
            </w:r>
          </w:p>
          <w:p w14:paraId="0E58D85B">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086396C8">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tc>
      </w:tr>
      <w:tr w14:paraId="4315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tcPr>
          <w:p w14:paraId="4ED51718">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bl>
    <w:p w14:paraId="0ADEFB08">
      <w:pPr>
        <w:spacing w:line="360" w:lineRule="auto"/>
        <w:ind w:left="-708" w:leftChars="-337"/>
        <w:rPr>
          <w:rFonts w:ascii="宋体" w:hAnsi="宋体" w:eastAsia="宋体" w:cs="宋体"/>
          <w:color w:val="auto"/>
          <w:szCs w:val="20"/>
          <w:highlight w:val="none"/>
        </w:rPr>
      </w:pPr>
    </w:p>
    <w:p w14:paraId="2D6420C2">
      <w:pPr>
        <w:spacing w:line="360" w:lineRule="auto"/>
        <w:ind w:left="-708" w:leftChars="-337"/>
        <w:rPr>
          <w:rFonts w:ascii="宋体" w:hAnsi="宋体" w:eastAsia="宋体" w:cs="宋体"/>
          <w:color w:val="auto"/>
          <w:szCs w:val="20"/>
          <w:highlight w:val="none"/>
        </w:rPr>
      </w:pPr>
      <w:r>
        <w:rPr>
          <w:rFonts w:hint="eastAsia" w:ascii="宋体" w:hAnsi="宋体" w:eastAsia="宋体" w:cs="宋体"/>
          <w:color w:val="auto"/>
          <w:szCs w:val="20"/>
          <w:highlight w:val="none"/>
        </w:rPr>
        <w:t>注：</w:t>
      </w:r>
    </w:p>
    <w:p w14:paraId="1A9249F5">
      <w:pPr>
        <w:spacing w:line="360" w:lineRule="auto"/>
        <w:ind w:left="-708" w:leftChars="-337" w:firstLine="420" w:firstLineChars="200"/>
        <w:rPr>
          <w:rFonts w:ascii="宋体" w:hAnsi="宋体" w:eastAsia="宋体" w:cs="宋体"/>
          <w:color w:val="auto"/>
          <w:szCs w:val="20"/>
          <w:highlight w:val="none"/>
        </w:rPr>
      </w:pPr>
      <w:r>
        <w:rPr>
          <w:rFonts w:hint="eastAsia" w:ascii="宋体" w:hAnsi="宋体" w:eastAsia="宋体" w:cs="宋体"/>
          <w:color w:val="auto"/>
          <w:szCs w:val="20"/>
          <w:highlight w:val="none"/>
        </w:rPr>
        <w:t>1.表格内容均需按要求填写并盖章，不得留空，否则按响应无效处理。</w:t>
      </w:r>
    </w:p>
    <w:p w14:paraId="743E481D">
      <w:pPr>
        <w:spacing w:line="360" w:lineRule="auto"/>
        <w:ind w:left="-603" w:leftChars="-287" w:firstLine="315" w:firstLineChars="150"/>
        <w:rPr>
          <w:rFonts w:ascii="宋体" w:hAnsi="宋体" w:eastAsia="宋体" w:cs="宋体"/>
          <w:color w:val="auto"/>
          <w:szCs w:val="20"/>
          <w:highlight w:val="none"/>
        </w:rPr>
      </w:pPr>
      <w:r>
        <w:rPr>
          <w:rFonts w:hint="eastAsia" w:ascii="宋体" w:hAnsi="宋体" w:eastAsia="宋体" w:cs="宋体"/>
          <w:color w:val="auto"/>
          <w:szCs w:val="20"/>
          <w:highlight w:val="none"/>
        </w:rPr>
        <w:t>2.如果征集文件需求为小于或大于某个数值标准时，响应文件承诺不得直接复制征集文件需求，响应文件承诺内容应当写明响应货物具体参数或商务响应承诺的具体数值，否则按响应无效处理。</w:t>
      </w:r>
    </w:p>
    <w:p w14:paraId="34500834">
      <w:pPr>
        <w:spacing w:line="360" w:lineRule="auto"/>
        <w:ind w:left="-708" w:leftChars="-337" w:firstLine="420" w:firstLineChars="200"/>
        <w:rPr>
          <w:rFonts w:ascii="宋体" w:hAnsi="宋体" w:eastAsia="宋体" w:cs="宋体"/>
          <w:color w:val="auto"/>
          <w:szCs w:val="20"/>
          <w:highlight w:val="none"/>
        </w:rPr>
      </w:pPr>
      <w:r>
        <w:rPr>
          <w:rFonts w:hint="eastAsia" w:ascii="宋体" w:hAnsi="宋体" w:eastAsia="宋体" w:cs="宋体"/>
          <w:color w:val="auto"/>
          <w:szCs w:val="20"/>
          <w:highlight w:val="none"/>
        </w:rPr>
        <w:t>3.当响应文件的商务内容低于征集文件要求时，供应商应当如实写明“负偏离”，否则视为虚假应标。</w:t>
      </w:r>
    </w:p>
    <w:p w14:paraId="6D78A7F9">
      <w:pPr>
        <w:spacing w:line="360" w:lineRule="auto"/>
        <w:ind w:left="-708" w:leftChars="-337" w:firstLine="420" w:firstLineChars="200"/>
        <w:rPr>
          <w:rFonts w:ascii="宋体" w:hAnsi="宋体" w:eastAsia="宋体" w:cs="宋体"/>
          <w:color w:val="auto"/>
          <w:szCs w:val="20"/>
          <w:highlight w:val="none"/>
        </w:rPr>
      </w:pPr>
      <w:r>
        <w:rPr>
          <w:rFonts w:hint="eastAsia" w:ascii="宋体" w:hAnsi="宋体" w:eastAsia="宋体" w:cs="宋体"/>
          <w:color w:val="auto"/>
          <w:szCs w:val="21"/>
          <w:highlight w:val="none"/>
        </w:rPr>
        <w:t>4.采购需求中带“▲”及“★”的条款，也要分别在本表“响应文件的商务需求”、“响应文件承诺的商务条款”中标记。</w:t>
      </w:r>
    </w:p>
    <w:p w14:paraId="0B8C0124">
      <w:pPr>
        <w:snapToGrid w:val="0"/>
        <w:spacing w:before="50" w:after="50"/>
        <w:rPr>
          <w:rFonts w:ascii="宋体" w:hAnsi="宋体" w:eastAsia="宋体" w:cs="宋体"/>
          <w:color w:val="auto"/>
          <w:sz w:val="24"/>
          <w:szCs w:val="24"/>
          <w:highlight w:val="none"/>
        </w:rPr>
      </w:pPr>
    </w:p>
    <w:p w14:paraId="7BE54415">
      <w:pPr>
        <w:snapToGrid w:val="0"/>
        <w:spacing w:line="360" w:lineRule="auto"/>
        <w:ind w:firstLine="4935" w:firstLineChars="2350"/>
        <w:rPr>
          <w:rFonts w:ascii="宋体" w:hAnsi="宋体" w:eastAsia="宋体" w:cs="宋体"/>
          <w:color w:val="auto"/>
          <w:kern w:val="0"/>
          <w:sz w:val="24"/>
          <w:szCs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szCs w:val="24"/>
          <w:highlight w:val="none"/>
          <w:lang w:val="zh-CN"/>
        </w:rPr>
        <w:t>供应商名称(电子签章)：</w:t>
      </w:r>
    </w:p>
    <w:p w14:paraId="6CD1874E">
      <w:pPr>
        <w:snapToGrid w:val="0"/>
        <w:spacing w:line="360" w:lineRule="auto"/>
        <w:ind w:firstLine="5160" w:firstLineChars="215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5CE27FF8">
      <w:pPr>
        <w:snapToGrid w:val="0"/>
        <w:spacing w:before="120" w:beforeLines="50" w:after="50"/>
        <w:rPr>
          <w:rFonts w:ascii="宋体" w:hAnsi="宋体" w:eastAsia="宋体" w:cs="宋体"/>
          <w:b/>
          <w:bCs/>
          <w:color w:val="auto"/>
          <w:sz w:val="30"/>
          <w:szCs w:val="30"/>
          <w:highlight w:val="none"/>
        </w:rPr>
        <w:sectPr>
          <w:footerReference r:id="rId12" w:type="first"/>
          <w:headerReference r:id="rId9" w:type="default"/>
          <w:footerReference r:id="rId10" w:type="default"/>
          <w:footerReference r:id="rId11" w:type="even"/>
          <w:pgSz w:w="11906" w:h="16838"/>
          <w:pgMar w:top="1134" w:right="1134" w:bottom="1134" w:left="1134" w:header="720" w:footer="720" w:gutter="0"/>
          <w:cols w:space="720" w:num="1"/>
          <w:docGrid w:linePitch="331" w:charSpace="0"/>
        </w:sectPr>
      </w:pPr>
    </w:p>
    <w:p w14:paraId="1D416067">
      <w:pPr>
        <w:snapToGrid w:val="0"/>
        <w:spacing w:before="120" w:beforeLines="50" w:after="50"/>
        <w:ind w:left="142"/>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五、人员配备一览表</w:t>
      </w:r>
    </w:p>
    <w:p w14:paraId="55F12FA6">
      <w:pPr>
        <w:spacing w:line="360" w:lineRule="auto"/>
        <w:jc w:val="center"/>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（由供应商根据采购需求及征集文件要求编制）</w:t>
      </w:r>
    </w:p>
    <w:p w14:paraId="6B0CAC42">
      <w:pPr>
        <w:keepNext/>
        <w:autoSpaceDE w:val="0"/>
        <w:autoSpaceDN w:val="0"/>
        <w:spacing w:line="360" w:lineRule="auto"/>
        <w:ind w:firstLine="477"/>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附表A:本项目管理和技术负责人情况表</w:t>
      </w:r>
      <w:r>
        <w:rPr>
          <w:rFonts w:hint="eastAsia" w:ascii="宋体" w:hAnsi="宋体" w:eastAsia="宋体" w:cs="宋体"/>
          <w:color w:val="auto"/>
          <w:sz w:val="24"/>
          <w:szCs w:val="24"/>
          <w:highlight w:val="none"/>
        </w:rPr>
        <w:t>（1人）</w:t>
      </w:r>
    </w:p>
    <w:tbl>
      <w:tblPr>
        <w:tblStyle w:val="32"/>
        <w:tblW w:w="0" w:type="auto"/>
        <w:tblInd w:w="0" w:type="dxa"/>
        <w:tblLayout w:type="fixed"/>
        <w:tblCellMar>
          <w:top w:w="0" w:type="dxa"/>
          <w:left w:w="108" w:type="dxa"/>
          <w:bottom w:w="0" w:type="dxa"/>
          <w:right w:w="108" w:type="dxa"/>
        </w:tblCellMar>
      </w:tblPr>
      <w:tblGrid>
        <w:gridCol w:w="1575"/>
        <w:gridCol w:w="983"/>
        <w:gridCol w:w="962"/>
        <w:gridCol w:w="1977"/>
        <w:gridCol w:w="4357"/>
      </w:tblGrid>
      <w:tr w14:paraId="166DCF6D">
        <w:tblPrEx>
          <w:tblCellMar>
            <w:top w:w="0" w:type="dxa"/>
            <w:left w:w="108" w:type="dxa"/>
            <w:bottom w:w="0" w:type="dxa"/>
            <w:right w:w="108" w:type="dxa"/>
          </w:tblCellMar>
        </w:tblPrEx>
        <w:trPr>
          <w:trHeight w:val="604" w:hRule="atLeast"/>
        </w:trPr>
        <w:tc>
          <w:tcPr>
            <w:tcW w:w="1575" w:type="dxa"/>
            <w:tcBorders>
              <w:top w:val="single" w:color="auto" w:sz="6" w:space="0"/>
              <w:left w:val="single" w:color="auto" w:sz="6" w:space="0"/>
              <w:bottom w:val="single" w:color="auto" w:sz="6" w:space="0"/>
              <w:right w:val="single" w:color="auto" w:sz="6" w:space="0"/>
            </w:tcBorders>
            <w:shd w:val="clear" w:color="auto" w:fill="auto"/>
            <w:vAlign w:val="center"/>
          </w:tcPr>
          <w:p w14:paraId="46E06D68">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983" w:type="dxa"/>
            <w:tcBorders>
              <w:top w:val="single" w:color="auto" w:sz="6" w:space="0"/>
              <w:left w:val="single" w:color="auto" w:sz="6" w:space="0"/>
              <w:bottom w:val="single" w:color="auto" w:sz="6" w:space="0"/>
              <w:right w:val="single" w:color="auto" w:sz="4" w:space="0"/>
            </w:tcBorders>
            <w:shd w:val="clear" w:color="auto" w:fill="B3B3B3"/>
            <w:vAlign w:val="center"/>
          </w:tcPr>
          <w:p w14:paraId="0A971341">
            <w:pPr>
              <w:autoSpaceDE w:val="0"/>
              <w:autoSpaceDN w:val="0"/>
              <w:spacing w:line="360" w:lineRule="auto"/>
              <w:jc w:val="center"/>
              <w:rPr>
                <w:rFonts w:ascii="宋体" w:hAnsi="宋体" w:eastAsia="宋体" w:cs="宋体"/>
                <w:color w:val="auto"/>
                <w:sz w:val="24"/>
                <w:szCs w:val="24"/>
                <w:highlight w:val="none"/>
              </w:rPr>
            </w:pPr>
          </w:p>
        </w:tc>
        <w:tc>
          <w:tcPr>
            <w:tcW w:w="962" w:type="dxa"/>
            <w:tcBorders>
              <w:top w:val="single" w:color="auto" w:sz="6" w:space="0"/>
              <w:left w:val="single" w:color="auto" w:sz="4" w:space="0"/>
              <w:bottom w:val="single" w:color="auto" w:sz="6" w:space="0"/>
              <w:right w:val="single" w:color="auto" w:sz="6" w:space="0"/>
            </w:tcBorders>
            <w:vAlign w:val="center"/>
          </w:tcPr>
          <w:p w14:paraId="26FAA973">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页码</w:t>
            </w:r>
          </w:p>
        </w:tc>
        <w:tc>
          <w:tcPr>
            <w:tcW w:w="1977" w:type="dxa"/>
            <w:tcBorders>
              <w:top w:val="single" w:color="auto" w:sz="6" w:space="0"/>
              <w:left w:val="single" w:color="auto" w:sz="6" w:space="0"/>
              <w:bottom w:val="single" w:color="auto" w:sz="6" w:space="0"/>
              <w:right w:val="single" w:color="auto" w:sz="6" w:space="0"/>
            </w:tcBorders>
          </w:tcPr>
          <w:p w14:paraId="5C4EB759">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项目经历</w:t>
            </w:r>
          </w:p>
        </w:tc>
        <w:tc>
          <w:tcPr>
            <w:tcW w:w="4357" w:type="dxa"/>
            <w:tcBorders>
              <w:top w:val="single" w:color="auto" w:sz="6" w:space="0"/>
              <w:left w:val="single" w:color="auto" w:sz="6" w:space="0"/>
              <w:bottom w:val="single" w:color="auto" w:sz="6" w:space="0"/>
              <w:right w:val="single" w:color="auto" w:sz="6" w:space="0"/>
            </w:tcBorders>
          </w:tcPr>
          <w:p w14:paraId="6B4E6EEC">
            <w:pPr>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5384F35B">
        <w:tblPrEx>
          <w:tblCellMar>
            <w:top w:w="0" w:type="dxa"/>
            <w:left w:w="108" w:type="dxa"/>
            <w:bottom w:w="0" w:type="dxa"/>
            <w:right w:w="108" w:type="dxa"/>
          </w:tblCellMar>
        </w:tblPrEx>
        <w:trPr>
          <w:cantSplit/>
          <w:trHeight w:val="345" w:hRule="atLeast"/>
        </w:trPr>
        <w:tc>
          <w:tcPr>
            <w:tcW w:w="1575" w:type="dxa"/>
            <w:tcBorders>
              <w:top w:val="single" w:color="auto" w:sz="6" w:space="0"/>
              <w:left w:val="single" w:color="auto" w:sz="6" w:space="0"/>
              <w:bottom w:val="single" w:color="auto" w:sz="6" w:space="0"/>
              <w:right w:val="single" w:color="auto" w:sz="6" w:space="0"/>
            </w:tcBorders>
            <w:shd w:val="clear" w:color="auto" w:fill="auto"/>
            <w:vAlign w:val="center"/>
          </w:tcPr>
          <w:p w14:paraId="243BA670">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983" w:type="dxa"/>
            <w:tcBorders>
              <w:top w:val="single" w:color="auto" w:sz="6" w:space="0"/>
              <w:left w:val="single" w:color="auto" w:sz="6" w:space="0"/>
              <w:bottom w:val="single" w:color="auto" w:sz="6" w:space="0"/>
              <w:right w:val="single" w:color="auto" w:sz="4" w:space="0"/>
            </w:tcBorders>
            <w:shd w:val="clear" w:color="auto" w:fill="auto"/>
            <w:vAlign w:val="center"/>
          </w:tcPr>
          <w:p w14:paraId="1C91B048">
            <w:pPr>
              <w:autoSpaceDE w:val="0"/>
              <w:autoSpaceDN w:val="0"/>
              <w:spacing w:line="360" w:lineRule="auto"/>
              <w:jc w:val="center"/>
              <w:rPr>
                <w:rFonts w:ascii="宋体" w:hAnsi="宋体" w:eastAsia="宋体" w:cs="宋体"/>
                <w:color w:val="auto"/>
                <w:sz w:val="24"/>
                <w:szCs w:val="24"/>
                <w:highlight w:val="none"/>
              </w:rPr>
            </w:pPr>
          </w:p>
        </w:tc>
        <w:tc>
          <w:tcPr>
            <w:tcW w:w="962" w:type="dxa"/>
            <w:tcBorders>
              <w:top w:val="single" w:color="auto" w:sz="6" w:space="0"/>
              <w:left w:val="single" w:color="auto" w:sz="4" w:space="0"/>
              <w:bottom w:val="single" w:color="auto" w:sz="6" w:space="0"/>
              <w:right w:val="single" w:color="auto" w:sz="6" w:space="0"/>
            </w:tcBorders>
            <w:shd w:val="clear" w:color="auto" w:fill="B3B3B3"/>
            <w:vAlign w:val="center"/>
          </w:tcPr>
          <w:p w14:paraId="096EAAC5">
            <w:pPr>
              <w:autoSpaceDE w:val="0"/>
              <w:autoSpaceDN w:val="0"/>
              <w:spacing w:line="360" w:lineRule="auto"/>
              <w:jc w:val="center"/>
              <w:rPr>
                <w:rFonts w:ascii="宋体" w:hAnsi="宋体" w:eastAsia="宋体" w:cs="宋体"/>
                <w:color w:val="auto"/>
                <w:sz w:val="24"/>
                <w:szCs w:val="24"/>
                <w:highlight w:val="none"/>
              </w:rPr>
            </w:pPr>
          </w:p>
        </w:tc>
        <w:tc>
          <w:tcPr>
            <w:tcW w:w="1977" w:type="dxa"/>
            <w:tcBorders>
              <w:top w:val="single" w:color="auto" w:sz="6" w:space="0"/>
              <w:left w:val="single" w:color="auto" w:sz="6" w:space="0"/>
              <w:bottom w:val="single" w:color="auto" w:sz="6" w:space="0"/>
              <w:right w:val="single" w:color="auto" w:sz="6" w:space="0"/>
            </w:tcBorders>
          </w:tcPr>
          <w:p w14:paraId="76AE872E">
            <w:pPr>
              <w:autoSpaceDE w:val="0"/>
              <w:autoSpaceDN w:val="0"/>
              <w:spacing w:line="360" w:lineRule="auto"/>
              <w:jc w:val="center"/>
              <w:rPr>
                <w:rFonts w:ascii="宋体" w:hAnsi="宋体" w:eastAsia="宋体" w:cs="宋体"/>
                <w:color w:val="auto"/>
                <w:sz w:val="24"/>
                <w:szCs w:val="24"/>
                <w:highlight w:val="none"/>
              </w:rPr>
            </w:pPr>
          </w:p>
        </w:tc>
        <w:tc>
          <w:tcPr>
            <w:tcW w:w="4357" w:type="dxa"/>
            <w:tcBorders>
              <w:top w:val="single" w:color="auto" w:sz="6" w:space="0"/>
              <w:left w:val="single" w:color="auto" w:sz="6" w:space="0"/>
              <w:bottom w:val="single" w:color="auto" w:sz="6" w:space="0"/>
              <w:right w:val="single" w:color="auto" w:sz="6" w:space="0"/>
            </w:tcBorders>
          </w:tcPr>
          <w:p w14:paraId="4C5E7CD0">
            <w:pPr>
              <w:autoSpaceDE w:val="0"/>
              <w:autoSpaceDN w:val="0"/>
              <w:spacing w:line="360" w:lineRule="auto"/>
              <w:jc w:val="center"/>
              <w:rPr>
                <w:rFonts w:ascii="宋体" w:hAnsi="宋体" w:eastAsia="宋体" w:cs="宋体"/>
                <w:color w:val="auto"/>
                <w:sz w:val="24"/>
                <w:szCs w:val="24"/>
                <w:highlight w:val="none"/>
              </w:rPr>
            </w:pPr>
          </w:p>
        </w:tc>
      </w:tr>
      <w:tr w14:paraId="557C9079">
        <w:tblPrEx>
          <w:tblCellMar>
            <w:top w:w="0" w:type="dxa"/>
            <w:left w:w="108" w:type="dxa"/>
            <w:bottom w:w="0" w:type="dxa"/>
            <w:right w:w="108" w:type="dxa"/>
          </w:tblCellMar>
        </w:tblPrEx>
        <w:trPr>
          <w:cantSplit/>
          <w:trHeight w:val="337" w:hRule="atLeast"/>
        </w:trPr>
        <w:tc>
          <w:tcPr>
            <w:tcW w:w="1575" w:type="dxa"/>
            <w:tcBorders>
              <w:top w:val="single" w:color="auto" w:sz="6" w:space="0"/>
              <w:left w:val="single" w:color="auto" w:sz="6" w:space="0"/>
              <w:bottom w:val="single" w:color="auto" w:sz="6" w:space="0"/>
              <w:right w:val="single" w:color="auto" w:sz="6" w:space="0"/>
            </w:tcBorders>
            <w:shd w:val="clear" w:color="auto" w:fill="auto"/>
            <w:vAlign w:val="center"/>
          </w:tcPr>
          <w:p w14:paraId="68351456">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983" w:type="dxa"/>
            <w:tcBorders>
              <w:top w:val="single" w:color="auto" w:sz="6" w:space="0"/>
              <w:left w:val="single" w:color="auto" w:sz="6" w:space="0"/>
              <w:bottom w:val="single" w:color="auto" w:sz="6" w:space="0"/>
              <w:right w:val="single" w:color="auto" w:sz="4" w:space="0"/>
            </w:tcBorders>
            <w:shd w:val="clear" w:color="auto" w:fill="auto"/>
            <w:vAlign w:val="center"/>
          </w:tcPr>
          <w:p w14:paraId="4B9D5EAC">
            <w:pPr>
              <w:autoSpaceDE w:val="0"/>
              <w:autoSpaceDN w:val="0"/>
              <w:spacing w:line="360" w:lineRule="auto"/>
              <w:jc w:val="center"/>
              <w:rPr>
                <w:rFonts w:ascii="宋体" w:hAnsi="宋体" w:eastAsia="宋体" w:cs="宋体"/>
                <w:color w:val="auto"/>
                <w:sz w:val="24"/>
                <w:szCs w:val="24"/>
                <w:highlight w:val="none"/>
              </w:rPr>
            </w:pPr>
          </w:p>
        </w:tc>
        <w:tc>
          <w:tcPr>
            <w:tcW w:w="962" w:type="dxa"/>
            <w:tcBorders>
              <w:top w:val="single" w:color="auto" w:sz="6" w:space="0"/>
              <w:left w:val="single" w:color="auto" w:sz="4" w:space="0"/>
              <w:bottom w:val="single" w:color="auto" w:sz="6" w:space="0"/>
              <w:right w:val="single" w:color="auto" w:sz="6" w:space="0"/>
            </w:tcBorders>
            <w:shd w:val="clear" w:color="auto" w:fill="B3B3B3"/>
            <w:vAlign w:val="center"/>
          </w:tcPr>
          <w:p w14:paraId="5C10A689">
            <w:pPr>
              <w:autoSpaceDE w:val="0"/>
              <w:autoSpaceDN w:val="0"/>
              <w:spacing w:line="360" w:lineRule="auto"/>
              <w:jc w:val="center"/>
              <w:rPr>
                <w:rFonts w:ascii="宋体" w:hAnsi="宋体" w:eastAsia="宋体" w:cs="宋体"/>
                <w:color w:val="auto"/>
                <w:sz w:val="24"/>
                <w:szCs w:val="24"/>
                <w:highlight w:val="none"/>
              </w:rPr>
            </w:pPr>
          </w:p>
        </w:tc>
        <w:tc>
          <w:tcPr>
            <w:tcW w:w="1977" w:type="dxa"/>
            <w:tcBorders>
              <w:top w:val="single" w:color="auto" w:sz="6" w:space="0"/>
              <w:left w:val="single" w:color="auto" w:sz="6" w:space="0"/>
              <w:bottom w:val="single" w:color="auto" w:sz="6" w:space="0"/>
              <w:right w:val="single" w:color="auto" w:sz="6" w:space="0"/>
            </w:tcBorders>
          </w:tcPr>
          <w:p w14:paraId="4107584E">
            <w:pPr>
              <w:autoSpaceDE w:val="0"/>
              <w:autoSpaceDN w:val="0"/>
              <w:spacing w:line="360" w:lineRule="auto"/>
              <w:jc w:val="center"/>
              <w:rPr>
                <w:rFonts w:ascii="宋体" w:hAnsi="宋体" w:eastAsia="宋体" w:cs="宋体"/>
                <w:color w:val="auto"/>
                <w:sz w:val="24"/>
                <w:szCs w:val="24"/>
                <w:highlight w:val="none"/>
              </w:rPr>
            </w:pPr>
          </w:p>
        </w:tc>
        <w:tc>
          <w:tcPr>
            <w:tcW w:w="4357" w:type="dxa"/>
            <w:tcBorders>
              <w:top w:val="single" w:color="auto" w:sz="6" w:space="0"/>
              <w:left w:val="single" w:color="auto" w:sz="6" w:space="0"/>
              <w:bottom w:val="single" w:color="auto" w:sz="6" w:space="0"/>
              <w:right w:val="single" w:color="auto" w:sz="6" w:space="0"/>
            </w:tcBorders>
          </w:tcPr>
          <w:p w14:paraId="2F4F3A72">
            <w:pPr>
              <w:autoSpaceDE w:val="0"/>
              <w:autoSpaceDN w:val="0"/>
              <w:spacing w:line="360" w:lineRule="auto"/>
              <w:jc w:val="center"/>
              <w:rPr>
                <w:rFonts w:ascii="宋体" w:hAnsi="宋体" w:eastAsia="宋体" w:cs="宋体"/>
                <w:color w:val="auto"/>
                <w:sz w:val="24"/>
                <w:szCs w:val="24"/>
                <w:highlight w:val="none"/>
              </w:rPr>
            </w:pPr>
          </w:p>
        </w:tc>
      </w:tr>
      <w:tr w14:paraId="515303DF">
        <w:tblPrEx>
          <w:tblCellMar>
            <w:top w:w="0" w:type="dxa"/>
            <w:left w:w="108" w:type="dxa"/>
            <w:bottom w:w="0" w:type="dxa"/>
            <w:right w:w="108" w:type="dxa"/>
          </w:tblCellMar>
        </w:tblPrEx>
        <w:trPr>
          <w:cantSplit/>
          <w:trHeight w:val="345" w:hRule="atLeast"/>
        </w:trPr>
        <w:tc>
          <w:tcPr>
            <w:tcW w:w="1575" w:type="dxa"/>
            <w:tcBorders>
              <w:top w:val="single" w:color="auto" w:sz="6" w:space="0"/>
              <w:left w:val="single" w:color="auto" w:sz="6" w:space="0"/>
              <w:bottom w:val="single" w:color="auto" w:sz="6" w:space="0"/>
              <w:right w:val="single" w:color="auto" w:sz="6" w:space="0"/>
            </w:tcBorders>
            <w:vAlign w:val="center"/>
          </w:tcPr>
          <w:p w14:paraId="7943FF07">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983" w:type="dxa"/>
            <w:tcBorders>
              <w:top w:val="single" w:color="auto" w:sz="6" w:space="0"/>
              <w:left w:val="single" w:color="auto" w:sz="6" w:space="0"/>
              <w:bottom w:val="single" w:color="auto" w:sz="6" w:space="0"/>
              <w:right w:val="single" w:color="auto" w:sz="4" w:space="0"/>
            </w:tcBorders>
            <w:vAlign w:val="center"/>
          </w:tcPr>
          <w:p w14:paraId="455DFEE6">
            <w:pPr>
              <w:autoSpaceDE w:val="0"/>
              <w:autoSpaceDN w:val="0"/>
              <w:spacing w:line="360" w:lineRule="auto"/>
              <w:jc w:val="center"/>
              <w:rPr>
                <w:rFonts w:ascii="宋体" w:hAnsi="宋体" w:eastAsia="宋体" w:cs="宋体"/>
                <w:color w:val="auto"/>
                <w:sz w:val="24"/>
                <w:szCs w:val="24"/>
                <w:highlight w:val="none"/>
              </w:rPr>
            </w:pPr>
          </w:p>
        </w:tc>
        <w:tc>
          <w:tcPr>
            <w:tcW w:w="962" w:type="dxa"/>
            <w:tcBorders>
              <w:top w:val="single" w:color="auto" w:sz="6" w:space="0"/>
              <w:left w:val="single" w:color="auto" w:sz="4" w:space="0"/>
              <w:bottom w:val="single" w:color="auto" w:sz="6" w:space="0"/>
              <w:right w:val="single" w:color="auto" w:sz="6" w:space="0"/>
            </w:tcBorders>
            <w:vAlign w:val="center"/>
          </w:tcPr>
          <w:p w14:paraId="6A154E3D">
            <w:pPr>
              <w:autoSpaceDE w:val="0"/>
              <w:autoSpaceDN w:val="0"/>
              <w:spacing w:line="360" w:lineRule="auto"/>
              <w:jc w:val="center"/>
              <w:rPr>
                <w:rFonts w:ascii="宋体" w:hAnsi="宋体" w:eastAsia="宋体" w:cs="宋体"/>
                <w:color w:val="auto"/>
                <w:sz w:val="24"/>
                <w:szCs w:val="24"/>
                <w:highlight w:val="none"/>
              </w:rPr>
            </w:pPr>
          </w:p>
        </w:tc>
        <w:tc>
          <w:tcPr>
            <w:tcW w:w="1977" w:type="dxa"/>
            <w:tcBorders>
              <w:top w:val="single" w:color="auto" w:sz="6" w:space="0"/>
              <w:left w:val="single" w:color="auto" w:sz="6" w:space="0"/>
              <w:bottom w:val="single" w:color="auto" w:sz="6" w:space="0"/>
              <w:right w:val="single" w:color="auto" w:sz="6" w:space="0"/>
            </w:tcBorders>
          </w:tcPr>
          <w:p w14:paraId="00C03ECC">
            <w:pPr>
              <w:autoSpaceDE w:val="0"/>
              <w:autoSpaceDN w:val="0"/>
              <w:spacing w:line="360" w:lineRule="auto"/>
              <w:jc w:val="center"/>
              <w:rPr>
                <w:rFonts w:ascii="宋体" w:hAnsi="宋体" w:eastAsia="宋体" w:cs="宋体"/>
                <w:color w:val="auto"/>
                <w:sz w:val="24"/>
                <w:szCs w:val="24"/>
                <w:highlight w:val="none"/>
              </w:rPr>
            </w:pPr>
          </w:p>
        </w:tc>
        <w:tc>
          <w:tcPr>
            <w:tcW w:w="4357" w:type="dxa"/>
            <w:tcBorders>
              <w:top w:val="single" w:color="auto" w:sz="6" w:space="0"/>
              <w:left w:val="single" w:color="auto" w:sz="6" w:space="0"/>
              <w:bottom w:val="single" w:color="auto" w:sz="6" w:space="0"/>
              <w:right w:val="single" w:color="auto" w:sz="6" w:space="0"/>
            </w:tcBorders>
          </w:tcPr>
          <w:p w14:paraId="57CEDBD5">
            <w:pPr>
              <w:autoSpaceDE w:val="0"/>
              <w:autoSpaceDN w:val="0"/>
              <w:spacing w:line="360" w:lineRule="auto"/>
              <w:jc w:val="center"/>
              <w:rPr>
                <w:rFonts w:ascii="宋体" w:hAnsi="宋体" w:eastAsia="宋体" w:cs="宋体"/>
                <w:color w:val="auto"/>
                <w:sz w:val="24"/>
                <w:szCs w:val="24"/>
                <w:highlight w:val="none"/>
              </w:rPr>
            </w:pPr>
          </w:p>
        </w:tc>
      </w:tr>
      <w:tr w14:paraId="1BC32D06">
        <w:tblPrEx>
          <w:tblCellMar>
            <w:top w:w="0" w:type="dxa"/>
            <w:left w:w="108" w:type="dxa"/>
            <w:bottom w:w="0" w:type="dxa"/>
            <w:right w:w="108" w:type="dxa"/>
          </w:tblCellMar>
        </w:tblPrEx>
        <w:trPr>
          <w:cantSplit/>
          <w:trHeight w:val="356" w:hRule="atLeast"/>
        </w:trPr>
        <w:tc>
          <w:tcPr>
            <w:tcW w:w="1575" w:type="dxa"/>
            <w:tcBorders>
              <w:top w:val="single" w:color="auto" w:sz="6" w:space="0"/>
              <w:left w:val="single" w:color="auto" w:sz="6" w:space="0"/>
              <w:bottom w:val="single" w:color="auto" w:sz="6" w:space="0"/>
              <w:right w:val="single" w:color="auto" w:sz="6" w:space="0"/>
            </w:tcBorders>
            <w:vAlign w:val="center"/>
          </w:tcPr>
          <w:p w14:paraId="7BEB7230">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注册证书编号、专业及注册单位</w:t>
            </w:r>
          </w:p>
        </w:tc>
        <w:tc>
          <w:tcPr>
            <w:tcW w:w="983" w:type="dxa"/>
            <w:tcBorders>
              <w:top w:val="single" w:color="auto" w:sz="6" w:space="0"/>
              <w:left w:val="single" w:color="auto" w:sz="6" w:space="0"/>
              <w:bottom w:val="single" w:color="auto" w:sz="6" w:space="0"/>
              <w:right w:val="single" w:color="auto" w:sz="4" w:space="0"/>
            </w:tcBorders>
            <w:vAlign w:val="center"/>
          </w:tcPr>
          <w:p w14:paraId="2D0D678C">
            <w:pPr>
              <w:autoSpaceDE w:val="0"/>
              <w:autoSpaceDN w:val="0"/>
              <w:spacing w:line="360" w:lineRule="auto"/>
              <w:jc w:val="center"/>
              <w:rPr>
                <w:rFonts w:ascii="宋体" w:hAnsi="宋体" w:eastAsia="宋体" w:cs="宋体"/>
                <w:color w:val="auto"/>
                <w:sz w:val="24"/>
                <w:szCs w:val="24"/>
                <w:highlight w:val="none"/>
              </w:rPr>
            </w:pPr>
          </w:p>
        </w:tc>
        <w:tc>
          <w:tcPr>
            <w:tcW w:w="962" w:type="dxa"/>
            <w:tcBorders>
              <w:top w:val="single" w:color="auto" w:sz="6" w:space="0"/>
              <w:left w:val="single" w:color="auto" w:sz="4" w:space="0"/>
              <w:bottom w:val="single" w:color="auto" w:sz="6" w:space="0"/>
              <w:right w:val="single" w:color="auto" w:sz="6" w:space="0"/>
            </w:tcBorders>
            <w:vAlign w:val="center"/>
          </w:tcPr>
          <w:p w14:paraId="7CD9DA1F">
            <w:pPr>
              <w:autoSpaceDE w:val="0"/>
              <w:autoSpaceDN w:val="0"/>
              <w:spacing w:line="360" w:lineRule="auto"/>
              <w:jc w:val="center"/>
              <w:rPr>
                <w:rFonts w:ascii="宋体" w:hAnsi="宋体" w:eastAsia="宋体" w:cs="宋体"/>
                <w:color w:val="auto"/>
                <w:sz w:val="24"/>
                <w:szCs w:val="24"/>
                <w:highlight w:val="none"/>
              </w:rPr>
            </w:pPr>
          </w:p>
        </w:tc>
        <w:tc>
          <w:tcPr>
            <w:tcW w:w="1977" w:type="dxa"/>
            <w:tcBorders>
              <w:top w:val="single" w:color="auto" w:sz="6" w:space="0"/>
              <w:left w:val="single" w:color="auto" w:sz="6" w:space="0"/>
              <w:bottom w:val="single" w:color="auto" w:sz="6" w:space="0"/>
              <w:right w:val="single" w:color="auto" w:sz="6" w:space="0"/>
            </w:tcBorders>
          </w:tcPr>
          <w:p w14:paraId="415E26CB">
            <w:pPr>
              <w:autoSpaceDE w:val="0"/>
              <w:autoSpaceDN w:val="0"/>
              <w:spacing w:line="360" w:lineRule="auto"/>
              <w:jc w:val="center"/>
              <w:rPr>
                <w:rFonts w:ascii="宋体" w:hAnsi="宋体" w:eastAsia="宋体" w:cs="宋体"/>
                <w:color w:val="auto"/>
                <w:sz w:val="24"/>
                <w:szCs w:val="24"/>
                <w:highlight w:val="none"/>
              </w:rPr>
            </w:pPr>
          </w:p>
        </w:tc>
        <w:tc>
          <w:tcPr>
            <w:tcW w:w="4357" w:type="dxa"/>
            <w:tcBorders>
              <w:top w:val="single" w:color="auto" w:sz="6" w:space="0"/>
              <w:left w:val="single" w:color="auto" w:sz="6" w:space="0"/>
              <w:bottom w:val="single" w:color="auto" w:sz="6" w:space="0"/>
              <w:right w:val="single" w:color="auto" w:sz="6" w:space="0"/>
            </w:tcBorders>
          </w:tcPr>
          <w:p w14:paraId="43E2A445">
            <w:pPr>
              <w:autoSpaceDE w:val="0"/>
              <w:autoSpaceDN w:val="0"/>
              <w:spacing w:line="360" w:lineRule="auto"/>
              <w:jc w:val="center"/>
              <w:rPr>
                <w:rFonts w:ascii="宋体" w:hAnsi="宋体" w:eastAsia="宋体" w:cs="宋体"/>
                <w:color w:val="auto"/>
                <w:sz w:val="24"/>
                <w:szCs w:val="24"/>
                <w:highlight w:val="none"/>
              </w:rPr>
            </w:pPr>
          </w:p>
        </w:tc>
      </w:tr>
      <w:tr w14:paraId="167A4BB3">
        <w:tblPrEx>
          <w:tblCellMar>
            <w:top w:w="0" w:type="dxa"/>
            <w:left w:w="108" w:type="dxa"/>
            <w:bottom w:w="0" w:type="dxa"/>
            <w:right w:w="108" w:type="dxa"/>
          </w:tblCellMar>
        </w:tblPrEx>
        <w:trPr>
          <w:cantSplit/>
          <w:trHeight w:val="177" w:hRule="atLeast"/>
        </w:trPr>
        <w:tc>
          <w:tcPr>
            <w:tcW w:w="1575" w:type="dxa"/>
            <w:tcBorders>
              <w:top w:val="single" w:color="auto" w:sz="6" w:space="0"/>
              <w:left w:val="single" w:color="auto" w:sz="6" w:space="0"/>
              <w:bottom w:val="single" w:color="auto" w:sz="6" w:space="0"/>
              <w:right w:val="single" w:color="auto" w:sz="6" w:space="0"/>
            </w:tcBorders>
            <w:vAlign w:val="center"/>
          </w:tcPr>
          <w:p w14:paraId="15F2AD90">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社保记录</w:t>
            </w:r>
          </w:p>
        </w:tc>
        <w:tc>
          <w:tcPr>
            <w:tcW w:w="983" w:type="dxa"/>
            <w:tcBorders>
              <w:top w:val="single" w:color="auto" w:sz="6" w:space="0"/>
              <w:left w:val="single" w:color="auto" w:sz="6" w:space="0"/>
              <w:bottom w:val="single" w:color="auto" w:sz="6" w:space="0"/>
              <w:right w:val="single" w:color="auto" w:sz="4" w:space="0"/>
            </w:tcBorders>
            <w:vAlign w:val="center"/>
          </w:tcPr>
          <w:p w14:paraId="64A2FB4E">
            <w:pPr>
              <w:autoSpaceDE w:val="0"/>
              <w:autoSpaceDN w:val="0"/>
              <w:spacing w:line="360" w:lineRule="auto"/>
              <w:jc w:val="center"/>
              <w:rPr>
                <w:rFonts w:ascii="宋体" w:hAnsi="宋体" w:eastAsia="宋体" w:cs="宋体"/>
                <w:color w:val="auto"/>
                <w:sz w:val="24"/>
                <w:szCs w:val="24"/>
                <w:highlight w:val="none"/>
              </w:rPr>
            </w:pPr>
          </w:p>
        </w:tc>
        <w:tc>
          <w:tcPr>
            <w:tcW w:w="962" w:type="dxa"/>
            <w:tcBorders>
              <w:top w:val="single" w:color="auto" w:sz="6" w:space="0"/>
              <w:left w:val="single" w:color="auto" w:sz="4" w:space="0"/>
              <w:bottom w:val="single" w:color="auto" w:sz="6" w:space="0"/>
              <w:right w:val="single" w:color="auto" w:sz="6" w:space="0"/>
            </w:tcBorders>
            <w:vAlign w:val="center"/>
          </w:tcPr>
          <w:p w14:paraId="18522293">
            <w:pPr>
              <w:autoSpaceDE w:val="0"/>
              <w:autoSpaceDN w:val="0"/>
              <w:spacing w:line="360" w:lineRule="auto"/>
              <w:jc w:val="center"/>
              <w:rPr>
                <w:rFonts w:ascii="宋体" w:hAnsi="宋体" w:eastAsia="宋体" w:cs="宋体"/>
                <w:color w:val="auto"/>
                <w:sz w:val="24"/>
                <w:szCs w:val="24"/>
                <w:highlight w:val="none"/>
              </w:rPr>
            </w:pPr>
          </w:p>
        </w:tc>
        <w:tc>
          <w:tcPr>
            <w:tcW w:w="1977" w:type="dxa"/>
            <w:tcBorders>
              <w:top w:val="single" w:color="auto" w:sz="6" w:space="0"/>
              <w:left w:val="single" w:color="auto" w:sz="6" w:space="0"/>
              <w:bottom w:val="single" w:color="auto" w:sz="6" w:space="0"/>
              <w:right w:val="single" w:color="auto" w:sz="6" w:space="0"/>
            </w:tcBorders>
          </w:tcPr>
          <w:p w14:paraId="22AD95D7">
            <w:pPr>
              <w:autoSpaceDE w:val="0"/>
              <w:autoSpaceDN w:val="0"/>
              <w:spacing w:line="360" w:lineRule="auto"/>
              <w:jc w:val="center"/>
              <w:rPr>
                <w:rFonts w:ascii="宋体" w:hAnsi="宋体" w:eastAsia="宋体" w:cs="宋体"/>
                <w:color w:val="auto"/>
                <w:sz w:val="24"/>
                <w:szCs w:val="24"/>
                <w:highlight w:val="none"/>
              </w:rPr>
            </w:pPr>
          </w:p>
        </w:tc>
        <w:tc>
          <w:tcPr>
            <w:tcW w:w="4357" w:type="dxa"/>
            <w:tcBorders>
              <w:top w:val="single" w:color="auto" w:sz="6" w:space="0"/>
              <w:left w:val="single" w:color="auto" w:sz="6" w:space="0"/>
              <w:bottom w:val="single" w:color="auto" w:sz="6" w:space="0"/>
              <w:right w:val="single" w:color="auto" w:sz="6" w:space="0"/>
            </w:tcBorders>
          </w:tcPr>
          <w:p w14:paraId="398BD20E">
            <w:pPr>
              <w:autoSpaceDE w:val="0"/>
              <w:autoSpaceDN w:val="0"/>
              <w:spacing w:line="360" w:lineRule="auto"/>
              <w:jc w:val="center"/>
              <w:rPr>
                <w:rFonts w:ascii="宋体" w:hAnsi="宋体" w:eastAsia="宋体" w:cs="宋体"/>
                <w:color w:val="auto"/>
                <w:sz w:val="24"/>
                <w:szCs w:val="24"/>
                <w:highlight w:val="none"/>
              </w:rPr>
            </w:pPr>
          </w:p>
        </w:tc>
      </w:tr>
    </w:tbl>
    <w:p w14:paraId="5F9FA546">
      <w:pPr>
        <w:autoSpaceDE w:val="0"/>
        <w:autoSpaceDN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注：随表提交相应的证书复印件并注明所在响应技术文件页码。</w:t>
      </w:r>
    </w:p>
    <w:p w14:paraId="7FBBC5D6">
      <w:pPr>
        <w:autoSpaceDE w:val="0"/>
        <w:autoSpaceDN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附表B:本项目最低配备要求专业技术人员情况表</w:t>
      </w:r>
    </w:p>
    <w:tbl>
      <w:tblPr>
        <w:tblStyle w:val="32"/>
        <w:tblW w:w="0" w:type="auto"/>
        <w:tblInd w:w="0" w:type="dxa"/>
        <w:tblLayout w:type="fixed"/>
        <w:tblCellMar>
          <w:top w:w="0" w:type="dxa"/>
          <w:left w:w="108" w:type="dxa"/>
          <w:bottom w:w="0" w:type="dxa"/>
          <w:right w:w="108" w:type="dxa"/>
        </w:tblCellMar>
      </w:tblPr>
      <w:tblGrid>
        <w:gridCol w:w="1460"/>
        <w:gridCol w:w="804"/>
        <w:gridCol w:w="761"/>
        <w:gridCol w:w="838"/>
        <w:gridCol w:w="1600"/>
        <w:gridCol w:w="2199"/>
        <w:gridCol w:w="2192"/>
      </w:tblGrid>
      <w:tr w14:paraId="516E50A6">
        <w:tblPrEx>
          <w:tblCellMar>
            <w:top w:w="0" w:type="dxa"/>
            <w:left w:w="108" w:type="dxa"/>
            <w:bottom w:w="0" w:type="dxa"/>
            <w:right w:w="108" w:type="dxa"/>
          </w:tblCellMar>
        </w:tblPrEx>
        <w:tc>
          <w:tcPr>
            <w:tcW w:w="1460" w:type="dxa"/>
            <w:tcBorders>
              <w:top w:val="single" w:color="auto" w:sz="6" w:space="0"/>
              <w:left w:val="single" w:color="auto" w:sz="6" w:space="0"/>
              <w:bottom w:val="single" w:color="auto" w:sz="6" w:space="0"/>
              <w:right w:val="single" w:color="auto" w:sz="6" w:space="0"/>
            </w:tcBorders>
            <w:vAlign w:val="center"/>
          </w:tcPr>
          <w:p w14:paraId="62A2478B">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04" w:type="dxa"/>
            <w:tcBorders>
              <w:top w:val="single" w:color="auto" w:sz="6" w:space="0"/>
              <w:left w:val="single" w:color="auto" w:sz="6" w:space="0"/>
              <w:bottom w:val="single" w:color="auto" w:sz="6" w:space="0"/>
              <w:right w:val="single" w:color="auto" w:sz="6" w:space="0"/>
            </w:tcBorders>
            <w:vAlign w:val="center"/>
          </w:tcPr>
          <w:p w14:paraId="39F12C4A">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61" w:type="dxa"/>
            <w:tcBorders>
              <w:top w:val="single" w:color="auto" w:sz="6" w:space="0"/>
              <w:left w:val="single" w:color="auto" w:sz="6" w:space="0"/>
              <w:bottom w:val="single" w:color="auto" w:sz="6" w:space="0"/>
              <w:right w:val="single" w:color="auto" w:sz="6" w:space="0"/>
            </w:tcBorders>
            <w:vAlign w:val="center"/>
          </w:tcPr>
          <w:p w14:paraId="01E08BA1">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838" w:type="dxa"/>
            <w:tcBorders>
              <w:top w:val="single" w:color="auto" w:sz="6" w:space="0"/>
              <w:left w:val="single" w:color="auto" w:sz="6" w:space="0"/>
              <w:bottom w:val="single" w:color="auto" w:sz="6" w:space="0"/>
              <w:right w:val="single" w:color="auto" w:sz="6" w:space="0"/>
            </w:tcBorders>
            <w:vAlign w:val="center"/>
          </w:tcPr>
          <w:p w14:paraId="56D1B17F">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600" w:type="dxa"/>
            <w:tcBorders>
              <w:top w:val="single" w:color="auto" w:sz="6" w:space="0"/>
              <w:left w:val="single" w:color="auto" w:sz="6" w:space="0"/>
              <w:bottom w:val="single" w:color="auto" w:sz="6" w:space="0"/>
              <w:right w:val="single" w:color="auto" w:sz="6" w:space="0"/>
            </w:tcBorders>
            <w:vAlign w:val="center"/>
          </w:tcPr>
          <w:p w14:paraId="0526A7B6">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注册证书编号、专业及注册单位</w:t>
            </w:r>
          </w:p>
          <w:p w14:paraId="2CF0C92C">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(页码)</w:t>
            </w:r>
          </w:p>
        </w:tc>
        <w:tc>
          <w:tcPr>
            <w:tcW w:w="2199" w:type="dxa"/>
            <w:tcBorders>
              <w:top w:val="single" w:color="auto" w:sz="6" w:space="0"/>
              <w:left w:val="single" w:color="auto" w:sz="6" w:space="0"/>
              <w:bottom w:val="single" w:color="auto" w:sz="6" w:space="0"/>
              <w:right w:val="single" w:color="auto" w:sz="6" w:space="0"/>
            </w:tcBorders>
          </w:tcPr>
          <w:p w14:paraId="3E8DF86B">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缴纳社保记录</w:t>
            </w:r>
          </w:p>
          <w:p w14:paraId="40EE6EA8">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(页码)</w:t>
            </w:r>
          </w:p>
        </w:tc>
        <w:tc>
          <w:tcPr>
            <w:tcW w:w="2192" w:type="dxa"/>
            <w:tcBorders>
              <w:top w:val="single" w:color="auto" w:sz="6" w:space="0"/>
              <w:left w:val="single" w:color="auto" w:sz="6" w:space="0"/>
              <w:bottom w:val="single" w:color="auto" w:sz="6" w:space="0"/>
              <w:right w:val="single" w:color="auto" w:sz="6" w:space="0"/>
            </w:tcBorders>
          </w:tcPr>
          <w:p w14:paraId="14F1BDEE">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备注（例如载明一级或二级造价工程师）</w:t>
            </w:r>
          </w:p>
        </w:tc>
      </w:tr>
      <w:tr w14:paraId="02934D8A">
        <w:tblPrEx>
          <w:tblCellMar>
            <w:top w:w="0" w:type="dxa"/>
            <w:left w:w="108" w:type="dxa"/>
            <w:bottom w:w="0" w:type="dxa"/>
            <w:right w:w="108" w:type="dxa"/>
          </w:tblCellMar>
        </w:tblPrEx>
        <w:trPr>
          <w:trHeight w:val="479" w:hRule="atLeast"/>
        </w:trPr>
        <w:tc>
          <w:tcPr>
            <w:tcW w:w="1460" w:type="dxa"/>
            <w:tcBorders>
              <w:top w:val="single" w:color="auto" w:sz="6" w:space="0"/>
              <w:left w:val="single" w:color="auto" w:sz="6" w:space="0"/>
              <w:bottom w:val="single" w:color="auto" w:sz="6" w:space="0"/>
              <w:right w:val="single" w:color="auto" w:sz="6" w:space="0"/>
            </w:tcBorders>
          </w:tcPr>
          <w:p w14:paraId="088C3C12">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例：01</w:t>
            </w:r>
          </w:p>
        </w:tc>
        <w:tc>
          <w:tcPr>
            <w:tcW w:w="804" w:type="dxa"/>
            <w:tcBorders>
              <w:top w:val="single" w:color="auto" w:sz="6" w:space="0"/>
              <w:left w:val="single" w:color="auto" w:sz="6" w:space="0"/>
              <w:bottom w:val="single" w:color="auto" w:sz="6" w:space="0"/>
              <w:right w:val="single" w:color="auto" w:sz="6" w:space="0"/>
            </w:tcBorders>
          </w:tcPr>
          <w:p w14:paraId="7AA6D13D">
            <w:pPr>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李生</w:t>
            </w:r>
          </w:p>
        </w:tc>
        <w:tc>
          <w:tcPr>
            <w:tcW w:w="761" w:type="dxa"/>
            <w:tcBorders>
              <w:top w:val="single" w:color="auto" w:sz="6" w:space="0"/>
              <w:left w:val="single" w:color="auto" w:sz="6" w:space="0"/>
              <w:bottom w:val="single" w:color="auto" w:sz="6" w:space="0"/>
              <w:right w:val="single" w:color="auto" w:sz="6" w:space="0"/>
            </w:tcBorders>
          </w:tcPr>
          <w:p w14:paraId="50FB03D0">
            <w:pPr>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男</w:t>
            </w:r>
          </w:p>
        </w:tc>
        <w:tc>
          <w:tcPr>
            <w:tcW w:w="838" w:type="dxa"/>
            <w:tcBorders>
              <w:top w:val="single" w:color="auto" w:sz="6" w:space="0"/>
              <w:left w:val="single" w:color="auto" w:sz="6" w:space="0"/>
              <w:bottom w:val="single" w:color="auto" w:sz="6" w:space="0"/>
              <w:right w:val="single" w:color="auto" w:sz="6" w:space="0"/>
            </w:tcBorders>
          </w:tcPr>
          <w:p w14:paraId="16585A13">
            <w:pPr>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40</w:t>
            </w:r>
          </w:p>
        </w:tc>
        <w:tc>
          <w:tcPr>
            <w:tcW w:w="1600" w:type="dxa"/>
            <w:tcBorders>
              <w:top w:val="single" w:color="auto" w:sz="6" w:space="0"/>
              <w:left w:val="single" w:color="auto" w:sz="6" w:space="0"/>
              <w:bottom w:val="single" w:color="auto" w:sz="6" w:space="0"/>
              <w:right w:val="single" w:color="auto" w:sz="6" w:space="0"/>
            </w:tcBorders>
          </w:tcPr>
          <w:p w14:paraId="007BB90D">
            <w:pPr>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一级造价工程师证，土建专业，**公司，34页</w:t>
            </w:r>
          </w:p>
        </w:tc>
        <w:tc>
          <w:tcPr>
            <w:tcW w:w="2199" w:type="dxa"/>
            <w:tcBorders>
              <w:top w:val="single" w:color="auto" w:sz="6" w:space="0"/>
              <w:left w:val="single" w:color="auto" w:sz="6" w:space="0"/>
              <w:bottom w:val="single" w:color="auto" w:sz="6" w:space="0"/>
              <w:right w:val="single" w:color="auto" w:sz="6" w:space="0"/>
            </w:tcBorders>
          </w:tcPr>
          <w:p w14:paraId="229C4A07">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37页</w:t>
            </w:r>
          </w:p>
        </w:tc>
        <w:tc>
          <w:tcPr>
            <w:tcW w:w="2192" w:type="dxa"/>
            <w:tcBorders>
              <w:top w:val="single" w:color="auto" w:sz="6" w:space="0"/>
              <w:left w:val="single" w:color="auto" w:sz="6" w:space="0"/>
              <w:bottom w:val="single" w:color="auto" w:sz="6" w:space="0"/>
              <w:right w:val="single" w:color="auto" w:sz="6" w:space="0"/>
            </w:tcBorders>
          </w:tcPr>
          <w:p w14:paraId="447557E7">
            <w:pPr>
              <w:autoSpaceDE w:val="0"/>
              <w:autoSpaceDN w:val="0"/>
              <w:spacing w:line="360" w:lineRule="auto"/>
              <w:rPr>
                <w:rFonts w:ascii="宋体" w:hAnsi="宋体" w:eastAsia="宋体" w:cs="宋体"/>
                <w:color w:val="auto"/>
                <w:sz w:val="24"/>
                <w:szCs w:val="24"/>
                <w:highlight w:val="none"/>
              </w:rPr>
            </w:pPr>
          </w:p>
        </w:tc>
      </w:tr>
      <w:tr w14:paraId="7A8BE121">
        <w:tblPrEx>
          <w:tblCellMar>
            <w:top w:w="0" w:type="dxa"/>
            <w:left w:w="108" w:type="dxa"/>
            <w:bottom w:w="0" w:type="dxa"/>
            <w:right w:w="108" w:type="dxa"/>
          </w:tblCellMar>
        </w:tblPrEx>
        <w:trPr>
          <w:trHeight w:val="479" w:hRule="atLeast"/>
        </w:trPr>
        <w:tc>
          <w:tcPr>
            <w:tcW w:w="1460" w:type="dxa"/>
            <w:tcBorders>
              <w:top w:val="single" w:color="auto" w:sz="6" w:space="0"/>
              <w:left w:val="single" w:color="auto" w:sz="6" w:space="0"/>
              <w:bottom w:val="single" w:color="auto" w:sz="6" w:space="0"/>
              <w:right w:val="single" w:color="auto" w:sz="6" w:space="0"/>
            </w:tcBorders>
          </w:tcPr>
          <w:p w14:paraId="46A275D4">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02</w:t>
            </w:r>
          </w:p>
        </w:tc>
        <w:tc>
          <w:tcPr>
            <w:tcW w:w="804" w:type="dxa"/>
            <w:tcBorders>
              <w:top w:val="single" w:color="auto" w:sz="6" w:space="0"/>
              <w:left w:val="single" w:color="auto" w:sz="6" w:space="0"/>
              <w:bottom w:val="single" w:color="auto" w:sz="6" w:space="0"/>
              <w:right w:val="single" w:color="auto" w:sz="6" w:space="0"/>
            </w:tcBorders>
          </w:tcPr>
          <w:p w14:paraId="6680AABE">
            <w:pPr>
              <w:autoSpaceDE w:val="0"/>
              <w:autoSpaceDN w:val="0"/>
              <w:spacing w:line="360" w:lineRule="auto"/>
              <w:rPr>
                <w:rFonts w:ascii="宋体" w:hAnsi="宋体" w:eastAsia="宋体" w:cs="宋体"/>
                <w:color w:val="auto"/>
                <w:sz w:val="24"/>
                <w:szCs w:val="24"/>
                <w:highlight w:val="none"/>
              </w:rPr>
            </w:pPr>
          </w:p>
        </w:tc>
        <w:tc>
          <w:tcPr>
            <w:tcW w:w="761" w:type="dxa"/>
            <w:tcBorders>
              <w:top w:val="single" w:color="auto" w:sz="6" w:space="0"/>
              <w:left w:val="single" w:color="auto" w:sz="6" w:space="0"/>
              <w:bottom w:val="single" w:color="auto" w:sz="6" w:space="0"/>
              <w:right w:val="single" w:color="auto" w:sz="6" w:space="0"/>
            </w:tcBorders>
          </w:tcPr>
          <w:p w14:paraId="4C6AB6DE">
            <w:pPr>
              <w:autoSpaceDE w:val="0"/>
              <w:autoSpaceDN w:val="0"/>
              <w:spacing w:line="360" w:lineRule="auto"/>
              <w:rPr>
                <w:rFonts w:ascii="宋体" w:hAnsi="宋体" w:eastAsia="宋体" w:cs="宋体"/>
                <w:color w:val="auto"/>
                <w:sz w:val="24"/>
                <w:szCs w:val="24"/>
                <w:highlight w:val="none"/>
              </w:rPr>
            </w:pPr>
          </w:p>
        </w:tc>
        <w:tc>
          <w:tcPr>
            <w:tcW w:w="838" w:type="dxa"/>
            <w:tcBorders>
              <w:top w:val="single" w:color="auto" w:sz="6" w:space="0"/>
              <w:left w:val="single" w:color="auto" w:sz="6" w:space="0"/>
              <w:bottom w:val="single" w:color="auto" w:sz="6" w:space="0"/>
              <w:right w:val="single" w:color="auto" w:sz="6" w:space="0"/>
            </w:tcBorders>
          </w:tcPr>
          <w:p w14:paraId="7E934676">
            <w:pPr>
              <w:autoSpaceDE w:val="0"/>
              <w:autoSpaceDN w:val="0"/>
              <w:spacing w:line="360" w:lineRule="auto"/>
              <w:rPr>
                <w:rFonts w:ascii="宋体" w:hAnsi="宋体" w:eastAsia="宋体" w:cs="宋体"/>
                <w:color w:val="auto"/>
                <w:sz w:val="24"/>
                <w:szCs w:val="24"/>
                <w:highlight w:val="none"/>
              </w:rPr>
            </w:pPr>
          </w:p>
        </w:tc>
        <w:tc>
          <w:tcPr>
            <w:tcW w:w="1600" w:type="dxa"/>
            <w:tcBorders>
              <w:top w:val="single" w:color="auto" w:sz="6" w:space="0"/>
              <w:left w:val="single" w:color="auto" w:sz="6" w:space="0"/>
              <w:bottom w:val="single" w:color="auto" w:sz="6" w:space="0"/>
              <w:right w:val="single" w:color="auto" w:sz="6" w:space="0"/>
            </w:tcBorders>
          </w:tcPr>
          <w:p w14:paraId="24928851">
            <w:pPr>
              <w:autoSpaceDE w:val="0"/>
              <w:autoSpaceDN w:val="0"/>
              <w:spacing w:line="360" w:lineRule="auto"/>
              <w:rPr>
                <w:rFonts w:ascii="宋体" w:hAnsi="宋体" w:eastAsia="宋体" w:cs="宋体"/>
                <w:color w:val="auto"/>
                <w:sz w:val="24"/>
                <w:szCs w:val="24"/>
                <w:highlight w:val="none"/>
              </w:rPr>
            </w:pPr>
          </w:p>
        </w:tc>
        <w:tc>
          <w:tcPr>
            <w:tcW w:w="2199" w:type="dxa"/>
            <w:tcBorders>
              <w:top w:val="single" w:color="auto" w:sz="6" w:space="0"/>
              <w:left w:val="single" w:color="auto" w:sz="6" w:space="0"/>
              <w:bottom w:val="single" w:color="auto" w:sz="6" w:space="0"/>
              <w:right w:val="single" w:color="auto" w:sz="6" w:space="0"/>
            </w:tcBorders>
          </w:tcPr>
          <w:p w14:paraId="4BBAB314">
            <w:pPr>
              <w:autoSpaceDE w:val="0"/>
              <w:autoSpaceDN w:val="0"/>
              <w:spacing w:line="360" w:lineRule="auto"/>
              <w:jc w:val="center"/>
              <w:rPr>
                <w:rFonts w:ascii="宋体" w:hAnsi="宋体" w:eastAsia="宋体" w:cs="宋体"/>
                <w:color w:val="auto"/>
                <w:sz w:val="24"/>
                <w:szCs w:val="24"/>
                <w:highlight w:val="none"/>
              </w:rPr>
            </w:pPr>
          </w:p>
        </w:tc>
        <w:tc>
          <w:tcPr>
            <w:tcW w:w="2192" w:type="dxa"/>
            <w:tcBorders>
              <w:top w:val="single" w:color="auto" w:sz="6" w:space="0"/>
              <w:left w:val="single" w:color="auto" w:sz="6" w:space="0"/>
              <w:bottom w:val="single" w:color="auto" w:sz="6" w:space="0"/>
              <w:right w:val="single" w:color="auto" w:sz="6" w:space="0"/>
            </w:tcBorders>
          </w:tcPr>
          <w:p w14:paraId="668182A6">
            <w:pPr>
              <w:autoSpaceDE w:val="0"/>
              <w:autoSpaceDN w:val="0"/>
              <w:spacing w:line="360" w:lineRule="auto"/>
              <w:rPr>
                <w:rFonts w:ascii="宋体" w:hAnsi="宋体" w:eastAsia="宋体" w:cs="宋体"/>
                <w:color w:val="auto"/>
                <w:sz w:val="24"/>
                <w:szCs w:val="24"/>
                <w:highlight w:val="none"/>
              </w:rPr>
            </w:pPr>
          </w:p>
        </w:tc>
      </w:tr>
      <w:tr w14:paraId="7CE00A29">
        <w:tblPrEx>
          <w:tblCellMar>
            <w:top w:w="0" w:type="dxa"/>
            <w:left w:w="108" w:type="dxa"/>
            <w:bottom w:w="0" w:type="dxa"/>
            <w:right w:w="108" w:type="dxa"/>
          </w:tblCellMar>
        </w:tblPrEx>
        <w:trPr>
          <w:trHeight w:val="479" w:hRule="atLeast"/>
        </w:trPr>
        <w:tc>
          <w:tcPr>
            <w:tcW w:w="1460" w:type="dxa"/>
            <w:tcBorders>
              <w:top w:val="single" w:color="auto" w:sz="6" w:space="0"/>
              <w:left w:val="single" w:color="auto" w:sz="6" w:space="0"/>
              <w:bottom w:val="single" w:color="auto" w:sz="6" w:space="0"/>
              <w:right w:val="single" w:color="auto" w:sz="6" w:space="0"/>
            </w:tcBorders>
          </w:tcPr>
          <w:p w14:paraId="71AF062A">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03</w:t>
            </w:r>
          </w:p>
        </w:tc>
        <w:tc>
          <w:tcPr>
            <w:tcW w:w="804" w:type="dxa"/>
            <w:tcBorders>
              <w:top w:val="single" w:color="auto" w:sz="6" w:space="0"/>
              <w:left w:val="single" w:color="auto" w:sz="6" w:space="0"/>
              <w:bottom w:val="single" w:color="auto" w:sz="6" w:space="0"/>
              <w:right w:val="single" w:color="auto" w:sz="6" w:space="0"/>
            </w:tcBorders>
          </w:tcPr>
          <w:p w14:paraId="3DFEDB7E">
            <w:pPr>
              <w:autoSpaceDE w:val="0"/>
              <w:autoSpaceDN w:val="0"/>
              <w:spacing w:line="360" w:lineRule="auto"/>
              <w:rPr>
                <w:rFonts w:ascii="宋体" w:hAnsi="宋体" w:eastAsia="宋体" w:cs="宋体"/>
                <w:color w:val="auto"/>
                <w:sz w:val="24"/>
                <w:szCs w:val="24"/>
                <w:highlight w:val="none"/>
              </w:rPr>
            </w:pPr>
          </w:p>
        </w:tc>
        <w:tc>
          <w:tcPr>
            <w:tcW w:w="761" w:type="dxa"/>
            <w:tcBorders>
              <w:top w:val="single" w:color="auto" w:sz="6" w:space="0"/>
              <w:left w:val="single" w:color="auto" w:sz="6" w:space="0"/>
              <w:bottom w:val="single" w:color="auto" w:sz="6" w:space="0"/>
              <w:right w:val="single" w:color="auto" w:sz="6" w:space="0"/>
            </w:tcBorders>
          </w:tcPr>
          <w:p w14:paraId="1EB93A75">
            <w:pPr>
              <w:autoSpaceDE w:val="0"/>
              <w:autoSpaceDN w:val="0"/>
              <w:spacing w:line="360" w:lineRule="auto"/>
              <w:rPr>
                <w:rFonts w:ascii="宋体" w:hAnsi="宋体" w:eastAsia="宋体" w:cs="宋体"/>
                <w:color w:val="auto"/>
                <w:sz w:val="24"/>
                <w:szCs w:val="24"/>
                <w:highlight w:val="none"/>
              </w:rPr>
            </w:pPr>
          </w:p>
        </w:tc>
        <w:tc>
          <w:tcPr>
            <w:tcW w:w="838" w:type="dxa"/>
            <w:tcBorders>
              <w:top w:val="single" w:color="auto" w:sz="6" w:space="0"/>
              <w:left w:val="single" w:color="auto" w:sz="6" w:space="0"/>
              <w:bottom w:val="single" w:color="auto" w:sz="6" w:space="0"/>
              <w:right w:val="single" w:color="auto" w:sz="6" w:space="0"/>
            </w:tcBorders>
          </w:tcPr>
          <w:p w14:paraId="6DD4F891">
            <w:pPr>
              <w:autoSpaceDE w:val="0"/>
              <w:autoSpaceDN w:val="0"/>
              <w:spacing w:line="360" w:lineRule="auto"/>
              <w:rPr>
                <w:rFonts w:ascii="宋体" w:hAnsi="宋体" w:eastAsia="宋体" w:cs="宋体"/>
                <w:color w:val="auto"/>
                <w:sz w:val="24"/>
                <w:szCs w:val="24"/>
                <w:highlight w:val="none"/>
              </w:rPr>
            </w:pPr>
          </w:p>
        </w:tc>
        <w:tc>
          <w:tcPr>
            <w:tcW w:w="1600" w:type="dxa"/>
            <w:tcBorders>
              <w:top w:val="single" w:color="auto" w:sz="6" w:space="0"/>
              <w:left w:val="single" w:color="auto" w:sz="6" w:space="0"/>
              <w:bottom w:val="single" w:color="auto" w:sz="6" w:space="0"/>
              <w:right w:val="single" w:color="auto" w:sz="6" w:space="0"/>
            </w:tcBorders>
          </w:tcPr>
          <w:p w14:paraId="675C7784">
            <w:pPr>
              <w:autoSpaceDE w:val="0"/>
              <w:autoSpaceDN w:val="0"/>
              <w:spacing w:line="360" w:lineRule="auto"/>
              <w:rPr>
                <w:rFonts w:ascii="宋体" w:hAnsi="宋体" w:eastAsia="宋体" w:cs="宋体"/>
                <w:color w:val="auto"/>
                <w:sz w:val="24"/>
                <w:szCs w:val="24"/>
                <w:highlight w:val="none"/>
              </w:rPr>
            </w:pPr>
          </w:p>
        </w:tc>
        <w:tc>
          <w:tcPr>
            <w:tcW w:w="2199" w:type="dxa"/>
            <w:tcBorders>
              <w:top w:val="single" w:color="auto" w:sz="6" w:space="0"/>
              <w:left w:val="single" w:color="auto" w:sz="6" w:space="0"/>
              <w:bottom w:val="single" w:color="auto" w:sz="6" w:space="0"/>
              <w:right w:val="single" w:color="auto" w:sz="6" w:space="0"/>
            </w:tcBorders>
          </w:tcPr>
          <w:p w14:paraId="334C7E5F">
            <w:pPr>
              <w:autoSpaceDE w:val="0"/>
              <w:autoSpaceDN w:val="0"/>
              <w:spacing w:line="360" w:lineRule="auto"/>
              <w:jc w:val="center"/>
              <w:rPr>
                <w:rFonts w:ascii="宋体" w:hAnsi="宋体" w:eastAsia="宋体" w:cs="宋体"/>
                <w:color w:val="auto"/>
                <w:sz w:val="24"/>
                <w:szCs w:val="24"/>
                <w:highlight w:val="none"/>
              </w:rPr>
            </w:pPr>
          </w:p>
        </w:tc>
        <w:tc>
          <w:tcPr>
            <w:tcW w:w="2192" w:type="dxa"/>
            <w:tcBorders>
              <w:top w:val="single" w:color="auto" w:sz="6" w:space="0"/>
              <w:left w:val="single" w:color="auto" w:sz="6" w:space="0"/>
              <w:bottom w:val="single" w:color="auto" w:sz="6" w:space="0"/>
              <w:right w:val="single" w:color="auto" w:sz="6" w:space="0"/>
            </w:tcBorders>
          </w:tcPr>
          <w:p w14:paraId="6CCEFF85">
            <w:pPr>
              <w:autoSpaceDE w:val="0"/>
              <w:autoSpaceDN w:val="0"/>
              <w:spacing w:line="360" w:lineRule="auto"/>
              <w:rPr>
                <w:rFonts w:ascii="宋体" w:hAnsi="宋体" w:eastAsia="宋体" w:cs="宋体"/>
                <w:color w:val="auto"/>
                <w:sz w:val="24"/>
                <w:szCs w:val="24"/>
                <w:highlight w:val="none"/>
              </w:rPr>
            </w:pPr>
          </w:p>
        </w:tc>
      </w:tr>
      <w:tr w14:paraId="40A11076">
        <w:tblPrEx>
          <w:tblCellMar>
            <w:top w:w="0" w:type="dxa"/>
            <w:left w:w="108" w:type="dxa"/>
            <w:bottom w:w="0" w:type="dxa"/>
            <w:right w:w="108" w:type="dxa"/>
          </w:tblCellMar>
        </w:tblPrEx>
        <w:trPr>
          <w:trHeight w:val="479" w:hRule="atLeast"/>
        </w:trPr>
        <w:tc>
          <w:tcPr>
            <w:tcW w:w="1460" w:type="dxa"/>
            <w:tcBorders>
              <w:top w:val="single" w:color="auto" w:sz="6" w:space="0"/>
              <w:left w:val="single" w:color="auto" w:sz="6" w:space="0"/>
              <w:bottom w:val="single" w:color="auto" w:sz="6" w:space="0"/>
              <w:right w:val="single" w:color="auto" w:sz="6" w:space="0"/>
            </w:tcBorders>
          </w:tcPr>
          <w:p w14:paraId="381068F6">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04</w:t>
            </w:r>
          </w:p>
        </w:tc>
        <w:tc>
          <w:tcPr>
            <w:tcW w:w="804" w:type="dxa"/>
            <w:tcBorders>
              <w:top w:val="single" w:color="auto" w:sz="6" w:space="0"/>
              <w:left w:val="single" w:color="auto" w:sz="6" w:space="0"/>
              <w:bottom w:val="single" w:color="auto" w:sz="6" w:space="0"/>
              <w:right w:val="single" w:color="auto" w:sz="6" w:space="0"/>
            </w:tcBorders>
          </w:tcPr>
          <w:p w14:paraId="6D540B68">
            <w:pPr>
              <w:autoSpaceDE w:val="0"/>
              <w:autoSpaceDN w:val="0"/>
              <w:spacing w:line="360" w:lineRule="auto"/>
              <w:rPr>
                <w:rFonts w:ascii="宋体" w:hAnsi="宋体" w:eastAsia="宋体" w:cs="宋体"/>
                <w:color w:val="auto"/>
                <w:sz w:val="24"/>
                <w:szCs w:val="24"/>
                <w:highlight w:val="none"/>
              </w:rPr>
            </w:pPr>
          </w:p>
        </w:tc>
        <w:tc>
          <w:tcPr>
            <w:tcW w:w="761" w:type="dxa"/>
            <w:tcBorders>
              <w:top w:val="single" w:color="auto" w:sz="6" w:space="0"/>
              <w:left w:val="single" w:color="auto" w:sz="6" w:space="0"/>
              <w:bottom w:val="single" w:color="auto" w:sz="6" w:space="0"/>
              <w:right w:val="single" w:color="auto" w:sz="6" w:space="0"/>
            </w:tcBorders>
          </w:tcPr>
          <w:p w14:paraId="1F0FC5D0">
            <w:pPr>
              <w:autoSpaceDE w:val="0"/>
              <w:autoSpaceDN w:val="0"/>
              <w:spacing w:line="360" w:lineRule="auto"/>
              <w:rPr>
                <w:rFonts w:ascii="宋体" w:hAnsi="宋体" w:eastAsia="宋体" w:cs="宋体"/>
                <w:color w:val="auto"/>
                <w:sz w:val="24"/>
                <w:szCs w:val="24"/>
                <w:highlight w:val="none"/>
              </w:rPr>
            </w:pPr>
          </w:p>
        </w:tc>
        <w:tc>
          <w:tcPr>
            <w:tcW w:w="838" w:type="dxa"/>
            <w:tcBorders>
              <w:top w:val="single" w:color="auto" w:sz="6" w:space="0"/>
              <w:left w:val="single" w:color="auto" w:sz="6" w:space="0"/>
              <w:bottom w:val="single" w:color="auto" w:sz="6" w:space="0"/>
              <w:right w:val="single" w:color="auto" w:sz="6" w:space="0"/>
            </w:tcBorders>
          </w:tcPr>
          <w:p w14:paraId="37EAF4FE">
            <w:pPr>
              <w:autoSpaceDE w:val="0"/>
              <w:autoSpaceDN w:val="0"/>
              <w:spacing w:line="360" w:lineRule="auto"/>
              <w:rPr>
                <w:rFonts w:ascii="宋体" w:hAnsi="宋体" w:eastAsia="宋体" w:cs="宋体"/>
                <w:color w:val="auto"/>
                <w:sz w:val="24"/>
                <w:szCs w:val="24"/>
                <w:highlight w:val="none"/>
              </w:rPr>
            </w:pPr>
          </w:p>
        </w:tc>
        <w:tc>
          <w:tcPr>
            <w:tcW w:w="1600" w:type="dxa"/>
            <w:tcBorders>
              <w:top w:val="single" w:color="auto" w:sz="6" w:space="0"/>
              <w:left w:val="single" w:color="auto" w:sz="6" w:space="0"/>
              <w:bottom w:val="single" w:color="auto" w:sz="6" w:space="0"/>
              <w:right w:val="single" w:color="auto" w:sz="6" w:space="0"/>
            </w:tcBorders>
          </w:tcPr>
          <w:p w14:paraId="14E0635D">
            <w:pPr>
              <w:autoSpaceDE w:val="0"/>
              <w:autoSpaceDN w:val="0"/>
              <w:spacing w:line="360" w:lineRule="auto"/>
              <w:rPr>
                <w:rFonts w:ascii="宋体" w:hAnsi="宋体" w:eastAsia="宋体" w:cs="宋体"/>
                <w:color w:val="auto"/>
                <w:sz w:val="24"/>
                <w:szCs w:val="24"/>
                <w:highlight w:val="none"/>
              </w:rPr>
            </w:pPr>
          </w:p>
        </w:tc>
        <w:tc>
          <w:tcPr>
            <w:tcW w:w="2199" w:type="dxa"/>
            <w:tcBorders>
              <w:top w:val="single" w:color="auto" w:sz="6" w:space="0"/>
              <w:left w:val="single" w:color="auto" w:sz="6" w:space="0"/>
              <w:bottom w:val="single" w:color="auto" w:sz="6" w:space="0"/>
              <w:right w:val="single" w:color="auto" w:sz="6" w:space="0"/>
            </w:tcBorders>
          </w:tcPr>
          <w:p w14:paraId="2CE5C415">
            <w:pPr>
              <w:autoSpaceDE w:val="0"/>
              <w:autoSpaceDN w:val="0"/>
              <w:spacing w:line="360" w:lineRule="auto"/>
              <w:jc w:val="center"/>
              <w:rPr>
                <w:rFonts w:ascii="宋体" w:hAnsi="宋体" w:eastAsia="宋体" w:cs="宋体"/>
                <w:color w:val="auto"/>
                <w:sz w:val="24"/>
                <w:szCs w:val="24"/>
                <w:highlight w:val="none"/>
              </w:rPr>
            </w:pPr>
          </w:p>
        </w:tc>
        <w:tc>
          <w:tcPr>
            <w:tcW w:w="2192" w:type="dxa"/>
            <w:tcBorders>
              <w:top w:val="single" w:color="auto" w:sz="6" w:space="0"/>
              <w:left w:val="single" w:color="auto" w:sz="6" w:space="0"/>
              <w:bottom w:val="single" w:color="auto" w:sz="6" w:space="0"/>
              <w:right w:val="single" w:color="auto" w:sz="6" w:space="0"/>
            </w:tcBorders>
          </w:tcPr>
          <w:p w14:paraId="664D22B1">
            <w:pPr>
              <w:autoSpaceDE w:val="0"/>
              <w:autoSpaceDN w:val="0"/>
              <w:spacing w:line="360" w:lineRule="auto"/>
              <w:rPr>
                <w:rFonts w:ascii="宋体" w:hAnsi="宋体" w:eastAsia="宋体" w:cs="宋体"/>
                <w:color w:val="auto"/>
                <w:sz w:val="24"/>
                <w:szCs w:val="24"/>
                <w:highlight w:val="none"/>
              </w:rPr>
            </w:pPr>
          </w:p>
        </w:tc>
      </w:tr>
      <w:tr w14:paraId="60E9E4A2">
        <w:tblPrEx>
          <w:tblCellMar>
            <w:top w:w="0" w:type="dxa"/>
            <w:left w:w="108" w:type="dxa"/>
            <w:bottom w:w="0" w:type="dxa"/>
            <w:right w:w="108" w:type="dxa"/>
          </w:tblCellMar>
        </w:tblPrEx>
        <w:trPr>
          <w:trHeight w:val="479" w:hRule="atLeast"/>
        </w:trPr>
        <w:tc>
          <w:tcPr>
            <w:tcW w:w="1460" w:type="dxa"/>
            <w:tcBorders>
              <w:top w:val="single" w:color="auto" w:sz="6" w:space="0"/>
              <w:left w:val="single" w:color="auto" w:sz="6" w:space="0"/>
              <w:bottom w:val="single" w:color="auto" w:sz="6" w:space="0"/>
              <w:right w:val="single" w:color="auto" w:sz="6" w:space="0"/>
            </w:tcBorders>
          </w:tcPr>
          <w:p w14:paraId="0FD1838B">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p>
        </w:tc>
        <w:tc>
          <w:tcPr>
            <w:tcW w:w="804" w:type="dxa"/>
            <w:tcBorders>
              <w:top w:val="single" w:color="auto" w:sz="6" w:space="0"/>
              <w:left w:val="single" w:color="auto" w:sz="6" w:space="0"/>
              <w:bottom w:val="single" w:color="auto" w:sz="6" w:space="0"/>
              <w:right w:val="single" w:color="auto" w:sz="6" w:space="0"/>
            </w:tcBorders>
          </w:tcPr>
          <w:p w14:paraId="0C162C9D">
            <w:pPr>
              <w:autoSpaceDE w:val="0"/>
              <w:autoSpaceDN w:val="0"/>
              <w:spacing w:line="360" w:lineRule="auto"/>
              <w:rPr>
                <w:rFonts w:ascii="宋体" w:hAnsi="宋体" w:eastAsia="宋体" w:cs="宋体"/>
                <w:color w:val="auto"/>
                <w:sz w:val="24"/>
                <w:szCs w:val="24"/>
                <w:highlight w:val="none"/>
              </w:rPr>
            </w:pPr>
          </w:p>
        </w:tc>
        <w:tc>
          <w:tcPr>
            <w:tcW w:w="761" w:type="dxa"/>
            <w:tcBorders>
              <w:top w:val="single" w:color="auto" w:sz="6" w:space="0"/>
              <w:left w:val="single" w:color="auto" w:sz="6" w:space="0"/>
              <w:bottom w:val="single" w:color="auto" w:sz="6" w:space="0"/>
              <w:right w:val="single" w:color="auto" w:sz="6" w:space="0"/>
            </w:tcBorders>
          </w:tcPr>
          <w:p w14:paraId="7F3C1DD9">
            <w:pPr>
              <w:autoSpaceDE w:val="0"/>
              <w:autoSpaceDN w:val="0"/>
              <w:spacing w:line="360" w:lineRule="auto"/>
              <w:rPr>
                <w:rFonts w:ascii="宋体" w:hAnsi="宋体" w:eastAsia="宋体" w:cs="宋体"/>
                <w:color w:val="auto"/>
                <w:sz w:val="24"/>
                <w:szCs w:val="24"/>
                <w:highlight w:val="none"/>
              </w:rPr>
            </w:pPr>
          </w:p>
        </w:tc>
        <w:tc>
          <w:tcPr>
            <w:tcW w:w="838" w:type="dxa"/>
            <w:tcBorders>
              <w:top w:val="single" w:color="auto" w:sz="6" w:space="0"/>
              <w:left w:val="single" w:color="auto" w:sz="6" w:space="0"/>
              <w:bottom w:val="single" w:color="auto" w:sz="6" w:space="0"/>
              <w:right w:val="single" w:color="auto" w:sz="6" w:space="0"/>
            </w:tcBorders>
          </w:tcPr>
          <w:p w14:paraId="719F98C3">
            <w:pPr>
              <w:autoSpaceDE w:val="0"/>
              <w:autoSpaceDN w:val="0"/>
              <w:spacing w:line="360" w:lineRule="auto"/>
              <w:rPr>
                <w:rFonts w:ascii="宋体" w:hAnsi="宋体" w:eastAsia="宋体" w:cs="宋体"/>
                <w:color w:val="auto"/>
                <w:sz w:val="24"/>
                <w:szCs w:val="24"/>
                <w:highlight w:val="none"/>
              </w:rPr>
            </w:pPr>
          </w:p>
        </w:tc>
        <w:tc>
          <w:tcPr>
            <w:tcW w:w="1600" w:type="dxa"/>
            <w:tcBorders>
              <w:top w:val="single" w:color="auto" w:sz="6" w:space="0"/>
              <w:left w:val="single" w:color="auto" w:sz="6" w:space="0"/>
              <w:bottom w:val="single" w:color="auto" w:sz="6" w:space="0"/>
              <w:right w:val="single" w:color="auto" w:sz="6" w:space="0"/>
            </w:tcBorders>
          </w:tcPr>
          <w:p w14:paraId="7A5F0545">
            <w:pPr>
              <w:autoSpaceDE w:val="0"/>
              <w:autoSpaceDN w:val="0"/>
              <w:spacing w:line="360" w:lineRule="auto"/>
              <w:rPr>
                <w:rFonts w:ascii="宋体" w:hAnsi="宋体" w:eastAsia="宋体" w:cs="宋体"/>
                <w:color w:val="auto"/>
                <w:sz w:val="24"/>
                <w:szCs w:val="24"/>
                <w:highlight w:val="none"/>
              </w:rPr>
            </w:pPr>
          </w:p>
        </w:tc>
        <w:tc>
          <w:tcPr>
            <w:tcW w:w="2199" w:type="dxa"/>
            <w:tcBorders>
              <w:top w:val="single" w:color="auto" w:sz="6" w:space="0"/>
              <w:left w:val="single" w:color="auto" w:sz="6" w:space="0"/>
              <w:bottom w:val="single" w:color="auto" w:sz="6" w:space="0"/>
              <w:right w:val="single" w:color="auto" w:sz="6" w:space="0"/>
            </w:tcBorders>
          </w:tcPr>
          <w:p w14:paraId="16C7FC8B">
            <w:pPr>
              <w:autoSpaceDE w:val="0"/>
              <w:autoSpaceDN w:val="0"/>
              <w:spacing w:line="360" w:lineRule="auto"/>
              <w:rPr>
                <w:rFonts w:ascii="宋体" w:hAnsi="宋体" w:eastAsia="宋体" w:cs="宋体"/>
                <w:color w:val="auto"/>
                <w:sz w:val="24"/>
                <w:szCs w:val="24"/>
                <w:highlight w:val="none"/>
              </w:rPr>
            </w:pPr>
          </w:p>
        </w:tc>
        <w:tc>
          <w:tcPr>
            <w:tcW w:w="2192" w:type="dxa"/>
            <w:tcBorders>
              <w:top w:val="single" w:color="auto" w:sz="6" w:space="0"/>
              <w:left w:val="single" w:color="auto" w:sz="6" w:space="0"/>
              <w:bottom w:val="single" w:color="auto" w:sz="6" w:space="0"/>
              <w:right w:val="single" w:color="auto" w:sz="6" w:space="0"/>
            </w:tcBorders>
          </w:tcPr>
          <w:p w14:paraId="276993CD">
            <w:pPr>
              <w:autoSpaceDE w:val="0"/>
              <w:autoSpaceDN w:val="0"/>
              <w:spacing w:line="360" w:lineRule="auto"/>
              <w:rPr>
                <w:rFonts w:ascii="宋体" w:hAnsi="宋体" w:eastAsia="宋体" w:cs="宋体"/>
                <w:color w:val="auto"/>
                <w:sz w:val="24"/>
                <w:szCs w:val="24"/>
                <w:highlight w:val="none"/>
              </w:rPr>
            </w:pPr>
          </w:p>
        </w:tc>
      </w:tr>
      <w:tr w14:paraId="262B905A">
        <w:tblPrEx>
          <w:tblCellMar>
            <w:top w:w="0" w:type="dxa"/>
            <w:left w:w="108" w:type="dxa"/>
            <w:bottom w:w="0" w:type="dxa"/>
            <w:right w:w="108" w:type="dxa"/>
          </w:tblCellMar>
        </w:tblPrEx>
        <w:trPr>
          <w:trHeight w:val="473" w:hRule="atLeast"/>
        </w:trPr>
        <w:tc>
          <w:tcPr>
            <w:tcW w:w="1460" w:type="dxa"/>
            <w:tcBorders>
              <w:top w:val="single" w:color="auto" w:sz="6" w:space="0"/>
              <w:left w:val="single" w:color="auto" w:sz="6" w:space="0"/>
              <w:bottom w:val="single" w:color="auto" w:sz="6" w:space="0"/>
              <w:right w:val="single" w:color="auto" w:sz="6" w:space="0"/>
            </w:tcBorders>
          </w:tcPr>
          <w:p w14:paraId="49262CDC">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06</w:t>
            </w:r>
          </w:p>
        </w:tc>
        <w:tc>
          <w:tcPr>
            <w:tcW w:w="804" w:type="dxa"/>
            <w:tcBorders>
              <w:top w:val="single" w:color="auto" w:sz="6" w:space="0"/>
              <w:left w:val="single" w:color="auto" w:sz="6" w:space="0"/>
              <w:bottom w:val="single" w:color="auto" w:sz="6" w:space="0"/>
              <w:right w:val="single" w:color="auto" w:sz="6" w:space="0"/>
            </w:tcBorders>
          </w:tcPr>
          <w:p w14:paraId="42828656">
            <w:pPr>
              <w:autoSpaceDE w:val="0"/>
              <w:autoSpaceDN w:val="0"/>
              <w:spacing w:line="360" w:lineRule="auto"/>
              <w:rPr>
                <w:rFonts w:ascii="宋体" w:hAnsi="宋体" w:eastAsia="宋体" w:cs="宋体"/>
                <w:color w:val="auto"/>
                <w:sz w:val="24"/>
                <w:szCs w:val="24"/>
                <w:highlight w:val="none"/>
              </w:rPr>
            </w:pPr>
          </w:p>
        </w:tc>
        <w:tc>
          <w:tcPr>
            <w:tcW w:w="761" w:type="dxa"/>
            <w:tcBorders>
              <w:top w:val="single" w:color="auto" w:sz="6" w:space="0"/>
              <w:left w:val="single" w:color="auto" w:sz="6" w:space="0"/>
              <w:bottom w:val="single" w:color="auto" w:sz="6" w:space="0"/>
              <w:right w:val="single" w:color="auto" w:sz="6" w:space="0"/>
            </w:tcBorders>
          </w:tcPr>
          <w:p w14:paraId="1D264737">
            <w:pPr>
              <w:autoSpaceDE w:val="0"/>
              <w:autoSpaceDN w:val="0"/>
              <w:spacing w:line="360" w:lineRule="auto"/>
              <w:rPr>
                <w:rFonts w:ascii="宋体" w:hAnsi="宋体" w:eastAsia="宋体" w:cs="宋体"/>
                <w:color w:val="auto"/>
                <w:sz w:val="24"/>
                <w:szCs w:val="24"/>
                <w:highlight w:val="none"/>
              </w:rPr>
            </w:pPr>
          </w:p>
        </w:tc>
        <w:tc>
          <w:tcPr>
            <w:tcW w:w="838" w:type="dxa"/>
            <w:tcBorders>
              <w:top w:val="single" w:color="auto" w:sz="6" w:space="0"/>
              <w:left w:val="single" w:color="auto" w:sz="6" w:space="0"/>
              <w:bottom w:val="single" w:color="auto" w:sz="6" w:space="0"/>
              <w:right w:val="single" w:color="auto" w:sz="6" w:space="0"/>
            </w:tcBorders>
          </w:tcPr>
          <w:p w14:paraId="6613A558">
            <w:pPr>
              <w:autoSpaceDE w:val="0"/>
              <w:autoSpaceDN w:val="0"/>
              <w:spacing w:line="360" w:lineRule="auto"/>
              <w:rPr>
                <w:rFonts w:ascii="宋体" w:hAnsi="宋体" w:eastAsia="宋体" w:cs="宋体"/>
                <w:color w:val="auto"/>
                <w:sz w:val="24"/>
                <w:szCs w:val="24"/>
                <w:highlight w:val="none"/>
              </w:rPr>
            </w:pPr>
          </w:p>
        </w:tc>
        <w:tc>
          <w:tcPr>
            <w:tcW w:w="1600" w:type="dxa"/>
            <w:tcBorders>
              <w:top w:val="single" w:color="auto" w:sz="6" w:space="0"/>
              <w:left w:val="single" w:color="auto" w:sz="6" w:space="0"/>
              <w:bottom w:val="single" w:color="auto" w:sz="6" w:space="0"/>
              <w:right w:val="single" w:color="auto" w:sz="6" w:space="0"/>
            </w:tcBorders>
          </w:tcPr>
          <w:p w14:paraId="66F7FA62">
            <w:pPr>
              <w:autoSpaceDE w:val="0"/>
              <w:autoSpaceDN w:val="0"/>
              <w:spacing w:line="360" w:lineRule="auto"/>
              <w:rPr>
                <w:rFonts w:ascii="宋体" w:hAnsi="宋体" w:eastAsia="宋体" w:cs="宋体"/>
                <w:color w:val="auto"/>
                <w:sz w:val="24"/>
                <w:szCs w:val="24"/>
                <w:highlight w:val="none"/>
              </w:rPr>
            </w:pPr>
          </w:p>
        </w:tc>
        <w:tc>
          <w:tcPr>
            <w:tcW w:w="2199" w:type="dxa"/>
            <w:tcBorders>
              <w:top w:val="single" w:color="auto" w:sz="6" w:space="0"/>
              <w:left w:val="single" w:color="auto" w:sz="6" w:space="0"/>
              <w:bottom w:val="single" w:color="auto" w:sz="6" w:space="0"/>
              <w:right w:val="single" w:color="auto" w:sz="6" w:space="0"/>
            </w:tcBorders>
          </w:tcPr>
          <w:p w14:paraId="4C210E2E">
            <w:pPr>
              <w:autoSpaceDE w:val="0"/>
              <w:autoSpaceDN w:val="0"/>
              <w:spacing w:line="360" w:lineRule="auto"/>
              <w:rPr>
                <w:rFonts w:ascii="宋体" w:hAnsi="宋体" w:eastAsia="宋体" w:cs="宋体"/>
                <w:color w:val="auto"/>
                <w:sz w:val="24"/>
                <w:szCs w:val="24"/>
                <w:highlight w:val="none"/>
              </w:rPr>
            </w:pPr>
          </w:p>
        </w:tc>
        <w:tc>
          <w:tcPr>
            <w:tcW w:w="2192" w:type="dxa"/>
            <w:tcBorders>
              <w:top w:val="single" w:color="auto" w:sz="6" w:space="0"/>
              <w:left w:val="single" w:color="auto" w:sz="6" w:space="0"/>
              <w:bottom w:val="single" w:color="auto" w:sz="6" w:space="0"/>
              <w:right w:val="single" w:color="auto" w:sz="6" w:space="0"/>
            </w:tcBorders>
          </w:tcPr>
          <w:p w14:paraId="3CFCDC72">
            <w:pPr>
              <w:autoSpaceDE w:val="0"/>
              <w:autoSpaceDN w:val="0"/>
              <w:spacing w:line="360" w:lineRule="auto"/>
              <w:rPr>
                <w:rFonts w:ascii="宋体" w:hAnsi="宋体" w:eastAsia="宋体" w:cs="宋体"/>
                <w:color w:val="auto"/>
                <w:sz w:val="24"/>
                <w:szCs w:val="24"/>
                <w:highlight w:val="none"/>
              </w:rPr>
            </w:pPr>
          </w:p>
        </w:tc>
      </w:tr>
      <w:tr w14:paraId="05E517F7">
        <w:tblPrEx>
          <w:tblCellMar>
            <w:top w:w="0" w:type="dxa"/>
            <w:left w:w="108" w:type="dxa"/>
            <w:bottom w:w="0" w:type="dxa"/>
            <w:right w:w="108" w:type="dxa"/>
          </w:tblCellMar>
        </w:tblPrEx>
        <w:trPr>
          <w:trHeight w:val="473" w:hRule="atLeast"/>
        </w:trPr>
        <w:tc>
          <w:tcPr>
            <w:tcW w:w="1460" w:type="dxa"/>
            <w:tcBorders>
              <w:top w:val="single" w:color="auto" w:sz="6" w:space="0"/>
              <w:left w:val="single" w:color="auto" w:sz="6" w:space="0"/>
              <w:bottom w:val="single" w:color="auto" w:sz="6" w:space="0"/>
              <w:right w:val="single" w:color="auto" w:sz="6" w:space="0"/>
            </w:tcBorders>
          </w:tcPr>
          <w:p w14:paraId="1A962EFB">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07</w:t>
            </w:r>
          </w:p>
        </w:tc>
        <w:tc>
          <w:tcPr>
            <w:tcW w:w="804" w:type="dxa"/>
            <w:tcBorders>
              <w:top w:val="single" w:color="auto" w:sz="6" w:space="0"/>
              <w:left w:val="single" w:color="auto" w:sz="6" w:space="0"/>
              <w:bottom w:val="single" w:color="auto" w:sz="6" w:space="0"/>
              <w:right w:val="single" w:color="auto" w:sz="6" w:space="0"/>
            </w:tcBorders>
          </w:tcPr>
          <w:p w14:paraId="3E2877D6">
            <w:pPr>
              <w:autoSpaceDE w:val="0"/>
              <w:autoSpaceDN w:val="0"/>
              <w:spacing w:line="360" w:lineRule="auto"/>
              <w:rPr>
                <w:rFonts w:ascii="宋体" w:hAnsi="宋体" w:eastAsia="宋体" w:cs="宋体"/>
                <w:color w:val="auto"/>
                <w:sz w:val="24"/>
                <w:szCs w:val="24"/>
                <w:highlight w:val="none"/>
              </w:rPr>
            </w:pPr>
          </w:p>
        </w:tc>
        <w:tc>
          <w:tcPr>
            <w:tcW w:w="761" w:type="dxa"/>
            <w:tcBorders>
              <w:top w:val="single" w:color="auto" w:sz="6" w:space="0"/>
              <w:left w:val="single" w:color="auto" w:sz="6" w:space="0"/>
              <w:bottom w:val="single" w:color="auto" w:sz="6" w:space="0"/>
              <w:right w:val="single" w:color="auto" w:sz="6" w:space="0"/>
            </w:tcBorders>
          </w:tcPr>
          <w:p w14:paraId="14526030">
            <w:pPr>
              <w:autoSpaceDE w:val="0"/>
              <w:autoSpaceDN w:val="0"/>
              <w:spacing w:line="360" w:lineRule="auto"/>
              <w:rPr>
                <w:rFonts w:ascii="宋体" w:hAnsi="宋体" w:eastAsia="宋体" w:cs="宋体"/>
                <w:color w:val="auto"/>
                <w:sz w:val="24"/>
                <w:szCs w:val="24"/>
                <w:highlight w:val="none"/>
              </w:rPr>
            </w:pPr>
          </w:p>
        </w:tc>
        <w:tc>
          <w:tcPr>
            <w:tcW w:w="838" w:type="dxa"/>
            <w:tcBorders>
              <w:top w:val="single" w:color="auto" w:sz="6" w:space="0"/>
              <w:left w:val="single" w:color="auto" w:sz="6" w:space="0"/>
              <w:bottom w:val="single" w:color="auto" w:sz="6" w:space="0"/>
              <w:right w:val="single" w:color="auto" w:sz="6" w:space="0"/>
            </w:tcBorders>
          </w:tcPr>
          <w:p w14:paraId="2170BF92">
            <w:pPr>
              <w:autoSpaceDE w:val="0"/>
              <w:autoSpaceDN w:val="0"/>
              <w:spacing w:line="360" w:lineRule="auto"/>
              <w:rPr>
                <w:rFonts w:ascii="宋体" w:hAnsi="宋体" w:eastAsia="宋体" w:cs="宋体"/>
                <w:color w:val="auto"/>
                <w:sz w:val="24"/>
                <w:szCs w:val="24"/>
                <w:highlight w:val="none"/>
              </w:rPr>
            </w:pPr>
          </w:p>
        </w:tc>
        <w:tc>
          <w:tcPr>
            <w:tcW w:w="1600" w:type="dxa"/>
            <w:tcBorders>
              <w:top w:val="single" w:color="auto" w:sz="6" w:space="0"/>
              <w:left w:val="single" w:color="auto" w:sz="6" w:space="0"/>
              <w:bottom w:val="single" w:color="auto" w:sz="6" w:space="0"/>
              <w:right w:val="single" w:color="auto" w:sz="6" w:space="0"/>
            </w:tcBorders>
          </w:tcPr>
          <w:p w14:paraId="7E894545">
            <w:pPr>
              <w:autoSpaceDE w:val="0"/>
              <w:autoSpaceDN w:val="0"/>
              <w:spacing w:line="360" w:lineRule="auto"/>
              <w:rPr>
                <w:rFonts w:ascii="宋体" w:hAnsi="宋体" w:eastAsia="宋体" w:cs="宋体"/>
                <w:color w:val="auto"/>
                <w:sz w:val="24"/>
                <w:szCs w:val="24"/>
                <w:highlight w:val="none"/>
              </w:rPr>
            </w:pPr>
          </w:p>
        </w:tc>
        <w:tc>
          <w:tcPr>
            <w:tcW w:w="2199" w:type="dxa"/>
            <w:tcBorders>
              <w:top w:val="single" w:color="auto" w:sz="6" w:space="0"/>
              <w:left w:val="single" w:color="auto" w:sz="6" w:space="0"/>
              <w:bottom w:val="single" w:color="auto" w:sz="6" w:space="0"/>
              <w:right w:val="single" w:color="auto" w:sz="6" w:space="0"/>
            </w:tcBorders>
          </w:tcPr>
          <w:p w14:paraId="1253B385">
            <w:pPr>
              <w:autoSpaceDE w:val="0"/>
              <w:autoSpaceDN w:val="0"/>
              <w:spacing w:line="360" w:lineRule="auto"/>
              <w:rPr>
                <w:rFonts w:ascii="宋体" w:hAnsi="宋体" w:eastAsia="宋体" w:cs="宋体"/>
                <w:color w:val="auto"/>
                <w:sz w:val="24"/>
                <w:szCs w:val="24"/>
                <w:highlight w:val="none"/>
              </w:rPr>
            </w:pPr>
          </w:p>
        </w:tc>
        <w:tc>
          <w:tcPr>
            <w:tcW w:w="2192" w:type="dxa"/>
            <w:tcBorders>
              <w:top w:val="single" w:color="auto" w:sz="6" w:space="0"/>
              <w:left w:val="single" w:color="auto" w:sz="6" w:space="0"/>
              <w:bottom w:val="single" w:color="auto" w:sz="6" w:space="0"/>
              <w:right w:val="single" w:color="auto" w:sz="6" w:space="0"/>
            </w:tcBorders>
          </w:tcPr>
          <w:p w14:paraId="1AEC60AE">
            <w:pPr>
              <w:autoSpaceDE w:val="0"/>
              <w:autoSpaceDN w:val="0"/>
              <w:spacing w:line="360" w:lineRule="auto"/>
              <w:rPr>
                <w:rFonts w:ascii="宋体" w:hAnsi="宋体" w:eastAsia="宋体" w:cs="宋体"/>
                <w:color w:val="auto"/>
                <w:sz w:val="24"/>
                <w:szCs w:val="24"/>
                <w:highlight w:val="none"/>
              </w:rPr>
            </w:pPr>
          </w:p>
        </w:tc>
      </w:tr>
      <w:tr w14:paraId="31C087E4">
        <w:tblPrEx>
          <w:tblCellMar>
            <w:top w:w="0" w:type="dxa"/>
            <w:left w:w="108" w:type="dxa"/>
            <w:bottom w:w="0" w:type="dxa"/>
            <w:right w:w="108" w:type="dxa"/>
          </w:tblCellMar>
        </w:tblPrEx>
        <w:trPr>
          <w:trHeight w:val="473" w:hRule="atLeast"/>
        </w:trPr>
        <w:tc>
          <w:tcPr>
            <w:tcW w:w="1460" w:type="dxa"/>
            <w:tcBorders>
              <w:top w:val="single" w:color="auto" w:sz="6" w:space="0"/>
              <w:left w:val="single" w:color="auto" w:sz="6" w:space="0"/>
              <w:bottom w:val="single" w:color="auto" w:sz="6" w:space="0"/>
              <w:right w:val="single" w:color="auto" w:sz="6" w:space="0"/>
            </w:tcBorders>
          </w:tcPr>
          <w:p w14:paraId="62FC86A4">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c>
          <w:tcPr>
            <w:tcW w:w="804" w:type="dxa"/>
            <w:tcBorders>
              <w:top w:val="single" w:color="auto" w:sz="6" w:space="0"/>
              <w:left w:val="single" w:color="auto" w:sz="6" w:space="0"/>
              <w:bottom w:val="single" w:color="auto" w:sz="6" w:space="0"/>
              <w:right w:val="single" w:color="auto" w:sz="6" w:space="0"/>
            </w:tcBorders>
          </w:tcPr>
          <w:p w14:paraId="30798AF1">
            <w:pPr>
              <w:autoSpaceDE w:val="0"/>
              <w:autoSpaceDN w:val="0"/>
              <w:spacing w:line="360" w:lineRule="auto"/>
              <w:rPr>
                <w:rFonts w:ascii="宋体" w:hAnsi="宋体" w:eastAsia="宋体" w:cs="宋体"/>
                <w:color w:val="auto"/>
                <w:sz w:val="24"/>
                <w:szCs w:val="24"/>
                <w:highlight w:val="none"/>
              </w:rPr>
            </w:pPr>
          </w:p>
        </w:tc>
        <w:tc>
          <w:tcPr>
            <w:tcW w:w="761" w:type="dxa"/>
            <w:tcBorders>
              <w:top w:val="single" w:color="auto" w:sz="6" w:space="0"/>
              <w:left w:val="single" w:color="auto" w:sz="6" w:space="0"/>
              <w:bottom w:val="single" w:color="auto" w:sz="6" w:space="0"/>
              <w:right w:val="single" w:color="auto" w:sz="6" w:space="0"/>
            </w:tcBorders>
          </w:tcPr>
          <w:p w14:paraId="6DBDF340">
            <w:pPr>
              <w:autoSpaceDE w:val="0"/>
              <w:autoSpaceDN w:val="0"/>
              <w:spacing w:line="360" w:lineRule="auto"/>
              <w:rPr>
                <w:rFonts w:ascii="宋体" w:hAnsi="宋体" w:eastAsia="宋体" w:cs="宋体"/>
                <w:color w:val="auto"/>
                <w:sz w:val="24"/>
                <w:szCs w:val="24"/>
                <w:highlight w:val="none"/>
              </w:rPr>
            </w:pPr>
          </w:p>
        </w:tc>
        <w:tc>
          <w:tcPr>
            <w:tcW w:w="838" w:type="dxa"/>
            <w:tcBorders>
              <w:top w:val="single" w:color="auto" w:sz="6" w:space="0"/>
              <w:left w:val="single" w:color="auto" w:sz="6" w:space="0"/>
              <w:bottom w:val="single" w:color="auto" w:sz="6" w:space="0"/>
              <w:right w:val="single" w:color="auto" w:sz="6" w:space="0"/>
            </w:tcBorders>
          </w:tcPr>
          <w:p w14:paraId="1C18BCDA">
            <w:pPr>
              <w:autoSpaceDE w:val="0"/>
              <w:autoSpaceDN w:val="0"/>
              <w:spacing w:line="360" w:lineRule="auto"/>
              <w:rPr>
                <w:rFonts w:ascii="宋体" w:hAnsi="宋体" w:eastAsia="宋体" w:cs="宋体"/>
                <w:color w:val="auto"/>
                <w:sz w:val="24"/>
                <w:szCs w:val="24"/>
                <w:highlight w:val="none"/>
              </w:rPr>
            </w:pPr>
          </w:p>
        </w:tc>
        <w:tc>
          <w:tcPr>
            <w:tcW w:w="1600" w:type="dxa"/>
            <w:tcBorders>
              <w:top w:val="single" w:color="auto" w:sz="6" w:space="0"/>
              <w:left w:val="single" w:color="auto" w:sz="6" w:space="0"/>
              <w:bottom w:val="single" w:color="auto" w:sz="6" w:space="0"/>
              <w:right w:val="single" w:color="auto" w:sz="6" w:space="0"/>
            </w:tcBorders>
          </w:tcPr>
          <w:p w14:paraId="6B1CDC8B">
            <w:pPr>
              <w:autoSpaceDE w:val="0"/>
              <w:autoSpaceDN w:val="0"/>
              <w:spacing w:line="360" w:lineRule="auto"/>
              <w:rPr>
                <w:rFonts w:ascii="宋体" w:hAnsi="宋体" w:eastAsia="宋体" w:cs="宋体"/>
                <w:color w:val="auto"/>
                <w:sz w:val="24"/>
                <w:szCs w:val="24"/>
                <w:highlight w:val="none"/>
              </w:rPr>
            </w:pPr>
          </w:p>
        </w:tc>
        <w:tc>
          <w:tcPr>
            <w:tcW w:w="2199" w:type="dxa"/>
            <w:tcBorders>
              <w:top w:val="single" w:color="auto" w:sz="6" w:space="0"/>
              <w:left w:val="single" w:color="auto" w:sz="6" w:space="0"/>
              <w:bottom w:val="single" w:color="auto" w:sz="6" w:space="0"/>
              <w:right w:val="single" w:color="auto" w:sz="6" w:space="0"/>
            </w:tcBorders>
          </w:tcPr>
          <w:p w14:paraId="570A0235">
            <w:pPr>
              <w:autoSpaceDE w:val="0"/>
              <w:autoSpaceDN w:val="0"/>
              <w:spacing w:line="360" w:lineRule="auto"/>
              <w:rPr>
                <w:rFonts w:ascii="宋体" w:hAnsi="宋体" w:eastAsia="宋体" w:cs="宋体"/>
                <w:color w:val="auto"/>
                <w:sz w:val="24"/>
                <w:szCs w:val="24"/>
                <w:highlight w:val="none"/>
              </w:rPr>
            </w:pPr>
          </w:p>
        </w:tc>
        <w:tc>
          <w:tcPr>
            <w:tcW w:w="2192" w:type="dxa"/>
            <w:tcBorders>
              <w:top w:val="single" w:color="auto" w:sz="6" w:space="0"/>
              <w:left w:val="single" w:color="auto" w:sz="6" w:space="0"/>
              <w:bottom w:val="single" w:color="auto" w:sz="6" w:space="0"/>
              <w:right w:val="single" w:color="auto" w:sz="6" w:space="0"/>
            </w:tcBorders>
          </w:tcPr>
          <w:p w14:paraId="60F32497">
            <w:pPr>
              <w:autoSpaceDE w:val="0"/>
              <w:autoSpaceDN w:val="0"/>
              <w:spacing w:line="360" w:lineRule="auto"/>
              <w:rPr>
                <w:rFonts w:ascii="宋体" w:hAnsi="宋体" w:eastAsia="宋体" w:cs="宋体"/>
                <w:color w:val="auto"/>
                <w:sz w:val="24"/>
                <w:szCs w:val="24"/>
                <w:highlight w:val="none"/>
              </w:rPr>
            </w:pPr>
          </w:p>
        </w:tc>
      </w:tr>
      <w:tr w14:paraId="248413B8">
        <w:tblPrEx>
          <w:tblCellMar>
            <w:top w:w="0" w:type="dxa"/>
            <w:left w:w="108" w:type="dxa"/>
            <w:bottom w:w="0" w:type="dxa"/>
            <w:right w:w="108" w:type="dxa"/>
          </w:tblCellMar>
        </w:tblPrEx>
        <w:trPr>
          <w:trHeight w:val="473" w:hRule="atLeast"/>
        </w:trPr>
        <w:tc>
          <w:tcPr>
            <w:tcW w:w="1460" w:type="dxa"/>
            <w:tcBorders>
              <w:top w:val="single" w:color="auto" w:sz="6" w:space="0"/>
              <w:left w:val="single" w:color="auto" w:sz="6" w:space="0"/>
              <w:bottom w:val="single" w:color="auto" w:sz="6" w:space="0"/>
              <w:right w:val="single" w:color="auto" w:sz="6" w:space="0"/>
            </w:tcBorders>
          </w:tcPr>
          <w:p w14:paraId="291B3A7D">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09</w:t>
            </w:r>
          </w:p>
        </w:tc>
        <w:tc>
          <w:tcPr>
            <w:tcW w:w="804" w:type="dxa"/>
            <w:tcBorders>
              <w:top w:val="single" w:color="auto" w:sz="6" w:space="0"/>
              <w:left w:val="single" w:color="auto" w:sz="6" w:space="0"/>
              <w:bottom w:val="single" w:color="auto" w:sz="6" w:space="0"/>
              <w:right w:val="single" w:color="auto" w:sz="6" w:space="0"/>
            </w:tcBorders>
          </w:tcPr>
          <w:p w14:paraId="5E48622F">
            <w:pPr>
              <w:autoSpaceDE w:val="0"/>
              <w:autoSpaceDN w:val="0"/>
              <w:spacing w:line="360" w:lineRule="auto"/>
              <w:rPr>
                <w:rFonts w:ascii="宋体" w:hAnsi="宋体" w:eastAsia="宋体" w:cs="宋体"/>
                <w:color w:val="auto"/>
                <w:sz w:val="24"/>
                <w:szCs w:val="24"/>
                <w:highlight w:val="none"/>
              </w:rPr>
            </w:pPr>
          </w:p>
        </w:tc>
        <w:tc>
          <w:tcPr>
            <w:tcW w:w="761" w:type="dxa"/>
            <w:tcBorders>
              <w:top w:val="single" w:color="auto" w:sz="6" w:space="0"/>
              <w:left w:val="single" w:color="auto" w:sz="6" w:space="0"/>
              <w:bottom w:val="single" w:color="auto" w:sz="6" w:space="0"/>
              <w:right w:val="single" w:color="auto" w:sz="6" w:space="0"/>
            </w:tcBorders>
          </w:tcPr>
          <w:p w14:paraId="0B82B5D7">
            <w:pPr>
              <w:autoSpaceDE w:val="0"/>
              <w:autoSpaceDN w:val="0"/>
              <w:spacing w:line="360" w:lineRule="auto"/>
              <w:rPr>
                <w:rFonts w:ascii="宋体" w:hAnsi="宋体" w:eastAsia="宋体" w:cs="宋体"/>
                <w:color w:val="auto"/>
                <w:sz w:val="24"/>
                <w:szCs w:val="24"/>
                <w:highlight w:val="none"/>
              </w:rPr>
            </w:pPr>
          </w:p>
        </w:tc>
        <w:tc>
          <w:tcPr>
            <w:tcW w:w="838" w:type="dxa"/>
            <w:tcBorders>
              <w:top w:val="single" w:color="auto" w:sz="6" w:space="0"/>
              <w:left w:val="single" w:color="auto" w:sz="6" w:space="0"/>
              <w:bottom w:val="single" w:color="auto" w:sz="6" w:space="0"/>
              <w:right w:val="single" w:color="auto" w:sz="6" w:space="0"/>
            </w:tcBorders>
          </w:tcPr>
          <w:p w14:paraId="7CE6987F">
            <w:pPr>
              <w:autoSpaceDE w:val="0"/>
              <w:autoSpaceDN w:val="0"/>
              <w:spacing w:line="360" w:lineRule="auto"/>
              <w:rPr>
                <w:rFonts w:ascii="宋体" w:hAnsi="宋体" w:eastAsia="宋体" w:cs="宋体"/>
                <w:color w:val="auto"/>
                <w:sz w:val="24"/>
                <w:szCs w:val="24"/>
                <w:highlight w:val="none"/>
              </w:rPr>
            </w:pPr>
          </w:p>
        </w:tc>
        <w:tc>
          <w:tcPr>
            <w:tcW w:w="1600" w:type="dxa"/>
            <w:tcBorders>
              <w:top w:val="single" w:color="auto" w:sz="6" w:space="0"/>
              <w:left w:val="single" w:color="auto" w:sz="6" w:space="0"/>
              <w:bottom w:val="single" w:color="auto" w:sz="6" w:space="0"/>
              <w:right w:val="single" w:color="auto" w:sz="6" w:space="0"/>
            </w:tcBorders>
          </w:tcPr>
          <w:p w14:paraId="0D8F3517">
            <w:pPr>
              <w:autoSpaceDE w:val="0"/>
              <w:autoSpaceDN w:val="0"/>
              <w:spacing w:line="360" w:lineRule="auto"/>
              <w:rPr>
                <w:rFonts w:ascii="宋体" w:hAnsi="宋体" w:eastAsia="宋体" w:cs="宋体"/>
                <w:color w:val="auto"/>
                <w:sz w:val="24"/>
                <w:szCs w:val="24"/>
                <w:highlight w:val="none"/>
              </w:rPr>
            </w:pPr>
          </w:p>
        </w:tc>
        <w:tc>
          <w:tcPr>
            <w:tcW w:w="2199" w:type="dxa"/>
            <w:tcBorders>
              <w:top w:val="single" w:color="auto" w:sz="6" w:space="0"/>
              <w:left w:val="single" w:color="auto" w:sz="6" w:space="0"/>
              <w:bottom w:val="single" w:color="auto" w:sz="6" w:space="0"/>
              <w:right w:val="single" w:color="auto" w:sz="6" w:space="0"/>
            </w:tcBorders>
          </w:tcPr>
          <w:p w14:paraId="358E0CFF">
            <w:pPr>
              <w:autoSpaceDE w:val="0"/>
              <w:autoSpaceDN w:val="0"/>
              <w:spacing w:line="360" w:lineRule="auto"/>
              <w:rPr>
                <w:rFonts w:ascii="宋体" w:hAnsi="宋体" w:eastAsia="宋体" w:cs="宋体"/>
                <w:color w:val="auto"/>
                <w:sz w:val="24"/>
                <w:szCs w:val="24"/>
                <w:highlight w:val="none"/>
              </w:rPr>
            </w:pPr>
          </w:p>
        </w:tc>
        <w:tc>
          <w:tcPr>
            <w:tcW w:w="2192" w:type="dxa"/>
            <w:tcBorders>
              <w:top w:val="single" w:color="auto" w:sz="6" w:space="0"/>
              <w:left w:val="single" w:color="auto" w:sz="6" w:space="0"/>
              <w:bottom w:val="single" w:color="auto" w:sz="6" w:space="0"/>
              <w:right w:val="single" w:color="auto" w:sz="6" w:space="0"/>
            </w:tcBorders>
          </w:tcPr>
          <w:p w14:paraId="6123009C">
            <w:pPr>
              <w:autoSpaceDE w:val="0"/>
              <w:autoSpaceDN w:val="0"/>
              <w:spacing w:line="360" w:lineRule="auto"/>
              <w:rPr>
                <w:rFonts w:ascii="宋体" w:hAnsi="宋体" w:eastAsia="宋体" w:cs="宋体"/>
                <w:color w:val="auto"/>
                <w:sz w:val="24"/>
                <w:szCs w:val="24"/>
                <w:highlight w:val="none"/>
              </w:rPr>
            </w:pPr>
          </w:p>
        </w:tc>
      </w:tr>
      <w:tr w14:paraId="0758BDF3">
        <w:tblPrEx>
          <w:tblCellMar>
            <w:top w:w="0" w:type="dxa"/>
            <w:left w:w="108" w:type="dxa"/>
            <w:bottom w:w="0" w:type="dxa"/>
            <w:right w:w="108" w:type="dxa"/>
          </w:tblCellMar>
        </w:tblPrEx>
        <w:trPr>
          <w:trHeight w:val="473" w:hRule="atLeast"/>
        </w:trPr>
        <w:tc>
          <w:tcPr>
            <w:tcW w:w="1460" w:type="dxa"/>
            <w:tcBorders>
              <w:top w:val="single" w:color="auto" w:sz="6" w:space="0"/>
              <w:left w:val="single" w:color="auto" w:sz="6" w:space="0"/>
              <w:bottom w:val="single" w:color="auto" w:sz="6" w:space="0"/>
              <w:right w:val="single" w:color="auto" w:sz="6" w:space="0"/>
            </w:tcBorders>
          </w:tcPr>
          <w:p w14:paraId="1327F7EB">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804" w:type="dxa"/>
            <w:tcBorders>
              <w:top w:val="single" w:color="auto" w:sz="6" w:space="0"/>
              <w:left w:val="single" w:color="auto" w:sz="6" w:space="0"/>
              <w:bottom w:val="single" w:color="auto" w:sz="6" w:space="0"/>
              <w:right w:val="single" w:color="auto" w:sz="6" w:space="0"/>
            </w:tcBorders>
          </w:tcPr>
          <w:p w14:paraId="05A7E648">
            <w:pPr>
              <w:autoSpaceDE w:val="0"/>
              <w:autoSpaceDN w:val="0"/>
              <w:spacing w:line="360" w:lineRule="auto"/>
              <w:rPr>
                <w:rFonts w:ascii="宋体" w:hAnsi="宋体" w:eastAsia="宋体" w:cs="宋体"/>
                <w:color w:val="auto"/>
                <w:sz w:val="24"/>
                <w:szCs w:val="24"/>
                <w:highlight w:val="none"/>
              </w:rPr>
            </w:pPr>
          </w:p>
        </w:tc>
        <w:tc>
          <w:tcPr>
            <w:tcW w:w="761" w:type="dxa"/>
            <w:tcBorders>
              <w:top w:val="single" w:color="auto" w:sz="6" w:space="0"/>
              <w:left w:val="single" w:color="auto" w:sz="6" w:space="0"/>
              <w:bottom w:val="single" w:color="auto" w:sz="6" w:space="0"/>
              <w:right w:val="single" w:color="auto" w:sz="6" w:space="0"/>
            </w:tcBorders>
          </w:tcPr>
          <w:p w14:paraId="3B4AD5BA">
            <w:pPr>
              <w:autoSpaceDE w:val="0"/>
              <w:autoSpaceDN w:val="0"/>
              <w:spacing w:line="360" w:lineRule="auto"/>
              <w:rPr>
                <w:rFonts w:ascii="宋体" w:hAnsi="宋体" w:eastAsia="宋体" w:cs="宋体"/>
                <w:color w:val="auto"/>
                <w:sz w:val="24"/>
                <w:szCs w:val="24"/>
                <w:highlight w:val="none"/>
              </w:rPr>
            </w:pPr>
          </w:p>
        </w:tc>
        <w:tc>
          <w:tcPr>
            <w:tcW w:w="838" w:type="dxa"/>
            <w:tcBorders>
              <w:top w:val="single" w:color="auto" w:sz="6" w:space="0"/>
              <w:left w:val="single" w:color="auto" w:sz="6" w:space="0"/>
              <w:bottom w:val="single" w:color="auto" w:sz="6" w:space="0"/>
              <w:right w:val="single" w:color="auto" w:sz="6" w:space="0"/>
            </w:tcBorders>
          </w:tcPr>
          <w:p w14:paraId="1745D4AF">
            <w:pPr>
              <w:autoSpaceDE w:val="0"/>
              <w:autoSpaceDN w:val="0"/>
              <w:spacing w:line="360" w:lineRule="auto"/>
              <w:rPr>
                <w:rFonts w:ascii="宋体" w:hAnsi="宋体" w:eastAsia="宋体" w:cs="宋体"/>
                <w:color w:val="auto"/>
                <w:sz w:val="24"/>
                <w:szCs w:val="24"/>
                <w:highlight w:val="none"/>
              </w:rPr>
            </w:pPr>
          </w:p>
        </w:tc>
        <w:tc>
          <w:tcPr>
            <w:tcW w:w="1600" w:type="dxa"/>
            <w:tcBorders>
              <w:top w:val="single" w:color="auto" w:sz="6" w:space="0"/>
              <w:left w:val="single" w:color="auto" w:sz="6" w:space="0"/>
              <w:bottom w:val="single" w:color="auto" w:sz="6" w:space="0"/>
              <w:right w:val="single" w:color="auto" w:sz="6" w:space="0"/>
            </w:tcBorders>
          </w:tcPr>
          <w:p w14:paraId="33CDEC78">
            <w:pPr>
              <w:autoSpaceDE w:val="0"/>
              <w:autoSpaceDN w:val="0"/>
              <w:spacing w:line="360" w:lineRule="auto"/>
              <w:rPr>
                <w:rFonts w:ascii="宋体" w:hAnsi="宋体" w:eastAsia="宋体" w:cs="宋体"/>
                <w:color w:val="auto"/>
                <w:sz w:val="24"/>
                <w:szCs w:val="24"/>
                <w:highlight w:val="none"/>
              </w:rPr>
            </w:pPr>
          </w:p>
        </w:tc>
        <w:tc>
          <w:tcPr>
            <w:tcW w:w="2199" w:type="dxa"/>
            <w:tcBorders>
              <w:top w:val="single" w:color="auto" w:sz="6" w:space="0"/>
              <w:left w:val="single" w:color="auto" w:sz="6" w:space="0"/>
              <w:bottom w:val="single" w:color="auto" w:sz="6" w:space="0"/>
              <w:right w:val="single" w:color="auto" w:sz="6" w:space="0"/>
            </w:tcBorders>
          </w:tcPr>
          <w:p w14:paraId="2E6E982C">
            <w:pPr>
              <w:autoSpaceDE w:val="0"/>
              <w:autoSpaceDN w:val="0"/>
              <w:spacing w:line="360" w:lineRule="auto"/>
              <w:rPr>
                <w:rFonts w:ascii="宋体" w:hAnsi="宋体" w:eastAsia="宋体" w:cs="宋体"/>
                <w:color w:val="auto"/>
                <w:sz w:val="24"/>
                <w:szCs w:val="24"/>
                <w:highlight w:val="none"/>
              </w:rPr>
            </w:pPr>
          </w:p>
        </w:tc>
        <w:tc>
          <w:tcPr>
            <w:tcW w:w="2192" w:type="dxa"/>
            <w:tcBorders>
              <w:top w:val="single" w:color="auto" w:sz="6" w:space="0"/>
              <w:left w:val="single" w:color="auto" w:sz="6" w:space="0"/>
              <w:bottom w:val="single" w:color="auto" w:sz="6" w:space="0"/>
              <w:right w:val="single" w:color="auto" w:sz="6" w:space="0"/>
            </w:tcBorders>
          </w:tcPr>
          <w:p w14:paraId="0C112DCE">
            <w:pPr>
              <w:autoSpaceDE w:val="0"/>
              <w:autoSpaceDN w:val="0"/>
              <w:spacing w:line="360" w:lineRule="auto"/>
              <w:rPr>
                <w:rFonts w:ascii="宋体" w:hAnsi="宋体" w:eastAsia="宋体" w:cs="宋体"/>
                <w:color w:val="auto"/>
                <w:sz w:val="24"/>
                <w:szCs w:val="24"/>
                <w:highlight w:val="none"/>
              </w:rPr>
            </w:pPr>
          </w:p>
        </w:tc>
      </w:tr>
    </w:tbl>
    <w:p w14:paraId="66782CA6">
      <w:pPr>
        <w:spacing w:line="360" w:lineRule="auto"/>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注：供应商按上述的格式编制，随表提交相应的证书复印件并注明所在响应技术文件页码。</w:t>
      </w:r>
    </w:p>
    <w:p w14:paraId="3D2598A2">
      <w:pPr>
        <w:autoSpaceDE w:val="0"/>
        <w:autoSpaceDN w:val="0"/>
        <w:spacing w:line="360" w:lineRule="auto"/>
        <w:rPr>
          <w:rFonts w:ascii="宋体" w:hAnsi="宋体" w:eastAsia="宋体" w:cs="宋体"/>
          <w:b/>
          <w:color w:val="auto"/>
          <w:sz w:val="24"/>
          <w:szCs w:val="24"/>
          <w:highlight w:val="none"/>
        </w:rPr>
      </w:pPr>
    </w:p>
    <w:p w14:paraId="013256C7">
      <w:pPr>
        <w:autoSpaceDE w:val="0"/>
        <w:autoSpaceDN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附表B1:本项目增配专业技术人员情况表</w:t>
      </w:r>
    </w:p>
    <w:tbl>
      <w:tblPr>
        <w:tblStyle w:val="32"/>
        <w:tblW w:w="0" w:type="auto"/>
        <w:tblInd w:w="0" w:type="dxa"/>
        <w:tblLayout w:type="fixed"/>
        <w:tblCellMar>
          <w:top w:w="0" w:type="dxa"/>
          <w:left w:w="108" w:type="dxa"/>
          <w:bottom w:w="0" w:type="dxa"/>
          <w:right w:w="108" w:type="dxa"/>
        </w:tblCellMar>
      </w:tblPr>
      <w:tblGrid>
        <w:gridCol w:w="1460"/>
        <w:gridCol w:w="804"/>
        <w:gridCol w:w="761"/>
        <w:gridCol w:w="838"/>
        <w:gridCol w:w="1600"/>
        <w:gridCol w:w="2199"/>
        <w:gridCol w:w="2192"/>
      </w:tblGrid>
      <w:tr w14:paraId="0CF09F79">
        <w:tblPrEx>
          <w:tblCellMar>
            <w:top w:w="0" w:type="dxa"/>
            <w:left w:w="108" w:type="dxa"/>
            <w:bottom w:w="0" w:type="dxa"/>
            <w:right w:w="108" w:type="dxa"/>
          </w:tblCellMar>
        </w:tblPrEx>
        <w:tc>
          <w:tcPr>
            <w:tcW w:w="1460" w:type="dxa"/>
            <w:tcBorders>
              <w:top w:val="single" w:color="auto" w:sz="6" w:space="0"/>
              <w:left w:val="single" w:color="auto" w:sz="6" w:space="0"/>
              <w:bottom w:val="single" w:color="auto" w:sz="6" w:space="0"/>
              <w:right w:val="single" w:color="auto" w:sz="6" w:space="0"/>
            </w:tcBorders>
            <w:vAlign w:val="center"/>
          </w:tcPr>
          <w:p w14:paraId="08DA274F">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04" w:type="dxa"/>
            <w:tcBorders>
              <w:top w:val="single" w:color="auto" w:sz="6" w:space="0"/>
              <w:left w:val="single" w:color="auto" w:sz="6" w:space="0"/>
              <w:bottom w:val="single" w:color="auto" w:sz="6" w:space="0"/>
              <w:right w:val="single" w:color="auto" w:sz="6" w:space="0"/>
            </w:tcBorders>
            <w:vAlign w:val="center"/>
          </w:tcPr>
          <w:p w14:paraId="0B96AD30">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61" w:type="dxa"/>
            <w:tcBorders>
              <w:top w:val="single" w:color="auto" w:sz="6" w:space="0"/>
              <w:left w:val="single" w:color="auto" w:sz="6" w:space="0"/>
              <w:bottom w:val="single" w:color="auto" w:sz="6" w:space="0"/>
              <w:right w:val="single" w:color="auto" w:sz="6" w:space="0"/>
            </w:tcBorders>
            <w:vAlign w:val="center"/>
          </w:tcPr>
          <w:p w14:paraId="459A0872">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838" w:type="dxa"/>
            <w:tcBorders>
              <w:top w:val="single" w:color="auto" w:sz="6" w:space="0"/>
              <w:left w:val="single" w:color="auto" w:sz="6" w:space="0"/>
              <w:bottom w:val="single" w:color="auto" w:sz="6" w:space="0"/>
              <w:right w:val="single" w:color="auto" w:sz="6" w:space="0"/>
            </w:tcBorders>
            <w:vAlign w:val="center"/>
          </w:tcPr>
          <w:p w14:paraId="0960C2F7">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600" w:type="dxa"/>
            <w:tcBorders>
              <w:top w:val="single" w:color="auto" w:sz="6" w:space="0"/>
              <w:left w:val="single" w:color="auto" w:sz="6" w:space="0"/>
              <w:bottom w:val="single" w:color="auto" w:sz="6" w:space="0"/>
              <w:right w:val="single" w:color="auto" w:sz="6" w:space="0"/>
            </w:tcBorders>
            <w:vAlign w:val="center"/>
          </w:tcPr>
          <w:p w14:paraId="3DBA577D">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注册证书编号、专业及注册单位</w:t>
            </w:r>
          </w:p>
          <w:p w14:paraId="34EF9F98">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(页码)</w:t>
            </w:r>
          </w:p>
        </w:tc>
        <w:tc>
          <w:tcPr>
            <w:tcW w:w="2199" w:type="dxa"/>
            <w:tcBorders>
              <w:top w:val="single" w:color="auto" w:sz="6" w:space="0"/>
              <w:left w:val="single" w:color="auto" w:sz="6" w:space="0"/>
              <w:bottom w:val="single" w:color="auto" w:sz="6" w:space="0"/>
              <w:right w:val="single" w:color="auto" w:sz="6" w:space="0"/>
            </w:tcBorders>
          </w:tcPr>
          <w:p w14:paraId="2C0DF6EF">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缴纳社保记录</w:t>
            </w:r>
          </w:p>
          <w:p w14:paraId="3156987C">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(页码)</w:t>
            </w:r>
          </w:p>
        </w:tc>
        <w:tc>
          <w:tcPr>
            <w:tcW w:w="2192" w:type="dxa"/>
            <w:tcBorders>
              <w:top w:val="single" w:color="auto" w:sz="6" w:space="0"/>
              <w:left w:val="single" w:color="auto" w:sz="6" w:space="0"/>
              <w:bottom w:val="single" w:color="auto" w:sz="6" w:space="0"/>
              <w:right w:val="single" w:color="auto" w:sz="6" w:space="0"/>
            </w:tcBorders>
          </w:tcPr>
          <w:p w14:paraId="3B709454">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备注（例如载明一级或二级造价工程师）</w:t>
            </w:r>
          </w:p>
        </w:tc>
      </w:tr>
      <w:tr w14:paraId="67B59D5C">
        <w:tblPrEx>
          <w:tblCellMar>
            <w:top w:w="0" w:type="dxa"/>
            <w:left w:w="108" w:type="dxa"/>
            <w:bottom w:w="0" w:type="dxa"/>
            <w:right w:w="108" w:type="dxa"/>
          </w:tblCellMar>
        </w:tblPrEx>
        <w:trPr>
          <w:trHeight w:val="479" w:hRule="atLeast"/>
        </w:trPr>
        <w:tc>
          <w:tcPr>
            <w:tcW w:w="1460" w:type="dxa"/>
            <w:tcBorders>
              <w:top w:val="single" w:color="auto" w:sz="6" w:space="0"/>
              <w:left w:val="single" w:color="auto" w:sz="6" w:space="0"/>
              <w:bottom w:val="single" w:color="auto" w:sz="6" w:space="0"/>
              <w:right w:val="single" w:color="auto" w:sz="6" w:space="0"/>
            </w:tcBorders>
          </w:tcPr>
          <w:p w14:paraId="2E5990AC">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例：01</w:t>
            </w:r>
          </w:p>
        </w:tc>
        <w:tc>
          <w:tcPr>
            <w:tcW w:w="804" w:type="dxa"/>
            <w:tcBorders>
              <w:top w:val="single" w:color="auto" w:sz="6" w:space="0"/>
              <w:left w:val="single" w:color="auto" w:sz="6" w:space="0"/>
              <w:bottom w:val="single" w:color="auto" w:sz="6" w:space="0"/>
              <w:right w:val="single" w:color="auto" w:sz="6" w:space="0"/>
            </w:tcBorders>
          </w:tcPr>
          <w:p w14:paraId="7E8A3917">
            <w:pPr>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李生</w:t>
            </w:r>
          </w:p>
        </w:tc>
        <w:tc>
          <w:tcPr>
            <w:tcW w:w="761" w:type="dxa"/>
            <w:tcBorders>
              <w:top w:val="single" w:color="auto" w:sz="6" w:space="0"/>
              <w:left w:val="single" w:color="auto" w:sz="6" w:space="0"/>
              <w:bottom w:val="single" w:color="auto" w:sz="6" w:space="0"/>
              <w:right w:val="single" w:color="auto" w:sz="6" w:space="0"/>
            </w:tcBorders>
          </w:tcPr>
          <w:p w14:paraId="5092A540">
            <w:pPr>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男</w:t>
            </w:r>
          </w:p>
        </w:tc>
        <w:tc>
          <w:tcPr>
            <w:tcW w:w="838" w:type="dxa"/>
            <w:tcBorders>
              <w:top w:val="single" w:color="auto" w:sz="6" w:space="0"/>
              <w:left w:val="single" w:color="auto" w:sz="6" w:space="0"/>
              <w:bottom w:val="single" w:color="auto" w:sz="6" w:space="0"/>
              <w:right w:val="single" w:color="auto" w:sz="6" w:space="0"/>
            </w:tcBorders>
          </w:tcPr>
          <w:p w14:paraId="1F7FA560">
            <w:pPr>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40</w:t>
            </w:r>
          </w:p>
        </w:tc>
        <w:tc>
          <w:tcPr>
            <w:tcW w:w="1600" w:type="dxa"/>
            <w:tcBorders>
              <w:top w:val="single" w:color="auto" w:sz="6" w:space="0"/>
              <w:left w:val="single" w:color="auto" w:sz="6" w:space="0"/>
              <w:bottom w:val="single" w:color="auto" w:sz="6" w:space="0"/>
              <w:right w:val="single" w:color="auto" w:sz="6" w:space="0"/>
            </w:tcBorders>
          </w:tcPr>
          <w:p w14:paraId="3F8A5C07">
            <w:pPr>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一级造价工程师证，土建专业，**公司，34页</w:t>
            </w:r>
          </w:p>
        </w:tc>
        <w:tc>
          <w:tcPr>
            <w:tcW w:w="2199" w:type="dxa"/>
            <w:tcBorders>
              <w:top w:val="single" w:color="auto" w:sz="6" w:space="0"/>
              <w:left w:val="single" w:color="auto" w:sz="6" w:space="0"/>
              <w:bottom w:val="single" w:color="auto" w:sz="6" w:space="0"/>
              <w:right w:val="single" w:color="auto" w:sz="6" w:space="0"/>
            </w:tcBorders>
          </w:tcPr>
          <w:p w14:paraId="331419EE">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37页</w:t>
            </w:r>
          </w:p>
        </w:tc>
        <w:tc>
          <w:tcPr>
            <w:tcW w:w="2192" w:type="dxa"/>
            <w:tcBorders>
              <w:top w:val="single" w:color="auto" w:sz="6" w:space="0"/>
              <w:left w:val="single" w:color="auto" w:sz="6" w:space="0"/>
              <w:bottom w:val="single" w:color="auto" w:sz="6" w:space="0"/>
              <w:right w:val="single" w:color="auto" w:sz="6" w:space="0"/>
            </w:tcBorders>
          </w:tcPr>
          <w:p w14:paraId="000D0093">
            <w:pPr>
              <w:autoSpaceDE w:val="0"/>
              <w:autoSpaceDN w:val="0"/>
              <w:spacing w:line="360" w:lineRule="auto"/>
              <w:rPr>
                <w:rFonts w:ascii="宋体" w:hAnsi="宋体" w:eastAsia="宋体" w:cs="宋体"/>
                <w:color w:val="auto"/>
                <w:sz w:val="24"/>
                <w:szCs w:val="24"/>
                <w:highlight w:val="none"/>
              </w:rPr>
            </w:pPr>
          </w:p>
        </w:tc>
      </w:tr>
      <w:tr w14:paraId="7DC50FD5">
        <w:tblPrEx>
          <w:tblCellMar>
            <w:top w:w="0" w:type="dxa"/>
            <w:left w:w="108" w:type="dxa"/>
            <w:bottom w:w="0" w:type="dxa"/>
            <w:right w:w="108" w:type="dxa"/>
          </w:tblCellMar>
        </w:tblPrEx>
        <w:trPr>
          <w:trHeight w:val="479" w:hRule="atLeast"/>
        </w:trPr>
        <w:tc>
          <w:tcPr>
            <w:tcW w:w="1460" w:type="dxa"/>
            <w:tcBorders>
              <w:top w:val="single" w:color="auto" w:sz="6" w:space="0"/>
              <w:left w:val="single" w:color="auto" w:sz="6" w:space="0"/>
              <w:bottom w:val="single" w:color="auto" w:sz="6" w:space="0"/>
              <w:right w:val="single" w:color="auto" w:sz="6" w:space="0"/>
            </w:tcBorders>
          </w:tcPr>
          <w:p w14:paraId="0D3B6E9B">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02</w:t>
            </w:r>
          </w:p>
        </w:tc>
        <w:tc>
          <w:tcPr>
            <w:tcW w:w="804" w:type="dxa"/>
            <w:tcBorders>
              <w:top w:val="single" w:color="auto" w:sz="6" w:space="0"/>
              <w:left w:val="single" w:color="auto" w:sz="6" w:space="0"/>
              <w:bottom w:val="single" w:color="auto" w:sz="6" w:space="0"/>
              <w:right w:val="single" w:color="auto" w:sz="6" w:space="0"/>
            </w:tcBorders>
          </w:tcPr>
          <w:p w14:paraId="771000FC">
            <w:pPr>
              <w:autoSpaceDE w:val="0"/>
              <w:autoSpaceDN w:val="0"/>
              <w:spacing w:line="360" w:lineRule="auto"/>
              <w:rPr>
                <w:rFonts w:ascii="宋体" w:hAnsi="宋体" w:eastAsia="宋体" w:cs="宋体"/>
                <w:color w:val="auto"/>
                <w:sz w:val="24"/>
                <w:szCs w:val="24"/>
                <w:highlight w:val="none"/>
              </w:rPr>
            </w:pPr>
          </w:p>
        </w:tc>
        <w:tc>
          <w:tcPr>
            <w:tcW w:w="761" w:type="dxa"/>
            <w:tcBorders>
              <w:top w:val="single" w:color="auto" w:sz="6" w:space="0"/>
              <w:left w:val="single" w:color="auto" w:sz="6" w:space="0"/>
              <w:bottom w:val="single" w:color="auto" w:sz="6" w:space="0"/>
              <w:right w:val="single" w:color="auto" w:sz="6" w:space="0"/>
            </w:tcBorders>
          </w:tcPr>
          <w:p w14:paraId="09980D7D">
            <w:pPr>
              <w:autoSpaceDE w:val="0"/>
              <w:autoSpaceDN w:val="0"/>
              <w:spacing w:line="360" w:lineRule="auto"/>
              <w:rPr>
                <w:rFonts w:ascii="宋体" w:hAnsi="宋体" w:eastAsia="宋体" w:cs="宋体"/>
                <w:color w:val="auto"/>
                <w:sz w:val="24"/>
                <w:szCs w:val="24"/>
                <w:highlight w:val="none"/>
              </w:rPr>
            </w:pPr>
          </w:p>
        </w:tc>
        <w:tc>
          <w:tcPr>
            <w:tcW w:w="838" w:type="dxa"/>
            <w:tcBorders>
              <w:top w:val="single" w:color="auto" w:sz="6" w:space="0"/>
              <w:left w:val="single" w:color="auto" w:sz="6" w:space="0"/>
              <w:bottom w:val="single" w:color="auto" w:sz="6" w:space="0"/>
              <w:right w:val="single" w:color="auto" w:sz="6" w:space="0"/>
            </w:tcBorders>
          </w:tcPr>
          <w:p w14:paraId="43006807">
            <w:pPr>
              <w:autoSpaceDE w:val="0"/>
              <w:autoSpaceDN w:val="0"/>
              <w:spacing w:line="360" w:lineRule="auto"/>
              <w:rPr>
                <w:rFonts w:ascii="宋体" w:hAnsi="宋体" w:eastAsia="宋体" w:cs="宋体"/>
                <w:color w:val="auto"/>
                <w:sz w:val="24"/>
                <w:szCs w:val="24"/>
                <w:highlight w:val="none"/>
              </w:rPr>
            </w:pPr>
          </w:p>
        </w:tc>
        <w:tc>
          <w:tcPr>
            <w:tcW w:w="1600" w:type="dxa"/>
            <w:tcBorders>
              <w:top w:val="single" w:color="auto" w:sz="6" w:space="0"/>
              <w:left w:val="single" w:color="auto" w:sz="6" w:space="0"/>
              <w:bottom w:val="single" w:color="auto" w:sz="6" w:space="0"/>
              <w:right w:val="single" w:color="auto" w:sz="6" w:space="0"/>
            </w:tcBorders>
          </w:tcPr>
          <w:p w14:paraId="79FE4237">
            <w:pPr>
              <w:autoSpaceDE w:val="0"/>
              <w:autoSpaceDN w:val="0"/>
              <w:spacing w:line="360" w:lineRule="auto"/>
              <w:rPr>
                <w:rFonts w:ascii="宋体" w:hAnsi="宋体" w:eastAsia="宋体" w:cs="宋体"/>
                <w:color w:val="auto"/>
                <w:sz w:val="24"/>
                <w:szCs w:val="24"/>
                <w:highlight w:val="none"/>
              </w:rPr>
            </w:pPr>
          </w:p>
        </w:tc>
        <w:tc>
          <w:tcPr>
            <w:tcW w:w="2199" w:type="dxa"/>
            <w:tcBorders>
              <w:top w:val="single" w:color="auto" w:sz="6" w:space="0"/>
              <w:left w:val="single" w:color="auto" w:sz="6" w:space="0"/>
              <w:bottom w:val="single" w:color="auto" w:sz="6" w:space="0"/>
              <w:right w:val="single" w:color="auto" w:sz="6" w:space="0"/>
            </w:tcBorders>
          </w:tcPr>
          <w:p w14:paraId="3CAED351">
            <w:pPr>
              <w:autoSpaceDE w:val="0"/>
              <w:autoSpaceDN w:val="0"/>
              <w:spacing w:line="360" w:lineRule="auto"/>
              <w:rPr>
                <w:rFonts w:ascii="宋体" w:hAnsi="宋体" w:eastAsia="宋体" w:cs="宋体"/>
                <w:color w:val="auto"/>
                <w:sz w:val="24"/>
                <w:szCs w:val="24"/>
                <w:highlight w:val="none"/>
              </w:rPr>
            </w:pPr>
          </w:p>
        </w:tc>
        <w:tc>
          <w:tcPr>
            <w:tcW w:w="2192" w:type="dxa"/>
            <w:tcBorders>
              <w:top w:val="single" w:color="auto" w:sz="6" w:space="0"/>
              <w:left w:val="single" w:color="auto" w:sz="6" w:space="0"/>
              <w:bottom w:val="single" w:color="auto" w:sz="6" w:space="0"/>
              <w:right w:val="single" w:color="auto" w:sz="6" w:space="0"/>
            </w:tcBorders>
          </w:tcPr>
          <w:p w14:paraId="6E97742A">
            <w:pPr>
              <w:autoSpaceDE w:val="0"/>
              <w:autoSpaceDN w:val="0"/>
              <w:spacing w:line="360" w:lineRule="auto"/>
              <w:rPr>
                <w:rFonts w:ascii="宋体" w:hAnsi="宋体" w:eastAsia="宋体" w:cs="宋体"/>
                <w:color w:val="auto"/>
                <w:sz w:val="24"/>
                <w:szCs w:val="24"/>
                <w:highlight w:val="none"/>
              </w:rPr>
            </w:pPr>
          </w:p>
        </w:tc>
      </w:tr>
      <w:tr w14:paraId="3D62A8C8">
        <w:tblPrEx>
          <w:tblCellMar>
            <w:top w:w="0" w:type="dxa"/>
            <w:left w:w="108" w:type="dxa"/>
            <w:bottom w:w="0" w:type="dxa"/>
            <w:right w:w="108" w:type="dxa"/>
          </w:tblCellMar>
        </w:tblPrEx>
        <w:trPr>
          <w:trHeight w:val="479" w:hRule="atLeast"/>
        </w:trPr>
        <w:tc>
          <w:tcPr>
            <w:tcW w:w="1460" w:type="dxa"/>
            <w:tcBorders>
              <w:top w:val="single" w:color="auto" w:sz="6" w:space="0"/>
              <w:left w:val="single" w:color="auto" w:sz="6" w:space="0"/>
              <w:bottom w:val="single" w:color="auto" w:sz="6" w:space="0"/>
              <w:right w:val="single" w:color="auto" w:sz="6" w:space="0"/>
            </w:tcBorders>
          </w:tcPr>
          <w:p w14:paraId="5F054203">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03</w:t>
            </w:r>
          </w:p>
        </w:tc>
        <w:tc>
          <w:tcPr>
            <w:tcW w:w="804" w:type="dxa"/>
            <w:tcBorders>
              <w:top w:val="single" w:color="auto" w:sz="6" w:space="0"/>
              <w:left w:val="single" w:color="auto" w:sz="6" w:space="0"/>
              <w:bottom w:val="single" w:color="auto" w:sz="6" w:space="0"/>
              <w:right w:val="single" w:color="auto" w:sz="6" w:space="0"/>
            </w:tcBorders>
          </w:tcPr>
          <w:p w14:paraId="5DEDCE88">
            <w:pPr>
              <w:autoSpaceDE w:val="0"/>
              <w:autoSpaceDN w:val="0"/>
              <w:spacing w:line="360" w:lineRule="auto"/>
              <w:rPr>
                <w:rFonts w:ascii="宋体" w:hAnsi="宋体" w:eastAsia="宋体" w:cs="宋体"/>
                <w:color w:val="auto"/>
                <w:sz w:val="24"/>
                <w:szCs w:val="24"/>
                <w:highlight w:val="none"/>
              </w:rPr>
            </w:pPr>
          </w:p>
        </w:tc>
        <w:tc>
          <w:tcPr>
            <w:tcW w:w="761" w:type="dxa"/>
            <w:tcBorders>
              <w:top w:val="single" w:color="auto" w:sz="6" w:space="0"/>
              <w:left w:val="single" w:color="auto" w:sz="6" w:space="0"/>
              <w:bottom w:val="single" w:color="auto" w:sz="6" w:space="0"/>
              <w:right w:val="single" w:color="auto" w:sz="6" w:space="0"/>
            </w:tcBorders>
          </w:tcPr>
          <w:p w14:paraId="19BF652F">
            <w:pPr>
              <w:autoSpaceDE w:val="0"/>
              <w:autoSpaceDN w:val="0"/>
              <w:spacing w:line="360" w:lineRule="auto"/>
              <w:rPr>
                <w:rFonts w:ascii="宋体" w:hAnsi="宋体" w:eastAsia="宋体" w:cs="宋体"/>
                <w:color w:val="auto"/>
                <w:sz w:val="24"/>
                <w:szCs w:val="24"/>
                <w:highlight w:val="none"/>
              </w:rPr>
            </w:pPr>
          </w:p>
        </w:tc>
        <w:tc>
          <w:tcPr>
            <w:tcW w:w="838" w:type="dxa"/>
            <w:tcBorders>
              <w:top w:val="single" w:color="auto" w:sz="6" w:space="0"/>
              <w:left w:val="single" w:color="auto" w:sz="6" w:space="0"/>
              <w:bottom w:val="single" w:color="auto" w:sz="6" w:space="0"/>
              <w:right w:val="single" w:color="auto" w:sz="6" w:space="0"/>
            </w:tcBorders>
          </w:tcPr>
          <w:p w14:paraId="29B706A2">
            <w:pPr>
              <w:autoSpaceDE w:val="0"/>
              <w:autoSpaceDN w:val="0"/>
              <w:spacing w:line="360" w:lineRule="auto"/>
              <w:rPr>
                <w:rFonts w:ascii="宋体" w:hAnsi="宋体" w:eastAsia="宋体" w:cs="宋体"/>
                <w:color w:val="auto"/>
                <w:sz w:val="24"/>
                <w:szCs w:val="24"/>
                <w:highlight w:val="none"/>
              </w:rPr>
            </w:pPr>
          </w:p>
        </w:tc>
        <w:tc>
          <w:tcPr>
            <w:tcW w:w="1600" w:type="dxa"/>
            <w:tcBorders>
              <w:top w:val="single" w:color="auto" w:sz="6" w:space="0"/>
              <w:left w:val="single" w:color="auto" w:sz="6" w:space="0"/>
              <w:bottom w:val="single" w:color="auto" w:sz="6" w:space="0"/>
              <w:right w:val="single" w:color="auto" w:sz="6" w:space="0"/>
            </w:tcBorders>
          </w:tcPr>
          <w:p w14:paraId="41050176">
            <w:pPr>
              <w:autoSpaceDE w:val="0"/>
              <w:autoSpaceDN w:val="0"/>
              <w:spacing w:line="360" w:lineRule="auto"/>
              <w:rPr>
                <w:rFonts w:ascii="宋体" w:hAnsi="宋体" w:eastAsia="宋体" w:cs="宋体"/>
                <w:color w:val="auto"/>
                <w:sz w:val="24"/>
                <w:szCs w:val="24"/>
                <w:highlight w:val="none"/>
              </w:rPr>
            </w:pPr>
          </w:p>
        </w:tc>
        <w:tc>
          <w:tcPr>
            <w:tcW w:w="2199" w:type="dxa"/>
            <w:tcBorders>
              <w:top w:val="single" w:color="auto" w:sz="6" w:space="0"/>
              <w:left w:val="single" w:color="auto" w:sz="6" w:space="0"/>
              <w:bottom w:val="single" w:color="auto" w:sz="6" w:space="0"/>
              <w:right w:val="single" w:color="auto" w:sz="6" w:space="0"/>
            </w:tcBorders>
          </w:tcPr>
          <w:p w14:paraId="3E7F3AA7">
            <w:pPr>
              <w:autoSpaceDE w:val="0"/>
              <w:autoSpaceDN w:val="0"/>
              <w:spacing w:line="360" w:lineRule="auto"/>
              <w:rPr>
                <w:rFonts w:ascii="宋体" w:hAnsi="宋体" w:eastAsia="宋体" w:cs="宋体"/>
                <w:color w:val="auto"/>
                <w:sz w:val="24"/>
                <w:szCs w:val="24"/>
                <w:highlight w:val="none"/>
              </w:rPr>
            </w:pPr>
          </w:p>
        </w:tc>
        <w:tc>
          <w:tcPr>
            <w:tcW w:w="2192" w:type="dxa"/>
            <w:tcBorders>
              <w:top w:val="single" w:color="auto" w:sz="6" w:space="0"/>
              <w:left w:val="single" w:color="auto" w:sz="6" w:space="0"/>
              <w:bottom w:val="single" w:color="auto" w:sz="6" w:space="0"/>
              <w:right w:val="single" w:color="auto" w:sz="6" w:space="0"/>
            </w:tcBorders>
          </w:tcPr>
          <w:p w14:paraId="07C950FB">
            <w:pPr>
              <w:autoSpaceDE w:val="0"/>
              <w:autoSpaceDN w:val="0"/>
              <w:spacing w:line="360" w:lineRule="auto"/>
              <w:rPr>
                <w:rFonts w:ascii="宋体" w:hAnsi="宋体" w:eastAsia="宋体" w:cs="宋体"/>
                <w:color w:val="auto"/>
                <w:sz w:val="24"/>
                <w:szCs w:val="24"/>
                <w:highlight w:val="none"/>
              </w:rPr>
            </w:pPr>
          </w:p>
        </w:tc>
      </w:tr>
      <w:tr w14:paraId="52A56BE7">
        <w:tblPrEx>
          <w:tblCellMar>
            <w:top w:w="0" w:type="dxa"/>
            <w:left w:w="108" w:type="dxa"/>
            <w:bottom w:w="0" w:type="dxa"/>
            <w:right w:w="108" w:type="dxa"/>
          </w:tblCellMar>
        </w:tblPrEx>
        <w:trPr>
          <w:trHeight w:val="479" w:hRule="atLeast"/>
        </w:trPr>
        <w:tc>
          <w:tcPr>
            <w:tcW w:w="1460" w:type="dxa"/>
            <w:tcBorders>
              <w:top w:val="single" w:color="auto" w:sz="6" w:space="0"/>
              <w:left w:val="single" w:color="auto" w:sz="6" w:space="0"/>
              <w:bottom w:val="single" w:color="auto" w:sz="6" w:space="0"/>
              <w:right w:val="single" w:color="auto" w:sz="6" w:space="0"/>
            </w:tcBorders>
          </w:tcPr>
          <w:p w14:paraId="5E2EBE3C">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04</w:t>
            </w:r>
          </w:p>
        </w:tc>
        <w:tc>
          <w:tcPr>
            <w:tcW w:w="804" w:type="dxa"/>
            <w:tcBorders>
              <w:top w:val="single" w:color="auto" w:sz="6" w:space="0"/>
              <w:left w:val="single" w:color="auto" w:sz="6" w:space="0"/>
              <w:bottom w:val="single" w:color="auto" w:sz="6" w:space="0"/>
              <w:right w:val="single" w:color="auto" w:sz="6" w:space="0"/>
            </w:tcBorders>
          </w:tcPr>
          <w:p w14:paraId="6DE52C34">
            <w:pPr>
              <w:autoSpaceDE w:val="0"/>
              <w:autoSpaceDN w:val="0"/>
              <w:spacing w:line="360" w:lineRule="auto"/>
              <w:rPr>
                <w:rFonts w:ascii="宋体" w:hAnsi="宋体" w:eastAsia="宋体" w:cs="宋体"/>
                <w:color w:val="auto"/>
                <w:sz w:val="24"/>
                <w:szCs w:val="24"/>
                <w:highlight w:val="none"/>
              </w:rPr>
            </w:pPr>
          </w:p>
        </w:tc>
        <w:tc>
          <w:tcPr>
            <w:tcW w:w="761" w:type="dxa"/>
            <w:tcBorders>
              <w:top w:val="single" w:color="auto" w:sz="6" w:space="0"/>
              <w:left w:val="single" w:color="auto" w:sz="6" w:space="0"/>
              <w:bottom w:val="single" w:color="auto" w:sz="6" w:space="0"/>
              <w:right w:val="single" w:color="auto" w:sz="6" w:space="0"/>
            </w:tcBorders>
          </w:tcPr>
          <w:p w14:paraId="0F68B9AD">
            <w:pPr>
              <w:autoSpaceDE w:val="0"/>
              <w:autoSpaceDN w:val="0"/>
              <w:spacing w:line="360" w:lineRule="auto"/>
              <w:rPr>
                <w:rFonts w:ascii="宋体" w:hAnsi="宋体" w:eastAsia="宋体" w:cs="宋体"/>
                <w:color w:val="auto"/>
                <w:sz w:val="24"/>
                <w:szCs w:val="24"/>
                <w:highlight w:val="none"/>
              </w:rPr>
            </w:pPr>
          </w:p>
        </w:tc>
        <w:tc>
          <w:tcPr>
            <w:tcW w:w="838" w:type="dxa"/>
            <w:tcBorders>
              <w:top w:val="single" w:color="auto" w:sz="6" w:space="0"/>
              <w:left w:val="single" w:color="auto" w:sz="6" w:space="0"/>
              <w:bottom w:val="single" w:color="auto" w:sz="6" w:space="0"/>
              <w:right w:val="single" w:color="auto" w:sz="6" w:space="0"/>
            </w:tcBorders>
          </w:tcPr>
          <w:p w14:paraId="3F3BBCAC">
            <w:pPr>
              <w:autoSpaceDE w:val="0"/>
              <w:autoSpaceDN w:val="0"/>
              <w:spacing w:line="360" w:lineRule="auto"/>
              <w:rPr>
                <w:rFonts w:ascii="宋体" w:hAnsi="宋体" w:eastAsia="宋体" w:cs="宋体"/>
                <w:color w:val="auto"/>
                <w:sz w:val="24"/>
                <w:szCs w:val="24"/>
                <w:highlight w:val="none"/>
              </w:rPr>
            </w:pPr>
          </w:p>
        </w:tc>
        <w:tc>
          <w:tcPr>
            <w:tcW w:w="1600" w:type="dxa"/>
            <w:tcBorders>
              <w:top w:val="single" w:color="auto" w:sz="6" w:space="0"/>
              <w:left w:val="single" w:color="auto" w:sz="6" w:space="0"/>
              <w:bottom w:val="single" w:color="auto" w:sz="6" w:space="0"/>
              <w:right w:val="single" w:color="auto" w:sz="6" w:space="0"/>
            </w:tcBorders>
          </w:tcPr>
          <w:p w14:paraId="55D35C4D">
            <w:pPr>
              <w:autoSpaceDE w:val="0"/>
              <w:autoSpaceDN w:val="0"/>
              <w:spacing w:line="360" w:lineRule="auto"/>
              <w:rPr>
                <w:rFonts w:ascii="宋体" w:hAnsi="宋体" w:eastAsia="宋体" w:cs="宋体"/>
                <w:color w:val="auto"/>
                <w:sz w:val="24"/>
                <w:szCs w:val="24"/>
                <w:highlight w:val="none"/>
              </w:rPr>
            </w:pPr>
          </w:p>
        </w:tc>
        <w:tc>
          <w:tcPr>
            <w:tcW w:w="2199" w:type="dxa"/>
            <w:tcBorders>
              <w:top w:val="single" w:color="auto" w:sz="6" w:space="0"/>
              <w:left w:val="single" w:color="auto" w:sz="6" w:space="0"/>
              <w:bottom w:val="single" w:color="auto" w:sz="6" w:space="0"/>
              <w:right w:val="single" w:color="auto" w:sz="6" w:space="0"/>
            </w:tcBorders>
          </w:tcPr>
          <w:p w14:paraId="343017C2">
            <w:pPr>
              <w:autoSpaceDE w:val="0"/>
              <w:autoSpaceDN w:val="0"/>
              <w:spacing w:line="360" w:lineRule="auto"/>
              <w:rPr>
                <w:rFonts w:ascii="宋体" w:hAnsi="宋体" w:eastAsia="宋体" w:cs="宋体"/>
                <w:color w:val="auto"/>
                <w:sz w:val="24"/>
                <w:szCs w:val="24"/>
                <w:highlight w:val="none"/>
              </w:rPr>
            </w:pPr>
          </w:p>
        </w:tc>
        <w:tc>
          <w:tcPr>
            <w:tcW w:w="2192" w:type="dxa"/>
            <w:tcBorders>
              <w:top w:val="single" w:color="auto" w:sz="6" w:space="0"/>
              <w:left w:val="single" w:color="auto" w:sz="6" w:space="0"/>
              <w:bottom w:val="single" w:color="auto" w:sz="6" w:space="0"/>
              <w:right w:val="single" w:color="auto" w:sz="6" w:space="0"/>
            </w:tcBorders>
          </w:tcPr>
          <w:p w14:paraId="11659045">
            <w:pPr>
              <w:autoSpaceDE w:val="0"/>
              <w:autoSpaceDN w:val="0"/>
              <w:spacing w:line="360" w:lineRule="auto"/>
              <w:rPr>
                <w:rFonts w:ascii="宋体" w:hAnsi="宋体" w:eastAsia="宋体" w:cs="宋体"/>
                <w:color w:val="auto"/>
                <w:sz w:val="24"/>
                <w:szCs w:val="24"/>
                <w:highlight w:val="none"/>
              </w:rPr>
            </w:pPr>
          </w:p>
        </w:tc>
      </w:tr>
      <w:tr w14:paraId="10CB663D">
        <w:tblPrEx>
          <w:tblCellMar>
            <w:top w:w="0" w:type="dxa"/>
            <w:left w:w="108" w:type="dxa"/>
            <w:bottom w:w="0" w:type="dxa"/>
            <w:right w:w="108" w:type="dxa"/>
          </w:tblCellMar>
        </w:tblPrEx>
        <w:trPr>
          <w:trHeight w:val="473" w:hRule="atLeast"/>
        </w:trPr>
        <w:tc>
          <w:tcPr>
            <w:tcW w:w="1460" w:type="dxa"/>
            <w:tcBorders>
              <w:top w:val="single" w:color="auto" w:sz="6" w:space="0"/>
              <w:left w:val="single" w:color="auto" w:sz="6" w:space="0"/>
              <w:bottom w:val="single" w:color="auto" w:sz="6" w:space="0"/>
              <w:right w:val="single" w:color="auto" w:sz="6" w:space="0"/>
            </w:tcBorders>
          </w:tcPr>
          <w:p w14:paraId="2BB14CEF">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p>
        </w:tc>
        <w:tc>
          <w:tcPr>
            <w:tcW w:w="804" w:type="dxa"/>
            <w:tcBorders>
              <w:top w:val="single" w:color="auto" w:sz="6" w:space="0"/>
              <w:left w:val="single" w:color="auto" w:sz="6" w:space="0"/>
              <w:bottom w:val="single" w:color="auto" w:sz="6" w:space="0"/>
              <w:right w:val="single" w:color="auto" w:sz="6" w:space="0"/>
            </w:tcBorders>
          </w:tcPr>
          <w:p w14:paraId="6F9ECEDE">
            <w:pPr>
              <w:autoSpaceDE w:val="0"/>
              <w:autoSpaceDN w:val="0"/>
              <w:spacing w:line="360" w:lineRule="auto"/>
              <w:rPr>
                <w:rFonts w:ascii="宋体" w:hAnsi="宋体" w:eastAsia="宋体" w:cs="宋体"/>
                <w:color w:val="auto"/>
                <w:sz w:val="24"/>
                <w:szCs w:val="24"/>
                <w:highlight w:val="none"/>
              </w:rPr>
            </w:pPr>
          </w:p>
        </w:tc>
        <w:tc>
          <w:tcPr>
            <w:tcW w:w="761" w:type="dxa"/>
            <w:tcBorders>
              <w:top w:val="single" w:color="auto" w:sz="6" w:space="0"/>
              <w:left w:val="single" w:color="auto" w:sz="6" w:space="0"/>
              <w:bottom w:val="single" w:color="auto" w:sz="6" w:space="0"/>
              <w:right w:val="single" w:color="auto" w:sz="6" w:space="0"/>
            </w:tcBorders>
          </w:tcPr>
          <w:p w14:paraId="5E181669">
            <w:pPr>
              <w:autoSpaceDE w:val="0"/>
              <w:autoSpaceDN w:val="0"/>
              <w:spacing w:line="360" w:lineRule="auto"/>
              <w:rPr>
                <w:rFonts w:ascii="宋体" w:hAnsi="宋体" w:eastAsia="宋体" w:cs="宋体"/>
                <w:color w:val="auto"/>
                <w:sz w:val="24"/>
                <w:szCs w:val="24"/>
                <w:highlight w:val="none"/>
              </w:rPr>
            </w:pPr>
          </w:p>
        </w:tc>
        <w:tc>
          <w:tcPr>
            <w:tcW w:w="838" w:type="dxa"/>
            <w:tcBorders>
              <w:top w:val="single" w:color="auto" w:sz="6" w:space="0"/>
              <w:left w:val="single" w:color="auto" w:sz="6" w:space="0"/>
              <w:bottom w:val="single" w:color="auto" w:sz="6" w:space="0"/>
              <w:right w:val="single" w:color="auto" w:sz="6" w:space="0"/>
            </w:tcBorders>
          </w:tcPr>
          <w:p w14:paraId="3235851E">
            <w:pPr>
              <w:autoSpaceDE w:val="0"/>
              <w:autoSpaceDN w:val="0"/>
              <w:spacing w:line="360" w:lineRule="auto"/>
              <w:rPr>
                <w:rFonts w:ascii="宋体" w:hAnsi="宋体" w:eastAsia="宋体" w:cs="宋体"/>
                <w:color w:val="auto"/>
                <w:sz w:val="24"/>
                <w:szCs w:val="24"/>
                <w:highlight w:val="none"/>
              </w:rPr>
            </w:pPr>
          </w:p>
        </w:tc>
        <w:tc>
          <w:tcPr>
            <w:tcW w:w="1600" w:type="dxa"/>
            <w:tcBorders>
              <w:top w:val="single" w:color="auto" w:sz="6" w:space="0"/>
              <w:left w:val="single" w:color="auto" w:sz="6" w:space="0"/>
              <w:bottom w:val="single" w:color="auto" w:sz="6" w:space="0"/>
              <w:right w:val="single" w:color="auto" w:sz="6" w:space="0"/>
            </w:tcBorders>
          </w:tcPr>
          <w:p w14:paraId="2AEE2B04">
            <w:pPr>
              <w:autoSpaceDE w:val="0"/>
              <w:autoSpaceDN w:val="0"/>
              <w:spacing w:line="360" w:lineRule="auto"/>
              <w:rPr>
                <w:rFonts w:ascii="宋体" w:hAnsi="宋体" w:eastAsia="宋体" w:cs="宋体"/>
                <w:color w:val="auto"/>
                <w:sz w:val="24"/>
                <w:szCs w:val="24"/>
                <w:highlight w:val="none"/>
              </w:rPr>
            </w:pPr>
          </w:p>
        </w:tc>
        <w:tc>
          <w:tcPr>
            <w:tcW w:w="2199" w:type="dxa"/>
            <w:tcBorders>
              <w:top w:val="single" w:color="auto" w:sz="6" w:space="0"/>
              <w:left w:val="single" w:color="auto" w:sz="6" w:space="0"/>
              <w:bottom w:val="single" w:color="auto" w:sz="6" w:space="0"/>
              <w:right w:val="single" w:color="auto" w:sz="6" w:space="0"/>
            </w:tcBorders>
          </w:tcPr>
          <w:p w14:paraId="0C603000">
            <w:pPr>
              <w:autoSpaceDE w:val="0"/>
              <w:autoSpaceDN w:val="0"/>
              <w:spacing w:line="360" w:lineRule="auto"/>
              <w:rPr>
                <w:rFonts w:ascii="宋体" w:hAnsi="宋体" w:eastAsia="宋体" w:cs="宋体"/>
                <w:color w:val="auto"/>
                <w:sz w:val="24"/>
                <w:szCs w:val="24"/>
                <w:highlight w:val="none"/>
              </w:rPr>
            </w:pPr>
          </w:p>
        </w:tc>
        <w:tc>
          <w:tcPr>
            <w:tcW w:w="2192" w:type="dxa"/>
            <w:tcBorders>
              <w:top w:val="single" w:color="auto" w:sz="6" w:space="0"/>
              <w:left w:val="single" w:color="auto" w:sz="6" w:space="0"/>
              <w:bottom w:val="single" w:color="auto" w:sz="6" w:space="0"/>
              <w:right w:val="single" w:color="auto" w:sz="6" w:space="0"/>
            </w:tcBorders>
          </w:tcPr>
          <w:p w14:paraId="07AF8907">
            <w:pPr>
              <w:autoSpaceDE w:val="0"/>
              <w:autoSpaceDN w:val="0"/>
              <w:spacing w:line="360" w:lineRule="auto"/>
              <w:rPr>
                <w:rFonts w:ascii="宋体" w:hAnsi="宋体" w:eastAsia="宋体" w:cs="宋体"/>
                <w:color w:val="auto"/>
                <w:sz w:val="24"/>
                <w:szCs w:val="24"/>
                <w:highlight w:val="none"/>
              </w:rPr>
            </w:pPr>
          </w:p>
        </w:tc>
      </w:tr>
      <w:tr w14:paraId="1A1980E1">
        <w:tblPrEx>
          <w:tblCellMar>
            <w:top w:w="0" w:type="dxa"/>
            <w:left w:w="108" w:type="dxa"/>
            <w:bottom w:w="0" w:type="dxa"/>
            <w:right w:w="108" w:type="dxa"/>
          </w:tblCellMar>
        </w:tblPrEx>
        <w:trPr>
          <w:trHeight w:val="473" w:hRule="atLeast"/>
        </w:trPr>
        <w:tc>
          <w:tcPr>
            <w:tcW w:w="1460" w:type="dxa"/>
            <w:tcBorders>
              <w:top w:val="single" w:color="auto" w:sz="6" w:space="0"/>
              <w:left w:val="single" w:color="auto" w:sz="6" w:space="0"/>
              <w:bottom w:val="single" w:color="auto" w:sz="6" w:space="0"/>
              <w:right w:val="single" w:color="auto" w:sz="6" w:space="0"/>
            </w:tcBorders>
          </w:tcPr>
          <w:p w14:paraId="7272FF49">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06</w:t>
            </w:r>
          </w:p>
        </w:tc>
        <w:tc>
          <w:tcPr>
            <w:tcW w:w="804" w:type="dxa"/>
            <w:tcBorders>
              <w:top w:val="single" w:color="auto" w:sz="6" w:space="0"/>
              <w:left w:val="single" w:color="auto" w:sz="6" w:space="0"/>
              <w:bottom w:val="single" w:color="auto" w:sz="6" w:space="0"/>
              <w:right w:val="single" w:color="auto" w:sz="6" w:space="0"/>
            </w:tcBorders>
          </w:tcPr>
          <w:p w14:paraId="49CD37F2">
            <w:pPr>
              <w:autoSpaceDE w:val="0"/>
              <w:autoSpaceDN w:val="0"/>
              <w:spacing w:line="360" w:lineRule="auto"/>
              <w:rPr>
                <w:rFonts w:ascii="宋体" w:hAnsi="宋体" w:eastAsia="宋体" w:cs="宋体"/>
                <w:color w:val="auto"/>
                <w:sz w:val="24"/>
                <w:szCs w:val="24"/>
                <w:highlight w:val="none"/>
              </w:rPr>
            </w:pPr>
          </w:p>
        </w:tc>
        <w:tc>
          <w:tcPr>
            <w:tcW w:w="761" w:type="dxa"/>
            <w:tcBorders>
              <w:top w:val="single" w:color="auto" w:sz="6" w:space="0"/>
              <w:left w:val="single" w:color="auto" w:sz="6" w:space="0"/>
              <w:bottom w:val="single" w:color="auto" w:sz="6" w:space="0"/>
              <w:right w:val="single" w:color="auto" w:sz="6" w:space="0"/>
            </w:tcBorders>
          </w:tcPr>
          <w:p w14:paraId="3F8403C7">
            <w:pPr>
              <w:autoSpaceDE w:val="0"/>
              <w:autoSpaceDN w:val="0"/>
              <w:spacing w:line="360" w:lineRule="auto"/>
              <w:rPr>
                <w:rFonts w:ascii="宋体" w:hAnsi="宋体" w:eastAsia="宋体" w:cs="宋体"/>
                <w:color w:val="auto"/>
                <w:sz w:val="24"/>
                <w:szCs w:val="24"/>
                <w:highlight w:val="none"/>
              </w:rPr>
            </w:pPr>
          </w:p>
        </w:tc>
        <w:tc>
          <w:tcPr>
            <w:tcW w:w="838" w:type="dxa"/>
            <w:tcBorders>
              <w:top w:val="single" w:color="auto" w:sz="6" w:space="0"/>
              <w:left w:val="single" w:color="auto" w:sz="6" w:space="0"/>
              <w:bottom w:val="single" w:color="auto" w:sz="6" w:space="0"/>
              <w:right w:val="single" w:color="auto" w:sz="6" w:space="0"/>
            </w:tcBorders>
          </w:tcPr>
          <w:p w14:paraId="2FB81443">
            <w:pPr>
              <w:autoSpaceDE w:val="0"/>
              <w:autoSpaceDN w:val="0"/>
              <w:spacing w:line="360" w:lineRule="auto"/>
              <w:rPr>
                <w:rFonts w:ascii="宋体" w:hAnsi="宋体" w:eastAsia="宋体" w:cs="宋体"/>
                <w:color w:val="auto"/>
                <w:sz w:val="24"/>
                <w:szCs w:val="24"/>
                <w:highlight w:val="none"/>
              </w:rPr>
            </w:pPr>
          </w:p>
        </w:tc>
        <w:tc>
          <w:tcPr>
            <w:tcW w:w="1600" w:type="dxa"/>
            <w:tcBorders>
              <w:top w:val="single" w:color="auto" w:sz="6" w:space="0"/>
              <w:left w:val="single" w:color="auto" w:sz="6" w:space="0"/>
              <w:bottom w:val="single" w:color="auto" w:sz="6" w:space="0"/>
              <w:right w:val="single" w:color="auto" w:sz="6" w:space="0"/>
            </w:tcBorders>
          </w:tcPr>
          <w:p w14:paraId="3F0B9AAE">
            <w:pPr>
              <w:autoSpaceDE w:val="0"/>
              <w:autoSpaceDN w:val="0"/>
              <w:spacing w:line="360" w:lineRule="auto"/>
              <w:rPr>
                <w:rFonts w:ascii="宋体" w:hAnsi="宋体" w:eastAsia="宋体" w:cs="宋体"/>
                <w:color w:val="auto"/>
                <w:sz w:val="24"/>
                <w:szCs w:val="24"/>
                <w:highlight w:val="none"/>
              </w:rPr>
            </w:pPr>
          </w:p>
        </w:tc>
        <w:tc>
          <w:tcPr>
            <w:tcW w:w="2199" w:type="dxa"/>
            <w:tcBorders>
              <w:top w:val="single" w:color="auto" w:sz="6" w:space="0"/>
              <w:left w:val="single" w:color="auto" w:sz="6" w:space="0"/>
              <w:bottom w:val="single" w:color="auto" w:sz="6" w:space="0"/>
              <w:right w:val="single" w:color="auto" w:sz="6" w:space="0"/>
            </w:tcBorders>
          </w:tcPr>
          <w:p w14:paraId="4B1B6430">
            <w:pPr>
              <w:autoSpaceDE w:val="0"/>
              <w:autoSpaceDN w:val="0"/>
              <w:spacing w:line="360" w:lineRule="auto"/>
              <w:rPr>
                <w:rFonts w:ascii="宋体" w:hAnsi="宋体" w:eastAsia="宋体" w:cs="宋体"/>
                <w:color w:val="auto"/>
                <w:sz w:val="24"/>
                <w:szCs w:val="24"/>
                <w:highlight w:val="none"/>
              </w:rPr>
            </w:pPr>
          </w:p>
        </w:tc>
        <w:tc>
          <w:tcPr>
            <w:tcW w:w="2192" w:type="dxa"/>
            <w:tcBorders>
              <w:top w:val="single" w:color="auto" w:sz="6" w:space="0"/>
              <w:left w:val="single" w:color="auto" w:sz="6" w:space="0"/>
              <w:bottom w:val="single" w:color="auto" w:sz="6" w:space="0"/>
              <w:right w:val="single" w:color="auto" w:sz="6" w:space="0"/>
            </w:tcBorders>
          </w:tcPr>
          <w:p w14:paraId="340DDA4E">
            <w:pPr>
              <w:autoSpaceDE w:val="0"/>
              <w:autoSpaceDN w:val="0"/>
              <w:spacing w:line="360" w:lineRule="auto"/>
              <w:rPr>
                <w:rFonts w:ascii="宋体" w:hAnsi="宋体" w:eastAsia="宋体" w:cs="宋体"/>
                <w:color w:val="auto"/>
                <w:sz w:val="24"/>
                <w:szCs w:val="24"/>
                <w:highlight w:val="none"/>
              </w:rPr>
            </w:pPr>
          </w:p>
        </w:tc>
      </w:tr>
    </w:tbl>
    <w:p w14:paraId="03E556EF">
      <w:pPr>
        <w:spacing w:line="360" w:lineRule="auto"/>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注：供应商按上述的格式编制，随表提交相应的证书复印件并注明所在响应技术文件页码。</w:t>
      </w:r>
    </w:p>
    <w:p w14:paraId="1E85D2B5">
      <w:pPr>
        <w:autoSpaceDE w:val="0"/>
        <w:autoSpaceDN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附表B2:本项目增配交通运输工程或水利工程专业技术人员情况表</w:t>
      </w:r>
    </w:p>
    <w:tbl>
      <w:tblPr>
        <w:tblStyle w:val="32"/>
        <w:tblW w:w="0" w:type="auto"/>
        <w:tblInd w:w="0" w:type="dxa"/>
        <w:tblLayout w:type="fixed"/>
        <w:tblCellMar>
          <w:top w:w="0" w:type="dxa"/>
          <w:left w:w="108" w:type="dxa"/>
          <w:bottom w:w="0" w:type="dxa"/>
          <w:right w:w="108" w:type="dxa"/>
        </w:tblCellMar>
      </w:tblPr>
      <w:tblGrid>
        <w:gridCol w:w="1460"/>
        <w:gridCol w:w="804"/>
        <w:gridCol w:w="761"/>
        <w:gridCol w:w="838"/>
        <w:gridCol w:w="1600"/>
        <w:gridCol w:w="2199"/>
        <w:gridCol w:w="2192"/>
      </w:tblGrid>
      <w:tr w14:paraId="1FCD8508">
        <w:tblPrEx>
          <w:tblCellMar>
            <w:top w:w="0" w:type="dxa"/>
            <w:left w:w="108" w:type="dxa"/>
            <w:bottom w:w="0" w:type="dxa"/>
            <w:right w:w="108" w:type="dxa"/>
          </w:tblCellMar>
        </w:tblPrEx>
        <w:tc>
          <w:tcPr>
            <w:tcW w:w="1460" w:type="dxa"/>
            <w:tcBorders>
              <w:top w:val="single" w:color="auto" w:sz="6" w:space="0"/>
              <w:left w:val="single" w:color="auto" w:sz="6" w:space="0"/>
              <w:bottom w:val="single" w:color="auto" w:sz="6" w:space="0"/>
              <w:right w:val="single" w:color="auto" w:sz="6" w:space="0"/>
            </w:tcBorders>
            <w:vAlign w:val="center"/>
          </w:tcPr>
          <w:p w14:paraId="30BB2ED3">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04" w:type="dxa"/>
            <w:tcBorders>
              <w:top w:val="single" w:color="auto" w:sz="6" w:space="0"/>
              <w:left w:val="single" w:color="auto" w:sz="6" w:space="0"/>
              <w:bottom w:val="single" w:color="auto" w:sz="6" w:space="0"/>
              <w:right w:val="single" w:color="auto" w:sz="6" w:space="0"/>
            </w:tcBorders>
            <w:vAlign w:val="center"/>
          </w:tcPr>
          <w:p w14:paraId="287DE94A">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61" w:type="dxa"/>
            <w:tcBorders>
              <w:top w:val="single" w:color="auto" w:sz="6" w:space="0"/>
              <w:left w:val="single" w:color="auto" w:sz="6" w:space="0"/>
              <w:bottom w:val="single" w:color="auto" w:sz="6" w:space="0"/>
              <w:right w:val="single" w:color="auto" w:sz="6" w:space="0"/>
            </w:tcBorders>
            <w:vAlign w:val="center"/>
          </w:tcPr>
          <w:p w14:paraId="590F2BD2">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838" w:type="dxa"/>
            <w:tcBorders>
              <w:top w:val="single" w:color="auto" w:sz="6" w:space="0"/>
              <w:left w:val="single" w:color="auto" w:sz="6" w:space="0"/>
              <w:bottom w:val="single" w:color="auto" w:sz="6" w:space="0"/>
              <w:right w:val="single" w:color="auto" w:sz="6" w:space="0"/>
            </w:tcBorders>
            <w:vAlign w:val="center"/>
          </w:tcPr>
          <w:p w14:paraId="60D37304">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600" w:type="dxa"/>
            <w:tcBorders>
              <w:top w:val="single" w:color="auto" w:sz="6" w:space="0"/>
              <w:left w:val="single" w:color="auto" w:sz="6" w:space="0"/>
              <w:bottom w:val="single" w:color="auto" w:sz="6" w:space="0"/>
              <w:right w:val="single" w:color="auto" w:sz="6" w:space="0"/>
            </w:tcBorders>
            <w:vAlign w:val="center"/>
          </w:tcPr>
          <w:p w14:paraId="34680926">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注册证书编号、专业及注册单位</w:t>
            </w:r>
          </w:p>
          <w:p w14:paraId="7C99C8B1">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(页码)</w:t>
            </w:r>
          </w:p>
        </w:tc>
        <w:tc>
          <w:tcPr>
            <w:tcW w:w="2199" w:type="dxa"/>
            <w:tcBorders>
              <w:top w:val="single" w:color="auto" w:sz="6" w:space="0"/>
              <w:left w:val="single" w:color="auto" w:sz="6" w:space="0"/>
              <w:bottom w:val="single" w:color="auto" w:sz="6" w:space="0"/>
              <w:right w:val="single" w:color="auto" w:sz="6" w:space="0"/>
            </w:tcBorders>
          </w:tcPr>
          <w:p w14:paraId="6C66E6BD">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缴纳社保记录</w:t>
            </w:r>
          </w:p>
          <w:p w14:paraId="59CA8643">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(页码)</w:t>
            </w:r>
          </w:p>
        </w:tc>
        <w:tc>
          <w:tcPr>
            <w:tcW w:w="2192" w:type="dxa"/>
            <w:tcBorders>
              <w:top w:val="single" w:color="auto" w:sz="6" w:space="0"/>
              <w:left w:val="single" w:color="auto" w:sz="6" w:space="0"/>
              <w:bottom w:val="single" w:color="auto" w:sz="6" w:space="0"/>
              <w:right w:val="single" w:color="auto" w:sz="6" w:space="0"/>
            </w:tcBorders>
          </w:tcPr>
          <w:p w14:paraId="7F624C97">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备注（例如载明一级造价工程师）</w:t>
            </w:r>
          </w:p>
        </w:tc>
      </w:tr>
      <w:tr w14:paraId="7614C01F">
        <w:tblPrEx>
          <w:tblCellMar>
            <w:top w:w="0" w:type="dxa"/>
            <w:left w:w="108" w:type="dxa"/>
            <w:bottom w:w="0" w:type="dxa"/>
            <w:right w:w="108" w:type="dxa"/>
          </w:tblCellMar>
        </w:tblPrEx>
        <w:trPr>
          <w:trHeight w:val="479" w:hRule="atLeast"/>
        </w:trPr>
        <w:tc>
          <w:tcPr>
            <w:tcW w:w="1460" w:type="dxa"/>
            <w:tcBorders>
              <w:top w:val="single" w:color="auto" w:sz="6" w:space="0"/>
              <w:left w:val="single" w:color="auto" w:sz="6" w:space="0"/>
              <w:bottom w:val="single" w:color="auto" w:sz="6" w:space="0"/>
              <w:right w:val="single" w:color="auto" w:sz="6" w:space="0"/>
            </w:tcBorders>
          </w:tcPr>
          <w:p w14:paraId="545F9719">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例：01</w:t>
            </w:r>
          </w:p>
        </w:tc>
        <w:tc>
          <w:tcPr>
            <w:tcW w:w="804" w:type="dxa"/>
            <w:tcBorders>
              <w:top w:val="single" w:color="auto" w:sz="6" w:space="0"/>
              <w:left w:val="single" w:color="auto" w:sz="6" w:space="0"/>
              <w:bottom w:val="single" w:color="auto" w:sz="6" w:space="0"/>
              <w:right w:val="single" w:color="auto" w:sz="6" w:space="0"/>
            </w:tcBorders>
          </w:tcPr>
          <w:p w14:paraId="647425BB">
            <w:pPr>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李生</w:t>
            </w:r>
          </w:p>
        </w:tc>
        <w:tc>
          <w:tcPr>
            <w:tcW w:w="761" w:type="dxa"/>
            <w:tcBorders>
              <w:top w:val="single" w:color="auto" w:sz="6" w:space="0"/>
              <w:left w:val="single" w:color="auto" w:sz="6" w:space="0"/>
              <w:bottom w:val="single" w:color="auto" w:sz="6" w:space="0"/>
              <w:right w:val="single" w:color="auto" w:sz="6" w:space="0"/>
            </w:tcBorders>
          </w:tcPr>
          <w:p w14:paraId="7866EBAB">
            <w:pPr>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男</w:t>
            </w:r>
          </w:p>
        </w:tc>
        <w:tc>
          <w:tcPr>
            <w:tcW w:w="838" w:type="dxa"/>
            <w:tcBorders>
              <w:top w:val="single" w:color="auto" w:sz="6" w:space="0"/>
              <w:left w:val="single" w:color="auto" w:sz="6" w:space="0"/>
              <w:bottom w:val="single" w:color="auto" w:sz="6" w:space="0"/>
              <w:right w:val="single" w:color="auto" w:sz="6" w:space="0"/>
            </w:tcBorders>
          </w:tcPr>
          <w:p w14:paraId="24964CA0">
            <w:pPr>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40</w:t>
            </w:r>
          </w:p>
        </w:tc>
        <w:tc>
          <w:tcPr>
            <w:tcW w:w="1600" w:type="dxa"/>
            <w:tcBorders>
              <w:top w:val="single" w:color="auto" w:sz="6" w:space="0"/>
              <w:left w:val="single" w:color="auto" w:sz="6" w:space="0"/>
              <w:bottom w:val="single" w:color="auto" w:sz="6" w:space="0"/>
              <w:right w:val="single" w:color="auto" w:sz="6" w:space="0"/>
            </w:tcBorders>
          </w:tcPr>
          <w:p w14:paraId="3D3C04A0">
            <w:pPr>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一级造价工程师证，水利工程专业，**公司，34页</w:t>
            </w:r>
          </w:p>
        </w:tc>
        <w:tc>
          <w:tcPr>
            <w:tcW w:w="2199" w:type="dxa"/>
            <w:tcBorders>
              <w:top w:val="single" w:color="auto" w:sz="6" w:space="0"/>
              <w:left w:val="single" w:color="auto" w:sz="6" w:space="0"/>
              <w:bottom w:val="single" w:color="auto" w:sz="6" w:space="0"/>
              <w:right w:val="single" w:color="auto" w:sz="6" w:space="0"/>
            </w:tcBorders>
          </w:tcPr>
          <w:p w14:paraId="0F17DBEB">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37页</w:t>
            </w:r>
          </w:p>
        </w:tc>
        <w:tc>
          <w:tcPr>
            <w:tcW w:w="2192" w:type="dxa"/>
            <w:tcBorders>
              <w:top w:val="single" w:color="auto" w:sz="6" w:space="0"/>
              <w:left w:val="single" w:color="auto" w:sz="6" w:space="0"/>
              <w:bottom w:val="single" w:color="auto" w:sz="6" w:space="0"/>
              <w:right w:val="single" w:color="auto" w:sz="6" w:space="0"/>
            </w:tcBorders>
          </w:tcPr>
          <w:p w14:paraId="16192B5F">
            <w:pPr>
              <w:autoSpaceDE w:val="0"/>
              <w:autoSpaceDN w:val="0"/>
              <w:spacing w:line="360" w:lineRule="auto"/>
              <w:rPr>
                <w:rFonts w:ascii="宋体" w:hAnsi="宋体" w:eastAsia="宋体" w:cs="宋体"/>
                <w:color w:val="auto"/>
                <w:sz w:val="24"/>
                <w:szCs w:val="24"/>
                <w:highlight w:val="none"/>
              </w:rPr>
            </w:pPr>
          </w:p>
        </w:tc>
      </w:tr>
      <w:tr w14:paraId="39EF56CA">
        <w:tblPrEx>
          <w:tblCellMar>
            <w:top w:w="0" w:type="dxa"/>
            <w:left w:w="108" w:type="dxa"/>
            <w:bottom w:w="0" w:type="dxa"/>
            <w:right w:w="108" w:type="dxa"/>
          </w:tblCellMar>
        </w:tblPrEx>
        <w:trPr>
          <w:trHeight w:val="479" w:hRule="atLeast"/>
        </w:trPr>
        <w:tc>
          <w:tcPr>
            <w:tcW w:w="1460" w:type="dxa"/>
            <w:tcBorders>
              <w:top w:val="single" w:color="auto" w:sz="6" w:space="0"/>
              <w:left w:val="single" w:color="auto" w:sz="6" w:space="0"/>
              <w:bottom w:val="single" w:color="auto" w:sz="6" w:space="0"/>
              <w:right w:val="single" w:color="auto" w:sz="6" w:space="0"/>
            </w:tcBorders>
          </w:tcPr>
          <w:p w14:paraId="2C41173D">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02</w:t>
            </w:r>
          </w:p>
        </w:tc>
        <w:tc>
          <w:tcPr>
            <w:tcW w:w="804" w:type="dxa"/>
            <w:tcBorders>
              <w:top w:val="single" w:color="auto" w:sz="6" w:space="0"/>
              <w:left w:val="single" w:color="auto" w:sz="6" w:space="0"/>
              <w:bottom w:val="single" w:color="auto" w:sz="6" w:space="0"/>
              <w:right w:val="single" w:color="auto" w:sz="6" w:space="0"/>
            </w:tcBorders>
          </w:tcPr>
          <w:p w14:paraId="51826697">
            <w:pPr>
              <w:autoSpaceDE w:val="0"/>
              <w:autoSpaceDN w:val="0"/>
              <w:spacing w:line="360" w:lineRule="auto"/>
              <w:rPr>
                <w:rFonts w:ascii="宋体" w:hAnsi="宋体" w:eastAsia="宋体" w:cs="宋体"/>
                <w:color w:val="auto"/>
                <w:sz w:val="24"/>
                <w:szCs w:val="24"/>
                <w:highlight w:val="none"/>
              </w:rPr>
            </w:pPr>
          </w:p>
        </w:tc>
        <w:tc>
          <w:tcPr>
            <w:tcW w:w="761" w:type="dxa"/>
            <w:tcBorders>
              <w:top w:val="single" w:color="auto" w:sz="6" w:space="0"/>
              <w:left w:val="single" w:color="auto" w:sz="6" w:space="0"/>
              <w:bottom w:val="single" w:color="auto" w:sz="6" w:space="0"/>
              <w:right w:val="single" w:color="auto" w:sz="6" w:space="0"/>
            </w:tcBorders>
          </w:tcPr>
          <w:p w14:paraId="3B17607F">
            <w:pPr>
              <w:autoSpaceDE w:val="0"/>
              <w:autoSpaceDN w:val="0"/>
              <w:spacing w:line="360" w:lineRule="auto"/>
              <w:rPr>
                <w:rFonts w:ascii="宋体" w:hAnsi="宋体" w:eastAsia="宋体" w:cs="宋体"/>
                <w:color w:val="auto"/>
                <w:sz w:val="24"/>
                <w:szCs w:val="24"/>
                <w:highlight w:val="none"/>
              </w:rPr>
            </w:pPr>
          </w:p>
        </w:tc>
        <w:tc>
          <w:tcPr>
            <w:tcW w:w="838" w:type="dxa"/>
            <w:tcBorders>
              <w:top w:val="single" w:color="auto" w:sz="6" w:space="0"/>
              <w:left w:val="single" w:color="auto" w:sz="6" w:space="0"/>
              <w:bottom w:val="single" w:color="auto" w:sz="6" w:space="0"/>
              <w:right w:val="single" w:color="auto" w:sz="6" w:space="0"/>
            </w:tcBorders>
          </w:tcPr>
          <w:p w14:paraId="117DC4A0">
            <w:pPr>
              <w:autoSpaceDE w:val="0"/>
              <w:autoSpaceDN w:val="0"/>
              <w:spacing w:line="360" w:lineRule="auto"/>
              <w:rPr>
                <w:rFonts w:ascii="宋体" w:hAnsi="宋体" w:eastAsia="宋体" w:cs="宋体"/>
                <w:color w:val="auto"/>
                <w:sz w:val="24"/>
                <w:szCs w:val="24"/>
                <w:highlight w:val="none"/>
              </w:rPr>
            </w:pPr>
          </w:p>
        </w:tc>
        <w:tc>
          <w:tcPr>
            <w:tcW w:w="1600" w:type="dxa"/>
            <w:tcBorders>
              <w:top w:val="single" w:color="auto" w:sz="6" w:space="0"/>
              <w:left w:val="single" w:color="auto" w:sz="6" w:space="0"/>
              <w:bottom w:val="single" w:color="auto" w:sz="6" w:space="0"/>
              <w:right w:val="single" w:color="auto" w:sz="6" w:space="0"/>
            </w:tcBorders>
          </w:tcPr>
          <w:p w14:paraId="61EF6298">
            <w:pPr>
              <w:autoSpaceDE w:val="0"/>
              <w:autoSpaceDN w:val="0"/>
              <w:spacing w:line="360" w:lineRule="auto"/>
              <w:rPr>
                <w:rFonts w:ascii="宋体" w:hAnsi="宋体" w:eastAsia="宋体" w:cs="宋体"/>
                <w:color w:val="auto"/>
                <w:sz w:val="24"/>
                <w:szCs w:val="24"/>
                <w:highlight w:val="none"/>
              </w:rPr>
            </w:pPr>
          </w:p>
        </w:tc>
        <w:tc>
          <w:tcPr>
            <w:tcW w:w="2199" w:type="dxa"/>
            <w:tcBorders>
              <w:top w:val="single" w:color="auto" w:sz="6" w:space="0"/>
              <w:left w:val="single" w:color="auto" w:sz="6" w:space="0"/>
              <w:bottom w:val="single" w:color="auto" w:sz="6" w:space="0"/>
              <w:right w:val="single" w:color="auto" w:sz="6" w:space="0"/>
            </w:tcBorders>
          </w:tcPr>
          <w:p w14:paraId="617C2264">
            <w:pPr>
              <w:autoSpaceDE w:val="0"/>
              <w:autoSpaceDN w:val="0"/>
              <w:spacing w:line="360" w:lineRule="auto"/>
              <w:rPr>
                <w:rFonts w:ascii="宋体" w:hAnsi="宋体" w:eastAsia="宋体" w:cs="宋体"/>
                <w:color w:val="auto"/>
                <w:sz w:val="24"/>
                <w:szCs w:val="24"/>
                <w:highlight w:val="none"/>
              </w:rPr>
            </w:pPr>
          </w:p>
        </w:tc>
        <w:tc>
          <w:tcPr>
            <w:tcW w:w="2192" w:type="dxa"/>
            <w:tcBorders>
              <w:top w:val="single" w:color="auto" w:sz="6" w:space="0"/>
              <w:left w:val="single" w:color="auto" w:sz="6" w:space="0"/>
              <w:bottom w:val="single" w:color="auto" w:sz="6" w:space="0"/>
              <w:right w:val="single" w:color="auto" w:sz="6" w:space="0"/>
            </w:tcBorders>
          </w:tcPr>
          <w:p w14:paraId="01B4625E">
            <w:pPr>
              <w:autoSpaceDE w:val="0"/>
              <w:autoSpaceDN w:val="0"/>
              <w:spacing w:line="360" w:lineRule="auto"/>
              <w:rPr>
                <w:rFonts w:ascii="宋体" w:hAnsi="宋体" w:eastAsia="宋体" w:cs="宋体"/>
                <w:color w:val="auto"/>
                <w:sz w:val="24"/>
                <w:szCs w:val="24"/>
                <w:highlight w:val="none"/>
              </w:rPr>
            </w:pPr>
          </w:p>
        </w:tc>
      </w:tr>
    </w:tbl>
    <w:p w14:paraId="7458478B">
      <w:pPr>
        <w:spacing w:line="360" w:lineRule="auto"/>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注：供应商按上述的格式编制，随表提交相应的证书复印件并注明所在响应技术文件页码。</w:t>
      </w:r>
    </w:p>
    <w:p w14:paraId="4734B73B">
      <w:pPr>
        <w:spacing w:line="360" w:lineRule="auto"/>
        <w:rPr>
          <w:rFonts w:ascii="宋体" w:hAnsi="宋体" w:eastAsia="宋体" w:cs="宋体"/>
          <w:b/>
          <w:color w:val="auto"/>
          <w:sz w:val="24"/>
          <w:szCs w:val="24"/>
          <w:highlight w:val="none"/>
        </w:rPr>
      </w:pPr>
    </w:p>
    <w:p w14:paraId="15137489">
      <w:pPr>
        <w:snapToGrid w:val="0"/>
        <w:spacing w:before="120" w:beforeLines="50" w:after="50"/>
        <w:ind w:firstLine="602" w:firstLineChars="200"/>
        <w:jc w:val="center"/>
        <w:rPr>
          <w:rFonts w:ascii="宋体" w:hAnsi="宋体" w:eastAsia="宋体" w:cs="宋体"/>
          <w:b/>
          <w:bCs/>
          <w:color w:val="auto"/>
          <w:sz w:val="30"/>
          <w:szCs w:val="30"/>
          <w:highlight w:val="none"/>
        </w:rPr>
      </w:pPr>
    </w:p>
    <w:p w14:paraId="3A82AE2D">
      <w:pPr>
        <w:snapToGrid w:val="0"/>
        <w:spacing w:before="120" w:beforeLines="50" w:after="50"/>
        <w:ind w:firstLine="602" w:firstLineChars="200"/>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六、供应商类似项目业绩证明文件</w:t>
      </w:r>
    </w:p>
    <w:p w14:paraId="2B4C884C">
      <w:pPr>
        <w:snapToGrid w:val="0"/>
        <w:ind w:left="480" w:hanging="480" w:hangingChars="200"/>
        <w:rPr>
          <w:rFonts w:ascii="宋体" w:hAnsi="宋体" w:eastAsia="宋体" w:cs="宋体"/>
          <w:color w:val="auto"/>
          <w:sz w:val="24"/>
          <w:szCs w:val="24"/>
          <w:highlight w:val="none"/>
        </w:rPr>
      </w:pPr>
    </w:p>
    <w:p w14:paraId="05312819">
      <w:pPr>
        <w:snapToGrid w:val="0"/>
        <w:ind w:left="480" w:hanging="480" w:hangingChars="200"/>
        <w:rPr>
          <w:rFonts w:ascii="宋体" w:hAnsi="宋体" w:eastAsia="宋体" w:cs="宋体"/>
          <w:color w:val="auto"/>
          <w:sz w:val="24"/>
          <w:szCs w:val="24"/>
          <w:highlight w:val="none"/>
        </w:rPr>
      </w:pPr>
    </w:p>
    <w:p w14:paraId="7B5BA493">
      <w:pPr>
        <w:snapToGrid w:val="0"/>
        <w:ind w:left="480" w:hanging="480" w:hangingChars="200"/>
        <w:rPr>
          <w:rFonts w:ascii="宋体" w:hAnsi="宋体" w:eastAsia="宋体" w:cs="宋体"/>
          <w:color w:val="auto"/>
          <w:sz w:val="24"/>
          <w:szCs w:val="24"/>
          <w:highlight w:val="none"/>
        </w:rPr>
      </w:pPr>
    </w:p>
    <w:p w14:paraId="1637150D">
      <w:pPr>
        <w:autoSpaceDE w:val="0"/>
        <w:autoSpaceDN w:val="0"/>
        <w:spacing w:line="360" w:lineRule="auto"/>
        <w:ind w:firstLine="120"/>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附表 :相关项目业绩一览表（格式自拟）</w:t>
      </w:r>
    </w:p>
    <w:tbl>
      <w:tblPr>
        <w:tblStyle w:val="3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83"/>
        <w:gridCol w:w="2451"/>
        <w:gridCol w:w="1229"/>
        <w:gridCol w:w="1117"/>
        <w:gridCol w:w="1117"/>
        <w:gridCol w:w="1016"/>
        <w:gridCol w:w="1625"/>
      </w:tblGrid>
      <w:tr w14:paraId="168D4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6" w:hRule="atLeast"/>
          <w:jc w:val="center"/>
        </w:trPr>
        <w:tc>
          <w:tcPr>
            <w:tcW w:w="1883" w:type="dxa"/>
            <w:vMerge w:val="restart"/>
            <w:tcBorders>
              <w:top w:val="single" w:color="auto" w:sz="4" w:space="0"/>
              <w:left w:val="single" w:color="auto" w:sz="4" w:space="0"/>
              <w:bottom w:val="single" w:color="auto" w:sz="4" w:space="0"/>
              <w:right w:val="single" w:color="auto" w:sz="4" w:space="0"/>
            </w:tcBorders>
            <w:vAlign w:val="center"/>
          </w:tcPr>
          <w:p w14:paraId="5080F312">
            <w:pPr>
              <w:snapToGrid w:val="0"/>
              <w:spacing w:line="2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p>
        </w:tc>
        <w:tc>
          <w:tcPr>
            <w:tcW w:w="2451" w:type="dxa"/>
            <w:vMerge w:val="restart"/>
            <w:tcBorders>
              <w:top w:val="single" w:color="auto" w:sz="4" w:space="0"/>
              <w:left w:val="single" w:color="auto" w:sz="4" w:space="0"/>
              <w:bottom w:val="single" w:color="auto" w:sz="4" w:space="0"/>
              <w:right w:val="single" w:color="auto" w:sz="4" w:space="0"/>
            </w:tcBorders>
            <w:vAlign w:val="center"/>
          </w:tcPr>
          <w:p w14:paraId="325BBBE4">
            <w:pPr>
              <w:snapToGrid w:val="0"/>
              <w:spacing w:line="2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229" w:type="dxa"/>
            <w:vMerge w:val="restart"/>
            <w:tcBorders>
              <w:top w:val="single" w:color="auto" w:sz="4" w:space="0"/>
              <w:left w:val="single" w:color="auto" w:sz="4" w:space="0"/>
              <w:bottom w:val="single" w:color="auto" w:sz="4" w:space="0"/>
              <w:right w:val="single" w:color="auto" w:sz="4" w:space="0"/>
            </w:tcBorders>
            <w:vAlign w:val="center"/>
          </w:tcPr>
          <w:p w14:paraId="239526E4">
            <w:pPr>
              <w:snapToGrid w:val="0"/>
              <w:spacing w:line="2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w:t>
            </w:r>
          </w:p>
          <w:p w14:paraId="1789962C">
            <w:pPr>
              <w:snapToGrid w:val="0"/>
              <w:spacing w:line="2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金额</w:t>
            </w:r>
          </w:p>
          <w:p w14:paraId="6469F0DE">
            <w:pPr>
              <w:snapToGrid w:val="0"/>
              <w:spacing w:line="2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3250" w:type="dxa"/>
            <w:gridSpan w:val="3"/>
            <w:tcBorders>
              <w:top w:val="single" w:color="auto" w:sz="4" w:space="0"/>
              <w:left w:val="single" w:color="auto" w:sz="4" w:space="0"/>
              <w:bottom w:val="single" w:color="auto" w:sz="4" w:space="0"/>
              <w:right w:val="single" w:color="auto" w:sz="4" w:space="0"/>
            </w:tcBorders>
            <w:vAlign w:val="center"/>
          </w:tcPr>
          <w:p w14:paraId="5A33153C">
            <w:pPr>
              <w:snapToGrid w:val="0"/>
              <w:spacing w:line="2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附件在响应文件中页码</w:t>
            </w:r>
          </w:p>
        </w:tc>
        <w:tc>
          <w:tcPr>
            <w:tcW w:w="1625" w:type="dxa"/>
            <w:vMerge w:val="restart"/>
            <w:tcBorders>
              <w:top w:val="single" w:color="auto" w:sz="4" w:space="0"/>
              <w:left w:val="single" w:color="auto" w:sz="4" w:space="0"/>
              <w:bottom w:val="single" w:color="auto" w:sz="4" w:space="0"/>
              <w:right w:val="single" w:color="auto" w:sz="4" w:space="0"/>
            </w:tcBorders>
            <w:vAlign w:val="center"/>
          </w:tcPr>
          <w:p w14:paraId="609A670E">
            <w:pPr>
              <w:snapToGrid w:val="0"/>
              <w:spacing w:line="2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采购人联系人及</w:t>
            </w:r>
          </w:p>
          <w:p w14:paraId="6F971DF1">
            <w:pPr>
              <w:snapToGrid w:val="0"/>
              <w:spacing w:line="2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r>
      <w:tr w14:paraId="45B780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1" w:hRule="atLeast"/>
          <w:jc w:val="center"/>
        </w:trPr>
        <w:tc>
          <w:tcPr>
            <w:tcW w:w="1883" w:type="dxa"/>
            <w:vMerge w:val="continue"/>
            <w:tcBorders>
              <w:top w:val="single" w:color="auto" w:sz="4" w:space="0"/>
              <w:left w:val="single" w:color="auto" w:sz="4" w:space="0"/>
              <w:bottom w:val="single" w:color="auto" w:sz="4" w:space="0"/>
              <w:right w:val="single" w:color="auto" w:sz="4" w:space="0"/>
            </w:tcBorders>
            <w:vAlign w:val="center"/>
          </w:tcPr>
          <w:p w14:paraId="66CF2ED1">
            <w:pPr>
              <w:jc w:val="left"/>
              <w:rPr>
                <w:rFonts w:ascii="宋体" w:hAnsi="宋体" w:eastAsia="宋体" w:cs="宋体"/>
                <w:color w:val="auto"/>
                <w:sz w:val="24"/>
                <w:szCs w:val="24"/>
                <w:highlight w:val="none"/>
              </w:rPr>
            </w:pPr>
          </w:p>
        </w:tc>
        <w:tc>
          <w:tcPr>
            <w:tcW w:w="2451" w:type="dxa"/>
            <w:vMerge w:val="continue"/>
            <w:tcBorders>
              <w:top w:val="single" w:color="auto" w:sz="4" w:space="0"/>
              <w:left w:val="single" w:color="auto" w:sz="4" w:space="0"/>
              <w:bottom w:val="single" w:color="auto" w:sz="4" w:space="0"/>
              <w:right w:val="single" w:color="auto" w:sz="4" w:space="0"/>
            </w:tcBorders>
            <w:vAlign w:val="center"/>
          </w:tcPr>
          <w:p w14:paraId="5BF291D5">
            <w:pPr>
              <w:jc w:val="left"/>
              <w:rPr>
                <w:rFonts w:ascii="宋体" w:hAnsi="宋体" w:eastAsia="宋体" w:cs="宋体"/>
                <w:color w:val="auto"/>
                <w:sz w:val="24"/>
                <w:szCs w:val="24"/>
                <w:highlight w:val="none"/>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14:paraId="5320B253">
            <w:pPr>
              <w:jc w:val="left"/>
              <w:rPr>
                <w:rFonts w:ascii="宋体" w:hAnsi="宋体" w:eastAsia="宋体" w:cs="宋体"/>
                <w:color w:val="auto"/>
                <w:sz w:val="24"/>
                <w:szCs w:val="24"/>
                <w:highlight w:val="none"/>
              </w:rPr>
            </w:pPr>
          </w:p>
        </w:tc>
        <w:tc>
          <w:tcPr>
            <w:tcW w:w="1117" w:type="dxa"/>
            <w:tcBorders>
              <w:top w:val="single" w:color="auto" w:sz="4" w:space="0"/>
              <w:left w:val="single" w:color="auto" w:sz="4" w:space="0"/>
              <w:bottom w:val="single" w:color="auto" w:sz="4" w:space="0"/>
              <w:right w:val="single" w:color="auto" w:sz="4" w:space="0"/>
            </w:tcBorders>
            <w:vAlign w:val="center"/>
          </w:tcPr>
          <w:p w14:paraId="4EB0F736">
            <w:pPr>
              <w:snapToGrid w:val="0"/>
              <w:spacing w:line="2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w:t>
            </w:r>
          </w:p>
        </w:tc>
        <w:tc>
          <w:tcPr>
            <w:tcW w:w="1117" w:type="dxa"/>
            <w:tcBorders>
              <w:top w:val="single" w:color="auto" w:sz="4" w:space="0"/>
              <w:left w:val="single" w:color="auto" w:sz="4" w:space="0"/>
              <w:bottom w:val="single" w:color="auto" w:sz="4" w:space="0"/>
              <w:right w:val="single" w:color="auto" w:sz="4" w:space="0"/>
            </w:tcBorders>
            <w:vAlign w:val="center"/>
          </w:tcPr>
          <w:p w14:paraId="6C9D8835">
            <w:pPr>
              <w:snapToGrid w:val="0"/>
              <w:spacing w:line="2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成果报告</w:t>
            </w:r>
          </w:p>
        </w:tc>
        <w:tc>
          <w:tcPr>
            <w:tcW w:w="1016" w:type="dxa"/>
            <w:tcBorders>
              <w:top w:val="single" w:color="auto" w:sz="4" w:space="0"/>
              <w:left w:val="single" w:color="auto" w:sz="4" w:space="0"/>
              <w:bottom w:val="single" w:color="auto" w:sz="4" w:space="0"/>
              <w:right w:val="single" w:color="auto" w:sz="4" w:space="0"/>
            </w:tcBorders>
            <w:vAlign w:val="center"/>
          </w:tcPr>
          <w:p w14:paraId="0C1B5F59">
            <w:pPr>
              <w:snapToGrid w:val="0"/>
              <w:spacing w:line="2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用户评价</w:t>
            </w:r>
          </w:p>
        </w:tc>
        <w:tc>
          <w:tcPr>
            <w:tcW w:w="1625" w:type="dxa"/>
            <w:vMerge w:val="continue"/>
            <w:tcBorders>
              <w:top w:val="single" w:color="auto" w:sz="4" w:space="0"/>
              <w:left w:val="single" w:color="auto" w:sz="4" w:space="0"/>
              <w:bottom w:val="single" w:color="auto" w:sz="4" w:space="0"/>
              <w:right w:val="single" w:color="auto" w:sz="4" w:space="0"/>
            </w:tcBorders>
            <w:vAlign w:val="center"/>
          </w:tcPr>
          <w:p w14:paraId="169B0D7F">
            <w:pPr>
              <w:jc w:val="left"/>
              <w:rPr>
                <w:rFonts w:ascii="宋体" w:hAnsi="宋体" w:eastAsia="宋体" w:cs="宋体"/>
                <w:color w:val="auto"/>
                <w:sz w:val="24"/>
                <w:szCs w:val="24"/>
                <w:highlight w:val="none"/>
              </w:rPr>
            </w:pPr>
          </w:p>
        </w:tc>
      </w:tr>
      <w:tr w14:paraId="1E376D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883" w:type="dxa"/>
            <w:tcBorders>
              <w:top w:val="single" w:color="auto" w:sz="4" w:space="0"/>
              <w:left w:val="single" w:color="auto" w:sz="4" w:space="0"/>
              <w:bottom w:val="single" w:color="auto" w:sz="4" w:space="0"/>
              <w:right w:val="single" w:color="auto" w:sz="4" w:space="0"/>
            </w:tcBorders>
          </w:tcPr>
          <w:p w14:paraId="12145C3E">
            <w:pPr>
              <w:snapToGrid w:val="0"/>
              <w:spacing w:line="240" w:lineRule="exact"/>
              <w:jc w:val="left"/>
              <w:rPr>
                <w:rFonts w:ascii="宋体" w:hAnsi="宋体" w:eastAsia="宋体" w:cs="宋体"/>
                <w:color w:val="auto"/>
                <w:sz w:val="24"/>
                <w:szCs w:val="24"/>
                <w:highlight w:val="none"/>
              </w:rPr>
            </w:pPr>
          </w:p>
        </w:tc>
        <w:tc>
          <w:tcPr>
            <w:tcW w:w="2451" w:type="dxa"/>
            <w:tcBorders>
              <w:top w:val="single" w:color="auto" w:sz="4" w:space="0"/>
              <w:left w:val="single" w:color="auto" w:sz="4" w:space="0"/>
              <w:bottom w:val="single" w:color="auto" w:sz="4" w:space="0"/>
              <w:right w:val="single" w:color="auto" w:sz="4" w:space="0"/>
            </w:tcBorders>
          </w:tcPr>
          <w:p w14:paraId="1D7CF299">
            <w:pPr>
              <w:snapToGrid w:val="0"/>
              <w:spacing w:line="240" w:lineRule="exact"/>
              <w:jc w:val="left"/>
              <w:rPr>
                <w:rFonts w:ascii="宋体" w:hAnsi="宋体" w:eastAsia="宋体" w:cs="宋体"/>
                <w:color w:val="auto"/>
                <w:sz w:val="24"/>
                <w:szCs w:val="24"/>
                <w:highlight w:val="none"/>
              </w:rPr>
            </w:pPr>
          </w:p>
        </w:tc>
        <w:tc>
          <w:tcPr>
            <w:tcW w:w="1229" w:type="dxa"/>
            <w:tcBorders>
              <w:top w:val="single" w:color="auto" w:sz="4" w:space="0"/>
              <w:left w:val="single" w:color="auto" w:sz="4" w:space="0"/>
              <w:bottom w:val="single" w:color="auto" w:sz="4" w:space="0"/>
              <w:right w:val="single" w:color="auto" w:sz="4" w:space="0"/>
            </w:tcBorders>
          </w:tcPr>
          <w:p w14:paraId="42EAB8A1">
            <w:pPr>
              <w:snapToGrid w:val="0"/>
              <w:spacing w:line="240" w:lineRule="exact"/>
              <w:jc w:val="left"/>
              <w:rPr>
                <w:rFonts w:ascii="宋体" w:hAnsi="宋体" w:eastAsia="宋体" w:cs="宋体"/>
                <w:color w:val="auto"/>
                <w:sz w:val="24"/>
                <w:szCs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27AB9297">
            <w:pPr>
              <w:snapToGrid w:val="0"/>
              <w:spacing w:line="240" w:lineRule="exact"/>
              <w:jc w:val="left"/>
              <w:rPr>
                <w:rFonts w:ascii="宋体" w:hAnsi="宋体" w:eastAsia="宋体" w:cs="宋体"/>
                <w:color w:val="auto"/>
                <w:sz w:val="24"/>
                <w:szCs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223A8EB2">
            <w:pPr>
              <w:snapToGrid w:val="0"/>
              <w:spacing w:line="240" w:lineRule="exact"/>
              <w:jc w:val="left"/>
              <w:rPr>
                <w:rFonts w:ascii="宋体" w:hAnsi="宋体" w:eastAsia="宋体" w:cs="宋体"/>
                <w:color w:val="auto"/>
                <w:sz w:val="24"/>
                <w:szCs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7FB88A07">
            <w:pPr>
              <w:snapToGrid w:val="0"/>
              <w:spacing w:line="240" w:lineRule="exact"/>
              <w:jc w:val="left"/>
              <w:rPr>
                <w:rFonts w:ascii="宋体" w:hAnsi="宋体" w:eastAsia="宋体" w:cs="宋体"/>
                <w:color w:val="auto"/>
                <w:sz w:val="24"/>
                <w:szCs w:val="24"/>
                <w:highlight w:val="none"/>
              </w:rPr>
            </w:pPr>
          </w:p>
        </w:tc>
        <w:tc>
          <w:tcPr>
            <w:tcW w:w="1625" w:type="dxa"/>
            <w:tcBorders>
              <w:top w:val="single" w:color="auto" w:sz="4" w:space="0"/>
              <w:left w:val="single" w:color="auto" w:sz="4" w:space="0"/>
              <w:bottom w:val="single" w:color="auto" w:sz="4" w:space="0"/>
              <w:right w:val="single" w:color="auto" w:sz="4" w:space="0"/>
            </w:tcBorders>
          </w:tcPr>
          <w:p w14:paraId="3A09B736">
            <w:pPr>
              <w:snapToGrid w:val="0"/>
              <w:spacing w:line="240" w:lineRule="exact"/>
              <w:jc w:val="left"/>
              <w:rPr>
                <w:rFonts w:ascii="宋体" w:hAnsi="宋体" w:eastAsia="宋体" w:cs="宋体"/>
                <w:color w:val="auto"/>
                <w:sz w:val="24"/>
                <w:szCs w:val="24"/>
                <w:highlight w:val="none"/>
              </w:rPr>
            </w:pPr>
          </w:p>
        </w:tc>
      </w:tr>
      <w:tr w14:paraId="11870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1883" w:type="dxa"/>
            <w:tcBorders>
              <w:top w:val="single" w:color="auto" w:sz="4" w:space="0"/>
              <w:left w:val="single" w:color="auto" w:sz="4" w:space="0"/>
              <w:bottom w:val="single" w:color="auto" w:sz="4" w:space="0"/>
              <w:right w:val="single" w:color="auto" w:sz="4" w:space="0"/>
            </w:tcBorders>
          </w:tcPr>
          <w:p w14:paraId="5A0F76EC">
            <w:pPr>
              <w:snapToGrid w:val="0"/>
              <w:spacing w:before="50" w:after="120" w:afterLines="50" w:line="400" w:lineRule="exact"/>
              <w:jc w:val="left"/>
              <w:rPr>
                <w:rFonts w:ascii="宋体" w:hAnsi="宋体" w:eastAsia="宋体" w:cs="宋体"/>
                <w:color w:val="auto"/>
                <w:sz w:val="24"/>
                <w:szCs w:val="24"/>
                <w:highlight w:val="none"/>
              </w:rPr>
            </w:pPr>
          </w:p>
        </w:tc>
        <w:tc>
          <w:tcPr>
            <w:tcW w:w="2451" w:type="dxa"/>
            <w:tcBorders>
              <w:top w:val="single" w:color="auto" w:sz="4" w:space="0"/>
              <w:left w:val="single" w:color="auto" w:sz="4" w:space="0"/>
              <w:bottom w:val="single" w:color="auto" w:sz="4" w:space="0"/>
              <w:right w:val="single" w:color="auto" w:sz="4" w:space="0"/>
            </w:tcBorders>
          </w:tcPr>
          <w:p w14:paraId="2DFFA872">
            <w:pPr>
              <w:snapToGrid w:val="0"/>
              <w:spacing w:before="50" w:after="120" w:afterLines="50" w:line="400" w:lineRule="exact"/>
              <w:jc w:val="left"/>
              <w:rPr>
                <w:rFonts w:ascii="宋体" w:hAnsi="宋体" w:eastAsia="宋体" w:cs="宋体"/>
                <w:color w:val="auto"/>
                <w:sz w:val="24"/>
                <w:szCs w:val="24"/>
                <w:highlight w:val="none"/>
              </w:rPr>
            </w:pPr>
          </w:p>
        </w:tc>
        <w:tc>
          <w:tcPr>
            <w:tcW w:w="1229" w:type="dxa"/>
            <w:tcBorders>
              <w:top w:val="single" w:color="auto" w:sz="4" w:space="0"/>
              <w:left w:val="single" w:color="auto" w:sz="4" w:space="0"/>
              <w:bottom w:val="single" w:color="auto" w:sz="4" w:space="0"/>
              <w:right w:val="single" w:color="auto" w:sz="4" w:space="0"/>
            </w:tcBorders>
          </w:tcPr>
          <w:p w14:paraId="32688377">
            <w:pPr>
              <w:snapToGrid w:val="0"/>
              <w:spacing w:before="50" w:after="120" w:afterLines="50" w:line="400" w:lineRule="exact"/>
              <w:jc w:val="left"/>
              <w:rPr>
                <w:rFonts w:ascii="宋体" w:hAnsi="宋体" w:eastAsia="宋体" w:cs="宋体"/>
                <w:color w:val="auto"/>
                <w:sz w:val="24"/>
                <w:szCs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6BC028A9">
            <w:pPr>
              <w:snapToGrid w:val="0"/>
              <w:spacing w:before="50" w:after="120" w:afterLines="50" w:line="400" w:lineRule="exact"/>
              <w:jc w:val="left"/>
              <w:rPr>
                <w:rFonts w:ascii="宋体" w:hAnsi="宋体" w:eastAsia="宋体" w:cs="宋体"/>
                <w:color w:val="auto"/>
                <w:sz w:val="24"/>
                <w:szCs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037D643D">
            <w:pPr>
              <w:snapToGrid w:val="0"/>
              <w:spacing w:before="50" w:after="120" w:afterLines="50" w:line="400" w:lineRule="exact"/>
              <w:jc w:val="left"/>
              <w:rPr>
                <w:rFonts w:ascii="宋体" w:hAnsi="宋体" w:eastAsia="宋体" w:cs="宋体"/>
                <w:color w:val="auto"/>
                <w:sz w:val="24"/>
                <w:szCs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3F1838DE">
            <w:pPr>
              <w:snapToGrid w:val="0"/>
              <w:spacing w:before="50" w:after="120" w:afterLines="50" w:line="400" w:lineRule="exact"/>
              <w:jc w:val="left"/>
              <w:rPr>
                <w:rFonts w:ascii="宋体" w:hAnsi="宋体" w:eastAsia="宋体" w:cs="宋体"/>
                <w:color w:val="auto"/>
                <w:sz w:val="24"/>
                <w:szCs w:val="24"/>
                <w:highlight w:val="none"/>
              </w:rPr>
            </w:pPr>
          </w:p>
        </w:tc>
        <w:tc>
          <w:tcPr>
            <w:tcW w:w="1625" w:type="dxa"/>
            <w:tcBorders>
              <w:top w:val="single" w:color="auto" w:sz="4" w:space="0"/>
              <w:left w:val="single" w:color="auto" w:sz="4" w:space="0"/>
              <w:bottom w:val="single" w:color="auto" w:sz="4" w:space="0"/>
              <w:right w:val="single" w:color="auto" w:sz="4" w:space="0"/>
            </w:tcBorders>
          </w:tcPr>
          <w:p w14:paraId="228D3BAF">
            <w:pPr>
              <w:snapToGrid w:val="0"/>
              <w:spacing w:before="50" w:after="120" w:afterLines="50" w:line="400" w:lineRule="exact"/>
              <w:jc w:val="left"/>
              <w:rPr>
                <w:rFonts w:ascii="宋体" w:hAnsi="宋体" w:eastAsia="宋体" w:cs="宋体"/>
                <w:color w:val="auto"/>
                <w:sz w:val="24"/>
                <w:szCs w:val="24"/>
                <w:highlight w:val="none"/>
              </w:rPr>
            </w:pPr>
          </w:p>
        </w:tc>
      </w:tr>
      <w:tr w14:paraId="6BF501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1883" w:type="dxa"/>
            <w:tcBorders>
              <w:top w:val="single" w:color="auto" w:sz="4" w:space="0"/>
              <w:left w:val="single" w:color="auto" w:sz="4" w:space="0"/>
              <w:bottom w:val="single" w:color="auto" w:sz="4" w:space="0"/>
              <w:right w:val="single" w:color="auto" w:sz="4" w:space="0"/>
            </w:tcBorders>
          </w:tcPr>
          <w:p w14:paraId="6FDC9C4E">
            <w:pPr>
              <w:snapToGrid w:val="0"/>
              <w:spacing w:before="50" w:after="120" w:afterLines="50" w:line="400" w:lineRule="exact"/>
              <w:jc w:val="left"/>
              <w:rPr>
                <w:rFonts w:ascii="宋体" w:hAnsi="宋体" w:eastAsia="宋体" w:cs="宋体"/>
                <w:color w:val="auto"/>
                <w:sz w:val="24"/>
                <w:szCs w:val="24"/>
                <w:highlight w:val="none"/>
              </w:rPr>
            </w:pPr>
          </w:p>
        </w:tc>
        <w:tc>
          <w:tcPr>
            <w:tcW w:w="2451" w:type="dxa"/>
            <w:tcBorders>
              <w:top w:val="single" w:color="auto" w:sz="4" w:space="0"/>
              <w:left w:val="single" w:color="auto" w:sz="4" w:space="0"/>
              <w:bottom w:val="single" w:color="auto" w:sz="4" w:space="0"/>
              <w:right w:val="single" w:color="auto" w:sz="4" w:space="0"/>
            </w:tcBorders>
          </w:tcPr>
          <w:p w14:paraId="0FB65E90">
            <w:pPr>
              <w:snapToGrid w:val="0"/>
              <w:spacing w:before="50" w:after="120" w:afterLines="50" w:line="400" w:lineRule="exact"/>
              <w:jc w:val="left"/>
              <w:rPr>
                <w:rFonts w:ascii="宋体" w:hAnsi="宋体" w:eastAsia="宋体" w:cs="宋体"/>
                <w:color w:val="auto"/>
                <w:sz w:val="24"/>
                <w:szCs w:val="24"/>
                <w:highlight w:val="none"/>
              </w:rPr>
            </w:pPr>
          </w:p>
        </w:tc>
        <w:tc>
          <w:tcPr>
            <w:tcW w:w="1229" w:type="dxa"/>
            <w:tcBorders>
              <w:top w:val="single" w:color="auto" w:sz="4" w:space="0"/>
              <w:left w:val="single" w:color="auto" w:sz="4" w:space="0"/>
              <w:bottom w:val="single" w:color="auto" w:sz="4" w:space="0"/>
              <w:right w:val="single" w:color="auto" w:sz="4" w:space="0"/>
            </w:tcBorders>
          </w:tcPr>
          <w:p w14:paraId="3CB22245">
            <w:pPr>
              <w:snapToGrid w:val="0"/>
              <w:spacing w:before="50" w:after="120" w:afterLines="50" w:line="400" w:lineRule="exact"/>
              <w:jc w:val="left"/>
              <w:rPr>
                <w:rFonts w:ascii="宋体" w:hAnsi="宋体" w:eastAsia="宋体" w:cs="宋体"/>
                <w:color w:val="auto"/>
                <w:sz w:val="24"/>
                <w:szCs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3C39F863">
            <w:pPr>
              <w:snapToGrid w:val="0"/>
              <w:spacing w:before="50" w:after="120" w:afterLines="50" w:line="400" w:lineRule="exact"/>
              <w:jc w:val="left"/>
              <w:rPr>
                <w:rFonts w:ascii="宋体" w:hAnsi="宋体" w:eastAsia="宋体" w:cs="宋体"/>
                <w:color w:val="auto"/>
                <w:sz w:val="24"/>
                <w:szCs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17F87165">
            <w:pPr>
              <w:snapToGrid w:val="0"/>
              <w:spacing w:before="50" w:after="120" w:afterLines="50" w:line="400" w:lineRule="exact"/>
              <w:jc w:val="left"/>
              <w:rPr>
                <w:rFonts w:ascii="宋体" w:hAnsi="宋体" w:eastAsia="宋体" w:cs="宋体"/>
                <w:color w:val="auto"/>
                <w:sz w:val="24"/>
                <w:szCs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5EC66309">
            <w:pPr>
              <w:snapToGrid w:val="0"/>
              <w:spacing w:before="50" w:after="120" w:afterLines="50" w:line="400" w:lineRule="exact"/>
              <w:jc w:val="left"/>
              <w:rPr>
                <w:rFonts w:ascii="宋体" w:hAnsi="宋体" w:eastAsia="宋体" w:cs="宋体"/>
                <w:color w:val="auto"/>
                <w:sz w:val="24"/>
                <w:szCs w:val="24"/>
                <w:highlight w:val="none"/>
              </w:rPr>
            </w:pPr>
          </w:p>
        </w:tc>
        <w:tc>
          <w:tcPr>
            <w:tcW w:w="1625" w:type="dxa"/>
            <w:tcBorders>
              <w:top w:val="single" w:color="auto" w:sz="4" w:space="0"/>
              <w:left w:val="single" w:color="auto" w:sz="4" w:space="0"/>
              <w:bottom w:val="single" w:color="auto" w:sz="4" w:space="0"/>
              <w:right w:val="single" w:color="auto" w:sz="4" w:space="0"/>
            </w:tcBorders>
          </w:tcPr>
          <w:p w14:paraId="469797C8">
            <w:pPr>
              <w:snapToGrid w:val="0"/>
              <w:spacing w:before="50" w:after="120" w:afterLines="50" w:line="400" w:lineRule="exact"/>
              <w:jc w:val="left"/>
              <w:rPr>
                <w:rFonts w:ascii="宋体" w:hAnsi="宋体" w:eastAsia="宋体" w:cs="宋体"/>
                <w:color w:val="auto"/>
                <w:sz w:val="24"/>
                <w:szCs w:val="24"/>
                <w:highlight w:val="none"/>
              </w:rPr>
            </w:pPr>
          </w:p>
        </w:tc>
      </w:tr>
      <w:tr w14:paraId="3DCCAD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1883" w:type="dxa"/>
            <w:tcBorders>
              <w:top w:val="single" w:color="auto" w:sz="4" w:space="0"/>
              <w:left w:val="single" w:color="auto" w:sz="4" w:space="0"/>
              <w:bottom w:val="single" w:color="auto" w:sz="4" w:space="0"/>
              <w:right w:val="single" w:color="auto" w:sz="4" w:space="0"/>
            </w:tcBorders>
          </w:tcPr>
          <w:p w14:paraId="12EDC5E7">
            <w:pPr>
              <w:snapToGrid w:val="0"/>
              <w:spacing w:before="50" w:after="120" w:afterLines="50" w:line="400" w:lineRule="exact"/>
              <w:jc w:val="left"/>
              <w:rPr>
                <w:rFonts w:ascii="宋体" w:hAnsi="宋体" w:eastAsia="宋体" w:cs="宋体"/>
                <w:color w:val="auto"/>
                <w:sz w:val="24"/>
                <w:szCs w:val="24"/>
                <w:highlight w:val="none"/>
              </w:rPr>
            </w:pPr>
          </w:p>
        </w:tc>
        <w:tc>
          <w:tcPr>
            <w:tcW w:w="2451" w:type="dxa"/>
            <w:tcBorders>
              <w:top w:val="single" w:color="auto" w:sz="4" w:space="0"/>
              <w:left w:val="single" w:color="auto" w:sz="4" w:space="0"/>
              <w:bottom w:val="single" w:color="auto" w:sz="4" w:space="0"/>
              <w:right w:val="single" w:color="auto" w:sz="4" w:space="0"/>
            </w:tcBorders>
          </w:tcPr>
          <w:p w14:paraId="13002E80">
            <w:pPr>
              <w:snapToGrid w:val="0"/>
              <w:spacing w:before="50" w:after="120" w:afterLines="50" w:line="400" w:lineRule="exact"/>
              <w:jc w:val="left"/>
              <w:rPr>
                <w:rFonts w:ascii="宋体" w:hAnsi="宋体" w:eastAsia="宋体" w:cs="宋体"/>
                <w:color w:val="auto"/>
                <w:sz w:val="24"/>
                <w:szCs w:val="24"/>
                <w:highlight w:val="none"/>
              </w:rPr>
            </w:pPr>
          </w:p>
        </w:tc>
        <w:tc>
          <w:tcPr>
            <w:tcW w:w="1229" w:type="dxa"/>
            <w:tcBorders>
              <w:top w:val="single" w:color="auto" w:sz="4" w:space="0"/>
              <w:left w:val="single" w:color="auto" w:sz="4" w:space="0"/>
              <w:bottom w:val="single" w:color="auto" w:sz="4" w:space="0"/>
              <w:right w:val="single" w:color="auto" w:sz="4" w:space="0"/>
            </w:tcBorders>
          </w:tcPr>
          <w:p w14:paraId="652F8AFD">
            <w:pPr>
              <w:snapToGrid w:val="0"/>
              <w:spacing w:before="50" w:after="120" w:afterLines="50" w:line="400" w:lineRule="exact"/>
              <w:jc w:val="left"/>
              <w:rPr>
                <w:rFonts w:ascii="宋体" w:hAnsi="宋体" w:eastAsia="宋体" w:cs="宋体"/>
                <w:color w:val="auto"/>
                <w:sz w:val="24"/>
                <w:szCs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38818021">
            <w:pPr>
              <w:snapToGrid w:val="0"/>
              <w:spacing w:before="50" w:after="120" w:afterLines="50" w:line="400" w:lineRule="exact"/>
              <w:jc w:val="left"/>
              <w:rPr>
                <w:rFonts w:ascii="宋体" w:hAnsi="宋体" w:eastAsia="宋体" w:cs="宋体"/>
                <w:color w:val="auto"/>
                <w:sz w:val="24"/>
                <w:szCs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1454E680">
            <w:pPr>
              <w:snapToGrid w:val="0"/>
              <w:spacing w:before="50" w:after="120" w:afterLines="50" w:line="400" w:lineRule="exact"/>
              <w:jc w:val="left"/>
              <w:rPr>
                <w:rFonts w:ascii="宋体" w:hAnsi="宋体" w:eastAsia="宋体" w:cs="宋体"/>
                <w:color w:val="auto"/>
                <w:sz w:val="24"/>
                <w:szCs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27671B6E">
            <w:pPr>
              <w:snapToGrid w:val="0"/>
              <w:spacing w:before="50" w:after="120" w:afterLines="50" w:line="400" w:lineRule="exact"/>
              <w:jc w:val="left"/>
              <w:rPr>
                <w:rFonts w:ascii="宋体" w:hAnsi="宋体" w:eastAsia="宋体" w:cs="宋体"/>
                <w:color w:val="auto"/>
                <w:sz w:val="24"/>
                <w:szCs w:val="24"/>
                <w:highlight w:val="none"/>
              </w:rPr>
            </w:pPr>
          </w:p>
        </w:tc>
        <w:tc>
          <w:tcPr>
            <w:tcW w:w="1625" w:type="dxa"/>
            <w:tcBorders>
              <w:top w:val="single" w:color="auto" w:sz="4" w:space="0"/>
              <w:left w:val="single" w:color="auto" w:sz="4" w:space="0"/>
              <w:bottom w:val="single" w:color="auto" w:sz="4" w:space="0"/>
              <w:right w:val="single" w:color="auto" w:sz="4" w:space="0"/>
            </w:tcBorders>
          </w:tcPr>
          <w:p w14:paraId="11C219D5">
            <w:pPr>
              <w:snapToGrid w:val="0"/>
              <w:spacing w:before="50" w:after="120" w:afterLines="50" w:line="400" w:lineRule="exact"/>
              <w:jc w:val="left"/>
              <w:rPr>
                <w:rFonts w:ascii="宋体" w:hAnsi="宋体" w:eastAsia="宋体" w:cs="宋体"/>
                <w:color w:val="auto"/>
                <w:sz w:val="24"/>
                <w:szCs w:val="24"/>
                <w:highlight w:val="none"/>
              </w:rPr>
            </w:pPr>
          </w:p>
        </w:tc>
      </w:tr>
      <w:tr w14:paraId="016C66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883" w:type="dxa"/>
            <w:tcBorders>
              <w:top w:val="single" w:color="auto" w:sz="4" w:space="0"/>
              <w:left w:val="single" w:color="auto" w:sz="4" w:space="0"/>
              <w:bottom w:val="single" w:color="auto" w:sz="4" w:space="0"/>
              <w:right w:val="single" w:color="auto" w:sz="4" w:space="0"/>
            </w:tcBorders>
          </w:tcPr>
          <w:p w14:paraId="256FE4A0">
            <w:pPr>
              <w:snapToGrid w:val="0"/>
              <w:spacing w:before="50" w:after="120" w:afterLines="50" w:line="400" w:lineRule="exact"/>
              <w:jc w:val="left"/>
              <w:rPr>
                <w:rFonts w:ascii="宋体" w:hAnsi="宋体" w:eastAsia="宋体" w:cs="宋体"/>
                <w:color w:val="auto"/>
                <w:sz w:val="24"/>
                <w:szCs w:val="24"/>
                <w:highlight w:val="none"/>
              </w:rPr>
            </w:pPr>
          </w:p>
        </w:tc>
        <w:tc>
          <w:tcPr>
            <w:tcW w:w="2451" w:type="dxa"/>
            <w:tcBorders>
              <w:top w:val="single" w:color="auto" w:sz="4" w:space="0"/>
              <w:left w:val="single" w:color="auto" w:sz="4" w:space="0"/>
              <w:bottom w:val="single" w:color="auto" w:sz="4" w:space="0"/>
              <w:right w:val="single" w:color="auto" w:sz="4" w:space="0"/>
            </w:tcBorders>
          </w:tcPr>
          <w:p w14:paraId="2F480A5F">
            <w:pPr>
              <w:snapToGrid w:val="0"/>
              <w:spacing w:before="50" w:after="120" w:afterLines="50" w:line="400" w:lineRule="exact"/>
              <w:jc w:val="left"/>
              <w:rPr>
                <w:rFonts w:ascii="宋体" w:hAnsi="宋体" w:eastAsia="宋体" w:cs="宋体"/>
                <w:color w:val="auto"/>
                <w:sz w:val="24"/>
                <w:szCs w:val="24"/>
                <w:highlight w:val="none"/>
              </w:rPr>
            </w:pPr>
          </w:p>
        </w:tc>
        <w:tc>
          <w:tcPr>
            <w:tcW w:w="1229" w:type="dxa"/>
            <w:tcBorders>
              <w:top w:val="single" w:color="auto" w:sz="4" w:space="0"/>
              <w:left w:val="single" w:color="auto" w:sz="4" w:space="0"/>
              <w:bottom w:val="single" w:color="auto" w:sz="4" w:space="0"/>
              <w:right w:val="single" w:color="auto" w:sz="4" w:space="0"/>
            </w:tcBorders>
          </w:tcPr>
          <w:p w14:paraId="2B133D27">
            <w:pPr>
              <w:snapToGrid w:val="0"/>
              <w:spacing w:before="50" w:after="120" w:afterLines="50" w:line="400" w:lineRule="exact"/>
              <w:jc w:val="left"/>
              <w:rPr>
                <w:rFonts w:ascii="宋体" w:hAnsi="宋体" w:eastAsia="宋体" w:cs="宋体"/>
                <w:color w:val="auto"/>
                <w:sz w:val="24"/>
                <w:szCs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50EED134">
            <w:pPr>
              <w:snapToGrid w:val="0"/>
              <w:spacing w:before="50" w:after="120" w:afterLines="50" w:line="400" w:lineRule="exact"/>
              <w:jc w:val="left"/>
              <w:rPr>
                <w:rFonts w:ascii="宋体" w:hAnsi="宋体" w:eastAsia="宋体" w:cs="宋体"/>
                <w:color w:val="auto"/>
                <w:sz w:val="24"/>
                <w:szCs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19C961A6">
            <w:pPr>
              <w:snapToGrid w:val="0"/>
              <w:spacing w:before="50" w:after="120" w:afterLines="50" w:line="400" w:lineRule="exact"/>
              <w:jc w:val="left"/>
              <w:rPr>
                <w:rFonts w:ascii="宋体" w:hAnsi="宋体" w:eastAsia="宋体" w:cs="宋体"/>
                <w:color w:val="auto"/>
                <w:sz w:val="24"/>
                <w:szCs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6617FA70">
            <w:pPr>
              <w:snapToGrid w:val="0"/>
              <w:spacing w:before="50" w:after="120" w:afterLines="50" w:line="400" w:lineRule="exact"/>
              <w:jc w:val="left"/>
              <w:rPr>
                <w:rFonts w:ascii="宋体" w:hAnsi="宋体" w:eastAsia="宋体" w:cs="宋体"/>
                <w:color w:val="auto"/>
                <w:sz w:val="24"/>
                <w:szCs w:val="24"/>
                <w:highlight w:val="none"/>
              </w:rPr>
            </w:pPr>
          </w:p>
        </w:tc>
        <w:tc>
          <w:tcPr>
            <w:tcW w:w="1625" w:type="dxa"/>
            <w:tcBorders>
              <w:top w:val="single" w:color="auto" w:sz="4" w:space="0"/>
              <w:left w:val="single" w:color="auto" w:sz="4" w:space="0"/>
              <w:bottom w:val="single" w:color="auto" w:sz="4" w:space="0"/>
              <w:right w:val="single" w:color="auto" w:sz="4" w:space="0"/>
            </w:tcBorders>
          </w:tcPr>
          <w:p w14:paraId="10BA5530">
            <w:pPr>
              <w:snapToGrid w:val="0"/>
              <w:spacing w:before="50" w:after="120" w:afterLines="50" w:line="400" w:lineRule="exact"/>
              <w:jc w:val="left"/>
              <w:rPr>
                <w:rFonts w:ascii="宋体" w:hAnsi="宋体" w:eastAsia="宋体" w:cs="宋体"/>
                <w:color w:val="auto"/>
                <w:sz w:val="24"/>
                <w:szCs w:val="24"/>
                <w:highlight w:val="none"/>
              </w:rPr>
            </w:pPr>
          </w:p>
        </w:tc>
      </w:tr>
    </w:tbl>
    <w:p w14:paraId="6BA5C396">
      <w:pPr>
        <w:spacing w:line="360" w:lineRule="auto"/>
        <w:ind w:left="72"/>
        <w:rPr>
          <w:rFonts w:ascii="宋体" w:hAnsi="宋体" w:eastAsia="宋体" w:cs="宋体"/>
          <w:color w:val="auto"/>
          <w:szCs w:val="20"/>
          <w:highlight w:val="none"/>
        </w:rPr>
      </w:pPr>
      <w:r>
        <w:rPr>
          <w:rFonts w:hint="eastAsia" w:ascii="宋体" w:hAnsi="宋体" w:eastAsia="宋体" w:cs="宋体"/>
          <w:color w:val="auto"/>
          <w:szCs w:val="20"/>
          <w:highlight w:val="none"/>
        </w:rPr>
        <w:t>注：供应商可按上述的格式自行编制，须随表提交相应的协议或合同复印件并注明所在供应商商务技术文件页码。</w:t>
      </w:r>
    </w:p>
    <w:p w14:paraId="5192DF9C">
      <w:pPr>
        <w:snapToGrid w:val="0"/>
        <w:spacing w:line="360" w:lineRule="auto"/>
        <w:ind w:firstLine="4935" w:firstLineChars="235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08B87E50">
      <w:pPr>
        <w:snapToGrid w:val="0"/>
        <w:spacing w:line="360" w:lineRule="auto"/>
        <w:ind w:firstLine="4935" w:firstLineChars="2350"/>
        <w:rPr>
          <w:rFonts w:ascii="宋体" w:hAnsi="宋体" w:eastAsia="宋体" w:cs="宋体"/>
          <w:color w:val="auto"/>
          <w:szCs w:val="21"/>
          <w:highlight w:val="none"/>
        </w:rPr>
      </w:pPr>
    </w:p>
    <w:p w14:paraId="0B5776E5">
      <w:pPr>
        <w:snapToGrid w:val="0"/>
        <w:spacing w:line="360" w:lineRule="auto"/>
        <w:ind w:firstLine="10080" w:firstLineChars="4800"/>
        <w:rPr>
          <w:rFonts w:ascii="宋体" w:hAnsi="宋体" w:eastAsia="宋体" w:cs="宋体"/>
          <w:color w:val="auto"/>
          <w:kern w:val="0"/>
          <w:sz w:val="24"/>
          <w:szCs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szCs w:val="24"/>
          <w:highlight w:val="none"/>
          <w:lang w:val="zh-CN"/>
        </w:rPr>
        <w:t>供应商名称(电子签章)：</w:t>
      </w:r>
    </w:p>
    <w:p w14:paraId="1CF7A009">
      <w:pPr>
        <w:snapToGrid w:val="0"/>
        <w:spacing w:line="360" w:lineRule="auto"/>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4F455696">
      <w:pPr>
        <w:wordWrap w:val="0"/>
        <w:spacing w:after="160"/>
        <w:ind w:left="2000" w:hanging="400"/>
        <w:outlineLvl w:val="5"/>
        <w:rPr>
          <w:rFonts w:ascii="宋体" w:hAnsi="宋体" w:eastAsia="宋体" w:cs="宋体"/>
          <w:b/>
          <w:color w:val="auto"/>
          <w:szCs w:val="24"/>
          <w:highlight w:val="none"/>
          <w:lang w:val="zh-CN"/>
        </w:rPr>
      </w:pPr>
    </w:p>
    <w:p w14:paraId="76E7DE1A">
      <w:pPr>
        <w:snapToGrid w:val="0"/>
        <w:spacing w:before="120" w:beforeLines="50" w:after="50"/>
        <w:ind w:firstLine="602" w:firstLineChars="200"/>
        <w:jc w:val="center"/>
        <w:rPr>
          <w:rFonts w:ascii="宋体" w:hAnsi="宋体" w:eastAsia="宋体" w:cs="宋体"/>
          <w:b/>
          <w:bCs/>
          <w:color w:val="auto"/>
          <w:sz w:val="30"/>
          <w:szCs w:val="30"/>
          <w:highlight w:val="none"/>
        </w:rPr>
      </w:pPr>
    </w:p>
    <w:p w14:paraId="7F8A34DA">
      <w:pPr>
        <w:keepNext/>
        <w:keepLines/>
        <w:spacing w:before="340" w:after="330" w:line="576" w:lineRule="auto"/>
        <w:outlineLvl w:val="0"/>
        <w:rPr>
          <w:rFonts w:ascii="Times New Roman" w:hAnsi="Times New Roman" w:eastAsia="宋体" w:cs="Times New Roman"/>
          <w:b/>
          <w:bCs/>
          <w:color w:val="auto"/>
          <w:kern w:val="44"/>
          <w:sz w:val="44"/>
          <w:szCs w:val="44"/>
          <w:highlight w:val="none"/>
        </w:rPr>
      </w:pPr>
    </w:p>
    <w:p w14:paraId="0D3316A6">
      <w:pPr>
        <w:rPr>
          <w:rFonts w:ascii="Times New Roman" w:hAnsi="Times New Roman" w:eastAsia="宋体" w:cs="Times New Roman"/>
          <w:color w:val="auto"/>
          <w:szCs w:val="24"/>
          <w:highlight w:val="none"/>
        </w:rPr>
      </w:pPr>
    </w:p>
    <w:p w14:paraId="3408508F">
      <w:pPr>
        <w:keepNext/>
        <w:keepLines/>
        <w:spacing w:before="340" w:after="330" w:line="576" w:lineRule="auto"/>
        <w:outlineLvl w:val="0"/>
        <w:rPr>
          <w:rFonts w:ascii="Times New Roman" w:hAnsi="Times New Roman" w:eastAsia="宋体" w:cs="Times New Roman"/>
          <w:b/>
          <w:bCs/>
          <w:color w:val="auto"/>
          <w:kern w:val="44"/>
          <w:sz w:val="44"/>
          <w:szCs w:val="44"/>
          <w:highlight w:val="none"/>
        </w:rPr>
      </w:pPr>
    </w:p>
    <w:p w14:paraId="131ECBA4">
      <w:pPr>
        <w:rPr>
          <w:rFonts w:ascii="Times New Roman" w:hAnsi="Times New Roman" w:eastAsia="宋体" w:cs="Times New Roman"/>
          <w:color w:val="auto"/>
          <w:szCs w:val="24"/>
          <w:highlight w:val="none"/>
        </w:rPr>
      </w:pPr>
    </w:p>
    <w:p w14:paraId="3E744A6E">
      <w:pPr>
        <w:jc w:val="center"/>
        <w:rPr>
          <w:rFonts w:ascii="宋体" w:hAnsi="宋体" w:eastAsia="宋体" w:cs="宋体"/>
          <w:b/>
          <w:bCs/>
          <w:color w:val="auto"/>
          <w:sz w:val="28"/>
          <w:szCs w:val="28"/>
          <w:highlight w:val="none"/>
        </w:rPr>
      </w:pPr>
      <w:bookmarkStart w:id="219" w:name="_Toc19686839"/>
      <w:bookmarkStart w:id="220" w:name="_Toc80093014"/>
    </w:p>
    <w:p w14:paraId="636BF6D8">
      <w:pPr>
        <w:spacing w:line="360" w:lineRule="auto"/>
        <w:rPr>
          <w:rFonts w:ascii="宋体" w:hAnsi="宋体" w:eastAsia="宋体" w:cs="宋体"/>
          <w:b/>
          <w:bCs/>
          <w:color w:val="auto"/>
          <w:sz w:val="30"/>
          <w:szCs w:val="30"/>
          <w:highlight w:val="none"/>
        </w:rPr>
      </w:pPr>
      <w:bookmarkStart w:id="221" w:name="_Toc31749"/>
      <w:bookmarkStart w:id="222" w:name="_Toc7726"/>
      <w:r>
        <w:rPr>
          <w:rFonts w:hint="eastAsia" w:ascii="宋体" w:hAnsi="宋体" w:eastAsia="宋体" w:cs="宋体"/>
          <w:b/>
          <w:bCs/>
          <w:color w:val="auto"/>
          <w:sz w:val="30"/>
          <w:szCs w:val="30"/>
          <w:highlight w:val="none"/>
        </w:rPr>
        <w:t>七、企业信誉（或供应商实力）证明文件</w:t>
      </w:r>
      <w:bookmarkEnd w:id="221"/>
      <w:bookmarkEnd w:id="222"/>
    </w:p>
    <w:p w14:paraId="22A9E3D6">
      <w:pPr>
        <w:spacing w:line="360" w:lineRule="auto"/>
        <w:ind w:firstLine="590" w:firstLineChars="245"/>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供应商结合自身情况提交相应证明材料。</w:t>
      </w:r>
    </w:p>
    <w:p w14:paraId="50C06973">
      <w:pPr>
        <w:snapToGrid w:val="0"/>
        <w:spacing w:line="360" w:lineRule="auto"/>
        <w:ind w:firstLine="5640" w:firstLineChars="2350"/>
        <w:rPr>
          <w:rFonts w:ascii="宋体" w:hAnsi="宋体" w:eastAsia="宋体" w:cs="宋体"/>
          <w:color w:val="auto"/>
          <w:kern w:val="0"/>
          <w:sz w:val="24"/>
          <w:szCs w:val="24"/>
          <w:highlight w:val="none"/>
          <w:lang w:val="zh-CN"/>
        </w:rPr>
      </w:pPr>
    </w:p>
    <w:p w14:paraId="78731505">
      <w:pPr>
        <w:snapToGrid w:val="0"/>
        <w:spacing w:line="360" w:lineRule="auto"/>
        <w:ind w:firstLine="5640" w:firstLineChars="2350"/>
        <w:rPr>
          <w:rFonts w:ascii="宋体" w:hAnsi="宋体" w:eastAsia="宋体" w:cs="宋体"/>
          <w:color w:val="auto"/>
          <w:kern w:val="0"/>
          <w:sz w:val="24"/>
          <w:szCs w:val="24"/>
          <w:highlight w:val="none"/>
          <w:lang w:val="zh-CN"/>
        </w:rPr>
      </w:pPr>
    </w:p>
    <w:p w14:paraId="54AC4662">
      <w:pPr>
        <w:snapToGrid w:val="0"/>
        <w:spacing w:line="360" w:lineRule="auto"/>
        <w:ind w:firstLine="5640" w:firstLineChars="2350"/>
        <w:rPr>
          <w:rFonts w:ascii="宋体" w:hAnsi="宋体" w:eastAsia="宋体" w:cs="宋体"/>
          <w:color w:val="auto"/>
          <w:kern w:val="0"/>
          <w:sz w:val="24"/>
          <w:szCs w:val="24"/>
          <w:highlight w:val="none"/>
          <w:lang w:val="zh-CN"/>
        </w:rPr>
      </w:pPr>
    </w:p>
    <w:p w14:paraId="75F42376">
      <w:pPr>
        <w:snapToGrid w:val="0"/>
        <w:spacing w:line="360" w:lineRule="auto"/>
        <w:ind w:firstLine="5640" w:firstLineChars="2350"/>
        <w:rPr>
          <w:rFonts w:ascii="宋体" w:hAnsi="宋体" w:eastAsia="宋体" w:cs="宋体"/>
          <w:color w:val="auto"/>
          <w:kern w:val="0"/>
          <w:sz w:val="24"/>
          <w:szCs w:val="24"/>
          <w:highlight w:val="none"/>
          <w:lang w:val="zh-CN"/>
        </w:rPr>
      </w:pPr>
    </w:p>
    <w:p w14:paraId="3E442FC2">
      <w:pPr>
        <w:snapToGrid w:val="0"/>
        <w:spacing w:line="360" w:lineRule="auto"/>
        <w:ind w:firstLine="5640" w:firstLineChars="2350"/>
        <w:rPr>
          <w:rFonts w:ascii="宋体" w:hAnsi="宋体" w:eastAsia="宋体" w:cs="宋体"/>
          <w:color w:val="auto"/>
          <w:kern w:val="0"/>
          <w:sz w:val="24"/>
          <w:szCs w:val="24"/>
          <w:highlight w:val="none"/>
          <w:lang w:val="zh-CN"/>
        </w:rPr>
      </w:pPr>
    </w:p>
    <w:p w14:paraId="1E074ED0">
      <w:pPr>
        <w:snapToGrid w:val="0"/>
        <w:spacing w:line="360" w:lineRule="auto"/>
        <w:ind w:firstLine="5640" w:firstLineChars="235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供应商名称(电子签章)：</w:t>
      </w:r>
    </w:p>
    <w:p w14:paraId="0E4762B3">
      <w:pPr>
        <w:snapToGrid w:val="0"/>
        <w:spacing w:line="360" w:lineRule="auto"/>
        <w:ind w:firstLine="5760" w:firstLineChars="240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28A56C57">
      <w:pPr>
        <w:jc w:val="center"/>
        <w:rPr>
          <w:rFonts w:ascii="宋体" w:hAnsi="宋体" w:eastAsia="宋体" w:cs="宋体"/>
          <w:color w:val="auto"/>
          <w:kern w:val="0"/>
          <w:szCs w:val="20"/>
          <w:highlight w:val="none"/>
          <w:lang w:val="zh-CN"/>
        </w:rPr>
      </w:pPr>
    </w:p>
    <w:p w14:paraId="6B0AB3B6">
      <w:pPr>
        <w:jc w:val="center"/>
        <w:rPr>
          <w:rFonts w:ascii="宋体" w:hAnsi="宋体" w:eastAsia="宋体" w:cs="宋体"/>
          <w:color w:val="auto"/>
          <w:kern w:val="0"/>
          <w:szCs w:val="20"/>
          <w:highlight w:val="none"/>
          <w:lang w:val="zh-CN"/>
        </w:rPr>
      </w:pPr>
    </w:p>
    <w:p w14:paraId="2400424A">
      <w:pPr>
        <w:wordWrap w:val="0"/>
        <w:spacing w:after="160"/>
        <w:ind w:left="2000" w:firstLine="4515"/>
        <w:outlineLvl w:val="5"/>
        <w:rPr>
          <w:rFonts w:ascii="宋体" w:hAnsi="宋体" w:eastAsia="宋体" w:cs="宋体"/>
          <w:b/>
          <w:color w:val="auto"/>
          <w:kern w:val="0"/>
          <w:szCs w:val="24"/>
          <w:highlight w:val="none"/>
          <w:lang w:val="zh-CN"/>
        </w:rPr>
      </w:pPr>
    </w:p>
    <w:p w14:paraId="5611A87F">
      <w:pPr>
        <w:snapToGrid w:val="0"/>
        <w:spacing w:before="120" w:beforeLines="50" w:after="50"/>
        <w:ind w:firstLine="602" w:firstLineChars="200"/>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八、其他商务文件或说明</w:t>
      </w:r>
    </w:p>
    <w:p w14:paraId="5E760628">
      <w:pPr>
        <w:snapToGrid w:val="0"/>
        <w:spacing w:before="120" w:beforeLines="50" w:after="50"/>
        <w:ind w:firstLine="602" w:firstLineChars="200"/>
        <w:jc w:val="center"/>
        <w:rPr>
          <w:rFonts w:ascii="宋体" w:hAnsi="宋体" w:eastAsia="宋体" w:cs="宋体"/>
          <w:b/>
          <w:bCs/>
          <w:color w:val="auto"/>
          <w:sz w:val="30"/>
          <w:szCs w:val="30"/>
          <w:highlight w:val="none"/>
        </w:rPr>
      </w:pPr>
    </w:p>
    <w:p w14:paraId="75C62DC0">
      <w:pPr>
        <w:spacing w:line="360" w:lineRule="auto"/>
        <w:ind w:firstLine="590" w:firstLineChars="245"/>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供应商可结合自身情况提供。</w:t>
      </w:r>
    </w:p>
    <w:p w14:paraId="40CA25E9">
      <w:pPr>
        <w:jc w:val="center"/>
        <w:rPr>
          <w:rFonts w:ascii="宋体" w:hAnsi="宋体" w:eastAsia="宋体" w:cs="宋体"/>
          <w:b/>
          <w:bCs/>
          <w:color w:val="auto"/>
          <w:sz w:val="30"/>
          <w:szCs w:val="30"/>
          <w:highlight w:val="none"/>
        </w:rPr>
      </w:pPr>
    </w:p>
    <w:p w14:paraId="41E1044E">
      <w:pPr>
        <w:snapToGrid w:val="0"/>
        <w:spacing w:line="360" w:lineRule="auto"/>
        <w:ind w:left="3950" w:leftChars="1881" w:firstLine="7560" w:firstLineChars="315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供</w:t>
      </w:r>
    </w:p>
    <w:p w14:paraId="51B88500">
      <w:pPr>
        <w:snapToGrid w:val="0"/>
        <w:spacing w:line="360" w:lineRule="auto"/>
        <w:ind w:left="3950" w:leftChars="1881" w:firstLine="7560" w:firstLineChars="3150"/>
        <w:rPr>
          <w:rFonts w:ascii="宋体" w:hAnsi="宋体" w:eastAsia="宋体" w:cs="宋体"/>
          <w:color w:val="auto"/>
          <w:kern w:val="0"/>
          <w:sz w:val="24"/>
          <w:szCs w:val="24"/>
          <w:highlight w:val="none"/>
          <w:lang w:val="zh-CN"/>
        </w:rPr>
      </w:pPr>
    </w:p>
    <w:p w14:paraId="369D85F2">
      <w:pPr>
        <w:snapToGrid w:val="0"/>
        <w:spacing w:line="360" w:lineRule="auto"/>
        <w:ind w:left="3950" w:leftChars="1881" w:firstLine="7560" w:firstLineChars="3150"/>
        <w:rPr>
          <w:rFonts w:ascii="宋体" w:hAnsi="宋体" w:eastAsia="宋体" w:cs="宋体"/>
          <w:color w:val="auto"/>
          <w:kern w:val="0"/>
          <w:sz w:val="24"/>
          <w:szCs w:val="24"/>
          <w:highlight w:val="none"/>
          <w:lang w:val="zh-CN"/>
        </w:rPr>
      </w:pPr>
    </w:p>
    <w:p w14:paraId="64236D39">
      <w:pPr>
        <w:snapToGrid w:val="0"/>
        <w:spacing w:line="360" w:lineRule="auto"/>
        <w:ind w:left="3950" w:leftChars="1881" w:firstLine="7560" w:firstLineChars="3150"/>
        <w:rPr>
          <w:rFonts w:ascii="宋体" w:hAnsi="宋体" w:eastAsia="宋体" w:cs="宋体"/>
          <w:color w:val="auto"/>
          <w:kern w:val="0"/>
          <w:sz w:val="24"/>
          <w:szCs w:val="24"/>
          <w:highlight w:val="none"/>
          <w:lang w:val="zh-CN"/>
        </w:rPr>
      </w:pPr>
    </w:p>
    <w:p w14:paraId="11210348">
      <w:pPr>
        <w:snapToGrid w:val="0"/>
        <w:spacing w:line="360" w:lineRule="auto"/>
        <w:ind w:left="3950" w:leftChars="1881" w:firstLine="7560" w:firstLineChars="3150"/>
        <w:rPr>
          <w:rFonts w:ascii="宋体" w:hAnsi="宋体" w:eastAsia="宋体" w:cs="宋体"/>
          <w:color w:val="auto"/>
          <w:kern w:val="0"/>
          <w:sz w:val="24"/>
          <w:szCs w:val="24"/>
          <w:highlight w:val="none"/>
          <w:lang w:val="zh-CN"/>
        </w:rPr>
      </w:pPr>
    </w:p>
    <w:p w14:paraId="1526E9A3">
      <w:pPr>
        <w:snapToGrid w:val="0"/>
        <w:spacing w:line="360" w:lineRule="auto"/>
        <w:ind w:left="3950" w:leftChars="1881" w:firstLine="7560" w:firstLineChars="3150"/>
        <w:rPr>
          <w:rFonts w:ascii="宋体" w:hAnsi="宋体" w:eastAsia="宋体" w:cs="宋体"/>
          <w:color w:val="auto"/>
          <w:kern w:val="0"/>
          <w:sz w:val="24"/>
          <w:szCs w:val="24"/>
          <w:highlight w:val="none"/>
          <w:lang w:val="zh-CN"/>
        </w:rPr>
      </w:pPr>
    </w:p>
    <w:p w14:paraId="72082CD4">
      <w:pPr>
        <w:snapToGrid w:val="0"/>
        <w:spacing w:line="360" w:lineRule="auto"/>
        <w:ind w:left="3950" w:leftChars="1881" w:firstLine="7560" w:firstLineChars="315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供应商名称(电子签章)：</w:t>
      </w:r>
    </w:p>
    <w:p w14:paraId="6E41A452">
      <w:pPr>
        <w:jc w:val="center"/>
        <w:outlineLvl w:val="1"/>
        <w:rPr>
          <w:rFonts w:ascii="宋体" w:hAnsi="宋体" w:eastAsia="宋体" w:cs="宋体"/>
          <w:b/>
          <w:bCs/>
          <w:color w:val="auto"/>
          <w:sz w:val="30"/>
          <w:szCs w:val="30"/>
          <w:highlight w:val="none"/>
        </w:rPr>
      </w:pPr>
      <w:r>
        <w:rPr>
          <w:rFonts w:hint="eastAsia" w:ascii="宋体" w:hAnsi="宋体" w:eastAsia="宋体" w:cs="宋体"/>
          <w:color w:val="auto"/>
          <w:kern w:val="0"/>
          <w:sz w:val="24"/>
          <w:szCs w:val="20"/>
          <w:highlight w:val="none"/>
        </w:rPr>
        <w:t xml:space="preserve">    </w:t>
      </w:r>
      <w:bookmarkStart w:id="223" w:name="_Toc144971863"/>
      <w:bookmarkStart w:id="224" w:name="_Toc146703314"/>
      <w:bookmarkStart w:id="225" w:name="_Toc29173"/>
      <w:bookmarkStart w:id="226" w:name="_Toc1548"/>
      <w:r>
        <w:rPr>
          <w:rFonts w:hint="eastAsia" w:ascii="宋体" w:hAnsi="宋体" w:eastAsia="宋体" w:cs="宋体"/>
          <w:color w:val="auto"/>
          <w:kern w:val="0"/>
          <w:sz w:val="24"/>
          <w:szCs w:val="20"/>
          <w:highlight w:val="none"/>
          <w:lang w:val="zh-CN"/>
        </w:rPr>
        <w:t>日期</w:t>
      </w:r>
      <w:r>
        <w:rPr>
          <w:rFonts w:hint="eastAsia" w:ascii="宋体" w:hAnsi="宋体" w:eastAsia="宋体" w:cs="宋体"/>
          <w:color w:val="auto"/>
          <w:kern w:val="0"/>
          <w:sz w:val="24"/>
          <w:szCs w:val="20"/>
          <w:highlight w:val="none"/>
        </w:rPr>
        <w:t xml:space="preserve">：  年  </w:t>
      </w:r>
      <w:r>
        <w:rPr>
          <w:rFonts w:hint="eastAsia" w:ascii="宋体" w:hAnsi="宋体" w:eastAsia="宋体" w:cs="宋体"/>
          <w:color w:val="auto"/>
          <w:kern w:val="0"/>
          <w:sz w:val="24"/>
          <w:szCs w:val="20"/>
          <w:highlight w:val="none"/>
          <w:lang w:val="zh-CN"/>
        </w:rPr>
        <w:t>月</w:t>
      </w:r>
      <w:r>
        <w:rPr>
          <w:rFonts w:hint="eastAsia" w:ascii="宋体" w:hAnsi="宋体" w:eastAsia="宋体" w:cs="宋体"/>
          <w:color w:val="auto"/>
          <w:kern w:val="0"/>
          <w:sz w:val="24"/>
          <w:szCs w:val="20"/>
          <w:highlight w:val="none"/>
        </w:rPr>
        <w:t xml:space="preserve">   </w:t>
      </w:r>
      <w:r>
        <w:rPr>
          <w:rFonts w:hint="eastAsia" w:ascii="宋体" w:hAnsi="宋体" w:eastAsia="宋体" w:cs="宋体"/>
          <w:color w:val="auto"/>
          <w:kern w:val="0"/>
          <w:sz w:val="24"/>
          <w:szCs w:val="20"/>
          <w:highlight w:val="none"/>
          <w:lang w:val="zh-CN"/>
        </w:rPr>
        <w:t>日</w:t>
      </w:r>
      <w:bookmarkEnd w:id="223"/>
      <w:bookmarkEnd w:id="224"/>
      <w:bookmarkEnd w:id="225"/>
      <w:bookmarkEnd w:id="226"/>
    </w:p>
    <w:p w14:paraId="3735578D">
      <w:pPr>
        <w:jc w:val="center"/>
        <w:outlineLvl w:val="1"/>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bookmarkStart w:id="227" w:name="_Toc11645"/>
      <w:bookmarkStart w:id="228" w:name="_Toc146703315"/>
      <w:r>
        <w:rPr>
          <w:rFonts w:hint="eastAsia" w:ascii="宋体" w:hAnsi="宋体" w:eastAsia="宋体" w:cs="宋体"/>
          <w:b/>
          <w:bCs/>
          <w:color w:val="auto"/>
          <w:sz w:val="28"/>
          <w:szCs w:val="28"/>
          <w:highlight w:val="none"/>
        </w:rPr>
        <w:t>第四节 技术文件格式</w:t>
      </w:r>
      <w:bookmarkEnd w:id="219"/>
      <w:bookmarkEnd w:id="220"/>
      <w:bookmarkEnd w:id="227"/>
      <w:bookmarkEnd w:id="228"/>
    </w:p>
    <w:p w14:paraId="29CD79F4">
      <w:pPr>
        <w:snapToGrid w:val="0"/>
        <w:spacing w:before="120" w:beforeLines="50" w:after="50"/>
        <w:rPr>
          <w:rFonts w:ascii="宋体" w:hAnsi="宋体" w:eastAsia="宋体" w:cs="宋体"/>
          <w:bCs/>
          <w:color w:val="auto"/>
          <w:sz w:val="32"/>
          <w:szCs w:val="20"/>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Cs w:val="24"/>
          <w:highlight w:val="none"/>
        </w:rPr>
        <w:t>电子响应文件</w:t>
      </w:r>
    </w:p>
    <w:p w14:paraId="1953CBDF">
      <w:pPr>
        <w:snapToGrid w:val="0"/>
        <w:spacing w:before="120" w:beforeLines="50" w:after="50"/>
        <w:rPr>
          <w:rFonts w:ascii="宋体" w:hAnsi="宋体" w:eastAsia="宋体" w:cs="宋体"/>
          <w:color w:val="auto"/>
          <w:sz w:val="24"/>
          <w:szCs w:val="20"/>
          <w:highlight w:val="none"/>
        </w:rPr>
      </w:pPr>
    </w:p>
    <w:p w14:paraId="6999CCD3">
      <w:pPr>
        <w:snapToGrid w:val="0"/>
        <w:spacing w:before="120" w:beforeLines="50" w:after="50"/>
        <w:jc w:val="center"/>
        <w:rPr>
          <w:rFonts w:ascii="宋体" w:hAnsi="宋体" w:eastAsia="宋体" w:cs="宋体"/>
          <w:b/>
          <w:bCs/>
          <w:color w:val="auto"/>
          <w:sz w:val="32"/>
          <w:szCs w:val="32"/>
          <w:highlight w:val="none"/>
        </w:rPr>
      </w:pPr>
    </w:p>
    <w:p w14:paraId="7FAFBB0E">
      <w:pPr>
        <w:snapToGrid w:val="0"/>
        <w:spacing w:before="120" w:beforeLines="50" w:after="50"/>
        <w:jc w:val="center"/>
        <w:rPr>
          <w:rFonts w:ascii="宋体" w:hAnsi="宋体" w:eastAsia="宋体" w:cs="宋体"/>
          <w:b/>
          <w:bCs/>
          <w:color w:val="auto"/>
          <w:sz w:val="32"/>
          <w:szCs w:val="32"/>
          <w:highlight w:val="none"/>
        </w:rPr>
      </w:pPr>
    </w:p>
    <w:p w14:paraId="28559ECC">
      <w:pPr>
        <w:snapToGrid w:val="0"/>
        <w:spacing w:before="120" w:beforeLines="50" w:after="50"/>
        <w:jc w:val="center"/>
        <w:rPr>
          <w:rFonts w:ascii="宋体" w:hAnsi="宋体" w:eastAsia="宋体" w:cs="宋体"/>
          <w:b/>
          <w:bCs/>
          <w:color w:val="auto"/>
          <w:sz w:val="32"/>
          <w:szCs w:val="32"/>
          <w:highlight w:val="none"/>
        </w:rPr>
      </w:pPr>
    </w:p>
    <w:p w14:paraId="70BD23E6">
      <w:pPr>
        <w:snapToGrid w:val="0"/>
        <w:spacing w:before="120" w:beforeLines="50" w:after="5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技术文件（封面）</w:t>
      </w:r>
    </w:p>
    <w:p w14:paraId="65658956">
      <w:pPr>
        <w:snapToGrid w:val="0"/>
        <w:spacing w:before="120" w:beforeLines="50" w:after="50"/>
        <w:rPr>
          <w:rFonts w:ascii="宋体" w:hAnsi="宋体" w:eastAsia="宋体" w:cs="宋体"/>
          <w:bCs/>
          <w:color w:val="auto"/>
          <w:sz w:val="24"/>
          <w:szCs w:val="20"/>
          <w:highlight w:val="none"/>
        </w:rPr>
      </w:pPr>
    </w:p>
    <w:p w14:paraId="6E667D99">
      <w:pPr>
        <w:snapToGrid w:val="0"/>
        <w:spacing w:before="120" w:beforeLines="50" w:after="50" w:line="400" w:lineRule="exact"/>
        <w:ind w:firstLine="360" w:firstLineChars="150"/>
        <w:rPr>
          <w:rFonts w:ascii="宋体" w:hAnsi="宋体" w:eastAsia="宋体" w:cs="宋体"/>
          <w:bCs/>
          <w:color w:val="auto"/>
          <w:sz w:val="24"/>
          <w:szCs w:val="20"/>
          <w:highlight w:val="none"/>
        </w:rPr>
      </w:pPr>
      <w:r>
        <w:rPr>
          <w:rFonts w:hint="eastAsia" w:ascii="宋体" w:hAnsi="宋体" w:eastAsia="宋体" w:cs="宋体"/>
          <w:bCs/>
          <w:color w:val="auto"/>
          <w:sz w:val="24"/>
          <w:szCs w:val="24"/>
          <w:highlight w:val="none"/>
        </w:rPr>
        <w:t xml:space="preserve">项目名称： </w:t>
      </w:r>
    </w:p>
    <w:p w14:paraId="01EF4F56">
      <w:pPr>
        <w:snapToGrid w:val="0"/>
        <w:spacing w:before="120" w:beforeLines="50" w:after="50" w:line="40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项目编号： </w:t>
      </w:r>
    </w:p>
    <w:p w14:paraId="4C22E01D">
      <w:pPr>
        <w:snapToGrid w:val="0"/>
        <w:spacing w:before="120" w:beforeLines="50" w:after="50" w:line="40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供应商名称：</w:t>
      </w:r>
    </w:p>
    <w:p w14:paraId="545CAA15">
      <w:pPr>
        <w:snapToGrid w:val="0"/>
        <w:spacing w:before="120" w:beforeLines="50" w:after="50" w:line="40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供应商地址：</w:t>
      </w:r>
    </w:p>
    <w:p w14:paraId="44E4563A">
      <w:pPr>
        <w:snapToGrid w:val="0"/>
        <w:spacing w:before="120" w:beforeLines="50" w:after="50"/>
        <w:ind w:firstLine="645"/>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1F30810C">
      <w:pPr>
        <w:snapToGrid w:val="0"/>
        <w:spacing w:before="120" w:beforeLines="50" w:after="50"/>
        <w:ind w:firstLine="645"/>
        <w:jc w:val="center"/>
        <w:rPr>
          <w:rFonts w:ascii="宋体" w:hAnsi="宋体" w:eastAsia="宋体" w:cs="宋体"/>
          <w:color w:val="auto"/>
          <w:sz w:val="24"/>
          <w:szCs w:val="20"/>
          <w:highlight w:val="none"/>
        </w:rPr>
      </w:pPr>
    </w:p>
    <w:p w14:paraId="6B99C1BD">
      <w:pPr>
        <w:jc w:val="center"/>
        <w:rPr>
          <w:rFonts w:ascii="宋体" w:hAnsi="宋体" w:eastAsia="宋体" w:cs="宋体"/>
          <w:b/>
          <w:color w:val="auto"/>
          <w:kern w:val="0"/>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color w:val="auto"/>
          <w:kern w:val="0"/>
          <w:sz w:val="28"/>
          <w:szCs w:val="28"/>
          <w:highlight w:val="none"/>
        </w:rPr>
        <w:t>技术文件目录</w:t>
      </w:r>
    </w:p>
    <w:p w14:paraId="6C5D03C1">
      <w:pPr>
        <w:adjustRightInd w:val="0"/>
        <w:spacing w:line="360" w:lineRule="auto"/>
        <w:ind w:left="2"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一、响应服务技术需求偏离表…………………………………………………（页码）</w:t>
      </w:r>
    </w:p>
    <w:p w14:paraId="77289F96">
      <w:pPr>
        <w:adjustRightInd w:val="0"/>
        <w:spacing w:line="360" w:lineRule="auto"/>
        <w:ind w:left="2"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二、实施方案…………………………………………………………………（页码）</w:t>
      </w:r>
    </w:p>
    <w:p w14:paraId="0951420E">
      <w:pPr>
        <w:adjustRightInd w:val="0"/>
        <w:spacing w:line="360" w:lineRule="auto"/>
        <w:ind w:left="2"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三、售后服务承诺 ………………………………</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…………………………（页码）</w:t>
      </w:r>
    </w:p>
    <w:p w14:paraId="365C6046">
      <w:pPr>
        <w:adjustRightInd w:val="0"/>
        <w:spacing w:line="360" w:lineRule="auto"/>
        <w:ind w:left="2"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四、认为需要的其他技术文件或说明（如有）</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（页码）</w:t>
      </w:r>
    </w:p>
    <w:p w14:paraId="2AC927A0">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注：以上目录是基本格式要求，各供应商可根据自身情况进一步向下增加内容或细化。</w:t>
      </w:r>
    </w:p>
    <w:p w14:paraId="05DDBE72">
      <w:pPr>
        <w:snapToGrid w:val="0"/>
        <w:spacing w:before="120" w:beforeLines="50" w:after="50"/>
        <w:ind w:left="143" w:leftChars="68" w:firstLine="472" w:firstLineChars="196"/>
        <w:jc w:val="left"/>
        <w:rPr>
          <w:rFonts w:ascii="宋体" w:hAnsi="宋体" w:eastAsia="宋体" w:cs="宋体"/>
          <w:b/>
          <w:color w:val="auto"/>
          <w:sz w:val="24"/>
          <w:szCs w:val="24"/>
          <w:highlight w:val="none"/>
        </w:rPr>
      </w:pPr>
    </w:p>
    <w:p w14:paraId="02005F81">
      <w:pPr>
        <w:snapToGrid w:val="0"/>
        <w:spacing w:before="120" w:beforeLines="50" w:after="50"/>
        <w:ind w:left="143" w:leftChars="68" w:firstLine="472" w:firstLineChars="196"/>
        <w:jc w:val="lef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 xml:space="preserve"> </w:t>
      </w:r>
    </w:p>
    <w:p w14:paraId="26E7119D">
      <w:pPr>
        <w:spacing w:line="500" w:lineRule="exact"/>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一、响应服务技术需求偏离表</w:t>
      </w:r>
    </w:p>
    <w:p w14:paraId="3D00FF8B">
      <w:pPr>
        <w:spacing w:line="440" w:lineRule="exact"/>
        <w:ind w:firstLine="420" w:firstLineChars="200"/>
        <w:rPr>
          <w:rFonts w:ascii="宋体" w:hAnsi="宋体" w:eastAsia="宋体" w:cs="宋体"/>
          <w:color w:val="auto"/>
          <w:szCs w:val="20"/>
          <w:highlight w:val="none"/>
        </w:rPr>
      </w:pPr>
    </w:p>
    <w:p w14:paraId="09305F49">
      <w:pPr>
        <w:spacing w:line="6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请根据所投服务的实际技术参数，</w:t>
      </w:r>
      <w:r>
        <w:rPr>
          <w:rFonts w:hint="eastAsia" w:ascii="宋体" w:hAnsi="宋体" w:eastAsia="宋体" w:cs="宋体"/>
          <w:b/>
          <w:color w:val="auto"/>
          <w:sz w:val="28"/>
          <w:szCs w:val="28"/>
          <w:highlight w:val="none"/>
        </w:rPr>
        <w:t>逐条对应</w:t>
      </w:r>
      <w:r>
        <w:rPr>
          <w:rFonts w:hint="eastAsia" w:ascii="宋体" w:hAnsi="宋体" w:eastAsia="宋体" w:cs="宋体"/>
          <w:color w:val="auto"/>
          <w:sz w:val="24"/>
          <w:szCs w:val="24"/>
          <w:highlight w:val="none"/>
        </w:rPr>
        <w:t>本项目征集文件第二章“服务需求一览表”中的</w:t>
      </w:r>
      <w:r>
        <w:rPr>
          <w:rFonts w:hint="eastAsia" w:ascii="宋体" w:hAnsi="宋体" w:eastAsia="宋体" w:cs="宋体"/>
          <w:b/>
          <w:color w:val="auto"/>
          <w:sz w:val="28"/>
          <w:szCs w:val="28"/>
          <w:highlight w:val="none"/>
        </w:rPr>
        <w:t>采购清单及服务参数</w:t>
      </w:r>
      <w:r>
        <w:rPr>
          <w:rFonts w:hint="eastAsia" w:ascii="宋体" w:hAnsi="宋体" w:eastAsia="宋体" w:cs="宋体"/>
          <w:color w:val="auto"/>
          <w:sz w:val="24"/>
          <w:szCs w:val="24"/>
          <w:highlight w:val="none"/>
        </w:rPr>
        <w:t>详细填写相应的具体内容。“偏离说明”一栏应当选择“正偏离”、“负偏离”或“无偏离”进行填写。</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2B0C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78EA3ADE">
            <w:pPr>
              <w:rPr>
                <w:rFonts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4CC53D31">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征集文件需求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3F3B8AB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25EAACB4">
            <w:pPr>
              <w:rPr>
                <w:rFonts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F3A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103E780F">
            <w:pPr>
              <w:widowControl/>
              <w:jc w:val="left"/>
              <w:rPr>
                <w:rFonts w:ascii="宋体" w:hAnsi="宋体" w:eastAsia="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0DBE83C">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424378B7">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3822A25C">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4C020444">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04A70D59">
            <w:pPr>
              <w:widowControl/>
              <w:jc w:val="left"/>
              <w:rPr>
                <w:rFonts w:ascii="宋体" w:hAnsi="宋体" w:eastAsia="宋体" w:cs="宋体"/>
                <w:color w:val="auto"/>
                <w:szCs w:val="21"/>
                <w:highlight w:val="none"/>
              </w:rPr>
            </w:pPr>
          </w:p>
        </w:tc>
      </w:tr>
      <w:tr w14:paraId="63231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4924C6CF">
            <w:pP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15567C8C">
            <w:pP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05D02CB6">
            <w:pPr>
              <w:rPr>
                <w:rFonts w:ascii="宋体" w:hAnsi="宋体" w:eastAsia="宋体" w:cs="宋体"/>
                <w:color w:val="auto"/>
                <w:szCs w:val="21"/>
                <w:highlight w:val="none"/>
              </w:rPr>
            </w:pPr>
            <w:r>
              <w:rPr>
                <w:rFonts w:hint="eastAsia" w:ascii="宋体" w:hAnsi="宋体" w:eastAsia="宋体" w:cs="宋体"/>
                <w:color w:val="auto"/>
                <w:szCs w:val="21"/>
                <w:highlight w:val="none"/>
              </w:rPr>
              <w:t>1  ……</w:t>
            </w:r>
          </w:p>
          <w:p w14:paraId="6EB4C152">
            <w:pPr>
              <w:rPr>
                <w:rFonts w:ascii="宋体" w:hAnsi="宋体" w:eastAsia="宋体" w:cs="宋体"/>
                <w:color w:val="auto"/>
                <w:szCs w:val="21"/>
                <w:highlight w:val="none"/>
              </w:rPr>
            </w:pPr>
            <w:r>
              <w:rPr>
                <w:rFonts w:hint="eastAsia" w:ascii="宋体" w:hAnsi="宋体" w:eastAsia="宋体" w:cs="宋体"/>
                <w:color w:val="auto"/>
                <w:szCs w:val="21"/>
                <w:highlight w:val="none"/>
              </w:rPr>
              <w:t>2  ……</w:t>
            </w:r>
          </w:p>
          <w:p w14:paraId="3AA82F8C">
            <w:pPr>
              <w:rPr>
                <w:rFonts w:ascii="宋体" w:hAnsi="宋体" w:eastAsia="宋体" w:cs="宋体"/>
                <w:color w:val="auto"/>
                <w:szCs w:val="21"/>
                <w:highlight w:val="none"/>
              </w:rPr>
            </w:pPr>
            <w:r>
              <w:rPr>
                <w:rFonts w:hint="eastAsia" w:ascii="宋体" w:hAnsi="宋体" w:eastAsia="宋体" w:cs="宋体"/>
                <w:color w:val="auto"/>
                <w:szCs w:val="21"/>
                <w:highlight w:val="none"/>
              </w:rPr>
              <w:t>3  ……</w:t>
            </w:r>
          </w:p>
          <w:p w14:paraId="200501F9">
            <w:pP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5A31123C">
            <w:pP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233095C2">
            <w:pPr>
              <w:rPr>
                <w:rFonts w:ascii="宋体" w:hAnsi="宋体" w:eastAsia="宋体" w:cs="宋体"/>
                <w:color w:val="auto"/>
                <w:szCs w:val="21"/>
                <w:highlight w:val="none"/>
              </w:rPr>
            </w:pPr>
            <w:r>
              <w:rPr>
                <w:rFonts w:hint="eastAsia" w:ascii="宋体" w:hAnsi="宋体" w:eastAsia="宋体" w:cs="宋体"/>
                <w:color w:val="auto"/>
                <w:szCs w:val="21"/>
                <w:highlight w:val="none"/>
              </w:rPr>
              <w:t>1  ……</w:t>
            </w:r>
          </w:p>
          <w:p w14:paraId="35ED6E7F">
            <w:pPr>
              <w:rPr>
                <w:rFonts w:ascii="宋体" w:hAnsi="宋体" w:eastAsia="宋体" w:cs="宋体"/>
                <w:color w:val="auto"/>
                <w:szCs w:val="21"/>
                <w:highlight w:val="none"/>
              </w:rPr>
            </w:pPr>
            <w:r>
              <w:rPr>
                <w:rFonts w:hint="eastAsia" w:ascii="宋体" w:hAnsi="宋体" w:eastAsia="宋体" w:cs="宋体"/>
                <w:color w:val="auto"/>
                <w:szCs w:val="21"/>
                <w:highlight w:val="none"/>
              </w:rPr>
              <w:t>2  ……</w:t>
            </w:r>
          </w:p>
          <w:p w14:paraId="2D08A597">
            <w:pPr>
              <w:rPr>
                <w:rFonts w:ascii="宋体" w:hAnsi="宋体" w:eastAsia="宋体" w:cs="宋体"/>
                <w:color w:val="auto"/>
                <w:szCs w:val="21"/>
                <w:highlight w:val="none"/>
              </w:rPr>
            </w:pPr>
            <w:r>
              <w:rPr>
                <w:rFonts w:hint="eastAsia" w:ascii="宋体" w:hAnsi="宋体" w:eastAsia="宋体" w:cs="宋体"/>
                <w:color w:val="auto"/>
                <w:szCs w:val="21"/>
                <w:highlight w:val="none"/>
              </w:rPr>
              <w:t>3  ……</w:t>
            </w:r>
          </w:p>
          <w:p w14:paraId="7229974D">
            <w:pP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0B291EDA">
            <w:pPr>
              <w:rPr>
                <w:rFonts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tc>
      </w:tr>
      <w:tr w14:paraId="5B9D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15C833EF">
            <w:pP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4CC1B0B3">
            <w:pP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59D121C4">
            <w:pPr>
              <w:rPr>
                <w:rFonts w:ascii="宋体" w:hAnsi="宋体" w:eastAsia="宋体" w:cs="宋体"/>
                <w:color w:val="auto"/>
                <w:szCs w:val="21"/>
                <w:highlight w:val="none"/>
              </w:rPr>
            </w:pPr>
            <w:r>
              <w:rPr>
                <w:rFonts w:hint="eastAsia" w:ascii="宋体" w:hAnsi="宋体" w:eastAsia="宋体" w:cs="宋体"/>
                <w:color w:val="auto"/>
                <w:szCs w:val="21"/>
                <w:highlight w:val="none"/>
              </w:rPr>
              <w:t>1  ……</w:t>
            </w:r>
          </w:p>
          <w:p w14:paraId="73339654">
            <w:pPr>
              <w:rPr>
                <w:rFonts w:ascii="宋体" w:hAnsi="宋体" w:eastAsia="宋体" w:cs="宋体"/>
                <w:color w:val="auto"/>
                <w:szCs w:val="21"/>
                <w:highlight w:val="none"/>
              </w:rPr>
            </w:pPr>
            <w:r>
              <w:rPr>
                <w:rFonts w:hint="eastAsia" w:ascii="宋体" w:hAnsi="宋体" w:eastAsia="宋体" w:cs="宋体"/>
                <w:color w:val="auto"/>
                <w:szCs w:val="21"/>
                <w:highlight w:val="none"/>
              </w:rPr>
              <w:t>2  ……</w:t>
            </w:r>
          </w:p>
          <w:p w14:paraId="33E57568">
            <w:pPr>
              <w:rPr>
                <w:rFonts w:ascii="宋体" w:hAnsi="宋体" w:eastAsia="宋体" w:cs="宋体"/>
                <w:color w:val="auto"/>
                <w:szCs w:val="21"/>
                <w:highlight w:val="none"/>
              </w:rPr>
            </w:pPr>
            <w:r>
              <w:rPr>
                <w:rFonts w:hint="eastAsia" w:ascii="宋体" w:hAnsi="宋体" w:eastAsia="宋体" w:cs="宋体"/>
                <w:color w:val="auto"/>
                <w:szCs w:val="21"/>
                <w:highlight w:val="none"/>
              </w:rPr>
              <w:t>3  ……</w:t>
            </w:r>
          </w:p>
          <w:p w14:paraId="54670A7F">
            <w:pP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0E92E99E">
            <w:pP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4A260B6B">
            <w:pPr>
              <w:rPr>
                <w:rFonts w:ascii="宋体" w:hAnsi="宋体" w:eastAsia="宋体" w:cs="宋体"/>
                <w:color w:val="auto"/>
                <w:szCs w:val="21"/>
                <w:highlight w:val="none"/>
              </w:rPr>
            </w:pPr>
            <w:r>
              <w:rPr>
                <w:rFonts w:hint="eastAsia" w:ascii="宋体" w:hAnsi="宋体" w:eastAsia="宋体" w:cs="宋体"/>
                <w:color w:val="auto"/>
                <w:szCs w:val="21"/>
                <w:highlight w:val="none"/>
              </w:rPr>
              <w:t>1  ……</w:t>
            </w:r>
          </w:p>
          <w:p w14:paraId="1684398F">
            <w:pPr>
              <w:rPr>
                <w:rFonts w:ascii="宋体" w:hAnsi="宋体" w:eastAsia="宋体" w:cs="宋体"/>
                <w:color w:val="auto"/>
                <w:szCs w:val="21"/>
                <w:highlight w:val="none"/>
              </w:rPr>
            </w:pPr>
            <w:r>
              <w:rPr>
                <w:rFonts w:hint="eastAsia" w:ascii="宋体" w:hAnsi="宋体" w:eastAsia="宋体" w:cs="宋体"/>
                <w:color w:val="auto"/>
                <w:szCs w:val="21"/>
                <w:highlight w:val="none"/>
              </w:rPr>
              <w:t>2  ……</w:t>
            </w:r>
          </w:p>
          <w:p w14:paraId="11F33B49">
            <w:pPr>
              <w:rPr>
                <w:rFonts w:ascii="宋体" w:hAnsi="宋体" w:eastAsia="宋体" w:cs="宋体"/>
                <w:color w:val="auto"/>
                <w:szCs w:val="21"/>
                <w:highlight w:val="none"/>
              </w:rPr>
            </w:pPr>
            <w:r>
              <w:rPr>
                <w:rFonts w:hint="eastAsia" w:ascii="宋体" w:hAnsi="宋体" w:eastAsia="宋体" w:cs="宋体"/>
                <w:color w:val="auto"/>
                <w:szCs w:val="21"/>
                <w:highlight w:val="none"/>
              </w:rPr>
              <w:t>3  ……</w:t>
            </w:r>
          </w:p>
          <w:p w14:paraId="48520DF7">
            <w:pP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70EB28E9">
            <w:pPr>
              <w:rPr>
                <w:rFonts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tc>
      </w:tr>
      <w:tr w14:paraId="7718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3CA0D71F">
            <w:pP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47E8467C">
            <w:pPr>
              <w:rPr>
                <w:rFonts w:ascii="宋体" w:hAnsi="宋体" w:eastAsia="宋体" w:cs="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57B66ED2">
            <w:pPr>
              <w:rPr>
                <w:rFonts w:ascii="宋体" w:hAnsi="宋体" w:eastAsia="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7767C4BF">
            <w:pPr>
              <w:rPr>
                <w:rFonts w:ascii="宋体" w:hAnsi="宋体" w:eastAsia="宋体" w:cs="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6762B8AB">
            <w:pPr>
              <w:rPr>
                <w:rFonts w:ascii="宋体" w:hAnsi="宋体" w:eastAsia="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169DC132">
            <w:pPr>
              <w:rPr>
                <w:rFonts w:ascii="宋体" w:hAnsi="宋体" w:eastAsia="宋体" w:cs="宋体"/>
                <w:color w:val="auto"/>
                <w:szCs w:val="21"/>
                <w:highlight w:val="none"/>
              </w:rPr>
            </w:pPr>
          </w:p>
        </w:tc>
      </w:tr>
      <w:tr w14:paraId="3AC2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7AFD5DF8">
            <w:pPr>
              <w:rPr>
                <w:rFonts w:ascii="宋体" w:hAnsi="宋体" w:eastAsia="宋体" w:cs="宋体"/>
                <w:color w:val="auto"/>
                <w:szCs w:val="21"/>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bl>
    <w:p w14:paraId="15A4DEE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注：</w:t>
      </w:r>
    </w:p>
    <w:p w14:paraId="4CBEDDE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1.表格内容均需按要求填写并盖章，不得留空，</w:t>
      </w:r>
      <w:r>
        <w:rPr>
          <w:rFonts w:hint="eastAsia" w:ascii="宋体" w:hAnsi="宋体" w:eastAsia="宋体" w:cs="宋体"/>
          <w:bCs/>
          <w:color w:val="auto"/>
          <w:szCs w:val="21"/>
          <w:highlight w:val="none"/>
        </w:rPr>
        <w:t>否则按响应无效处理</w:t>
      </w:r>
      <w:r>
        <w:rPr>
          <w:rFonts w:hint="eastAsia" w:ascii="宋体" w:hAnsi="宋体" w:eastAsia="宋体" w:cs="宋体"/>
          <w:color w:val="auto"/>
          <w:szCs w:val="21"/>
          <w:highlight w:val="none"/>
        </w:rPr>
        <w:t>。</w:t>
      </w:r>
    </w:p>
    <w:p w14:paraId="39FE70D7">
      <w:pPr>
        <w:spacing w:line="360" w:lineRule="auto"/>
        <w:rPr>
          <w:rFonts w:ascii="宋体" w:hAnsi="宋体" w:eastAsia="宋体" w:cs="宋体"/>
          <w:color w:val="auto"/>
          <w:szCs w:val="21"/>
          <w:highlight w:val="none"/>
        </w:rPr>
      </w:pPr>
      <w:r>
        <w:rPr>
          <w:rFonts w:hint="eastAsia" w:ascii="宋体" w:hAnsi="宋体" w:eastAsia="宋体" w:cs="宋体"/>
          <w:bCs/>
          <w:color w:val="auto"/>
          <w:szCs w:val="21"/>
          <w:highlight w:val="none"/>
        </w:rPr>
        <w:t>2.当响应文件的服务内容低于征集文件要求时，供应商应当如实写明“负偏离”，否则视为虚假应标。</w:t>
      </w:r>
    </w:p>
    <w:p w14:paraId="7F7CBC31">
      <w:pPr>
        <w:spacing w:line="360" w:lineRule="auto"/>
        <w:rPr>
          <w:rFonts w:ascii="宋体" w:hAnsi="宋体" w:eastAsia="宋体" w:cs="宋体"/>
          <w:color w:val="auto"/>
          <w:szCs w:val="20"/>
          <w:highlight w:val="none"/>
        </w:rPr>
      </w:pPr>
      <w:r>
        <w:rPr>
          <w:rFonts w:hint="eastAsia" w:ascii="宋体" w:hAnsi="宋体" w:eastAsia="宋体" w:cs="宋体"/>
          <w:color w:val="auto"/>
          <w:szCs w:val="20"/>
          <w:highlight w:val="none"/>
        </w:rPr>
        <w:t>3.</w:t>
      </w:r>
      <w:r>
        <w:rPr>
          <w:rFonts w:hint="eastAsia" w:ascii="宋体" w:hAnsi="宋体" w:eastAsia="宋体" w:cs="宋体"/>
          <w:color w:val="auto"/>
          <w:szCs w:val="21"/>
          <w:highlight w:val="none"/>
        </w:rPr>
        <w:t>采购需求中带“▲”及“★”的条款，也要分别在本表“服务参数”、“所提供服务的内容”中标记。</w:t>
      </w:r>
    </w:p>
    <w:p w14:paraId="482E8424">
      <w:pPr>
        <w:snapToGrid w:val="0"/>
        <w:spacing w:line="360" w:lineRule="auto"/>
        <w:ind w:firstLine="5640" w:firstLineChars="2350"/>
        <w:rPr>
          <w:rFonts w:ascii="宋体" w:hAnsi="宋体" w:eastAsia="宋体" w:cs="宋体"/>
          <w:color w:val="auto"/>
          <w:kern w:val="0"/>
          <w:sz w:val="24"/>
          <w:szCs w:val="24"/>
          <w:highlight w:val="none"/>
          <w:lang w:val="zh-CN"/>
        </w:rPr>
      </w:pPr>
    </w:p>
    <w:p w14:paraId="11EDDD1F">
      <w:pPr>
        <w:snapToGrid w:val="0"/>
        <w:spacing w:line="360" w:lineRule="auto"/>
        <w:ind w:firstLine="5640" w:firstLineChars="235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供应商名称(电子签章)：</w:t>
      </w:r>
    </w:p>
    <w:p w14:paraId="45F826F4">
      <w:pPr>
        <w:snapToGrid w:val="0"/>
        <w:spacing w:line="360" w:lineRule="auto"/>
        <w:ind w:firstLine="5160" w:firstLineChars="215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415B7FFA">
      <w:pPr>
        <w:snapToGrid w:val="0"/>
        <w:spacing w:before="120" w:beforeLines="50" w:after="50"/>
        <w:ind w:left="143" w:leftChars="68" w:firstLine="600" w:firstLineChars="200"/>
        <w:jc w:val="left"/>
        <w:rPr>
          <w:rFonts w:ascii="宋体" w:hAnsi="宋体" w:eastAsia="宋体" w:cs="宋体"/>
          <w:color w:val="auto"/>
          <w:sz w:val="30"/>
          <w:szCs w:val="20"/>
          <w:highlight w:val="none"/>
        </w:rPr>
        <w:sectPr>
          <w:footerReference r:id="rId16" w:type="first"/>
          <w:headerReference r:id="rId13" w:type="default"/>
          <w:footerReference r:id="rId14" w:type="default"/>
          <w:footerReference r:id="rId15" w:type="even"/>
          <w:pgSz w:w="11906" w:h="16838"/>
          <w:pgMar w:top="1134" w:right="1134" w:bottom="1134" w:left="1134" w:header="720" w:footer="720" w:gutter="0"/>
          <w:cols w:space="720" w:num="1"/>
          <w:docGrid w:linePitch="331" w:charSpace="0"/>
        </w:sectPr>
      </w:pPr>
    </w:p>
    <w:p w14:paraId="1995E3FB">
      <w:pPr>
        <w:snapToGrid w:val="0"/>
        <w:spacing w:before="120" w:beforeLines="50" w:after="50"/>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二、实施方案</w:t>
      </w:r>
    </w:p>
    <w:p w14:paraId="70DDD26E">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（由供应商根据采购需求及征集文件要求编制）</w:t>
      </w:r>
    </w:p>
    <w:p w14:paraId="2E7AA4B7">
      <w:pPr>
        <w:rPr>
          <w:rFonts w:ascii="宋体" w:hAnsi="宋体" w:eastAsia="宋体" w:cs="宋体"/>
          <w:b/>
          <w:bCs/>
          <w:color w:val="auto"/>
          <w:kern w:val="0"/>
          <w:sz w:val="24"/>
          <w:szCs w:val="24"/>
          <w:highlight w:val="none"/>
          <w:lang w:val="zh-CN"/>
        </w:rPr>
      </w:pPr>
    </w:p>
    <w:p w14:paraId="183CC7ED">
      <w:pPr>
        <w:rPr>
          <w:rFonts w:ascii="宋体" w:hAnsi="宋体" w:eastAsia="宋体" w:cs="宋体"/>
          <w:b/>
          <w:bCs/>
          <w:color w:val="auto"/>
          <w:kern w:val="0"/>
          <w:sz w:val="24"/>
          <w:szCs w:val="24"/>
          <w:highlight w:val="none"/>
          <w:lang w:val="zh-CN"/>
        </w:rPr>
      </w:pPr>
    </w:p>
    <w:p w14:paraId="4C298789">
      <w:pPr>
        <w:autoSpaceDE w:val="0"/>
        <w:autoSpaceDN w:val="0"/>
        <w:spacing w:line="360" w:lineRule="auto"/>
        <w:ind w:firstLine="4440" w:firstLineChars="185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6BC651E7">
      <w:pPr>
        <w:autoSpaceDE w:val="0"/>
        <w:autoSpaceDN w:val="0"/>
        <w:spacing w:line="360" w:lineRule="auto"/>
        <w:rPr>
          <w:rFonts w:ascii="宋体" w:hAnsi="宋体" w:eastAsia="宋体" w:cs="宋体"/>
          <w:b/>
          <w:bCs/>
          <w:color w:val="auto"/>
          <w:sz w:val="32"/>
          <w:szCs w:val="32"/>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日期：  年  月   日</w:t>
      </w:r>
    </w:p>
    <w:p w14:paraId="5179E6EF">
      <w:pPr>
        <w:snapToGrid w:val="0"/>
        <w:spacing w:line="360" w:lineRule="auto"/>
        <w:ind w:firstLine="4935" w:firstLineChars="235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A16A7D4">
      <w:pPr>
        <w:snapToGrid w:val="0"/>
        <w:spacing w:before="120" w:beforeLines="50" w:after="50"/>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三、售后服务承诺</w:t>
      </w:r>
    </w:p>
    <w:p w14:paraId="311FDC64">
      <w:pPr>
        <w:autoSpaceDE w:val="0"/>
        <w:autoSpaceDN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（由供应商根据采购需求及征集文件要求编制）</w:t>
      </w:r>
    </w:p>
    <w:p w14:paraId="2D4847A7">
      <w:pPr>
        <w:snapToGrid w:val="0"/>
        <w:spacing w:before="120" w:beforeLines="50" w:after="50"/>
        <w:ind w:left="142"/>
        <w:jc w:val="center"/>
        <w:rPr>
          <w:rFonts w:ascii="宋体" w:hAnsi="宋体" w:eastAsia="宋体" w:cs="宋体"/>
          <w:b/>
          <w:color w:val="auto"/>
          <w:sz w:val="32"/>
          <w:szCs w:val="32"/>
          <w:highlight w:val="none"/>
        </w:rPr>
      </w:pPr>
    </w:p>
    <w:p w14:paraId="258A4C2B">
      <w:pPr>
        <w:snapToGrid w:val="0"/>
        <w:spacing w:before="120" w:beforeLines="50" w:line="360" w:lineRule="auto"/>
        <w:ind w:right="480" w:firstLine="3967" w:firstLineChars="1653"/>
        <w:rPr>
          <w:rFonts w:ascii="宋体" w:hAnsi="宋体" w:eastAsia="宋体" w:cs="宋体"/>
          <w:color w:val="auto"/>
          <w:sz w:val="24"/>
          <w:szCs w:val="24"/>
          <w:highlight w:val="none"/>
        </w:rPr>
      </w:pPr>
    </w:p>
    <w:p w14:paraId="37D1AF6F">
      <w:pPr>
        <w:snapToGrid w:val="0"/>
        <w:spacing w:line="360" w:lineRule="auto"/>
        <w:ind w:firstLine="5160" w:firstLineChars="215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供应商名称(电子签章)：</w:t>
      </w:r>
      <w:r>
        <w:rPr>
          <w:rFonts w:hint="eastAsia" w:ascii="宋体" w:hAnsi="宋体" w:eastAsia="宋体" w:cs="宋体"/>
          <w:color w:val="auto"/>
          <w:kern w:val="0"/>
          <w:sz w:val="24"/>
          <w:szCs w:val="24"/>
          <w:highlight w:val="none"/>
        </w:rPr>
        <w:t xml:space="preserve">  </w:t>
      </w:r>
    </w:p>
    <w:p w14:paraId="2A03FFCB">
      <w:pPr>
        <w:snapToGrid w:val="0"/>
        <w:spacing w:line="360" w:lineRule="auto"/>
        <w:ind w:firstLine="5160" w:firstLineChars="215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日期：  年  月   日</w:t>
      </w:r>
    </w:p>
    <w:p w14:paraId="12E2B867">
      <w:pPr>
        <w:snapToGrid w:val="0"/>
        <w:spacing w:before="120" w:beforeLines="50" w:after="50"/>
        <w:jc w:val="left"/>
        <w:rPr>
          <w:rFonts w:ascii="宋体" w:hAnsi="宋体" w:eastAsia="宋体" w:cs="宋体"/>
          <w:color w:val="auto"/>
          <w:sz w:val="24"/>
          <w:szCs w:val="24"/>
          <w:highlight w:val="none"/>
        </w:rPr>
      </w:pPr>
    </w:p>
    <w:p w14:paraId="3890E25F">
      <w:pPr>
        <w:snapToGrid w:val="0"/>
        <w:spacing w:before="120" w:beforeLines="50" w:after="50"/>
        <w:ind w:firstLine="2397" w:firstLineChars="796"/>
        <w:rPr>
          <w:rFonts w:ascii="宋体" w:hAnsi="宋体" w:eastAsia="宋体" w:cs="宋体"/>
          <w:b/>
          <w:bCs/>
          <w:color w:val="auto"/>
          <w:sz w:val="30"/>
          <w:szCs w:val="30"/>
          <w:highlight w:val="none"/>
        </w:rPr>
      </w:pPr>
    </w:p>
    <w:p w14:paraId="0F5D39E7">
      <w:pPr>
        <w:snapToGrid w:val="0"/>
        <w:spacing w:before="120" w:beforeLines="50" w:after="50"/>
        <w:ind w:firstLine="2397" w:firstLineChars="796"/>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四、认为需要的其他技术文件或说明</w:t>
      </w:r>
    </w:p>
    <w:p w14:paraId="227781D4">
      <w:pPr>
        <w:snapToGrid w:val="0"/>
        <w:spacing w:before="120" w:beforeLines="50" w:after="50"/>
        <w:ind w:firstLine="578" w:firstLineChars="241"/>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（由供应商根据采购需求自行编制）</w:t>
      </w:r>
    </w:p>
    <w:p w14:paraId="338EB726">
      <w:pPr>
        <w:spacing w:line="360" w:lineRule="auto"/>
        <w:jc w:val="center"/>
        <w:rPr>
          <w:rFonts w:ascii="宋体" w:hAnsi="宋体" w:eastAsia="宋体" w:cs="宋体"/>
          <w:color w:val="auto"/>
          <w:sz w:val="24"/>
          <w:szCs w:val="24"/>
          <w:highlight w:val="none"/>
        </w:rPr>
      </w:pPr>
    </w:p>
    <w:p w14:paraId="17C7076C">
      <w:pPr>
        <w:autoSpaceDE w:val="0"/>
        <w:autoSpaceDN w:val="0"/>
        <w:spacing w:line="360" w:lineRule="auto"/>
        <w:ind w:firstLine="4800" w:firstLineChars="2000"/>
        <w:rPr>
          <w:rFonts w:ascii="宋体" w:hAnsi="宋体" w:eastAsia="宋体" w:cs="宋体"/>
          <w:color w:val="auto"/>
          <w:kern w:val="0"/>
          <w:sz w:val="24"/>
          <w:szCs w:val="24"/>
          <w:highlight w:val="none"/>
        </w:rPr>
      </w:pPr>
    </w:p>
    <w:p w14:paraId="59A12EBC">
      <w:pPr>
        <w:autoSpaceDE w:val="0"/>
        <w:autoSpaceDN w:val="0"/>
        <w:spacing w:line="360" w:lineRule="auto"/>
        <w:ind w:firstLine="4800" w:firstLineChars="2000"/>
        <w:rPr>
          <w:rFonts w:ascii="宋体" w:hAnsi="宋体" w:eastAsia="宋体" w:cs="宋体"/>
          <w:color w:val="auto"/>
          <w:kern w:val="0"/>
          <w:sz w:val="24"/>
          <w:szCs w:val="24"/>
          <w:highlight w:val="none"/>
        </w:rPr>
      </w:pPr>
    </w:p>
    <w:p w14:paraId="45181529">
      <w:pPr>
        <w:autoSpaceDE w:val="0"/>
        <w:autoSpaceDN w:val="0"/>
        <w:spacing w:line="360" w:lineRule="auto"/>
        <w:ind w:firstLine="4800" w:firstLineChars="2000"/>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供应商名称（电子</w:t>
      </w:r>
      <w:r>
        <w:rPr>
          <w:rFonts w:hint="eastAsia" w:ascii="宋体" w:hAnsi="宋体" w:eastAsia="宋体" w:cs="宋体"/>
          <w:color w:val="auto"/>
          <w:kern w:val="0"/>
          <w:sz w:val="24"/>
          <w:szCs w:val="24"/>
          <w:highlight w:val="none"/>
          <w:lang w:val="zh-CN"/>
        </w:rPr>
        <w:t>签章</w:t>
      </w:r>
      <w:r>
        <w:rPr>
          <w:rFonts w:hint="eastAsia" w:ascii="宋体" w:hAnsi="宋体" w:eastAsia="宋体" w:cs="宋体"/>
          <w:color w:val="auto"/>
          <w:kern w:val="0"/>
          <w:sz w:val="24"/>
          <w:szCs w:val="24"/>
          <w:highlight w:val="none"/>
        </w:rPr>
        <w:t xml:space="preserve">）：                       </w:t>
      </w:r>
    </w:p>
    <w:p w14:paraId="11952C9E">
      <w:pPr>
        <w:autoSpaceDE w:val="0"/>
        <w:autoSpaceDN w:val="0"/>
        <w:spacing w:line="360" w:lineRule="auto"/>
        <w:rPr>
          <w:rFonts w:ascii="宋体" w:hAnsi="宋体" w:eastAsia="宋体" w:cs="宋体"/>
          <w:b/>
          <w:bCs/>
          <w:color w:val="auto"/>
          <w:sz w:val="30"/>
          <w:szCs w:val="30"/>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日期：  年  月   日</w:t>
      </w:r>
    </w:p>
    <w:p w14:paraId="2237B18D">
      <w:pPr>
        <w:snapToGrid w:val="0"/>
        <w:spacing w:before="120" w:beforeLines="50" w:after="50"/>
        <w:jc w:val="center"/>
        <w:rPr>
          <w:rFonts w:ascii="宋体" w:hAnsi="宋体" w:eastAsia="宋体" w:cs="宋体"/>
          <w:b/>
          <w:bCs/>
          <w:color w:val="auto"/>
          <w:sz w:val="24"/>
          <w:szCs w:val="24"/>
          <w:highlight w:val="none"/>
        </w:rPr>
        <w:sectPr>
          <w:pgSz w:w="11906" w:h="16838"/>
          <w:pgMar w:top="1134" w:right="1134" w:bottom="1134" w:left="1134" w:header="720" w:footer="720" w:gutter="0"/>
          <w:cols w:space="720" w:num="1"/>
          <w:docGrid w:linePitch="331" w:charSpace="0"/>
        </w:sectPr>
      </w:pPr>
    </w:p>
    <w:p w14:paraId="29A87337">
      <w:pPr>
        <w:jc w:val="center"/>
        <w:outlineLvl w:val="1"/>
        <w:rPr>
          <w:rFonts w:ascii="宋体" w:hAnsi="宋体" w:eastAsia="宋体" w:cs="宋体"/>
          <w:b/>
          <w:bCs/>
          <w:color w:val="auto"/>
          <w:sz w:val="28"/>
          <w:szCs w:val="28"/>
          <w:highlight w:val="none"/>
        </w:rPr>
      </w:pPr>
      <w:bookmarkStart w:id="229" w:name="_Toc5660"/>
      <w:bookmarkStart w:id="230" w:name="_Toc146703316"/>
      <w:bookmarkStart w:id="231" w:name="_Toc80093015"/>
      <w:r>
        <w:rPr>
          <w:rFonts w:hint="eastAsia" w:ascii="宋体" w:hAnsi="宋体" w:eastAsia="宋体" w:cs="宋体"/>
          <w:b/>
          <w:bCs/>
          <w:color w:val="auto"/>
          <w:sz w:val="28"/>
          <w:szCs w:val="28"/>
          <w:highlight w:val="none"/>
        </w:rPr>
        <w:t>第五节 报价文件格式</w:t>
      </w:r>
      <w:bookmarkEnd w:id="229"/>
      <w:bookmarkEnd w:id="230"/>
      <w:bookmarkEnd w:id="231"/>
    </w:p>
    <w:p w14:paraId="2CD19F2E">
      <w:pPr>
        <w:snapToGrid w:val="0"/>
        <w:spacing w:before="120" w:beforeLines="50" w:after="50" w:line="400" w:lineRule="exact"/>
        <w:jc w:val="center"/>
        <w:rPr>
          <w:rFonts w:ascii="宋体" w:hAnsi="宋体" w:eastAsia="宋体" w:cs="宋体"/>
          <w:bCs/>
          <w:color w:val="auto"/>
          <w:sz w:val="32"/>
          <w:szCs w:val="20"/>
          <w:highlight w:val="none"/>
        </w:rPr>
      </w:pPr>
      <w:r>
        <w:rPr>
          <w:rFonts w:hint="eastAsia" w:ascii="宋体" w:hAnsi="宋体" w:eastAsia="宋体" w:cs="宋体"/>
          <w:bCs/>
          <w:color w:val="auto"/>
          <w:szCs w:val="24"/>
          <w:highlight w:val="none"/>
        </w:rPr>
        <w:t>电子响应文件</w:t>
      </w:r>
    </w:p>
    <w:p w14:paraId="18C8612D">
      <w:pPr>
        <w:snapToGrid w:val="0"/>
        <w:spacing w:before="120" w:beforeLines="50" w:after="50" w:line="400" w:lineRule="exact"/>
        <w:jc w:val="center"/>
        <w:rPr>
          <w:rFonts w:ascii="宋体" w:hAnsi="宋体" w:eastAsia="宋体" w:cs="宋体"/>
          <w:bCs/>
          <w:color w:val="auto"/>
          <w:sz w:val="24"/>
          <w:szCs w:val="20"/>
          <w:highlight w:val="none"/>
        </w:rPr>
      </w:pPr>
    </w:p>
    <w:p w14:paraId="150C2612">
      <w:pPr>
        <w:snapToGrid w:val="0"/>
        <w:spacing w:before="120" w:beforeLines="50" w:after="50" w:line="400" w:lineRule="exac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报价文件（封面）</w:t>
      </w:r>
    </w:p>
    <w:p w14:paraId="23E1298E">
      <w:pPr>
        <w:snapToGrid w:val="0"/>
        <w:spacing w:before="120" w:beforeLines="50" w:after="50" w:line="400" w:lineRule="exact"/>
        <w:rPr>
          <w:rFonts w:ascii="宋体" w:hAnsi="宋体" w:eastAsia="宋体" w:cs="宋体"/>
          <w:bCs/>
          <w:color w:val="auto"/>
          <w:sz w:val="24"/>
          <w:szCs w:val="20"/>
          <w:highlight w:val="none"/>
        </w:rPr>
      </w:pPr>
    </w:p>
    <w:p w14:paraId="6BAE2D21">
      <w:pPr>
        <w:snapToGrid w:val="0"/>
        <w:spacing w:before="120" w:beforeLines="50" w:after="50" w:line="400" w:lineRule="exact"/>
        <w:rPr>
          <w:rFonts w:ascii="宋体" w:hAnsi="宋体" w:eastAsia="宋体" w:cs="宋体"/>
          <w:bCs/>
          <w:color w:val="auto"/>
          <w:sz w:val="24"/>
          <w:szCs w:val="20"/>
          <w:highlight w:val="none"/>
        </w:rPr>
      </w:pPr>
    </w:p>
    <w:p w14:paraId="7E1D23B8">
      <w:pPr>
        <w:snapToGrid w:val="0"/>
        <w:spacing w:before="120" w:beforeLines="50" w:after="50" w:line="400" w:lineRule="exact"/>
        <w:rPr>
          <w:rFonts w:ascii="宋体" w:hAnsi="宋体" w:eastAsia="宋体" w:cs="宋体"/>
          <w:bCs/>
          <w:color w:val="auto"/>
          <w:sz w:val="24"/>
          <w:szCs w:val="20"/>
          <w:highlight w:val="none"/>
        </w:rPr>
      </w:pPr>
    </w:p>
    <w:p w14:paraId="69B9E2BE">
      <w:pPr>
        <w:snapToGrid w:val="0"/>
        <w:spacing w:before="120" w:beforeLines="50" w:after="50" w:line="400" w:lineRule="exact"/>
        <w:rPr>
          <w:rFonts w:ascii="宋体" w:hAnsi="宋体" w:eastAsia="宋体" w:cs="宋体"/>
          <w:bCs/>
          <w:color w:val="auto"/>
          <w:sz w:val="24"/>
          <w:szCs w:val="20"/>
          <w:highlight w:val="none"/>
        </w:rPr>
      </w:pPr>
    </w:p>
    <w:p w14:paraId="15CCF980">
      <w:pPr>
        <w:snapToGrid w:val="0"/>
        <w:spacing w:before="120" w:beforeLines="50" w:after="50" w:line="40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项目名称： </w:t>
      </w:r>
    </w:p>
    <w:p w14:paraId="39C243DF">
      <w:pPr>
        <w:snapToGrid w:val="0"/>
        <w:spacing w:before="120" w:beforeLines="50" w:after="50" w:line="400" w:lineRule="exact"/>
        <w:ind w:firstLine="360" w:firstLineChars="150"/>
        <w:rPr>
          <w:rFonts w:ascii="宋体" w:hAnsi="宋体" w:eastAsia="宋体" w:cs="宋体"/>
          <w:bCs/>
          <w:color w:val="auto"/>
          <w:sz w:val="24"/>
          <w:szCs w:val="24"/>
          <w:highlight w:val="none"/>
        </w:rPr>
      </w:pPr>
    </w:p>
    <w:p w14:paraId="6505600B">
      <w:pPr>
        <w:snapToGrid w:val="0"/>
        <w:spacing w:before="120" w:beforeLines="50" w:after="50" w:line="40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项目编号： </w:t>
      </w:r>
    </w:p>
    <w:p w14:paraId="76EF6E37">
      <w:pPr>
        <w:snapToGrid w:val="0"/>
        <w:spacing w:before="120" w:beforeLines="50" w:after="50" w:line="400" w:lineRule="exact"/>
        <w:ind w:firstLine="360" w:firstLineChars="150"/>
        <w:rPr>
          <w:rFonts w:ascii="宋体" w:hAnsi="宋体" w:eastAsia="宋体" w:cs="宋体"/>
          <w:bCs/>
          <w:color w:val="auto"/>
          <w:sz w:val="24"/>
          <w:szCs w:val="24"/>
          <w:highlight w:val="none"/>
        </w:rPr>
      </w:pPr>
    </w:p>
    <w:p w14:paraId="2966290B">
      <w:pPr>
        <w:snapToGrid w:val="0"/>
        <w:spacing w:before="120" w:beforeLines="50" w:after="50" w:line="400" w:lineRule="exact"/>
        <w:ind w:firstLine="360" w:firstLineChars="150"/>
        <w:rPr>
          <w:rFonts w:ascii="宋体" w:hAnsi="宋体" w:eastAsia="宋体" w:cs="宋体"/>
          <w:bCs/>
          <w:color w:val="auto"/>
          <w:sz w:val="24"/>
          <w:szCs w:val="24"/>
          <w:highlight w:val="none"/>
        </w:rPr>
      </w:pPr>
    </w:p>
    <w:p w14:paraId="1FD04455">
      <w:pPr>
        <w:snapToGrid w:val="0"/>
        <w:spacing w:before="120" w:beforeLines="50" w:after="50" w:line="40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供应商名称：</w:t>
      </w:r>
    </w:p>
    <w:p w14:paraId="218B7552">
      <w:pPr>
        <w:snapToGrid w:val="0"/>
        <w:spacing w:before="120" w:beforeLines="50" w:after="50" w:line="400" w:lineRule="exact"/>
        <w:ind w:firstLine="360" w:firstLineChars="150"/>
        <w:rPr>
          <w:rFonts w:ascii="宋体" w:hAnsi="宋体" w:eastAsia="宋体" w:cs="宋体"/>
          <w:bCs/>
          <w:color w:val="auto"/>
          <w:sz w:val="24"/>
          <w:szCs w:val="24"/>
          <w:highlight w:val="none"/>
        </w:rPr>
      </w:pPr>
    </w:p>
    <w:p w14:paraId="7F4E9F04">
      <w:pPr>
        <w:snapToGrid w:val="0"/>
        <w:spacing w:before="120" w:beforeLines="50" w:after="50" w:line="40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供应商地址：</w:t>
      </w:r>
    </w:p>
    <w:p w14:paraId="3885990B">
      <w:pPr>
        <w:snapToGrid w:val="0"/>
        <w:spacing w:before="50" w:after="50" w:line="400" w:lineRule="exact"/>
        <w:ind w:firstLine="960" w:firstLineChars="400"/>
        <w:rPr>
          <w:rFonts w:ascii="宋体" w:hAnsi="宋体" w:eastAsia="宋体" w:cs="宋体"/>
          <w:bCs/>
          <w:color w:val="auto"/>
          <w:sz w:val="24"/>
          <w:szCs w:val="24"/>
          <w:highlight w:val="none"/>
        </w:rPr>
      </w:pPr>
    </w:p>
    <w:p w14:paraId="3FA0E8B4">
      <w:pPr>
        <w:snapToGrid w:val="0"/>
        <w:spacing w:before="120" w:beforeLines="50" w:after="50" w:line="400" w:lineRule="exact"/>
        <w:rPr>
          <w:rFonts w:ascii="宋体" w:hAnsi="宋体" w:eastAsia="宋体" w:cs="宋体"/>
          <w:color w:val="auto"/>
          <w:sz w:val="24"/>
          <w:szCs w:val="24"/>
          <w:highlight w:val="none"/>
        </w:rPr>
        <w:sectPr>
          <w:pgSz w:w="11906" w:h="16838"/>
          <w:pgMar w:top="1134" w:right="1134" w:bottom="1134" w:left="1134" w:header="720" w:footer="720" w:gutter="0"/>
          <w:cols w:space="720" w:num="1"/>
          <w:docGrid w:linePitch="331" w:charSpace="0"/>
        </w:sectPr>
      </w:pPr>
      <w:r>
        <w:rPr>
          <w:rFonts w:hint="eastAsia" w:ascii="宋体" w:hAnsi="宋体" w:eastAsia="宋体" w:cs="宋体"/>
          <w:color w:val="auto"/>
          <w:sz w:val="24"/>
          <w:szCs w:val="24"/>
          <w:highlight w:val="none"/>
        </w:rPr>
        <w:t xml:space="preserve">                                                       年  月  日</w:t>
      </w:r>
    </w:p>
    <w:p w14:paraId="1DA8974B">
      <w:pPr>
        <w:rPr>
          <w:rFonts w:ascii="宋体" w:hAnsi="宋体" w:eastAsia="宋体" w:cs="宋体"/>
          <w:color w:val="auto"/>
          <w:szCs w:val="24"/>
          <w:highlight w:val="none"/>
        </w:rPr>
      </w:pPr>
    </w:p>
    <w:p w14:paraId="432DA29F">
      <w:pPr>
        <w:snapToGrid w:val="0"/>
        <w:spacing w:before="120" w:beforeLines="50" w:after="50" w:line="400" w:lineRule="exac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报价文件目录</w:t>
      </w:r>
    </w:p>
    <w:p w14:paraId="186BF73D">
      <w:pPr>
        <w:rPr>
          <w:rFonts w:ascii="宋体" w:hAnsi="宋体" w:eastAsia="宋体" w:cs="宋体"/>
          <w:color w:val="auto"/>
          <w:szCs w:val="24"/>
          <w:highlight w:val="none"/>
        </w:rPr>
      </w:pPr>
    </w:p>
    <w:p w14:paraId="332128C7">
      <w:pP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一、响应函………………………………………………………（页码）</w:t>
      </w:r>
    </w:p>
    <w:p w14:paraId="430AB751">
      <w:pP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二、开标一览表…………………………………………………（页码）</w:t>
      </w:r>
    </w:p>
    <w:p w14:paraId="2045256B">
      <w:pPr>
        <w:spacing w:line="360" w:lineRule="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三、中小企业声明函（如有）……………………………………………（页码）</w:t>
      </w:r>
    </w:p>
    <w:p w14:paraId="39C321EE">
      <w:pPr>
        <w:spacing w:line="360"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w:t>
      </w:r>
      <w:r>
        <w:rPr>
          <w:rFonts w:hint="eastAsia" w:ascii="宋体" w:hAnsi="宋体" w:eastAsia="宋体" w:cs="宋体"/>
          <w:color w:val="auto"/>
          <w:kern w:val="0"/>
          <w:sz w:val="24"/>
          <w:szCs w:val="24"/>
          <w:highlight w:val="none"/>
          <w:lang w:val="zh-CN"/>
        </w:rPr>
        <w:t>残疾人福利性单位</w:t>
      </w:r>
      <w:r>
        <w:rPr>
          <w:rFonts w:hint="eastAsia" w:ascii="宋体" w:hAnsi="宋体" w:eastAsia="宋体" w:cs="宋体"/>
          <w:color w:val="auto"/>
          <w:kern w:val="0"/>
          <w:sz w:val="24"/>
          <w:szCs w:val="24"/>
          <w:highlight w:val="none"/>
        </w:rPr>
        <w:t>声明函（如有）………………………………（页码）</w:t>
      </w:r>
    </w:p>
    <w:p w14:paraId="5CAFAC57">
      <w:pPr>
        <w:spacing w:line="360"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五、属于监狱企业证明文件（如有）………………………………（页码）</w:t>
      </w:r>
    </w:p>
    <w:p w14:paraId="0CF3D0B1">
      <w:pPr>
        <w:wordWrap w:val="0"/>
        <w:spacing w:after="160"/>
        <w:outlineLvl w:val="5"/>
        <w:rPr>
          <w:rFonts w:ascii="宋体" w:hAnsi="宋体" w:eastAsia="宋体" w:cs="宋体"/>
          <w:b/>
          <w:color w:val="auto"/>
          <w:szCs w:val="24"/>
          <w:highlight w:val="none"/>
        </w:rPr>
      </w:pPr>
    </w:p>
    <w:p w14:paraId="2232366F">
      <w:pPr>
        <w:snapToGrid w:val="0"/>
        <w:spacing w:before="120" w:beforeLines="50" w:after="50" w:line="400" w:lineRule="exact"/>
        <w:ind w:firstLine="300" w:firstLineChars="100"/>
        <w:rPr>
          <w:rFonts w:ascii="宋体" w:hAnsi="宋体" w:eastAsia="宋体" w:cs="宋体"/>
          <w:color w:val="auto"/>
          <w:sz w:val="30"/>
          <w:szCs w:val="20"/>
          <w:highlight w:val="none"/>
        </w:rPr>
      </w:pPr>
    </w:p>
    <w:p w14:paraId="3084D4CA">
      <w:pPr>
        <w:wordWrap w:val="0"/>
        <w:spacing w:after="160"/>
        <w:ind w:left="2000" w:firstLine="210"/>
        <w:outlineLvl w:val="5"/>
        <w:rPr>
          <w:rFonts w:ascii="宋体" w:hAnsi="宋体" w:eastAsia="宋体" w:cs="宋体"/>
          <w:b/>
          <w:color w:val="auto"/>
          <w:szCs w:val="24"/>
          <w:highlight w:val="none"/>
        </w:rPr>
        <w:sectPr>
          <w:pgSz w:w="11906" w:h="16838"/>
          <w:pgMar w:top="1134" w:right="1134" w:bottom="1134" w:left="1134" w:header="720" w:footer="720" w:gutter="0"/>
          <w:cols w:space="720" w:num="1"/>
          <w:docGrid w:linePitch="331" w:charSpace="0"/>
        </w:sectPr>
      </w:pPr>
    </w:p>
    <w:p w14:paraId="6B87BB44">
      <w:pPr>
        <w:spacing w:line="500" w:lineRule="exact"/>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一、响应函</w:t>
      </w:r>
    </w:p>
    <w:p w14:paraId="06172716">
      <w:pPr>
        <w:spacing w:line="440" w:lineRule="exact"/>
        <w:ind w:firstLine="420" w:firstLineChars="200"/>
        <w:rPr>
          <w:rFonts w:ascii="宋体" w:hAnsi="宋体" w:eastAsia="宋体" w:cs="宋体"/>
          <w:color w:val="auto"/>
          <w:szCs w:val="20"/>
          <w:highlight w:val="none"/>
        </w:rPr>
      </w:pPr>
      <w:r>
        <w:rPr>
          <w:rFonts w:hint="eastAsia" w:ascii="宋体" w:hAnsi="宋体" w:eastAsia="宋体" w:cs="宋体"/>
          <w:color w:val="auto"/>
          <w:szCs w:val="20"/>
          <w:highlight w:val="none"/>
        </w:rPr>
        <w:t>致：</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（采购代理机构名称）</w:t>
      </w:r>
    </w:p>
    <w:p w14:paraId="783C4C8A">
      <w:pPr>
        <w:spacing w:line="440" w:lineRule="exact"/>
        <w:ind w:firstLine="420" w:firstLineChars="200"/>
        <w:rPr>
          <w:rFonts w:ascii="宋体" w:hAnsi="宋体" w:eastAsia="宋体" w:cs="宋体"/>
          <w:color w:val="auto"/>
          <w:szCs w:val="20"/>
          <w:highlight w:val="none"/>
        </w:rPr>
      </w:pPr>
      <w:r>
        <w:rPr>
          <w:rFonts w:hint="eastAsia" w:ascii="宋体" w:hAnsi="宋体" w:eastAsia="宋体" w:cs="宋体"/>
          <w:color w:val="auto"/>
          <w:szCs w:val="20"/>
          <w:highlight w:val="none"/>
        </w:rPr>
        <w:t>我方已仔细阅读了贵方组织的</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项目（项目编号：             ）的征集文件的全部内容，授权</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(全权代表姓名)</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 xml:space="preserve"> (职务、职称)为全权代表，现正式递交下述文件参加贵方组织的本次政府采购活动： </w:t>
      </w:r>
    </w:p>
    <w:p w14:paraId="4272D3CA">
      <w:pPr>
        <w:spacing w:line="440" w:lineRule="exact"/>
        <w:ind w:firstLine="420" w:firstLineChars="200"/>
        <w:rPr>
          <w:rFonts w:ascii="宋体" w:hAnsi="宋体" w:eastAsia="宋体" w:cs="宋体"/>
          <w:color w:val="auto"/>
          <w:szCs w:val="20"/>
          <w:highlight w:val="none"/>
        </w:rPr>
      </w:pPr>
      <w:r>
        <w:rPr>
          <w:rFonts w:hint="eastAsia" w:ascii="宋体" w:hAnsi="宋体" w:eastAsia="宋体" w:cs="宋体"/>
          <w:color w:val="auto"/>
          <w:szCs w:val="20"/>
          <w:highlight w:val="none"/>
        </w:rPr>
        <w:t>一、报价文件电子版一份（包含按供应商须知前附表要求提交的全部文件）；</w:t>
      </w:r>
    </w:p>
    <w:p w14:paraId="4462E508">
      <w:pPr>
        <w:spacing w:line="440" w:lineRule="exact"/>
        <w:ind w:firstLine="482"/>
        <w:rPr>
          <w:rFonts w:ascii="宋体" w:hAnsi="宋体" w:eastAsia="宋体" w:cs="宋体"/>
          <w:color w:val="auto"/>
          <w:szCs w:val="20"/>
          <w:highlight w:val="none"/>
        </w:rPr>
      </w:pPr>
      <w:r>
        <w:rPr>
          <w:rFonts w:hint="eastAsia" w:ascii="宋体" w:hAnsi="宋体" w:eastAsia="宋体" w:cs="宋体"/>
          <w:color w:val="auto"/>
          <w:szCs w:val="20"/>
          <w:highlight w:val="none"/>
        </w:rPr>
        <w:t>二、资格文件电子版一份（包含按供应商须知前附表要求提交的全部文件）；</w:t>
      </w:r>
    </w:p>
    <w:p w14:paraId="21448B04">
      <w:pPr>
        <w:spacing w:line="440" w:lineRule="exact"/>
        <w:ind w:firstLine="482"/>
        <w:rPr>
          <w:rFonts w:ascii="宋体" w:hAnsi="宋体" w:eastAsia="宋体" w:cs="宋体"/>
          <w:color w:val="auto"/>
          <w:szCs w:val="20"/>
          <w:highlight w:val="none"/>
        </w:rPr>
      </w:pPr>
      <w:r>
        <w:rPr>
          <w:rFonts w:hint="eastAsia" w:ascii="宋体" w:hAnsi="宋体" w:eastAsia="宋体" w:cs="宋体"/>
          <w:color w:val="auto"/>
          <w:szCs w:val="20"/>
          <w:highlight w:val="none"/>
        </w:rPr>
        <w:t>三、技术文件电子版一份（包含按供应商须知前附表要求提交的全部文件）；</w:t>
      </w:r>
    </w:p>
    <w:p w14:paraId="5550C4B2">
      <w:pPr>
        <w:spacing w:line="440" w:lineRule="exact"/>
        <w:ind w:firstLine="482"/>
        <w:rPr>
          <w:rFonts w:ascii="宋体" w:hAnsi="宋体" w:eastAsia="宋体" w:cs="宋体"/>
          <w:color w:val="auto"/>
          <w:szCs w:val="20"/>
          <w:highlight w:val="none"/>
        </w:rPr>
      </w:pPr>
      <w:r>
        <w:rPr>
          <w:rFonts w:hint="eastAsia" w:ascii="宋体" w:hAnsi="宋体" w:eastAsia="宋体" w:cs="宋体"/>
          <w:color w:val="auto"/>
          <w:szCs w:val="20"/>
          <w:highlight w:val="none"/>
        </w:rPr>
        <w:t>四、商务文件电子版一份（包含按供应商须知前附表要求提交的全部文件）；</w:t>
      </w:r>
    </w:p>
    <w:p w14:paraId="2C66A611">
      <w:pPr>
        <w:spacing w:line="440" w:lineRule="exact"/>
        <w:ind w:firstLine="482"/>
        <w:rPr>
          <w:rFonts w:ascii="宋体" w:hAnsi="宋体" w:eastAsia="宋体" w:cs="宋体"/>
          <w:color w:val="auto"/>
          <w:szCs w:val="20"/>
          <w:highlight w:val="none"/>
        </w:rPr>
      </w:pPr>
      <w:r>
        <w:rPr>
          <w:rFonts w:hint="eastAsia" w:ascii="宋体" w:hAnsi="宋体" w:eastAsia="宋体" w:cs="宋体"/>
          <w:color w:val="auto"/>
          <w:szCs w:val="20"/>
          <w:highlight w:val="none"/>
        </w:rPr>
        <w:t>据此函，签字人兹宣布：</w:t>
      </w:r>
    </w:p>
    <w:p w14:paraId="60B23795">
      <w:pPr>
        <w:spacing w:line="440" w:lineRule="exact"/>
        <w:ind w:firstLine="420" w:firstLineChars="200"/>
        <w:rPr>
          <w:rFonts w:ascii="宋体" w:hAnsi="宋体" w:eastAsia="宋体" w:cs="宋体"/>
          <w:color w:val="auto"/>
          <w:szCs w:val="20"/>
          <w:highlight w:val="none"/>
        </w:rPr>
      </w:pPr>
      <w:r>
        <w:rPr>
          <w:rFonts w:hint="eastAsia" w:ascii="宋体" w:hAnsi="宋体" w:eastAsia="宋体" w:cs="宋体"/>
          <w:color w:val="auto"/>
          <w:szCs w:val="20"/>
          <w:highlight w:val="none"/>
        </w:rPr>
        <w:t>1、响应报价</w:t>
      </w:r>
    </w:p>
    <w:p w14:paraId="7255F369">
      <w:pPr>
        <w:spacing w:line="360" w:lineRule="exact"/>
        <w:ind w:firstLine="420" w:firstLineChars="200"/>
        <w:rPr>
          <w:rFonts w:ascii="宋体" w:hAnsi="宋体" w:eastAsia="宋体" w:cs="宋体"/>
          <w:color w:val="auto"/>
          <w:szCs w:val="20"/>
          <w:highlight w:val="none"/>
          <w:u w:val="single"/>
        </w:rPr>
      </w:pPr>
      <w:r>
        <w:rPr>
          <w:rFonts w:hint="eastAsia" w:hAnsi="宋体" w:cs="宋体"/>
          <w:color w:val="auto"/>
          <w:highlight w:val="none"/>
        </w:rPr>
        <w:t>我方愿意</w:t>
      </w:r>
      <w:r>
        <w:rPr>
          <w:rFonts w:hint="eastAsia" w:hAnsi="宋体"/>
          <w:color w:val="auto"/>
          <w:highlight w:val="none"/>
          <w:u w:val="single"/>
        </w:rPr>
        <w:t>按本项目征集文件规定的计费方式和费率（即最高限制单价，</w:t>
      </w:r>
      <w:r>
        <w:rPr>
          <w:rFonts w:hint="eastAsia" w:ascii="宋体" w:hAnsi="宋体"/>
          <w:color w:val="auto"/>
          <w:szCs w:val="21"/>
          <w:highlight w:val="none"/>
          <w:u w:val="single"/>
        </w:rPr>
        <w:t>含固定下浮系数</w:t>
      </w:r>
      <w:r>
        <w:rPr>
          <w:rFonts w:hint="eastAsia" w:hAnsi="宋体"/>
          <w:color w:val="auto"/>
          <w:highlight w:val="none"/>
          <w:u w:val="single"/>
        </w:rPr>
        <w:t>）计费</w:t>
      </w:r>
      <w:r>
        <w:rPr>
          <w:rFonts w:hint="eastAsia" w:hAnsi="宋体" w:cs="宋体"/>
          <w:color w:val="auto"/>
          <w:highlight w:val="none"/>
        </w:rPr>
        <w:t>进行响应</w:t>
      </w:r>
      <w:r>
        <w:rPr>
          <w:rFonts w:hint="eastAsia" w:ascii="宋体" w:hAnsi="宋体" w:eastAsia="宋体" w:cs="宋体"/>
          <w:color w:val="auto"/>
          <w:szCs w:val="20"/>
          <w:highlight w:val="none"/>
        </w:rPr>
        <w:t>，框架协议的期限；</w:t>
      </w:r>
      <w:r>
        <w:rPr>
          <w:rFonts w:hint="eastAsia" w:ascii="宋体" w:hAnsi="宋体" w:eastAsia="宋体" w:cs="宋体"/>
          <w:color w:val="auto"/>
          <w:szCs w:val="20"/>
          <w:highlight w:val="none"/>
          <w:u w:val="single"/>
        </w:rPr>
        <w:t xml:space="preserve">               </w:t>
      </w:r>
    </w:p>
    <w:p w14:paraId="0B77EC79">
      <w:pPr>
        <w:spacing w:line="360" w:lineRule="exact"/>
        <w:ind w:firstLine="420" w:firstLineChars="200"/>
        <w:rPr>
          <w:rFonts w:ascii="宋体" w:hAnsi="宋体" w:eastAsia="宋体" w:cs="宋体"/>
          <w:color w:val="auto"/>
          <w:szCs w:val="20"/>
          <w:highlight w:val="none"/>
          <w:u w:val="single"/>
        </w:rPr>
      </w:pPr>
      <w:r>
        <w:rPr>
          <w:rFonts w:hint="eastAsia" w:ascii="宋体" w:hAnsi="宋体" w:eastAsia="宋体" w:cs="宋体"/>
          <w:color w:val="auto"/>
          <w:szCs w:val="20"/>
          <w:highlight w:val="none"/>
        </w:rPr>
        <w:t>2、我方同意自本项目征集文件“第三章 供应商须知”第一节 供应商须知前附表 第21.2项规定的响应截止时间（开标时间）起遵循本响应函，并承诺在“供应商须知前附表”第17.2项规定的响应有效期内不修改、撤销响应文件。</w:t>
      </w:r>
    </w:p>
    <w:p w14:paraId="6843AA4D">
      <w:pPr>
        <w:spacing w:line="360" w:lineRule="exact"/>
        <w:ind w:firstLine="420" w:firstLineChars="200"/>
        <w:rPr>
          <w:rFonts w:ascii="宋体" w:hAnsi="宋体" w:eastAsia="宋体" w:cs="宋体"/>
          <w:color w:val="auto"/>
          <w:szCs w:val="20"/>
          <w:highlight w:val="none"/>
          <w:u w:val="single"/>
        </w:rPr>
      </w:pPr>
      <w:r>
        <w:rPr>
          <w:rFonts w:hint="eastAsia" w:ascii="宋体" w:hAnsi="宋体" w:eastAsia="宋体" w:cs="宋体"/>
          <w:color w:val="auto"/>
          <w:szCs w:val="20"/>
          <w:highlight w:val="none"/>
        </w:rPr>
        <w:t>3、我方所递交的响应文件及有关资料都是内容完整、真实和准确的。</w:t>
      </w:r>
    </w:p>
    <w:p w14:paraId="221C2BAC">
      <w:pPr>
        <w:spacing w:line="360" w:lineRule="exact"/>
        <w:ind w:firstLine="420" w:firstLineChars="200"/>
        <w:rPr>
          <w:rFonts w:ascii="宋体" w:hAnsi="宋体" w:eastAsia="宋体" w:cs="宋体"/>
          <w:color w:val="auto"/>
          <w:szCs w:val="20"/>
          <w:highlight w:val="none"/>
          <w:u w:val="single"/>
        </w:rPr>
      </w:pPr>
      <w:r>
        <w:rPr>
          <w:rFonts w:hint="eastAsia" w:ascii="宋体" w:hAnsi="宋体" w:eastAsia="宋体" w:cs="宋体"/>
          <w:color w:val="auto"/>
          <w:szCs w:val="20"/>
          <w:highlight w:val="none"/>
        </w:rPr>
        <w:t>4、我方承诺</w:t>
      </w:r>
      <w:r>
        <w:rPr>
          <w:rFonts w:hint="eastAsia" w:ascii="宋体" w:hAnsi="宋体" w:eastAsia="宋体" w:cs="宋体"/>
          <w:bCs/>
          <w:color w:val="auto"/>
          <w:szCs w:val="24"/>
          <w:highlight w:val="none"/>
        </w:rPr>
        <w:t>2019年7月至今，</w:t>
      </w:r>
      <w:r>
        <w:rPr>
          <w:rFonts w:hint="eastAsia" w:ascii="宋体" w:hAnsi="宋体" w:eastAsia="宋体" w:cs="宋体"/>
          <w:color w:val="auto"/>
          <w:szCs w:val="20"/>
          <w:highlight w:val="none"/>
        </w:rPr>
        <w:t>未被列入失信被执行人、重大税收违法案件当事人名单、政府采购严重违法失信行为记录名单，并已经具备《中华人民共和国政府采购法》中规定的参加政府采购活动的供应商应当具备的条件：</w:t>
      </w:r>
    </w:p>
    <w:p w14:paraId="2982EA6E">
      <w:pPr>
        <w:numPr>
          <w:ilvl w:val="0"/>
          <w:numId w:val="5"/>
        </w:numPr>
        <w:spacing w:line="440" w:lineRule="exact"/>
        <w:rPr>
          <w:rFonts w:ascii="宋体" w:hAnsi="宋体" w:eastAsia="宋体" w:cs="宋体"/>
          <w:color w:val="auto"/>
          <w:szCs w:val="20"/>
          <w:highlight w:val="none"/>
        </w:rPr>
      </w:pPr>
      <w:r>
        <w:rPr>
          <w:rFonts w:hint="eastAsia" w:ascii="宋体" w:hAnsi="宋体" w:eastAsia="宋体" w:cs="宋体"/>
          <w:color w:val="auto"/>
          <w:szCs w:val="20"/>
          <w:highlight w:val="none"/>
        </w:rPr>
        <w:t>具有独立承担民事责任的能力；</w:t>
      </w:r>
    </w:p>
    <w:p w14:paraId="0CACB39C">
      <w:pPr>
        <w:numPr>
          <w:ilvl w:val="0"/>
          <w:numId w:val="5"/>
        </w:numPr>
        <w:spacing w:line="440" w:lineRule="exact"/>
        <w:rPr>
          <w:rFonts w:ascii="宋体" w:hAnsi="宋体" w:eastAsia="宋体" w:cs="宋体"/>
          <w:color w:val="auto"/>
          <w:szCs w:val="20"/>
          <w:highlight w:val="none"/>
        </w:rPr>
      </w:pPr>
      <w:r>
        <w:rPr>
          <w:rFonts w:hint="eastAsia" w:ascii="宋体" w:hAnsi="宋体" w:eastAsia="宋体" w:cs="宋体"/>
          <w:color w:val="auto"/>
          <w:szCs w:val="20"/>
          <w:highlight w:val="none"/>
        </w:rPr>
        <w:t>具有良好的商业信誉和健全的财务会计制度；</w:t>
      </w:r>
    </w:p>
    <w:p w14:paraId="5F285464">
      <w:pPr>
        <w:numPr>
          <w:ilvl w:val="0"/>
          <w:numId w:val="5"/>
        </w:numPr>
        <w:spacing w:line="440" w:lineRule="exact"/>
        <w:rPr>
          <w:rFonts w:ascii="宋体" w:hAnsi="宋体" w:eastAsia="宋体" w:cs="宋体"/>
          <w:color w:val="auto"/>
          <w:szCs w:val="20"/>
          <w:highlight w:val="none"/>
        </w:rPr>
      </w:pPr>
      <w:r>
        <w:rPr>
          <w:rFonts w:hint="eastAsia" w:ascii="宋体" w:hAnsi="宋体" w:eastAsia="宋体" w:cs="宋体"/>
          <w:color w:val="auto"/>
          <w:szCs w:val="20"/>
          <w:highlight w:val="none"/>
        </w:rPr>
        <w:t>具有履行合同所必需的设备和专业技术能力；</w:t>
      </w:r>
    </w:p>
    <w:p w14:paraId="69ACA1E9">
      <w:pPr>
        <w:numPr>
          <w:ilvl w:val="0"/>
          <w:numId w:val="5"/>
        </w:numPr>
        <w:spacing w:line="440" w:lineRule="exact"/>
        <w:rPr>
          <w:rFonts w:ascii="宋体" w:hAnsi="宋体" w:eastAsia="宋体" w:cs="宋体"/>
          <w:color w:val="auto"/>
          <w:szCs w:val="20"/>
          <w:highlight w:val="none"/>
        </w:rPr>
      </w:pPr>
      <w:r>
        <w:rPr>
          <w:rFonts w:hint="eastAsia" w:ascii="宋体" w:hAnsi="宋体" w:eastAsia="宋体" w:cs="宋体"/>
          <w:color w:val="auto"/>
          <w:szCs w:val="20"/>
          <w:highlight w:val="none"/>
        </w:rPr>
        <w:t>有依法缴纳税收和社会保障资金的良好记录；</w:t>
      </w:r>
    </w:p>
    <w:p w14:paraId="18C7E0E2">
      <w:pPr>
        <w:numPr>
          <w:ilvl w:val="0"/>
          <w:numId w:val="5"/>
        </w:numPr>
        <w:spacing w:line="440" w:lineRule="exact"/>
        <w:rPr>
          <w:rFonts w:ascii="宋体" w:hAnsi="宋体" w:eastAsia="宋体" w:cs="宋体"/>
          <w:color w:val="auto"/>
          <w:szCs w:val="20"/>
          <w:highlight w:val="none"/>
        </w:rPr>
      </w:pPr>
      <w:r>
        <w:rPr>
          <w:rFonts w:hint="eastAsia" w:ascii="宋体" w:hAnsi="宋体" w:eastAsia="宋体" w:cs="宋体"/>
          <w:color w:val="auto"/>
          <w:szCs w:val="20"/>
          <w:highlight w:val="none"/>
        </w:rPr>
        <w:t>参加政府采购活动前三年内，在经营活动中没有重大违法记录；</w:t>
      </w:r>
    </w:p>
    <w:p w14:paraId="3BF844E4">
      <w:pPr>
        <w:numPr>
          <w:ilvl w:val="0"/>
          <w:numId w:val="5"/>
        </w:numPr>
        <w:spacing w:line="440" w:lineRule="exact"/>
        <w:rPr>
          <w:rFonts w:ascii="宋体" w:hAnsi="宋体" w:eastAsia="宋体" w:cs="宋体"/>
          <w:color w:val="auto"/>
          <w:szCs w:val="20"/>
          <w:highlight w:val="none"/>
        </w:rPr>
      </w:pPr>
      <w:r>
        <w:rPr>
          <w:rFonts w:hint="eastAsia" w:ascii="宋体" w:hAnsi="宋体" w:eastAsia="宋体" w:cs="宋体"/>
          <w:color w:val="auto"/>
          <w:szCs w:val="20"/>
          <w:highlight w:val="none"/>
        </w:rPr>
        <w:t>法律、行政法规规定的其他条件。</w:t>
      </w:r>
    </w:p>
    <w:p w14:paraId="7A9A7191">
      <w:pPr>
        <w:spacing w:line="440" w:lineRule="exact"/>
        <w:ind w:firstLine="482"/>
        <w:rPr>
          <w:rFonts w:ascii="宋体" w:hAnsi="宋体" w:eastAsia="宋体" w:cs="宋体"/>
          <w:color w:val="auto"/>
          <w:szCs w:val="20"/>
          <w:highlight w:val="none"/>
        </w:rPr>
      </w:pPr>
      <w:r>
        <w:rPr>
          <w:rFonts w:hint="eastAsia" w:ascii="宋体" w:hAnsi="宋体" w:eastAsia="宋体" w:cs="宋体"/>
          <w:color w:val="auto"/>
          <w:szCs w:val="20"/>
          <w:highlight w:val="none"/>
        </w:rPr>
        <w:t>5、</w:t>
      </w:r>
      <w:r>
        <w:rPr>
          <w:rFonts w:hint="eastAsia" w:ascii="宋体" w:hAnsi="宋体" w:eastAsia="宋体" w:cs="宋体"/>
          <w:color w:val="auto"/>
          <w:szCs w:val="21"/>
          <w:highlight w:val="none"/>
        </w:rPr>
        <w:t>如本项目采购内容涉及须符合国家强制规定的，我方承诺我方本次响应（包括资格条件和所投产品）均符合国家有关强制规定。</w:t>
      </w:r>
    </w:p>
    <w:p w14:paraId="5391E1DD">
      <w:pPr>
        <w:spacing w:line="440" w:lineRule="exact"/>
        <w:ind w:firstLine="420" w:firstLineChars="200"/>
        <w:rPr>
          <w:rFonts w:ascii="宋体" w:hAnsi="宋体" w:eastAsia="宋体" w:cs="宋体"/>
          <w:color w:val="auto"/>
          <w:szCs w:val="20"/>
          <w:highlight w:val="none"/>
        </w:rPr>
      </w:pPr>
      <w:r>
        <w:rPr>
          <w:rFonts w:hint="eastAsia" w:ascii="宋体" w:hAnsi="宋体" w:eastAsia="宋体" w:cs="宋体"/>
          <w:color w:val="auto"/>
          <w:szCs w:val="20"/>
          <w:highlight w:val="none"/>
        </w:rPr>
        <w:t>6、如我方入围，我方承诺在收到入围通知书后，在入围通知书规定的期限内，根据征集文件、我方的响应文件及有关澄清承诺书的要求按第五章“拟签订的合同文本”与征集人订立书面合同，并按照合同约定承担完成合同的责任和义务。</w:t>
      </w:r>
    </w:p>
    <w:p w14:paraId="1442745A">
      <w:pPr>
        <w:spacing w:line="440" w:lineRule="exact"/>
        <w:ind w:firstLine="420" w:firstLineChars="200"/>
        <w:rPr>
          <w:rFonts w:ascii="宋体" w:hAnsi="宋体" w:eastAsia="宋体" w:cs="宋体"/>
          <w:color w:val="auto"/>
          <w:szCs w:val="20"/>
          <w:highlight w:val="none"/>
        </w:rPr>
      </w:pPr>
      <w:r>
        <w:rPr>
          <w:rFonts w:hint="eastAsia" w:ascii="宋体" w:hAnsi="宋体" w:eastAsia="宋体" w:cs="宋体"/>
          <w:color w:val="auto"/>
          <w:szCs w:val="20"/>
          <w:highlight w:val="none"/>
        </w:rPr>
        <w:t>7、我方已详细审核征集文件，我方知道必须放弃提出含糊不清或误解问题的权利。</w:t>
      </w:r>
    </w:p>
    <w:p w14:paraId="6A734598">
      <w:pPr>
        <w:spacing w:line="440" w:lineRule="exact"/>
        <w:ind w:firstLine="420" w:firstLineChars="200"/>
        <w:rPr>
          <w:rFonts w:ascii="宋体" w:hAnsi="宋体" w:eastAsia="宋体" w:cs="宋体"/>
          <w:color w:val="auto"/>
          <w:szCs w:val="20"/>
          <w:highlight w:val="none"/>
        </w:rPr>
      </w:pPr>
      <w:r>
        <w:rPr>
          <w:rFonts w:hint="eastAsia" w:ascii="宋体" w:hAnsi="宋体" w:eastAsia="宋体" w:cs="宋体"/>
          <w:color w:val="auto"/>
          <w:szCs w:val="20"/>
          <w:highlight w:val="none"/>
        </w:rPr>
        <w:t>8、我方同意应贵方要求提供与本响应有关的任何数据或资料。若贵方需要，我方愿意提供我方作出的一切承诺的证明材料。</w:t>
      </w:r>
    </w:p>
    <w:p w14:paraId="37EB1CA4">
      <w:pPr>
        <w:spacing w:line="440" w:lineRule="exact"/>
        <w:ind w:firstLine="420" w:firstLineChars="200"/>
        <w:rPr>
          <w:rFonts w:ascii="宋体" w:hAnsi="宋体" w:eastAsia="宋体" w:cs="宋体"/>
          <w:color w:val="auto"/>
          <w:szCs w:val="20"/>
          <w:highlight w:val="none"/>
        </w:rPr>
      </w:pPr>
      <w:r>
        <w:rPr>
          <w:rFonts w:hint="eastAsia" w:ascii="宋体" w:hAnsi="宋体" w:eastAsia="宋体" w:cs="宋体"/>
          <w:color w:val="auto"/>
          <w:szCs w:val="20"/>
          <w:highlight w:val="none"/>
        </w:rPr>
        <w:t>9、我方完全理解贵方不一定接受响应报价最低的供应商为入围供应商的行为。</w:t>
      </w:r>
    </w:p>
    <w:p w14:paraId="698C3B71">
      <w:pPr>
        <w:spacing w:line="440" w:lineRule="exact"/>
        <w:ind w:firstLine="420" w:firstLineChars="200"/>
        <w:rPr>
          <w:rFonts w:ascii="宋体" w:hAnsi="宋体" w:eastAsia="宋体" w:cs="宋体"/>
          <w:color w:val="auto"/>
          <w:szCs w:val="20"/>
          <w:highlight w:val="none"/>
        </w:rPr>
      </w:pPr>
      <w:r>
        <w:rPr>
          <w:rFonts w:hint="eastAsia" w:ascii="宋体" w:hAnsi="宋体" w:eastAsia="宋体" w:cs="宋体"/>
          <w:color w:val="auto"/>
          <w:szCs w:val="20"/>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5E5D431">
      <w:pPr>
        <w:numPr>
          <w:ilvl w:val="0"/>
          <w:numId w:val="6"/>
        </w:numPr>
        <w:spacing w:line="440" w:lineRule="exact"/>
        <w:rPr>
          <w:rFonts w:ascii="宋体" w:hAnsi="宋体" w:eastAsia="宋体" w:cs="宋体"/>
          <w:color w:val="auto"/>
          <w:szCs w:val="20"/>
          <w:highlight w:val="none"/>
        </w:rPr>
      </w:pPr>
      <w:r>
        <w:rPr>
          <w:rFonts w:hint="eastAsia" w:ascii="宋体" w:hAnsi="宋体" w:eastAsia="宋体" w:cs="宋体"/>
          <w:color w:val="auto"/>
          <w:szCs w:val="20"/>
          <w:highlight w:val="none"/>
        </w:rPr>
        <w:t>提供虚假材料谋取入围、成交的；</w:t>
      </w:r>
    </w:p>
    <w:p w14:paraId="370D72DA">
      <w:pPr>
        <w:numPr>
          <w:ilvl w:val="0"/>
          <w:numId w:val="6"/>
        </w:numPr>
        <w:spacing w:line="440" w:lineRule="exact"/>
        <w:rPr>
          <w:rFonts w:ascii="宋体" w:hAnsi="宋体" w:eastAsia="宋体" w:cs="宋体"/>
          <w:color w:val="auto"/>
          <w:szCs w:val="20"/>
          <w:highlight w:val="none"/>
        </w:rPr>
      </w:pPr>
      <w:r>
        <w:rPr>
          <w:rFonts w:hint="eastAsia" w:ascii="宋体" w:hAnsi="宋体" w:eastAsia="宋体" w:cs="宋体"/>
          <w:color w:val="auto"/>
          <w:szCs w:val="20"/>
          <w:highlight w:val="none"/>
        </w:rPr>
        <w:t>采取不正当手段诋毁、排挤其他供应商的；</w:t>
      </w:r>
    </w:p>
    <w:p w14:paraId="4B3824B9">
      <w:pPr>
        <w:numPr>
          <w:ilvl w:val="0"/>
          <w:numId w:val="6"/>
        </w:numPr>
        <w:spacing w:line="440" w:lineRule="exact"/>
        <w:rPr>
          <w:rFonts w:ascii="宋体" w:hAnsi="宋体" w:eastAsia="宋体" w:cs="宋体"/>
          <w:color w:val="auto"/>
          <w:szCs w:val="20"/>
          <w:highlight w:val="none"/>
        </w:rPr>
      </w:pPr>
      <w:r>
        <w:rPr>
          <w:rFonts w:hint="eastAsia" w:ascii="宋体" w:hAnsi="宋体" w:eastAsia="宋体" w:cs="宋体"/>
          <w:color w:val="auto"/>
          <w:szCs w:val="20"/>
          <w:highlight w:val="none"/>
        </w:rPr>
        <w:t>与采购人、其他供应商或者采购代理机构恶意串通的；</w:t>
      </w:r>
    </w:p>
    <w:p w14:paraId="58F4BB99">
      <w:pPr>
        <w:numPr>
          <w:ilvl w:val="0"/>
          <w:numId w:val="6"/>
        </w:numPr>
        <w:spacing w:line="440" w:lineRule="exact"/>
        <w:rPr>
          <w:rFonts w:ascii="宋体" w:hAnsi="宋体" w:eastAsia="宋体" w:cs="宋体"/>
          <w:color w:val="auto"/>
          <w:szCs w:val="20"/>
          <w:highlight w:val="none"/>
        </w:rPr>
      </w:pPr>
      <w:r>
        <w:rPr>
          <w:rFonts w:hint="eastAsia" w:ascii="宋体" w:hAnsi="宋体" w:eastAsia="宋体" w:cs="宋体"/>
          <w:color w:val="auto"/>
          <w:szCs w:val="20"/>
          <w:highlight w:val="none"/>
        </w:rPr>
        <w:t>向采购人、采购代理机构行贿或者提供其他不正当利益的；</w:t>
      </w:r>
    </w:p>
    <w:p w14:paraId="713330AD">
      <w:pPr>
        <w:numPr>
          <w:ilvl w:val="0"/>
          <w:numId w:val="6"/>
        </w:numPr>
        <w:spacing w:line="440" w:lineRule="exact"/>
        <w:rPr>
          <w:rFonts w:ascii="宋体" w:hAnsi="宋体" w:eastAsia="宋体" w:cs="宋体"/>
          <w:color w:val="auto"/>
          <w:szCs w:val="20"/>
          <w:highlight w:val="none"/>
        </w:rPr>
      </w:pPr>
      <w:r>
        <w:rPr>
          <w:rFonts w:hint="eastAsia" w:ascii="宋体" w:hAnsi="宋体" w:eastAsia="宋体" w:cs="宋体"/>
          <w:color w:val="auto"/>
          <w:szCs w:val="20"/>
          <w:highlight w:val="none"/>
        </w:rPr>
        <w:t>在征集采购过程中与采购人进行协商谈判的；</w:t>
      </w:r>
    </w:p>
    <w:p w14:paraId="53024269">
      <w:pPr>
        <w:numPr>
          <w:ilvl w:val="0"/>
          <w:numId w:val="6"/>
        </w:numPr>
        <w:spacing w:line="440" w:lineRule="exact"/>
        <w:rPr>
          <w:rFonts w:ascii="宋体" w:hAnsi="宋体" w:eastAsia="宋体" w:cs="宋体"/>
          <w:color w:val="auto"/>
          <w:szCs w:val="20"/>
          <w:highlight w:val="none"/>
        </w:rPr>
      </w:pPr>
      <w:r>
        <w:rPr>
          <w:rFonts w:hint="eastAsia" w:ascii="宋体" w:hAnsi="宋体" w:eastAsia="宋体" w:cs="宋体"/>
          <w:color w:val="auto"/>
          <w:szCs w:val="20"/>
          <w:highlight w:val="none"/>
        </w:rPr>
        <w:t>拒绝有关部门监督检查或提供虚假情况的。</w:t>
      </w:r>
    </w:p>
    <w:p w14:paraId="4EBB4EBF">
      <w:pPr>
        <w:spacing w:line="440" w:lineRule="exact"/>
        <w:ind w:left="420"/>
        <w:rPr>
          <w:rFonts w:ascii="宋体" w:hAnsi="宋体" w:eastAsia="宋体" w:cs="宋体"/>
          <w:color w:val="auto"/>
          <w:szCs w:val="20"/>
          <w:highlight w:val="none"/>
        </w:rPr>
      </w:pPr>
      <w:r>
        <w:rPr>
          <w:rFonts w:hint="eastAsia" w:ascii="宋体" w:hAnsi="宋体" w:eastAsia="宋体" w:cs="宋体"/>
          <w:color w:val="auto"/>
          <w:szCs w:val="20"/>
          <w:highlight w:val="none"/>
        </w:rPr>
        <w:t>11、我方及由本人担任法定代表人的其他机构最近三年内被处罚的违法行为有：</w:t>
      </w:r>
      <w:r>
        <w:rPr>
          <w:rFonts w:hint="eastAsia" w:ascii="宋体" w:hAnsi="宋体" w:eastAsia="宋体" w:cs="宋体"/>
          <w:color w:val="auto"/>
          <w:szCs w:val="20"/>
          <w:highlight w:val="none"/>
          <w:u w:val="single"/>
        </w:rPr>
        <w:t xml:space="preserve">                                        </w:t>
      </w:r>
    </w:p>
    <w:p w14:paraId="6E9D737E">
      <w:pPr>
        <w:spacing w:line="440" w:lineRule="exact"/>
        <w:ind w:left="420"/>
        <w:rPr>
          <w:rFonts w:ascii="宋体" w:hAnsi="宋体" w:eastAsia="宋体" w:cs="宋体"/>
          <w:color w:val="auto"/>
          <w:szCs w:val="20"/>
          <w:highlight w:val="none"/>
        </w:rPr>
      </w:pPr>
      <w:r>
        <w:rPr>
          <w:rFonts w:hint="eastAsia" w:ascii="宋体" w:hAnsi="宋体" w:eastAsia="宋体" w:cs="宋体"/>
          <w:color w:val="auto"/>
          <w:szCs w:val="20"/>
          <w:highlight w:val="none"/>
          <w:u w:val="single"/>
        </w:rPr>
        <w:t xml:space="preserve">                                                                                                                        </w:t>
      </w:r>
    </w:p>
    <w:p w14:paraId="463CF38E">
      <w:pPr>
        <w:spacing w:line="360" w:lineRule="auto"/>
        <w:ind w:firstLine="420"/>
        <w:rPr>
          <w:rFonts w:ascii="宋体" w:hAnsi="宋体" w:eastAsia="宋体" w:cs="宋体"/>
          <w:color w:val="auto"/>
          <w:szCs w:val="20"/>
          <w:highlight w:val="none"/>
        </w:rPr>
      </w:pPr>
      <w:r>
        <w:rPr>
          <w:rFonts w:hint="eastAsia" w:ascii="宋体" w:hAnsi="宋体" w:eastAsia="宋体" w:cs="宋体"/>
          <w:color w:val="auto"/>
          <w:szCs w:val="20"/>
          <w:highlight w:val="none"/>
        </w:rPr>
        <w:t>12、以上事项如有虚假或隐瞒，我方愿意承担一切后果，并不再寻求任何旨在减轻或免除法律责任的辩解。</w:t>
      </w:r>
    </w:p>
    <w:p w14:paraId="4D7CA6F5">
      <w:pPr>
        <w:spacing w:line="360" w:lineRule="auto"/>
        <w:ind w:firstLine="420"/>
        <w:rPr>
          <w:rFonts w:ascii="宋体" w:hAnsi="宋体" w:eastAsia="宋体" w:cs="宋体"/>
          <w:color w:val="auto"/>
          <w:szCs w:val="20"/>
          <w:highlight w:val="none"/>
        </w:rPr>
      </w:pPr>
      <w:r>
        <w:rPr>
          <w:rFonts w:hint="eastAsia" w:ascii="宋体" w:hAnsi="宋体" w:eastAsia="宋体" w:cs="宋体"/>
          <w:color w:val="auto"/>
          <w:szCs w:val="20"/>
          <w:highlight w:val="none"/>
        </w:rPr>
        <w:t>13、与本响应有关的一切正式往来信函请寄：</w:t>
      </w:r>
      <w:r>
        <w:rPr>
          <w:rFonts w:hint="eastAsia" w:ascii="宋体" w:hAnsi="宋体" w:eastAsia="宋体" w:cs="宋体"/>
          <w:color w:val="auto"/>
          <w:szCs w:val="20"/>
          <w:highlight w:val="none"/>
          <w:u w:val="single"/>
        </w:rPr>
        <w:t xml:space="preserve"> </w:t>
      </w:r>
    </w:p>
    <w:p w14:paraId="19372595">
      <w:pPr>
        <w:spacing w:line="360" w:lineRule="auto"/>
        <w:ind w:firstLine="420"/>
        <w:rPr>
          <w:rFonts w:ascii="宋体" w:hAnsi="宋体" w:eastAsia="宋体" w:cs="宋体"/>
          <w:color w:val="auto"/>
          <w:szCs w:val="20"/>
          <w:highlight w:val="none"/>
        </w:rPr>
      </w:pPr>
      <w:r>
        <w:rPr>
          <w:rFonts w:hint="eastAsia" w:ascii="宋体" w:hAnsi="宋体" w:eastAsia="宋体" w:cs="宋体"/>
          <w:color w:val="auto"/>
          <w:szCs w:val="20"/>
          <w:highlight w:val="none"/>
        </w:rPr>
        <w:t>地址：</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 xml:space="preserve"> </w:t>
      </w:r>
    </w:p>
    <w:p w14:paraId="374CFB55">
      <w:pPr>
        <w:spacing w:line="360" w:lineRule="auto"/>
        <w:ind w:firstLine="420"/>
        <w:rPr>
          <w:rFonts w:ascii="宋体" w:hAnsi="宋体" w:eastAsia="宋体" w:cs="宋体"/>
          <w:color w:val="auto"/>
          <w:szCs w:val="20"/>
          <w:highlight w:val="none"/>
          <w:u w:val="single"/>
        </w:rPr>
      </w:pPr>
      <w:r>
        <w:rPr>
          <w:rFonts w:hint="eastAsia" w:ascii="宋体" w:hAnsi="宋体" w:eastAsia="宋体" w:cs="宋体"/>
          <w:color w:val="auto"/>
          <w:szCs w:val="20"/>
          <w:highlight w:val="none"/>
        </w:rPr>
        <w:t>电话：</w:t>
      </w:r>
      <w:r>
        <w:rPr>
          <w:rFonts w:hint="eastAsia" w:ascii="宋体" w:hAnsi="宋体" w:eastAsia="宋体" w:cs="宋体"/>
          <w:color w:val="auto"/>
          <w:szCs w:val="20"/>
          <w:highlight w:val="none"/>
          <w:u w:val="single"/>
        </w:rPr>
        <w:t xml:space="preserve">                                      　　　　　　　　　</w:t>
      </w:r>
    </w:p>
    <w:p w14:paraId="7AA6C593">
      <w:pPr>
        <w:spacing w:line="360" w:lineRule="auto"/>
        <w:ind w:firstLine="420"/>
        <w:rPr>
          <w:rFonts w:ascii="宋体" w:hAnsi="宋体" w:eastAsia="宋体" w:cs="宋体"/>
          <w:color w:val="auto"/>
          <w:szCs w:val="20"/>
          <w:highlight w:val="none"/>
        </w:rPr>
      </w:pPr>
      <w:r>
        <w:rPr>
          <w:rFonts w:hint="eastAsia" w:ascii="宋体" w:hAnsi="宋体" w:eastAsia="宋体" w:cs="宋体"/>
          <w:color w:val="auto"/>
          <w:szCs w:val="20"/>
          <w:highlight w:val="none"/>
        </w:rPr>
        <w:t>传真：</w:t>
      </w:r>
      <w:r>
        <w:rPr>
          <w:rFonts w:hint="eastAsia" w:ascii="宋体" w:hAnsi="宋体" w:eastAsia="宋体" w:cs="宋体"/>
          <w:color w:val="auto"/>
          <w:szCs w:val="20"/>
          <w:highlight w:val="none"/>
          <w:u w:val="single"/>
        </w:rPr>
        <w:t>　　　　　　　　　　　　　　　　　　　　　　　　　　　　</w:t>
      </w:r>
    </w:p>
    <w:p w14:paraId="49EF816A">
      <w:pPr>
        <w:spacing w:line="360" w:lineRule="auto"/>
        <w:ind w:firstLine="420"/>
        <w:rPr>
          <w:rFonts w:ascii="宋体" w:hAnsi="宋体" w:eastAsia="宋体" w:cs="宋体"/>
          <w:color w:val="auto"/>
          <w:szCs w:val="20"/>
          <w:highlight w:val="none"/>
          <w:u w:val="single"/>
        </w:rPr>
      </w:pPr>
      <w:r>
        <w:rPr>
          <w:rFonts w:hint="eastAsia" w:ascii="宋体" w:hAnsi="宋体" w:eastAsia="宋体" w:cs="宋体"/>
          <w:color w:val="auto"/>
          <w:szCs w:val="20"/>
          <w:highlight w:val="none"/>
        </w:rPr>
        <w:t>邮政编码：</w:t>
      </w:r>
      <w:r>
        <w:rPr>
          <w:rFonts w:hint="eastAsia" w:ascii="宋体" w:hAnsi="宋体" w:eastAsia="宋体" w:cs="宋体"/>
          <w:color w:val="auto"/>
          <w:szCs w:val="20"/>
          <w:highlight w:val="none"/>
          <w:u w:val="single"/>
        </w:rPr>
        <w:t xml:space="preserve">                                                    </w:t>
      </w:r>
    </w:p>
    <w:p w14:paraId="5B4784F7">
      <w:pPr>
        <w:spacing w:line="360" w:lineRule="auto"/>
        <w:ind w:firstLine="420"/>
        <w:rPr>
          <w:rFonts w:ascii="宋体" w:hAnsi="宋体" w:eastAsia="宋体" w:cs="宋体"/>
          <w:color w:val="auto"/>
          <w:szCs w:val="20"/>
          <w:highlight w:val="none"/>
          <w:u w:val="single"/>
        </w:rPr>
      </w:pPr>
      <w:r>
        <w:rPr>
          <w:rFonts w:hint="eastAsia" w:ascii="宋体" w:hAnsi="宋体" w:eastAsia="宋体" w:cs="宋体"/>
          <w:color w:val="auto"/>
          <w:szCs w:val="20"/>
          <w:highlight w:val="none"/>
        </w:rPr>
        <w:t>开户名称：</w:t>
      </w:r>
      <w:r>
        <w:rPr>
          <w:rFonts w:hint="eastAsia" w:ascii="宋体" w:hAnsi="宋体" w:eastAsia="宋体" w:cs="宋体"/>
          <w:color w:val="auto"/>
          <w:szCs w:val="20"/>
          <w:highlight w:val="none"/>
          <w:u w:val="single"/>
        </w:rPr>
        <w:t xml:space="preserve">                                                    </w:t>
      </w:r>
    </w:p>
    <w:p w14:paraId="5B6B5766">
      <w:pPr>
        <w:spacing w:line="360" w:lineRule="auto"/>
        <w:ind w:firstLine="420"/>
        <w:rPr>
          <w:rFonts w:ascii="宋体" w:hAnsi="宋体" w:eastAsia="宋体" w:cs="宋体"/>
          <w:color w:val="auto"/>
          <w:szCs w:val="20"/>
          <w:highlight w:val="none"/>
          <w:u w:val="single"/>
        </w:rPr>
      </w:pPr>
      <w:r>
        <w:rPr>
          <w:rFonts w:hint="eastAsia" w:ascii="宋体" w:hAnsi="宋体" w:eastAsia="宋体" w:cs="宋体"/>
          <w:color w:val="auto"/>
          <w:szCs w:val="20"/>
          <w:highlight w:val="none"/>
        </w:rPr>
        <w:t>开户银行：</w:t>
      </w:r>
      <w:r>
        <w:rPr>
          <w:rFonts w:hint="eastAsia" w:ascii="宋体" w:hAnsi="宋体" w:eastAsia="宋体" w:cs="宋体"/>
          <w:color w:val="auto"/>
          <w:szCs w:val="20"/>
          <w:highlight w:val="none"/>
          <w:u w:val="single"/>
        </w:rPr>
        <w:t xml:space="preserve">                                                    </w:t>
      </w:r>
    </w:p>
    <w:p w14:paraId="7FE6D37B">
      <w:pPr>
        <w:spacing w:line="360" w:lineRule="auto"/>
        <w:ind w:firstLine="420"/>
        <w:rPr>
          <w:rFonts w:ascii="宋体" w:hAnsi="宋体" w:eastAsia="宋体" w:cs="宋体"/>
          <w:color w:val="auto"/>
          <w:szCs w:val="20"/>
          <w:highlight w:val="none"/>
          <w:u w:val="single"/>
        </w:rPr>
      </w:pPr>
      <w:r>
        <w:rPr>
          <w:rFonts w:hint="eastAsia" w:ascii="宋体" w:hAnsi="宋体" w:eastAsia="宋体" w:cs="宋体"/>
          <w:color w:val="auto"/>
          <w:szCs w:val="20"/>
          <w:highlight w:val="none"/>
        </w:rPr>
        <w:t>银行账号：</w:t>
      </w:r>
      <w:r>
        <w:rPr>
          <w:rFonts w:hint="eastAsia" w:ascii="宋体" w:hAnsi="宋体" w:eastAsia="宋体" w:cs="宋体"/>
          <w:color w:val="auto"/>
          <w:szCs w:val="20"/>
          <w:highlight w:val="none"/>
          <w:u w:val="single"/>
        </w:rPr>
        <w:t xml:space="preserve">                                                    </w:t>
      </w:r>
    </w:p>
    <w:p w14:paraId="613FD5B0">
      <w:pPr>
        <w:snapToGrid w:val="0"/>
        <w:spacing w:line="360" w:lineRule="auto"/>
        <w:ind w:firstLine="5040" w:firstLineChars="21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供应商名称(电子签章)：</w:t>
      </w:r>
    </w:p>
    <w:p w14:paraId="6AFD299B">
      <w:pPr>
        <w:snapToGrid w:val="0"/>
        <w:spacing w:line="360" w:lineRule="auto"/>
        <w:ind w:firstLine="5160" w:firstLineChars="215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56FFDC7D">
      <w:pPr>
        <w:snapToGrid w:val="0"/>
        <w:spacing w:line="360" w:lineRule="auto"/>
        <w:ind w:firstLine="5160" w:firstLineChars="2150"/>
        <w:rPr>
          <w:rFonts w:ascii="宋体" w:hAnsi="宋体" w:eastAsia="宋体" w:cs="宋体"/>
          <w:color w:val="auto"/>
          <w:kern w:val="0"/>
          <w:sz w:val="24"/>
          <w:szCs w:val="24"/>
          <w:highlight w:val="none"/>
          <w:lang w:val="zh-CN"/>
        </w:rPr>
      </w:pPr>
    </w:p>
    <w:p w14:paraId="7E56F66C">
      <w:pPr>
        <w:rPr>
          <w:rFonts w:ascii="宋体" w:hAnsi="宋体" w:eastAsia="宋体" w:cs="宋体"/>
          <w:color w:val="auto"/>
          <w:szCs w:val="24"/>
          <w:highlight w:val="none"/>
        </w:rPr>
        <w:sectPr>
          <w:pgSz w:w="11906" w:h="16838"/>
          <w:pgMar w:top="1134" w:right="1134" w:bottom="1134" w:left="1134" w:header="720" w:footer="720" w:gutter="0"/>
          <w:cols w:space="720" w:num="1"/>
          <w:docGrid w:linePitch="331" w:charSpace="0"/>
        </w:sectPr>
      </w:pPr>
    </w:p>
    <w:p w14:paraId="3360EB07">
      <w:pPr>
        <w:spacing w:line="360" w:lineRule="auto"/>
        <w:jc w:val="center"/>
        <w:rPr>
          <w:rFonts w:ascii="宋体" w:hAnsi="宋体" w:eastAsia="宋体" w:cs="宋体"/>
          <w:b/>
          <w:color w:val="auto"/>
          <w:sz w:val="30"/>
          <w:szCs w:val="30"/>
          <w:highlight w:val="none"/>
        </w:rPr>
      </w:pPr>
      <w:r>
        <w:rPr>
          <w:rFonts w:hint="eastAsia" w:ascii="宋体" w:hAnsi="宋体" w:eastAsia="宋体" w:cs="宋体"/>
          <w:color w:val="auto"/>
          <w:sz w:val="30"/>
          <w:szCs w:val="20"/>
          <w:highlight w:val="none"/>
        </w:rPr>
        <w:t>二、</w:t>
      </w:r>
      <w:r>
        <w:rPr>
          <w:rFonts w:hint="eastAsia" w:ascii="宋体" w:hAnsi="宋体" w:eastAsia="宋体" w:cs="宋体"/>
          <w:b/>
          <w:color w:val="auto"/>
          <w:sz w:val="30"/>
          <w:szCs w:val="30"/>
          <w:highlight w:val="none"/>
        </w:rPr>
        <w:t>开标一览表</w:t>
      </w:r>
    </w:p>
    <w:p w14:paraId="00F5A851">
      <w:pPr>
        <w:snapToGrid w:val="0"/>
        <w:spacing w:before="50" w:after="5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p w14:paraId="06E1B06F">
      <w:pPr>
        <w:snapToGrid w:val="0"/>
        <w:spacing w:before="50" w:after="5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9E76382">
      <w:pPr>
        <w:spacing w:line="360" w:lineRule="auto"/>
        <w:rPr>
          <w:rFonts w:ascii="宋体" w:hAnsi="宋体" w:eastAsia="宋体" w:cs="宋体"/>
          <w:b/>
          <w:color w:val="auto"/>
          <w:sz w:val="32"/>
          <w:szCs w:val="20"/>
          <w:highlight w:val="none"/>
        </w:rPr>
      </w:pPr>
      <w:r>
        <w:rPr>
          <w:rFonts w:hint="eastAsia" w:ascii="宋体" w:hAnsi="宋体" w:eastAsia="宋体" w:cs="宋体"/>
          <w:color w:val="auto"/>
          <w:sz w:val="24"/>
          <w:szCs w:val="20"/>
          <w:highlight w:val="none"/>
        </w:rPr>
        <w:t>供应商名称：</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2524"/>
        <w:gridCol w:w="1054"/>
        <w:gridCol w:w="1134"/>
      </w:tblGrid>
      <w:tr w14:paraId="5554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7C8A0ADD">
            <w:pPr>
              <w:rPr>
                <w:rFonts w:ascii="宋体" w:hAnsi="宋体" w:eastAsia="宋体" w:cs="宋体"/>
                <w:color w:val="auto"/>
                <w:highlight w:val="none"/>
              </w:rPr>
            </w:pPr>
            <w:r>
              <w:rPr>
                <w:rFonts w:hint="eastAsia" w:ascii="宋体" w:hAnsi="宋体" w:eastAsia="宋体" w:cs="宋体"/>
                <w:color w:val="auto"/>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387175A3">
            <w:pPr>
              <w:rPr>
                <w:rFonts w:ascii="宋体" w:hAnsi="宋体" w:eastAsia="宋体" w:cs="宋体"/>
                <w:color w:val="auto"/>
                <w:highlight w:val="none"/>
              </w:rPr>
            </w:pPr>
            <w:r>
              <w:rPr>
                <w:rFonts w:hint="eastAsia" w:ascii="宋体" w:hAnsi="宋体" w:eastAsia="宋体" w:cs="宋体"/>
                <w:color w:val="auto"/>
                <w:highlight w:val="none"/>
              </w:rPr>
              <w:t>服务名称</w:t>
            </w:r>
          </w:p>
        </w:tc>
        <w:tc>
          <w:tcPr>
            <w:tcW w:w="2064" w:type="dxa"/>
            <w:tcBorders>
              <w:top w:val="single" w:color="auto" w:sz="4" w:space="0"/>
              <w:left w:val="single" w:color="auto" w:sz="4" w:space="0"/>
              <w:bottom w:val="single" w:color="auto" w:sz="4" w:space="0"/>
              <w:right w:val="single" w:color="auto" w:sz="4" w:space="0"/>
            </w:tcBorders>
            <w:vAlign w:val="center"/>
          </w:tcPr>
          <w:p w14:paraId="28A4B73A">
            <w:pPr>
              <w:jc w:val="center"/>
              <w:rPr>
                <w:rFonts w:ascii="宋体" w:hAnsi="宋体" w:eastAsia="宋体" w:cs="宋体"/>
                <w:color w:val="auto"/>
                <w:highlight w:val="none"/>
              </w:rPr>
            </w:pPr>
            <w:r>
              <w:rPr>
                <w:rFonts w:hint="eastAsia" w:ascii="宋体" w:hAnsi="宋体" w:eastAsia="宋体" w:cs="宋体"/>
                <w:color w:val="auto"/>
                <w:highlight w:val="none"/>
              </w:rPr>
              <w:t>具体服务内容</w:t>
            </w:r>
          </w:p>
        </w:tc>
        <w:tc>
          <w:tcPr>
            <w:tcW w:w="2524" w:type="dxa"/>
            <w:tcBorders>
              <w:top w:val="single" w:color="auto" w:sz="4" w:space="0"/>
              <w:left w:val="single" w:color="auto" w:sz="4" w:space="0"/>
              <w:bottom w:val="single" w:color="auto" w:sz="4" w:space="0"/>
              <w:right w:val="single" w:color="auto" w:sz="4" w:space="0"/>
            </w:tcBorders>
            <w:vAlign w:val="center"/>
          </w:tcPr>
          <w:p w14:paraId="4FCF97F1">
            <w:pPr>
              <w:jc w:val="center"/>
              <w:rPr>
                <w:rFonts w:ascii="宋体" w:hAnsi="宋体" w:eastAsia="宋体" w:cs="宋体"/>
                <w:color w:val="auto"/>
                <w:highlight w:val="none"/>
              </w:rPr>
            </w:pPr>
            <w:r>
              <w:rPr>
                <w:rFonts w:hint="eastAsia" w:ascii="宋体" w:hAnsi="宋体" w:eastAsia="宋体" w:cs="宋体"/>
                <w:color w:val="auto"/>
                <w:highlight w:val="none"/>
              </w:rPr>
              <w:t>报价</w:t>
            </w:r>
          </w:p>
        </w:tc>
        <w:tc>
          <w:tcPr>
            <w:tcW w:w="1054" w:type="dxa"/>
            <w:tcBorders>
              <w:top w:val="single" w:color="auto" w:sz="4" w:space="0"/>
              <w:left w:val="single" w:color="auto" w:sz="4" w:space="0"/>
              <w:bottom w:val="single" w:color="auto" w:sz="4" w:space="0"/>
              <w:right w:val="single" w:color="auto" w:sz="4" w:space="0"/>
            </w:tcBorders>
          </w:tcPr>
          <w:p w14:paraId="56FD9F0A">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服务要求（年限）</w:t>
            </w:r>
          </w:p>
        </w:tc>
        <w:tc>
          <w:tcPr>
            <w:tcW w:w="1134" w:type="dxa"/>
            <w:tcBorders>
              <w:top w:val="single" w:color="auto" w:sz="4" w:space="0"/>
              <w:left w:val="single" w:color="auto" w:sz="4" w:space="0"/>
              <w:bottom w:val="single" w:color="auto" w:sz="4" w:space="0"/>
              <w:right w:val="single" w:color="auto" w:sz="4" w:space="0"/>
            </w:tcBorders>
            <w:vAlign w:val="center"/>
          </w:tcPr>
          <w:p w14:paraId="2C2DCBB3">
            <w:pPr>
              <w:rPr>
                <w:rFonts w:ascii="宋体" w:hAnsi="宋体" w:eastAsia="宋体" w:cs="宋体"/>
                <w:color w:val="auto"/>
                <w:highlight w:val="none"/>
              </w:rPr>
            </w:pPr>
            <w:r>
              <w:rPr>
                <w:rFonts w:hint="eastAsia" w:ascii="宋体" w:hAnsi="宋体" w:eastAsia="宋体" w:cs="宋体"/>
                <w:color w:val="auto"/>
                <w:highlight w:val="none"/>
              </w:rPr>
              <w:t>备注</w:t>
            </w:r>
          </w:p>
        </w:tc>
      </w:tr>
      <w:tr w14:paraId="7AFE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00E78DBC">
            <w:pPr>
              <w:rPr>
                <w:rFonts w:ascii="宋体" w:hAnsi="宋体" w:eastAsia="宋体" w:cs="宋体"/>
                <w:color w:val="auto"/>
                <w:highlight w:val="none"/>
              </w:rPr>
            </w:pPr>
            <w:r>
              <w:rPr>
                <w:rFonts w:hint="eastAsia" w:ascii="宋体" w:hAnsi="宋体" w:eastAsia="宋体" w:cs="宋体"/>
                <w:color w:val="auto"/>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488B47F3">
            <w:pPr>
              <w:rPr>
                <w:rFonts w:ascii="宋体" w:hAnsi="宋体" w:eastAsia="宋体" w:cs="宋体"/>
                <w:color w:val="auto"/>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62905BC2">
            <w:pPr>
              <w:rPr>
                <w:rFonts w:ascii="宋体" w:hAnsi="宋体" w:eastAsia="宋体" w:cs="宋体"/>
                <w:color w:val="auto"/>
                <w:highlight w:val="none"/>
              </w:rPr>
            </w:pPr>
          </w:p>
        </w:tc>
        <w:tc>
          <w:tcPr>
            <w:tcW w:w="2524" w:type="dxa"/>
            <w:tcBorders>
              <w:top w:val="single" w:color="auto" w:sz="4" w:space="0"/>
              <w:left w:val="single" w:color="auto" w:sz="4" w:space="0"/>
              <w:bottom w:val="single" w:color="auto" w:sz="4" w:space="0"/>
              <w:right w:val="single" w:color="auto" w:sz="4" w:space="0"/>
            </w:tcBorders>
            <w:vAlign w:val="center"/>
          </w:tcPr>
          <w:p w14:paraId="1FFE7DD1">
            <w:pPr>
              <w:jc w:val="center"/>
              <w:rPr>
                <w:rFonts w:ascii="宋体" w:hAnsi="宋体" w:eastAsia="宋体" w:cs="宋体"/>
                <w:color w:val="auto"/>
                <w:highlight w:val="none"/>
              </w:rPr>
            </w:pPr>
            <w:r>
              <w:rPr>
                <w:rFonts w:hint="eastAsia" w:ascii="宋体" w:hAnsi="宋体" w:eastAsia="宋体" w:cs="宋体"/>
                <w:color w:val="auto"/>
                <w:highlight w:val="none"/>
              </w:rPr>
              <w:t>0.00</w:t>
            </w:r>
          </w:p>
        </w:tc>
        <w:tc>
          <w:tcPr>
            <w:tcW w:w="1054" w:type="dxa"/>
            <w:tcBorders>
              <w:top w:val="single" w:color="auto" w:sz="4" w:space="0"/>
              <w:left w:val="single" w:color="auto" w:sz="4" w:space="0"/>
              <w:bottom w:val="single" w:color="auto" w:sz="4" w:space="0"/>
              <w:right w:val="single" w:color="auto" w:sz="4" w:space="0"/>
            </w:tcBorders>
          </w:tcPr>
          <w:p w14:paraId="7FAE6B9A">
            <w:pPr>
              <w:rPr>
                <w:rFonts w:ascii="宋体" w:hAnsi="宋体" w:eastAsia="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83DB02E">
            <w:pPr>
              <w:rPr>
                <w:rFonts w:ascii="宋体" w:hAnsi="宋体" w:eastAsia="宋体" w:cs="宋体"/>
                <w:color w:val="auto"/>
                <w:highlight w:val="none"/>
              </w:rPr>
            </w:pPr>
          </w:p>
        </w:tc>
      </w:tr>
      <w:tr w14:paraId="43E8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vAlign w:val="center"/>
          </w:tcPr>
          <w:p w14:paraId="018F903A">
            <w:pPr>
              <w:rPr>
                <w:rFonts w:ascii="宋体" w:hAnsi="宋体" w:eastAsia="宋体" w:cs="宋体"/>
                <w:color w:val="auto"/>
                <w:highlight w:val="none"/>
              </w:rPr>
            </w:pPr>
            <w:r>
              <w:rPr>
                <w:rFonts w:hint="eastAsia" w:ascii="宋体" w:hAnsi="宋体" w:eastAsia="宋体" w:cs="宋体"/>
                <w:color w:val="auto"/>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513AD496">
            <w:pPr>
              <w:rPr>
                <w:rFonts w:ascii="宋体" w:hAnsi="宋体" w:eastAsia="宋体" w:cs="宋体"/>
                <w:color w:val="auto"/>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25E715DD">
            <w:pPr>
              <w:rPr>
                <w:rFonts w:ascii="宋体" w:hAnsi="宋体" w:eastAsia="宋体" w:cs="宋体"/>
                <w:color w:val="auto"/>
                <w:highlight w:val="none"/>
              </w:rPr>
            </w:pPr>
          </w:p>
        </w:tc>
        <w:tc>
          <w:tcPr>
            <w:tcW w:w="2524" w:type="dxa"/>
            <w:tcBorders>
              <w:top w:val="single" w:color="auto" w:sz="4" w:space="0"/>
              <w:left w:val="single" w:color="auto" w:sz="4" w:space="0"/>
              <w:bottom w:val="single" w:color="auto" w:sz="4" w:space="0"/>
              <w:right w:val="single" w:color="auto" w:sz="4" w:space="0"/>
            </w:tcBorders>
            <w:vAlign w:val="center"/>
          </w:tcPr>
          <w:p w14:paraId="59FB314B">
            <w:pPr>
              <w:rPr>
                <w:rFonts w:ascii="宋体" w:hAnsi="宋体" w:eastAsia="宋体" w:cs="宋体"/>
                <w:color w:val="auto"/>
                <w:highlight w:val="none"/>
              </w:rPr>
            </w:pPr>
          </w:p>
        </w:tc>
        <w:tc>
          <w:tcPr>
            <w:tcW w:w="1054" w:type="dxa"/>
            <w:tcBorders>
              <w:top w:val="single" w:color="auto" w:sz="4" w:space="0"/>
              <w:left w:val="single" w:color="auto" w:sz="4" w:space="0"/>
              <w:bottom w:val="single" w:color="auto" w:sz="4" w:space="0"/>
              <w:right w:val="single" w:color="auto" w:sz="4" w:space="0"/>
            </w:tcBorders>
          </w:tcPr>
          <w:p w14:paraId="1F4F9079">
            <w:pPr>
              <w:rPr>
                <w:rFonts w:ascii="宋体" w:hAnsi="宋体" w:eastAsia="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34B7203">
            <w:pPr>
              <w:rPr>
                <w:rFonts w:ascii="宋体" w:hAnsi="宋体" w:eastAsia="宋体" w:cs="宋体"/>
                <w:color w:val="auto"/>
                <w:highlight w:val="none"/>
              </w:rPr>
            </w:pPr>
          </w:p>
        </w:tc>
      </w:tr>
    </w:tbl>
    <w:p w14:paraId="03A9D459">
      <w:pPr>
        <w:snapToGrid w:val="0"/>
        <w:spacing w:before="50" w:after="50" w:line="360" w:lineRule="auto"/>
        <w:ind w:firstLine="480" w:firstLineChars="200"/>
        <w:jc w:val="left"/>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注： </w:t>
      </w:r>
    </w:p>
    <w:p w14:paraId="7F555FB0">
      <w:pPr>
        <w:snapToGrid w:val="0"/>
        <w:spacing w:before="50" w:after="50" w:line="360" w:lineRule="auto"/>
        <w:ind w:firstLine="480" w:firstLineChars="200"/>
        <w:jc w:val="left"/>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 供应商需按本表格式填写，不得自行更改，也不得留空, 如有多分标，按分标分别提供开标一览表，必须加盖供应商有效电子公章，</w:t>
      </w:r>
      <w:r>
        <w:rPr>
          <w:rFonts w:hint="eastAsia" w:ascii="宋体" w:hAnsi="宋体" w:eastAsia="宋体" w:cs="宋体"/>
          <w:b/>
          <w:color w:val="auto"/>
          <w:kern w:val="0"/>
          <w:sz w:val="24"/>
          <w:szCs w:val="24"/>
          <w:highlight w:val="none"/>
          <w:lang w:val="zh-CN"/>
        </w:rPr>
        <w:t>否则其响应作无效标处理。</w:t>
      </w:r>
    </w:p>
    <w:p w14:paraId="035B86CA">
      <w:pPr>
        <w:snapToGrid w:val="0"/>
        <w:spacing w:before="50" w:after="50" w:line="360" w:lineRule="auto"/>
        <w:ind w:firstLine="480" w:firstLineChars="200"/>
        <w:jc w:val="left"/>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2、本表内容均不能涂改，</w:t>
      </w:r>
      <w:r>
        <w:rPr>
          <w:rFonts w:hint="eastAsia" w:ascii="宋体" w:hAnsi="宋体" w:eastAsia="宋体" w:cs="宋体"/>
          <w:b/>
          <w:color w:val="auto"/>
          <w:kern w:val="0"/>
          <w:sz w:val="24"/>
          <w:szCs w:val="24"/>
          <w:highlight w:val="none"/>
          <w:lang w:val="zh-CN"/>
        </w:rPr>
        <w:t>否则其响应作无效标处理。</w:t>
      </w:r>
    </w:p>
    <w:p w14:paraId="2AB1F960">
      <w:pPr>
        <w:snapToGrid w:val="0"/>
        <w:spacing w:before="50" w:after="50" w:line="360" w:lineRule="auto"/>
        <w:ind w:firstLine="480" w:firstLineChars="200"/>
        <w:jc w:val="left"/>
        <w:rPr>
          <w:rFonts w:ascii="宋体" w:hAnsi="宋体" w:eastAsia="宋体" w:cs="宋体"/>
          <w:b/>
          <w:color w:val="auto"/>
          <w:kern w:val="0"/>
          <w:sz w:val="24"/>
          <w:szCs w:val="24"/>
          <w:highlight w:val="none"/>
          <w:lang w:val="zh-CN"/>
        </w:rPr>
      </w:pPr>
      <w:r>
        <w:rPr>
          <w:rFonts w:hint="eastAsia" w:ascii="宋体" w:hAnsi="宋体" w:eastAsia="宋体" w:cs="宋体"/>
          <w:color w:val="auto"/>
          <w:kern w:val="0"/>
          <w:sz w:val="24"/>
          <w:szCs w:val="24"/>
          <w:highlight w:val="none"/>
          <w:lang w:val="zh-CN"/>
        </w:rPr>
        <w:t>3、如为联合体响应，“供应商名称”处必须列明联合体各方名称，并标注联合体牵头人名称，且盖章处须加盖联合体各方公章，</w:t>
      </w:r>
      <w:r>
        <w:rPr>
          <w:rFonts w:hint="eastAsia" w:ascii="宋体" w:hAnsi="宋体" w:eastAsia="宋体" w:cs="宋体"/>
          <w:b/>
          <w:color w:val="auto"/>
          <w:kern w:val="0"/>
          <w:sz w:val="24"/>
          <w:szCs w:val="24"/>
          <w:highlight w:val="none"/>
          <w:lang w:val="zh-CN"/>
        </w:rPr>
        <w:t>否则其响应作无效标处理。</w:t>
      </w:r>
    </w:p>
    <w:p w14:paraId="750FC606">
      <w:pPr>
        <w:snapToGrid w:val="0"/>
        <w:spacing w:line="360" w:lineRule="auto"/>
        <w:ind w:firstLine="480" w:firstLineChars="200"/>
        <w:jc w:val="left"/>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4、以上表格要求细分项目及报价，在“具体服务内容”一栏中，填写具体服务，</w:t>
      </w:r>
      <w:r>
        <w:rPr>
          <w:rFonts w:hint="eastAsia" w:ascii="宋体" w:hAnsi="宋体" w:eastAsia="宋体" w:cs="宋体"/>
          <w:b/>
          <w:color w:val="auto"/>
          <w:kern w:val="0"/>
          <w:sz w:val="24"/>
          <w:szCs w:val="24"/>
          <w:highlight w:val="none"/>
          <w:lang w:val="zh-CN"/>
        </w:rPr>
        <w:t>否则其响应作无效标处理。</w:t>
      </w:r>
    </w:p>
    <w:p w14:paraId="0D3C465C">
      <w:pPr>
        <w:snapToGrid w:val="0"/>
        <w:spacing w:line="360" w:lineRule="auto"/>
        <w:ind w:firstLine="480" w:firstLineChars="200"/>
        <w:jc w:val="left"/>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5、特别提示：采购机构将对项目名称和项目编号，入围供应商名称、地址和入围金额，主要入围标的的名称、规格型号、数量、单价、服务要求等予以公示。</w:t>
      </w:r>
    </w:p>
    <w:p w14:paraId="1228DBB1">
      <w:pPr>
        <w:snapToGrid w:val="0"/>
        <w:spacing w:line="360" w:lineRule="auto"/>
        <w:ind w:firstLine="480" w:firstLineChars="200"/>
        <w:jc w:val="left"/>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highlight w:val="none"/>
          <w:lang w:val="zh-CN"/>
        </w:rPr>
        <w:t>6、</w:t>
      </w:r>
      <w:r>
        <w:rPr>
          <w:rFonts w:hint="eastAsia" w:ascii="宋体" w:hAnsi="宋体" w:eastAsia="宋体" w:cs="宋体"/>
          <w:color w:val="auto"/>
          <w:kern w:val="0"/>
          <w:sz w:val="24"/>
          <w:szCs w:val="24"/>
          <w:highlight w:val="none"/>
          <w:lang w:val="zh-CN"/>
        </w:rPr>
        <w:t>符合征集文件中列明的可享受中小企业扶持政策或残疾人福利性单位的供应商，请填写中小企业或残疾人福利性单位声明函。注：供应商提供的中小企业或残疾人福利性单位声明函内容不实的，属于提供虚假材料谋取入围、成交，依照《中华人民共和国政府采购法》等国家有关规定追究相应责任。</w:t>
      </w:r>
    </w:p>
    <w:p w14:paraId="38B029B1">
      <w:pPr>
        <w:snapToGrid w:val="0"/>
        <w:spacing w:line="360" w:lineRule="auto"/>
        <w:ind w:firstLine="480" w:firstLineChars="200"/>
        <w:jc w:val="left"/>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7、若本公司入围，本公司承诺同意按本项目征集文件规定的计费方式和费率计费。</w:t>
      </w:r>
    </w:p>
    <w:p w14:paraId="65E091B0">
      <w:pPr>
        <w:snapToGrid w:val="0"/>
        <w:spacing w:line="360" w:lineRule="auto"/>
        <w:ind w:firstLine="5040" w:firstLineChars="21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供应商名称(电子签章)：</w:t>
      </w:r>
    </w:p>
    <w:p w14:paraId="54497858">
      <w:pPr>
        <w:snapToGrid w:val="0"/>
        <w:spacing w:line="360" w:lineRule="auto"/>
        <w:ind w:firstLine="5160" w:firstLineChars="215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619EFC55">
      <w:pPr>
        <w:spacing w:line="500" w:lineRule="exact"/>
        <w:ind w:firstLine="450" w:firstLineChars="150"/>
        <w:rPr>
          <w:rFonts w:ascii="宋体" w:hAnsi="宋体" w:eastAsia="宋体" w:cs="宋体"/>
          <w:color w:val="auto"/>
          <w:sz w:val="30"/>
          <w:szCs w:val="20"/>
          <w:highlight w:val="none"/>
        </w:rPr>
        <w:sectPr>
          <w:pgSz w:w="11906" w:h="16838"/>
          <w:pgMar w:top="1134" w:right="1134" w:bottom="1134" w:left="1134" w:header="720" w:footer="720" w:gutter="0"/>
          <w:cols w:space="720" w:num="1"/>
          <w:docGrid w:linePitch="331" w:charSpace="0"/>
        </w:sectPr>
      </w:pPr>
    </w:p>
    <w:p w14:paraId="2C15285C">
      <w:pPr>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三、中小企业声明函</w:t>
      </w:r>
    </w:p>
    <w:p w14:paraId="6D6FC562">
      <w:pPr>
        <w:rPr>
          <w:rFonts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说明：</w:t>
      </w:r>
    </w:p>
    <w:p w14:paraId="5A4072F8">
      <w:pPr>
        <w:ind w:firstLine="404" w:firstLineChars="200"/>
        <w:rPr>
          <w:rFonts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1、本声明函主要供参加政府采购活动的中小企业填写，非中小企业无需填写。</w:t>
      </w:r>
    </w:p>
    <w:p w14:paraId="7CF7BBAF">
      <w:pPr>
        <w:ind w:firstLine="404" w:firstLineChars="200"/>
        <w:rPr>
          <w:rFonts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2、小型、微型企业提供中型企业提供的服务的，视同为中型企业。</w:t>
      </w:r>
    </w:p>
    <w:p w14:paraId="4E6B2708">
      <w:pPr>
        <w:ind w:firstLine="404" w:firstLineChars="200"/>
        <w:rPr>
          <w:rFonts w:ascii="宋体" w:hAnsi="宋体" w:eastAsia="宋体" w:cs="宋体"/>
          <w:color w:val="auto"/>
          <w:spacing w:val="-4"/>
          <w:szCs w:val="21"/>
          <w:highlight w:val="none"/>
        </w:rPr>
      </w:pPr>
    </w:p>
    <w:p w14:paraId="566217EE">
      <w:pPr>
        <w:spacing w:after="120" w:line="500" w:lineRule="exact"/>
        <w:ind w:right="142"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本公司（联合体）郑重声明，根据《政府采购促进中小企业发展管理办法》（财库﹝2020﹞46号）的规定，本公司（联合体）参加</w:t>
      </w:r>
      <w:r>
        <w:rPr>
          <w:rFonts w:hint="eastAsia" w:ascii="宋体" w:hAnsi="宋体" w:eastAsia="宋体" w:cs="宋体"/>
          <w:color w:val="auto"/>
          <w:szCs w:val="24"/>
          <w:highlight w:val="none"/>
          <w:u w:val="single"/>
        </w:rPr>
        <w:t>（单位名称）</w:t>
      </w:r>
      <w:r>
        <w:rPr>
          <w:rFonts w:hint="eastAsia" w:ascii="宋体" w:hAnsi="宋体" w:eastAsia="宋体" w:cs="宋体"/>
          <w:color w:val="auto"/>
          <w:szCs w:val="24"/>
          <w:highlight w:val="none"/>
        </w:rPr>
        <w:t>的</w:t>
      </w:r>
      <w:r>
        <w:rPr>
          <w:rFonts w:hint="eastAsia" w:ascii="宋体" w:hAnsi="宋体" w:eastAsia="宋体" w:cs="宋体"/>
          <w:color w:val="auto"/>
          <w:szCs w:val="24"/>
          <w:highlight w:val="none"/>
          <w:u w:val="single"/>
        </w:rPr>
        <w:t>（项目名称）</w:t>
      </w:r>
      <w:r>
        <w:rPr>
          <w:rFonts w:hint="eastAsia" w:ascii="宋体" w:hAnsi="宋体" w:eastAsia="宋体" w:cs="宋体"/>
          <w:color w:val="auto"/>
          <w:szCs w:val="24"/>
          <w:highlight w:val="none"/>
        </w:rPr>
        <w:t>采购活动，服务全部由符合政策要求的中小企业承接。相关企业（含联合体中的中小企业、签订分包意向协议的中小企业）的具体情况如下：</w:t>
      </w:r>
    </w:p>
    <w:p w14:paraId="737F5A5E">
      <w:pPr>
        <w:tabs>
          <w:tab w:val="left" w:pos="1384"/>
          <w:tab w:val="left" w:pos="4562"/>
          <w:tab w:val="left" w:pos="6803"/>
        </w:tabs>
        <w:spacing w:before="13" w:line="500" w:lineRule="exact"/>
        <w:ind w:right="142" w:firstLine="600" w:firstLineChars="286"/>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（标的名称）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；承接企业为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637A4517">
      <w:pPr>
        <w:tabs>
          <w:tab w:val="left" w:pos="1065"/>
          <w:tab w:val="left" w:pos="4262"/>
          <w:tab w:val="left" w:pos="6477"/>
        </w:tabs>
        <w:spacing w:before="20" w:line="500" w:lineRule="exact"/>
        <w:ind w:right="84" w:firstLine="600" w:firstLineChars="286"/>
        <w:rPr>
          <w:rFonts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（标的名称）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；承接企业为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202DB888">
      <w:pPr>
        <w:spacing w:before="34" w:after="120" w:line="500" w:lineRule="exact"/>
        <w:ind w:left="765" w:right="142" w:hanging="5"/>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14:paraId="79E99DF8">
      <w:pPr>
        <w:spacing w:before="34" w:after="120" w:line="500" w:lineRule="exact"/>
        <w:ind w:right="142"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以上企业，不属于大企业的分支机构，不存在控股股东为大企业的情形，也不存在与大企业的负责人为同一人的情形。</w:t>
      </w:r>
    </w:p>
    <w:p w14:paraId="04DC80DC">
      <w:pPr>
        <w:spacing w:before="34" w:after="120" w:line="500" w:lineRule="exact"/>
        <w:ind w:right="142"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本企业对上述声明内容的真实性负责。如有虚假，将依法承担相应责任。</w:t>
      </w:r>
    </w:p>
    <w:p w14:paraId="6CF3CAC0">
      <w:pPr>
        <w:spacing w:line="360" w:lineRule="auto"/>
        <w:ind w:firstLine="420" w:firstLineChars="200"/>
        <w:rPr>
          <w:rFonts w:ascii="宋体" w:hAnsi="宋体" w:eastAsia="宋体" w:cs="宋体"/>
          <w:color w:val="auto"/>
          <w:szCs w:val="21"/>
          <w:highlight w:val="none"/>
        </w:rPr>
      </w:pPr>
    </w:p>
    <w:p w14:paraId="2660AA60">
      <w:pPr>
        <w:spacing w:line="360" w:lineRule="auto"/>
        <w:ind w:firstLine="420" w:firstLineChars="200"/>
        <w:rPr>
          <w:rFonts w:ascii="宋体" w:hAnsi="宋体" w:eastAsia="宋体" w:cs="宋体"/>
          <w:color w:val="auto"/>
          <w:szCs w:val="21"/>
          <w:highlight w:val="none"/>
        </w:rPr>
      </w:pPr>
    </w:p>
    <w:p w14:paraId="4BFD9DFC">
      <w:pPr>
        <w:snapToGrid w:val="0"/>
        <w:spacing w:line="360" w:lineRule="auto"/>
        <w:ind w:firstLine="5040" w:firstLineChars="21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供应商名称(电子签章)：</w:t>
      </w:r>
    </w:p>
    <w:p w14:paraId="72AA1AB6">
      <w:pPr>
        <w:snapToGrid w:val="0"/>
        <w:spacing w:line="360" w:lineRule="auto"/>
        <w:ind w:firstLine="5160" w:firstLineChars="215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47F5F8EC">
      <w:pPr>
        <w:spacing w:line="360" w:lineRule="auto"/>
        <w:ind w:firstLine="420" w:firstLineChars="200"/>
        <w:rPr>
          <w:rFonts w:ascii="宋体" w:hAnsi="宋体" w:eastAsia="宋体" w:cs="宋体"/>
          <w:color w:val="auto"/>
          <w:szCs w:val="21"/>
          <w:highlight w:val="none"/>
        </w:rPr>
      </w:pPr>
    </w:p>
    <w:p w14:paraId="72418964">
      <w:pPr>
        <w:snapToGrid w:val="0"/>
        <w:spacing w:before="50" w:after="120" w:afterLines="50" w:line="360" w:lineRule="auto"/>
        <w:jc w:val="left"/>
        <w:rPr>
          <w:rFonts w:ascii="宋体" w:hAnsi="宋体" w:eastAsia="宋体" w:cs="宋体"/>
          <w:color w:val="auto"/>
          <w:sz w:val="20"/>
          <w:szCs w:val="24"/>
          <w:highlight w:val="none"/>
        </w:rPr>
      </w:pPr>
      <w:r>
        <w:rPr>
          <w:rFonts w:hint="eastAsia" w:ascii="宋体" w:hAnsi="宋体" w:eastAsia="宋体" w:cs="宋体"/>
          <w:color w:val="auto"/>
          <w:sz w:val="20"/>
          <w:szCs w:val="24"/>
          <w:highlight w:val="none"/>
        </w:rPr>
        <w:t>注：</w:t>
      </w:r>
    </w:p>
    <w:p w14:paraId="69C92AD8">
      <w:pPr>
        <w:numPr>
          <w:ilvl w:val="0"/>
          <w:numId w:val="7"/>
        </w:numPr>
        <w:snapToGrid w:val="0"/>
        <w:spacing w:before="50" w:after="120" w:afterLines="50" w:line="360" w:lineRule="auto"/>
        <w:jc w:val="left"/>
        <w:rPr>
          <w:rFonts w:ascii="宋体" w:hAnsi="宋体" w:eastAsia="宋体" w:cs="宋体"/>
          <w:color w:val="auto"/>
          <w:sz w:val="20"/>
          <w:szCs w:val="24"/>
          <w:highlight w:val="none"/>
        </w:rPr>
      </w:pPr>
      <w:r>
        <w:rPr>
          <w:rFonts w:hint="eastAsia" w:ascii="宋体" w:hAnsi="宋体" w:eastAsia="宋体" w:cs="宋体"/>
          <w:color w:val="auto"/>
          <w:sz w:val="20"/>
          <w:szCs w:val="24"/>
          <w:highlight w:val="none"/>
        </w:rPr>
        <w:t>从业人员、营业收入、资产总额填报上一年度数据，无上一年度数据的新成立企业可不填报。</w:t>
      </w:r>
    </w:p>
    <w:p w14:paraId="3E09FA86">
      <w:pPr>
        <w:snapToGrid w:val="0"/>
        <w:spacing w:before="50" w:after="120" w:afterLines="50" w:line="360" w:lineRule="auto"/>
        <w:ind w:firstLine="300" w:firstLineChars="150"/>
        <w:jc w:val="left"/>
        <w:rPr>
          <w:rFonts w:ascii="宋体" w:hAnsi="宋体" w:eastAsia="宋体" w:cs="宋体"/>
          <w:color w:val="auto"/>
          <w:sz w:val="20"/>
          <w:szCs w:val="24"/>
          <w:highlight w:val="none"/>
        </w:rPr>
        <w:sectPr>
          <w:pgSz w:w="11906" w:h="16838"/>
          <w:pgMar w:top="1134" w:right="1134" w:bottom="1134" w:left="1134" w:header="720" w:footer="720" w:gutter="0"/>
          <w:cols w:space="720" w:num="1"/>
          <w:docGrid w:linePitch="331" w:charSpace="0"/>
        </w:sectPr>
      </w:pPr>
      <w:r>
        <w:rPr>
          <w:rFonts w:hint="eastAsia" w:ascii="宋体" w:hAnsi="宋体" w:eastAsia="宋体" w:cs="宋体"/>
          <w:color w:val="auto"/>
          <w:sz w:val="20"/>
          <w:szCs w:val="24"/>
          <w:highlight w:val="none"/>
        </w:rPr>
        <w:t>2、请根据自己的真实情况出具《中小企业声明函》。依法享受中小企业优惠政策的，征集人或者采购代理机构在公告入围结果时，同时公告其《中小企业声明函》，接受社会监督。</w:t>
      </w:r>
    </w:p>
    <w:p w14:paraId="7193734C">
      <w:pPr>
        <w:spacing w:line="360" w:lineRule="auto"/>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四、残疾人福利性单位声明函（格式）</w:t>
      </w:r>
    </w:p>
    <w:p w14:paraId="5A6C7D51">
      <w:pPr>
        <w:spacing w:line="360" w:lineRule="auto"/>
        <w:jc w:val="center"/>
        <w:rPr>
          <w:rFonts w:ascii="宋体" w:hAnsi="宋体" w:eastAsia="宋体" w:cs="宋体"/>
          <w:b/>
          <w:color w:val="auto"/>
          <w:sz w:val="30"/>
          <w:szCs w:val="30"/>
          <w:highlight w:val="none"/>
        </w:rPr>
      </w:pPr>
    </w:p>
    <w:p w14:paraId="3AF8D3FE">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本公司郑重声明，根据《财政部 民政部 中国残疾人联合会关于促进残疾人就业政府采购政策的通知》（财库〔2017〕 141号）的规定，本公司为符合条件的残疾人福利性单位，且本公司参加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项目采购活动提供本公司制造的货物（由本公司承担工程/提供服务），或者提供其他残疾人福利性单位制造的货物（不包括使用非残疾人福利性单位注册商标的货物）。</w:t>
      </w:r>
    </w:p>
    <w:p w14:paraId="6FDCB712">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本公司对上述声明的真实性负责。如有虚假，将依法承担相应责任。</w:t>
      </w:r>
    </w:p>
    <w:p w14:paraId="2CBAAD5E">
      <w:pPr>
        <w:spacing w:line="360" w:lineRule="auto"/>
        <w:jc w:val="left"/>
        <w:rPr>
          <w:rFonts w:ascii="宋体" w:hAnsi="宋体" w:eastAsia="宋体" w:cs="宋体"/>
          <w:b/>
          <w:color w:val="auto"/>
          <w:szCs w:val="21"/>
          <w:highlight w:val="none"/>
        </w:rPr>
      </w:pPr>
    </w:p>
    <w:p w14:paraId="6582A0F6">
      <w:pPr>
        <w:spacing w:line="360" w:lineRule="auto"/>
        <w:jc w:val="left"/>
        <w:rPr>
          <w:rFonts w:ascii="宋体" w:hAnsi="宋体" w:eastAsia="宋体" w:cs="宋体"/>
          <w:b/>
          <w:color w:val="auto"/>
          <w:szCs w:val="21"/>
          <w:highlight w:val="none"/>
        </w:rPr>
      </w:pPr>
    </w:p>
    <w:p w14:paraId="2F8A0EAA">
      <w:pPr>
        <w:snapToGrid w:val="0"/>
        <w:spacing w:line="360" w:lineRule="auto"/>
        <w:ind w:left="5137" w:leftChars="1736" w:hanging="1491" w:hangingChars="825"/>
        <w:rPr>
          <w:rFonts w:ascii="宋体" w:hAnsi="宋体" w:eastAsia="宋体" w:cs="宋体"/>
          <w:color w:val="auto"/>
          <w:kern w:val="0"/>
          <w:sz w:val="24"/>
          <w:szCs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szCs w:val="24"/>
          <w:highlight w:val="none"/>
          <w:lang w:val="zh-CN"/>
        </w:rPr>
        <w:t>供应商名称(电子签章)：</w:t>
      </w:r>
    </w:p>
    <w:p w14:paraId="504AD6A8">
      <w:pPr>
        <w:snapToGrid w:val="0"/>
        <w:spacing w:line="360" w:lineRule="auto"/>
        <w:ind w:firstLine="5160" w:firstLineChars="215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0AF43769">
      <w:pPr>
        <w:spacing w:line="360" w:lineRule="auto"/>
        <w:ind w:left="5132" w:leftChars="1979" w:hanging="976" w:hangingChars="488"/>
        <w:rPr>
          <w:rFonts w:ascii="宋体" w:hAnsi="宋体" w:eastAsia="宋体" w:cs="宋体"/>
          <w:color w:val="auto"/>
          <w:sz w:val="20"/>
          <w:szCs w:val="20"/>
          <w:highlight w:val="none"/>
        </w:rPr>
      </w:pPr>
    </w:p>
    <w:p w14:paraId="43A5B52E">
      <w:pPr>
        <w:spacing w:line="360" w:lineRule="auto"/>
        <w:ind w:right="42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注：请根据自己的真实情况出具《残疾人福利性单位声明函》。依法享受中小企业优惠政策的，征集人或者采购代理机构在公告入围结果时，同时公告其《残疾人福利性单位声明函》，接受社会监督。</w:t>
      </w:r>
    </w:p>
    <w:p w14:paraId="2A4BF105">
      <w:pPr>
        <w:spacing w:line="360" w:lineRule="auto"/>
        <w:ind w:right="420" w:firstLine="480" w:firstLineChars="200"/>
        <w:rPr>
          <w:rFonts w:ascii="宋体" w:hAnsi="宋体" w:eastAsia="宋体" w:cs="宋体"/>
          <w:color w:val="auto"/>
          <w:sz w:val="24"/>
          <w:szCs w:val="24"/>
          <w:highlight w:val="none"/>
        </w:rPr>
      </w:pPr>
    </w:p>
    <w:p w14:paraId="63F426F1">
      <w:pPr>
        <w:spacing w:line="360" w:lineRule="auto"/>
        <w:ind w:right="420" w:firstLine="480" w:firstLineChars="200"/>
        <w:rPr>
          <w:rFonts w:ascii="宋体" w:hAnsi="宋体" w:eastAsia="宋体" w:cs="宋体"/>
          <w:color w:val="auto"/>
          <w:sz w:val="24"/>
          <w:szCs w:val="24"/>
          <w:highlight w:val="none"/>
        </w:rPr>
      </w:pPr>
    </w:p>
    <w:p w14:paraId="205956B5">
      <w:pPr>
        <w:spacing w:line="360" w:lineRule="auto"/>
        <w:ind w:right="420" w:firstLine="480" w:firstLineChars="200"/>
        <w:rPr>
          <w:rFonts w:ascii="宋体" w:hAnsi="宋体" w:eastAsia="宋体" w:cs="宋体"/>
          <w:color w:val="auto"/>
          <w:sz w:val="24"/>
          <w:szCs w:val="24"/>
          <w:highlight w:val="none"/>
        </w:rPr>
      </w:pPr>
    </w:p>
    <w:p w14:paraId="2B66060A">
      <w:pPr>
        <w:spacing w:line="360" w:lineRule="auto"/>
        <w:ind w:right="420" w:firstLine="480" w:firstLineChars="200"/>
        <w:rPr>
          <w:rFonts w:ascii="宋体" w:hAnsi="宋体" w:eastAsia="宋体" w:cs="宋体"/>
          <w:color w:val="auto"/>
          <w:sz w:val="24"/>
          <w:szCs w:val="24"/>
          <w:highlight w:val="none"/>
        </w:rPr>
      </w:pPr>
    </w:p>
    <w:p w14:paraId="4FD96227">
      <w:pPr>
        <w:spacing w:line="360" w:lineRule="auto"/>
        <w:ind w:right="420" w:firstLine="480" w:firstLineChars="200"/>
        <w:rPr>
          <w:rFonts w:ascii="宋体" w:hAnsi="宋体" w:eastAsia="宋体" w:cs="宋体"/>
          <w:color w:val="auto"/>
          <w:sz w:val="24"/>
          <w:szCs w:val="24"/>
          <w:highlight w:val="none"/>
        </w:rPr>
      </w:pPr>
    </w:p>
    <w:p w14:paraId="6256E8FD">
      <w:pPr>
        <w:spacing w:line="360" w:lineRule="auto"/>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五、属于监狱企业证明文件</w:t>
      </w:r>
    </w:p>
    <w:p w14:paraId="2014A456">
      <w:pPr>
        <w:spacing w:line="360" w:lineRule="auto"/>
        <w:ind w:right="420" w:firstLine="480" w:firstLineChars="200"/>
        <w:rPr>
          <w:rFonts w:ascii="宋体" w:hAnsi="宋体" w:eastAsia="宋体" w:cs="宋体"/>
          <w:color w:val="auto"/>
          <w:sz w:val="24"/>
          <w:szCs w:val="24"/>
          <w:highlight w:val="none"/>
        </w:rPr>
      </w:pPr>
    </w:p>
    <w:p w14:paraId="649D7E34">
      <w:pPr>
        <w:spacing w:line="360" w:lineRule="auto"/>
        <w:ind w:right="42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政府采购支持监狱企业发展有关问题的通知》（财库[2014]68号）的规定，供应商提供由省级以上监狱管理局、戒毒管理局（含新疆生产建设兵团）出具的属于监狱企业证明文件的，视同为小型和微型企业。</w:t>
      </w:r>
    </w:p>
    <w:p w14:paraId="4CC3C23E">
      <w:pPr>
        <w:snapToGrid w:val="0"/>
        <w:spacing w:before="50" w:after="120" w:afterLines="50" w:line="360" w:lineRule="auto"/>
        <w:jc w:val="left"/>
        <w:rPr>
          <w:rFonts w:ascii="宋体" w:hAnsi="宋体" w:eastAsia="宋体" w:cs="宋体"/>
          <w:color w:val="auto"/>
          <w:sz w:val="20"/>
          <w:szCs w:val="24"/>
          <w:highlight w:val="none"/>
        </w:rPr>
        <w:sectPr>
          <w:pgSz w:w="11906" w:h="16838"/>
          <w:pgMar w:top="1134" w:right="1134" w:bottom="1134" w:left="1134" w:header="720" w:footer="720" w:gutter="0"/>
          <w:cols w:space="720" w:num="1"/>
          <w:docGrid w:linePitch="331" w:charSpace="0"/>
        </w:sectPr>
      </w:pPr>
    </w:p>
    <w:p w14:paraId="45D228BE">
      <w:pPr>
        <w:snapToGrid w:val="0"/>
        <w:spacing w:before="50" w:after="120" w:afterLines="50" w:line="360" w:lineRule="auto"/>
        <w:jc w:val="left"/>
        <w:rPr>
          <w:rFonts w:ascii="宋体" w:hAnsi="宋体" w:eastAsia="宋体" w:cs="宋体"/>
          <w:color w:val="auto"/>
          <w:sz w:val="20"/>
          <w:szCs w:val="24"/>
          <w:highlight w:val="none"/>
        </w:rPr>
      </w:pPr>
    </w:p>
    <w:p w14:paraId="47C4557A">
      <w:pPr>
        <w:tabs>
          <w:tab w:val="left" w:pos="2472"/>
        </w:tabs>
        <w:spacing w:line="460" w:lineRule="exact"/>
        <w:jc w:val="center"/>
        <w:rPr>
          <w:rFonts w:ascii="宋体" w:hAnsi="宋体" w:eastAsia="宋体" w:cs="宋体"/>
          <w:b/>
          <w:color w:val="auto"/>
          <w:sz w:val="36"/>
          <w:szCs w:val="20"/>
          <w:highlight w:val="none"/>
        </w:rPr>
      </w:pPr>
    </w:p>
    <w:p w14:paraId="7ABDA13D">
      <w:pPr>
        <w:tabs>
          <w:tab w:val="left" w:pos="2472"/>
        </w:tabs>
        <w:spacing w:line="460" w:lineRule="exact"/>
        <w:jc w:val="center"/>
        <w:rPr>
          <w:rFonts w:ascii="宋体" w:hAnsi="宋体" w:eastAsia="宋体" w:cs="宋体"/>
          <w:b/>
          <w:color w:val="auto"/>
          <w:sz w:val="36"/>
          <w:szCs w:val="20"/>
          <w:highlight w:val="none"/>
        </w:rPr>
      </w:pPr>
    </w:p>
    <w:p w14:paraId="6D967F03">
      <w:pPr>
        <w:tabs>
          <w:tab w:val="left" w:pos="2472"/>
        </w:tabs>
        <w:spacing w:line="460" w:lineRule="exact"/>
        <w:jc w:val="center"/>
        <w:rPr>
          <w:rFonts w:ascii="宋体" w:hAnsi="宋体" w:eastAsia="宋体" w:cs="宋体"/>
          <w:b/>
          <w:color w:val="auto"/>
          <w:sz w:val="36"/>
          <w:szCs w:val="20"/>
          <w:highlight w:val="none"/>
        </w:rPr>
      </w:pPr>
    </w:p>
    <w:p w14:paraId="64C80866">
      <w:pPr>
        <w:tabs>
          <w:tab w:val="left" w:pos="2472"/>
        </w:tabs>
        <w:spacing w:line="460" w:lineRule="exact"/>
        <w:jc w:val="center"/>
        <w:rPr>
          <w:rFonts w:ascii="宋体" w:hAnsi="宋体" w:eastAsia="宋体" w:cs="宋体"/>
          <w:b/>
          <w:color w:val="auto"/>
          <w:sz w:val="36"/>
          <w:szCs w:val="20"/>
          <w:highlight w:val="none"/>
        </w:rPr>
      </w:pPr>
    </w:p>
    <w:p w14:paraId="4AA38C9D">
      <w:pPr>
        <w:tabs>
          <w:tab w:val="left" w:pos="2472"/>
        </w:tabs>
        <w:spacing w:line="460" w:lineRule="exact"/>
        <w:jc w:val="center"/>
        <w:rPr>
          <w:rFonts w:ascii="宋体" w:hAnsi="宋体" w:eastAsia="宋体" w:cs="宋体"/>
          <w:b/>
          <w:color w:val="auto"/>
          <w:sz w:val="36"/>
          <w:szCs w:val="20"/>
          <w:highlight w:val="none"/>
        </w:rPr>
      </w:pPr>
    </w:p>
    <w:p w14:paraId="75ECBE37">
      <w:pPr>
        <w:tabs>
          <w:tab w:val="left" w:pos="2472"/>
        </w:tabs>
        <w:spacing w:line="460" w:lineRule="exact"/>
        <w:jc w:val="center"/>
        <w:rPr>
          <w:rFonts w:ascii="宋体" w:hAnsi="宋体" w:eastAsia="宋体" w:cs="宋体"/>
          <w:b/>
          <w:color w:val="auto"/>
          <w:sz w:val="36"/>
          <w:szCs w:val="20"/>
          <w:highlight w:val="none"/>
        </w:rPr>
      </w:pPr>
    </w:p>
    <w:p w14:paraId="75F955BB">
      <w:pPr>
        <w:tabs>
          <w:tab w:val="left" w:pos="2472"/>
        </w:tabs>
        <w:spacing w:line="460" w:lineRule="exact"/>
        <w:jc w:val="center"/>
        <w:rPr>
          <w:rFonts w:ascii="宋体" w:hAnsi="宋体" w:eastAsia="宋体" w:cs="宋体"/>
          <w:b/>
          <w:color w:val="auto"/>
          <w:sz w:val="36"/>
          <w:szCs w:val="20"/>
          <w:highlight w:val="none"/>
        </w:rPr>
      </w:pPr>
    </w:p>
    <w:p w14:paraId="082F31F5">
      <w:pPr>
        <w:tabs>
          <w:tab w:val="left" w:pos="2472"/>
        </w:tabs>
        <w:spacing w:line="460" w:lineRule="exact"/>
        <w:jc w:val="center"/>
        <w:rPr>
          <w:rFonts w:ascii="宋体" w:hAnsi="宋体" w:eastAsia="宋体" w:cs="宋体"/>
          <w:b/>
          <w:color w:val="auto"/>
          <w:sz w:val="36"/>
          <w:szCs w:val="20"/>
          <w:highlight w:val="none"/>
        </w:rPr>
      </w:pPr>
    </w:p>
    <w:p w14:paraId="0D82C12B">
      <w:pPr>
        <w:tabs>
          <w:tab w:val="left" w:pos="2472"/>
        </w:tabs>
        <w:spacing w:line="460" w:lineRule="exact"/>
        <w:jc w:val="center"/>
        <w:rPr>
          <w:rFonts w:ascii="宋体" w:hAnsi="宋体" w:eastAsia="宋体" w:cs="宋体"/>
          <w:b/>
          <w:color w:val="auto"/>
          <w:sz w:val="36"/>
          <w:szCs w:val="20"/>
          <w:highlight w:val="none"/>
        </w:rPr>
      </w:pPr>
    </w:p>
    <w:p w14:paraId="49FEEB04">
      <w:pPr>
        <w:tabs>
          <w:tab w:val="left" w:pos="2472"/>
        </w:tabs>
        <w:spacing w:line="460" w:lineRule="exact"/>
        <w:jc w:val="center"/>
        <w:rPr>
          <w:rFonts w:ascii="宋体" w:hAnsi="宋体" w:eastAsia="宋体" w:cs="宋体"/>
          <w:b/>
          <w:color w:val="auto"/>
          <w:sz w:val="36"/>
          <w:szCs w:val="20"/>
          <w:highlight w:val="none"/>
        </w:rPr>
      </w:pPr>
    </w:p>
    <w:p w14:paraId="04C1CAF5">
      <w:pPr>
        <w:tabs>
          <w:tab w:val="left" w:pos="2472"/>
        </w:tabs>
        <w:spacing w:line="460" w:lineRule="exact"/>
        <w:jc w:val="center"/>
        <w:rPr>
          <w:rFonts w:ascii="宋体" w:hAnsi="宋体" w:eastAsia="宋体" w:cs="宋体"/>
          <w:b/>
          <w:color w:val="auto"/>
          <w:sz w:val="36"/>
          <w:szCs w:val="20"/>
          <w:highlight w:val="none"/>
        </w:rPr>
      </w:pPr>
    </w:p>
    <w:p w14:paraId="1FDD933C">
      <w:pPr>
        <w:tabs>
          <w:tab w:val="left" w:pos="2472"/>
        </w:tabs>
        <w:spacing w:line="460" w:lineRule="exact"/>
        <w:jc w:val="center"/>
        <w:outlineLvl w:val="0"/>
        <w:rPr>
          <w:rFonts w:ascii="宋体" w:hAnsi="宋体" w:eastAsia="宋体" w:cs="宋体"/>
          <w:b/>
          <w:color w:val="auto"/>
          <w:sz w:val="36"/>
          <w:szCs w:val="20"/>
          <w:highlight w:val="none"/>
        </w:rPr>
      </w:pPr>
      <w:bookmarkStart w:id="232" w:name="_Toc146703317"/>
      <w:bookmarkStart w:id="233" w:name="_Toc22135"/>
      <w:bookmarkStart w:id="234" w:name="_Toc80093017"/>
      <w:r>
        <w:rPr>
          <w:rFonts w:hint="eastAsia" w:ascii="宋体" w:hAnsi="宋体" w:eastAsia="宋体" w:cs="宋体"/>
          <w:b/>
          <w:color w:val="auto"/>
          <w:sz w:val="36"/>
          <w:szCs w:val="20"/>
          <w:highlight w:val="none"/>
        </w:rPr>
        <w:t>第七章 质疑、投诉证明材料格式</w:t>
      </w:r>
      <w:bookmarkEnd w:id="232"/>
      <w:bookmarkEnd w:id="233"/>
      <w:bookmarkEnd w:id="234"/>
    </w:p>
    <w:p w14:paraId="64A824FE">
      <w:pPr>
        <w:snapToGrid w:val="0"/>
        <w:spacing w:before="50" w:after="120" w:afterLines="50" w:line="360" w:lineRule="auto"/>
        <w:ind w:firstLine="300" w:firstLineChars="150"/>
        <w:jc w:val="left"/>
        <w:rPr>
          <w:rFonts w:ascii="宋体" w:hAnsi="宋体" w:eastAsia="宋体" w:cs="宋体"/>
          <w:color w:val="auto"/>
          <w:sz w:val="20"/>
          <w:szCs w:val="24"/>
          <w:highlight w:val="none"/>
        </w:rPr>
        <w:sectPr>
          <w:pgSz w:w="11906" w:h="16838"/>
          <w:pgMar w:top="1134" w:right="1134" w:bottom="1134" w:left="1134" w:header="720" w:footer="720" w:gutter="0"/>
          <w:cols w:space="720" w:num="1"/>
          <w:docGrid w:linePitch="331" w:charSpace="0"/>
        </w:sectPr>
      </w:pPr>
    </w:p>
    <w:p w14:paraId="6EEC59D5">
      <w:pPr>
        <w:widowControl/>
        <w:shd w:val="clear" w:color="auto" w:fill="FFFFFF"/>
        <w:spacing w:line="260" w:lineRule="exact"/>
        <w:jc w:val="left"/>
        <w:rPr>
          <w:rFonts w:ascii="宋体" w:hAnsi="宋体" w:eastAsia="宋体" w:cs="宋体"/>
          <w:b/>
          <w:bCs/>
          <w:color w:val="auto"/>
          <w:sz w:val="28"/>
          <w:szCs w:val="28"/>
          <w:highlight w:val="none"/>
        </w:rPr>
      </w:pPr>
    </w:p>
    <w:p w14:paraId="6294EF41">
      <w:pPr>
        <w:keepNext/>
        <w:keepLines/>
        <w:spacing w:before="260" w:after="260" w:line="413" w:lineRule="auto"/>
        <w:jc w:val="center"/>
        <w:outlineLvl w:val="1"/>
        <w:rPr>
          <w:rFonts w:ascii="宋体" w:hAnsi="宋体" w:eastAsia="宋体" w:cs="宋体"/>
          <w:color w:val="auto"/>
          <w:sz w:val="32"/>
          <w:szCs w:val="32"/>
          <w:highlight w:val="none"/>
        </w:rPr>
      </w:pPr>
      <w:bookmarkStart w:id="235" w:name="_Toc31490"/>
      <w:bookmarkStart w:id="236" w:name="_Toc80093018"/>
      <w:bookmarkStart w:id="237" w:name="_Toc146703318"/>
      <w:r>
        <w:rPr>
          <w:rFonts w:hint="eastAsia" w:ascii="宋体" w:hAnsi="宋体" w:eastAsia="宋体" w:cs="宋体"/>
          <w:color w:val="auto"/>
          <w:sz w:val="32"/>
          <w:szCs w:val="32"/>
          <w:highlight w:val="none"/>
        </w:rPr>
        <w:t>第一节 质疑函（格式）</w:t>
      </w:r>
      <w:bookmarkEnd w:id="235"/>
      <w:bookmarkEnd w:id="236"/>
      <w:bookmarkEnd w:id="237"/>
    </w:p>
    <w:p w14:paraId="2208A869">
      <w:pPr>
        <w:jc w:val="center"/>
        <w:outlineLvl w:val="2"/>
        <w:rPr>
          <w:rFonts w:ascii="宋体" w:hAnsi="宋体" w:eastAsia="宋体" w:cs="宋体"/>
          <w:b/>
          <w:bCs/>
          <w:color w:val="auto"/>
          <w:sz w:val="44"/>
          <w:szCs w:val="44"/>
          <w:highlight w:val="none"/>
        </w:rPr>
      </w:pPr>
      <w:bookmarkStart w:id="238" w:name="_Toc146703319"/>
      <w:r>
        <w:rPr>
          <w:rFonts w:hint="eastAsia" w:ascii="宋体" w:hAnsi="宋体" w:eastAsia="宋体" w:cs="宋体"/>
          <w:b/>
          <w:bCs/>
          <w:color w:val="auto"/>
          <w:sz w:val="44"/>
          <w:szCs w:val="44"/>
          <w:highlight w:val="none"/>
        </w:rPr>
        <w:t>质疑函范本</w:t>
      </w:r>
      <w:bookmarkEnd w:id="238"/>
    </w:p>
    <w:p w14:paraId="697221F3">
      <w:pPr>
        <w:adjustRightInd w:val="0"/>
        <w:snapToGrid w:val="0"/>
        <w:spacing w:before="240" w:beforeLines="100" w:line="360" w:lineRule="auto"/>
        <w:outlineLvl w:val="2"/>
        <w:rPr>
          <w:rFonts w:ascii="宋体" w:hAnsi="宋体" w:eastAsia="宋体" w:cs="宋体"/>
          <w:bCs/>
          <w:color w:val="auto"/>
          <w:sz w:val="28"/>
          <w:szCs w:val="28"/>
          <w:highlight w:val="none"/>
        </w:rPr>
      </w:pPr>
      <w:bookmarkStart w:id="239" w:name="_Toc146703320"/>
      <w:bookmarkStart w:id="240" w:name="_Toc144971869"/>
      <w:r>
        <w:rPr>
          <w:rFonts w:hint="eastAsia" w:ascii="宋体" w:hAnsi="宋体" w:eastAsia="宋体" w:cs="宋体"/>
          <w:bCs/>
          <w:color w:val="auto"/>
          <w:sz w:val="28"/>
          <w:szCs w:val="28"/>
          <w:highlight w:val="none"/>
        </w:rPr>
        <w:t>一、质疑供应商基本信息</w:t>
      </w:r>
      <w:bookmarkEnd w:id="239"/>
      <w:bookmarkEnd w:id="240"/>
    </w:p>
    <w:p w14:paraId="2538A19F">
      <w:pPr>
        <w:adjustRightInd w:val="0"/>
        <w:snapToGrid w:val="0"/>
        <w:spacing w:line="360" w:lineRule="auto"/>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质疑供应商：</w:t>
      </w:r>
      <w:r>
        <w:rPr>
          <w:rFonts w:hint="eastAsia" w:ascii="宋体" w:hAnsi="宋体" w:eastAsia="宋体" w:cs="宋体"/>
          <w:color w:val="auto"/>
          <w:sz w:val="28"/>
          <w:szCs w:val="28"/>
          <w:highlight w:val="none"/>
          <w:u w:val="dotted"/>
        </w:rPr>
        <w:t xml:space="preserve">                                        </w:t>
      </w:r>
    </w:p>
    <w:p w14:paraId="4802CEAE">
      <w:pPr>
        <w:adjustRightInd w:val="0"/>
        <w:snapToGrid w:val="0"/>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邮编：</w:t>
      </w:r>
      <w:r>
        <w:rPr>
          <w:rFonts w:hint="eastAsia" w:ascii="宋体" w:hAnsi="宋体" w:eastAsia="宋体" w:cs="宋体"/>
          <w:color w:val="auto"/>
          <w:sz w:val="28"/>
          <w:szCs w:val="28"/>
          <w:highlight w:val="none"/>
          <w:u w:val="dotted"/>
        </w:rPr>
        <w:t xml:space="preserve">                                                   </w:t>
      </w:r>
    </w:p>
    <w:p w14:paraId="52FBF6D4">
      <w:pPr>
        <w:adjustRightInd w:val="0"/>
        <w:snapToGrid w:val="0"/>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dotted"/>
        </w:rPr>
        <w:t xml:space="preserve">                              </w:t>
      </w:r>
    </w:p>
    <w:p w14:paraId="126BF1A5">
      <w:pPr>
        <w:adjustRightInd w:val="0"/>
        <w:snapToGrid w:val="0"/>
        <w:spacing w:line="360" w:lineRule="auto"/>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授权代表：</w:t>
      </w:r>
      <w:r>
        <w:rPr>
          <w:rFonts w:hint="eastAsia" w:ascii="宋体" w:hAnsi="宋体" w:eastAsia="宋体" w:cs="宋体"/>
          <w:color w:val="auto"/>
          <w:sz w:val="28"/>
          <w:szCs w:val="28"/>
          <w:highlight w:val="none"/>
          <w:u w:val="dotted"/>
        </w:rPr>
        <w:t xml:space="preserve">                                          </w:t>
      </w:r>
    </w:p>
    <w:p w14:paraId="5107F012">
      <w:pPr>
        <w:adjustRightInd w:val="0"/>
        <w:snapToGrid w:val="0"/>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 xml:space="preserve"> </w:t>
      </w:r>
    </w:p>
    <w:p w14:paraId="759AB09D">
      <w:pPr>
        <w:adjustRightInd w:val="0"/>
        <w:snapToGrid w:val="0"/>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地址： </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邮编：</w:t>
      </w:r>
      <w:r>
        <w:rPr>
          <w:rFonts w:hint="eastAsia" w:ascii="宋体" w:hAnsi="宋体" w:eastAsia="宋体" w:cs="宋体"/>
          <w:color w:val="auto"/>
          <w:sz w:val="28"/>
          <w:szCs w:val="28"/>
          <w:highlight w:val="none"/>
          <w:u w:val="dotted"/>
        </w:rPr>
        <w:t xml:space="preserve">                                                </w:t>
      </w:r>
    </w:p>
    <w:p w14:paraId="007613DD">
      <w:pPr>
        <w:adjustRightInd w:val="0"/>
        <w:snapToGrid w:val="0"/>
        <w:spacing w:line="360" w:lineRule="auto"/>
        <w:outlineLvl w:val="2"/>
        <w:rPr>
          <w:rFonts w:ascii="宋体" w:hAnsi="宋体" w:eastAsia="宋体" w:cs="宋体"/>
          <w:bCs/>
          <w:color w:val="auto"/>
          <w:sz w:val="28"/>
          <w:szCs w:val="28"/>
          <w:highlight w:val="none"/>
        </w:rPr>
      </w:pPr>
      <w:bookmarkStart w:id="241" w:name="_Toc144971870"/>
      <w:bookmarkStart w:id="242" w:name="_Toc146703321"/>
      <w:r>
        <w:rPr>
          <w:rFonts w:hint="eastAsia" w:ascii="宋体" w:hAnsi="宋体" w:eastAsia="宋体" w:cs="宋体"/>
          <w:bCs/>
          <w:color w:val="auto"/>
          <w:sz w:val="28"/>
          <w:szCs w:val="28"/>
          <w:highlight w:val="none"/>
        </w:rPr>
        <w:t>二、质疑项目基本情况</w:t>
      </w:r>
      <w:bookmarkEnd w:id="241"/>
      <w:bookmarkEnd w:id="242"/>
    </w:p>
    <w:p w14:paraId="7A5E746E">
      <w:pPr>
        <w:adjustRightInd w:val="0"/>
        <w:snapToGrid w:val="0"/>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质疑项目的名称：</w:t>
      </w:r>
      <w:r>
        <w:rPr>
          <w:rFonts w:hint="eastAsia" w:ascii="宋体" w:hAnsi="宋体" w:eastAsia="宋体" w:cs="宋体"/>
          <w:color w:val="auto"/>
          <w:sz w:val="28"/>
          <w:szCs w:val="28"/>
          <w:highlight w:val="none"/>
          <w:u w:val="dotted"/>
        </w:rPr>
        <w:t xml:space="preserve">                                      </w:t>
      </w:r>
    </w:p>
    <w:p w14:paraId="1115C391">
      <w:pPr>
        <w:adjustRightInd w:val="0"/>
        <w:snapToGrid w:val="0"/>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质疑项目的编号：</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包号：</w:t>
      </w:r>
      <w:r>
        <w:rPr>
          <w:rFonts w:hint="eastAsia" w:ascii="宋体" w:hAnsi="宋体" w:eastAsia="宋体" w:cs="宋体"/>
          <w:color w:val="auto"/>
          <w:sz w:val="28"/>
          <w:szCs w:val="28"/>
          <w:highlight w:val="none"/>
          <w:u w:val="dotted"/>
        </w:rPr>
        <w:t xml:space="preserve">                 </w:t>
      </w:r>
    </w:p>
    <w:p w14:paraId="71D5019C">
      <w:pPr>
        <w:adjustRightInd w:val="0"/>
        <w:snapToGrid w:val="0"/>
        <w:spacing w:line="360" w:lineRule="auto"/>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征集人名称：</w:t>
      </w:r>
      <w:r>
        <w:rPr>
          <w:rFonts w:hint="eastAsia" w:ascii="宋体" w:hAnsi="宋体" w:eastAsia="宋体" w:cs="宋体"/>
          <w:color w:val="auto"/>
          <w:sz w:val="28"/>
          <w:szCs w:val="28"/>
          <w:highlight w:val="none"/>
          <w:u w:val="dotted"/>
        </w:rPr>
        <w:t xml:space="preserve">                                         </w:t>
      </w:r>
    </w:p>
    <w:p w14:paraId="1746310E">
      <w:pPr>
        <w:adjustRightInd w:val="0"/>
        <w:snapToGrid w:val="0"/>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采购文件获取日期：</w:t>
      </w:r>
      <w:r>
        <w:rPr>
          <w:rFonts w:hint="eastAsia" w:ascii="宋体" w:hAnsi="宋体" w:eastAsia="宋体" w:cs="宋体"/>
          <w:color w:val="auto"/>
          <w:sz w:val="28"/>
          <w:szCs w:val="28"/>
          <w:highlight w:val="none"/>
          <w:u w:val="dotted"/>
        </w:rPr>
        <w:t xml:space="preserve">                                           </w:t>
      </w:r>
    </w:p>
    <w:p w14:paraId="5EC10937">
      <w:pPr>
        <w:adjustRightInd w:val="0"/>
        <w:snapToGrid w:val="0"/>
        <w:spacing w:line="360" w:lineRule="auto"/>
        <w:outlineLvl w:val="2"/>
        <w:rPr>
          <w:rFonts w:ascii="宋体" w:hAnsi="宋体" w:eastAsia="宋体" w:cs="宋体"/>
          <w:bCs/>
          <w:color w:val="auto"/>
          <w:sz w:val="28"/>
          <w:szCs w:val="28"/>
          <w:highlight w:val="none"/>
        </w:rPr>
      </w:pPr>
      <w:bookmarkStart w:id="243" w:name="_Toc144971871"/>
      <w:bookmarkStart w:id="244" w:name="_Toc146703322"/>
      <w:r>
        <w:rPr>
          <w:rFonts w:hint="eastAsia" w:ascii="宋体" w:hAnsi="宋体" w:eastAsia="宋体" w:cs="宋体"/>
          <w:bCs/>
          <w:color w:val="auto"/>
          <w:sz w:val="28"/>
          <w:szCs w:val="28"/>
          <w:highlight w:val="none"/>
        </w:rPr>
        <w:t>三、质疑事项具体内容</w:t>
      </w:r>
      <w:bookmarkEnd w:id="243"/>
      <w:bookmarkEnd w:id="244"/>
    </w:p>
    <w:p w14:paraId="60C44CEC">
      <w:pPr>
        <w:adjustRightInd w:val="0"/>
        <w:snapToGrid w:val="0"/>
        <w:spacing w:line="360" w:lineRule="auto"/>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质疑事项1：</w:t>
      </w:r>
      <w:r>
        <w:rPr>
          <w:rFonts w:hint="eastAsia" w:ascii="宋体" w:hAnsi="宋体" w:eastAsia="宋体" w:cs="宋体"/>
          <w:color w:val="auto"/>
          <w:sz w:val="28"/>
          <w:szCs w:val="28"/>
          <w:highlight w:val="none"/>
          <w:u w:val="dotted"/>
        </w:rPr>
        <w:t xml:space="preserve">                                         </w:t>
      </w:r>
    </w:p>
    <w:p w14:paraId="163A5A74">
      <w:pPr>
        <w:adjustRightInd w:val="0"/>
        <w:snapToGrid w:val="0"/>
        <w:spacing w:line="360" w:lineRule="auto"/>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事实依据：</w:t>
      </w:r>
      <w:r>
        <w:rPr>
          <w:rFonts w:hint="eastAsia" w:ascii="宋体" w:hAnsi="宋体" w:eastAsia="宋体" w:cs="宋体"/>
          <w:color w:val="auto"/>
          <w:sz w:val="28"/>
          <w:szCs w:val="28"/>
          <w:highlight w:val="none"/>
          <w:u w:val="dotted"/>
        </w:rPr>
        <w:t xml:space="preserve">                                          </w:t>
      </w:r>
    </w:p>
    <w:p w14:paraId="3B2E83B0">
      <w:pPr>
        <w:adjustRightInd w:val="0"/>
        <w:snapToGrid w:val="0"/>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dotted"/>
        </w:rPr>
        <w:t xml:space="preserve">                                                       </w:t>
      </w:r>
    </w:p>
    <w:p w14:paraId="2165D5B7">
      <w:pPr>
        <w:adjustRightInd w:val="0"/>
        <w:snapToGrid w:val="0"/>
        <w:spacing w:line="360" w:lineRule="auto"/>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法律依据：</w:t>
      </w:r>
      <w:r>
        <w:rPr>
          <w:rFonts w:hint="eastAsia" w:ascii="宋体" w:hAnsi="宋体" w:eastAsia="宋体" w:cs="宋体"/>
          <w:color w:val="auto"/>
          <w:sz w:val="28"/>
          <w:szCs w:val="28"/>
          <w:highlight w:val="none"/>
          <w:u w:val="dotted"/>
        </w:rPr>
        <w:t xml:space="preserve">                                          </w:t>
      </w:r>
    </w:p>
    <w:p w14:paraId="548BE164">
      <w:pPr>
        <w:adjustRightInd w:val="0"/>
        <w:snapToGrid w:val="0"/>
        <w:spacing w:line="360" w:lineRule="auto"/>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u w:val="dotted"/>
        </w:rPr>
        <w:t xml:space="preserve">                                                     </w:t>
      </w:r>
    </w:p>
    <w:p w14:paraId="116F769E">
      <w:pPr>
        <w:adjustRightInd w:val="0"/>
        <w:snapToGrid w:val="0"/>
        <w:spacing w:line="360" w:lineRule="auto"/>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质疑事项2</w:t>
      </w:r>
    </w:p>
    <w:p w14:paraId="074095C2">
      <w:pPr>
        <w:adjustRightInd w:val="0"/>
        <w:snapToGrid w:val="0"/>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p w14:paraId="58700331">
      <w:pPr>
        <w:adjustRightInd w:val="0"/>
        <w:snapToGrid w:val="0"/>
        <w:spacing w:line="360" w:lineRule="auto"/>
        <w:outlineLvl w:val="2"/>
        <w:rPr>
          <w:rFonts w:ascii="宋体" w:hAnsi="宋体" w:eastAsia="宋体" w:cs="宋体"/>
          <w:bCs/>
          <w:color w:val="auto"/>
          <w:sz w:val="28"/>
          <w:szCs w:val="28"/>
          <w:highlight w:val="none"/>
        </w:rPr>
      </w:pPr>
      <w:bookmarkStart w:id="245" w:name="_Toc144971872"/>
      <w:bookmarkStart w:id="246" w:name="_Toc146703323"/>
      <w:r>
        <w:rPr>
          <w:rFonts w:hint="eastAsia" w:ascii="宋体" w:hAnsi="宋体" w:eastAsia="宋体" w:cs="宋体"/>
          <w:bCs/>
          <w:color w:val="auto"/>
          <w:sz w:val="28"/>
          <w:szCs w:val="28"/>
          <w:highlight w:val="none"/>
        </w:rPr>
        <w:t>四、与质疑事项相关的质疑请求</w:t>
      </w:r>
      <w:bookmarkEnd w:id="245"/>
      <w:bookmarkEnd w:id="246"/>
    </w:p>
    <w:p w14:paraId="5EC9FE12">
      <w:pPr>
        <w:adjustRightInd w:val="0"/>
        <w:snapToGrid w:val="0"/>
        <w:spacing w:line="360" w:lineRule="auto"/>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请求：</w:t>
      </w:r>
      <w:r>
        <w:rPr>
          <w:rFonts w:hint="eastAsia" w:ascii="宋体" w:hAnsi="宋体" w:eastAsia="宋体" w:cs="宋体"/>
          <w:color w:val="auto"/>
          <w:sz w:val="28"/>
          <w:szCs w:val="28"/>
          <w:highlight w:val="none"/>
          <w:u w:val="dotted"/>
        </w:rPr>
        <w:t xml:space="preserve">                                               </w:t>
      </w:r>
    </w:p>
    <w:p w14:paraId="12B6AF77">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签字(签章)：                   公章：                      </w:t>
      </w:r>
    </w:p>
    <w:p w14:paraId="48C856A6">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日期：    </w:t>
      </w:r>
    </w:p>
    <w:p w14:paraId="3499DD8D">
      <w:pPr>
        <w:rPr>
          <w:rFonts w:ascii="宋体" w:hAnsi="宋体" w:eastAsia="宋体" w:cs="宋体"/>
          <w:b/>
          <w:color w:val="auto"/>
          <w:sz w:val="28"/>
          <w:szCs w:val="28"/>
          <w:highlight w:val="none"/>
        </w:rPr>
      </w:pPr>
    </w:p>
    <w:p w14:paraId="6B6089DD">
      <w:pPr>
        <w:outlineLvl w:val="2"/>
        <w:rPr>
          <w:rFonts w:ascii="宋体" w:hAnsi="宋体" w:eastAsia="宋体" w:cs="宋体"/>
          <w:b/>
          <w:color w:val="auto"/>
          <w:sz w:val="28"/>
          <w:szCs w:val="28"/>
          <w:highlight w:val="none"/>
        </w:rPr>
      </w:pPr>
      <w:bookmarkStart w:id="247" w:name="_Toc146703324"/>
      <w:bookmarkStart w:id="248" w:name="_Toc144971873"/>
      <w:r>
        <w:rPr>
          <w:rFonts w:hint="eastAsia" w:ascii="宋体" w:hAnsi="宋体" w:eastAsia="宋体" w:cs="宋体"/>
          <w:b/>
          <w:color w:val="auto"/>
          <w:sz w:val="28"/>
          <w:szCs w:val="28"/>
          <w:highlight w:val="none"/>
        </w:rPr>
        <w:t>质疑函制作说明：</w:t>
      </w:r>
      <w:bookmarkEnd w:id="247"/>
      <w:bookmarkEnd w:id="248"/>
    </w:p>
    <w:p w14:paraId="4B379BAA">
      <w:pPr>
        <w:widowControl/>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1.供应商提出质疑时，应提交质疑函和必要的证明材料。</w:t>
      </w:r>
    </w:p>
    <w:p w14:paraId="6BF5B060">
      <w:pPr>
        <w:widowControl/>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8"/>
          <w:szCs w:val="28"/>
          <w:highlight w:val="none"/>
        </w:rPr>
        <w:t>供应商签署的授权委托书。授权委托书应载明代理人的姓名或者名称、代理事项、具体权限、期限和相关事项。</w:t>
      </w:r>
    </w:p>
    <w:p w14:paraId="5BCC0DD7">
      <w:pPr>
        <w:widowControl/>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3.质疑供应商若对项目的某一分包进行质疑，质疑函中应列明具体分包号。</w:t>
      </w:r>
    </w:p>
    <w:p w14:paraId="6F0B54C2">
      <w:pPr>
        <w:widowControl/>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4.质疑函的质疑事项应具体、明确，并有必要的事实依据和法律依据。</w:t>
      </w:r>
    </w:p>
    <w:p w14:paraId="6FCE114D">
      <w:pPr>
        <w:widowControl/>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5.质疑函的质疑请求应与质疑事项相关。</w:t>
      </w:r>
    </w:p>
    <w:p w14:paraId="0CDB0023">
      <w:pPr>
        <w:widowControl/>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5162C45A">
      <w:pPr>
        <w:widowControl/>
        <w:ind w:firstLine="560" w:firstLineChars="200"/>
        <w:jc w:val="left"/>
        <w:rPr>
          <w:rFonts w:ascii="宋体" w:hAnsi="宋体" w:eastAsia="宋体" w:cs="宋体"/>
          <w:color w:val="auto"/>
          <w:sz w:val="28"/>
          <w:szCs w:val="28"/>
          <w:highlight w:val="none"/>
        </w:rPr>
      </w:pPr>
    </w:p>
    <w:p w14:paraId="43A234FB">
      <w:pPr>
        <w:snapToGrid w:val="0"/>
        <w:spacing w:before="50" w:after="120" w:afterLines="50" w:line="360" w:lineRule="auto"/>
        <w:ind w:firstLine="480" w:firstLineChars="200"/>
        <w:jc w:val="left"/>
        <w:rPr>
          <w:rFonts w:ascii="宋体" w:hAnsi="宋体" w:eastAsia="宋体" w:cs="宋体"/>
          <w:color w:val="auto"/>
          <w:kern w:val="0"/>
          <w:sz w:val="24"/>
          <w:szCs w:val="24"/>
          <w:highlight w:val="none"/>
        </w:rPr>
        <w:sectPr>
          <w:pgSz w:w="11906" w:h="16838"/>
          <w:pgMar w:top="1134" w:right="1134" w:bottom="1134" w:left="1134" w:header="720" w:footer="720" w:gutter="0"/>
          <w:cols w:space="720" w:num="1"/>
          <w:docGrid w:linePitch="331" w:charSpace="0"/>
        </w:sectPr>
      </w:pPr>
    </w:p>
    <w:p w14:paraId="49DB05D6">
      <w:pPr>
        <w:keepNext/>
        <w:keepLines/>
        <w:spacing w:before="260" w:after="260" w:line="413" w:lineRule="auto"/>
        <w:jc w:val="center"/>
        <w:outlineLvl w:val="1"/>
        <w:rPr>
          <w:rFonts w:ascii="宋体" w:hAnsi="宋体" w:eastAsia="宋体" w:cs="宋体"/>
          <w:color w:val="auto"/>
          <w:sz w:val="32"/>
          <w:szCs w:val="32"/>
          <w:highlight w:val="none"/>
        </w:rPr>
      </w:pPr>
      <w:bookmarkStart w:id="249" w:name="_Toc10368"/>
      <w:bookmarkStart w:id="250" w:name="_Toc80093019"/>
      <w:bookmarkStart w:id="251" w:name="_Toc146703325"/>
      <w:r>
        <w:rPr>
          <w:rFonts w:hint="eastAsia" w:ascii="宋体" w:hAnsi="宋体" w:eastAsia="宋体" w:cs="宋体"/>
          <w:color w:val="auto"/>
          <w:sz w:val="32"/>
          <w:szCs w:val="32"/>
          <w:highlight w:val="none"/>
        </w:rPr>
        <w:t>第二节 投诉书（格式）</w:t>
      </w:r>
      <w:bookmarkEnd w:id="249"/>
      <w:bookmarkEnd w:id="250"/>
      <w:bookmarkEnd w:id="251"/>
    </w:p>
    <w:p w14:paraId="2890B9B6">
      <w:pPr>
        <w:jc w:val="center"/>
        <w:outlineLvl w:val="2"/>
        <w:rPr>
          <w:rFonts w:ascii="宋体" w:hAnsi="宋体" w:eastAsia="宋体" w:cs="宋体"/>
          <w:b/>
          <w:color w:val="auto"/>
          <w:sz w:val="44"/>
          <w:szCs w:val="44"/>
          <w:highlight w:val="none"/>
        </w:rPr>
      </w:pPr>
      <w:bookmarkStart w:id="252" w:name="_Toc146703326"/>
      <w:r>
        <w:rPr>
          <w:rFonts w:hint="eastAsia" w:ascii="宋体" w:hAnsi="宋体" w:eastAsia="宋体" w:cs="宋体"/>
          <w:b/>
          <w:color w:val="auto"/>
          <w:sz w:val="44"/>
          <w:szCs w:val="44"/>
          <w:highlight w:val="none"/>
        </w:rPr>
        <w:t>投诉书范本</w:t>
      </w:r>
      <w:bookmarkEnd w:id="252"/>
    </w:p>
    <w:p w14:paraId="47F8E085">
      <w:pPr>
        <w:outlineLvl w:val="2"/>
        <w:rPr>
          <w:rFonts w:ascii="宋体" w:hAnsi="宋体" w:eastAsia="宋体" w:cs="宋体"/>
          <w:color w:val="auto"/>
          <w:sz w:val="28"/>
          <w:szCs w:val="28"/>
          <w:highlight w:val="none"/>
        </w:rPr>
      </w:pPr>
      <w:bookmarkStart w:id="253" w:name="_Toc146703327"/>
      <w:bookmarkStart w:id="254" w:name="_Toc144971876"/>
      <w:r>
        <w:rPr>
          <w:rFonts w:hint="eastAsia" w:ascii="宋体" w:hAnsi="宋体" w:eastAsia="宋体" w:cs="宋体"/>
          <w:color w:val="auto"/>
          <w:sz w:val="28"/>
          <w:szCs w:val="28"/>
          <w:highlight w:val="none"/>
        </w:rPr>
        <w:t>一、投诉相关主体基本情况</w:t>
      </w:r>
      <w:bookmarkEnd w:id="253"/>
      <w:bookmarkEnd w:id="254"/>
    </w:p>
    <w:p w14:paraId="7F721727">
      <w:pPr>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投诉人：</w:t>
      </w:r>
      <w:r>
        <w:rPr>
          <w:rFonts w:hint="eastAsia" w:ascii="宋体" w:hAnsi="宋体" w:eastAsia="宋体" w:cs="宋体"/>
          <w:color w:val="auto"/>
          <w:sz w:val="28"/>
          <w:szCs w:val="28"/>
          <w:highlight w:val="none"/>
          <w:u w:val="dotted"/>
        </w:rPr>
        <w:t xml:space="preserve">                                               </w:t>
      </w:r>
    </w:p>
    <w:p w14:paraId="5D59F517">
      <w:pP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邮编：</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14:paraId="2B9D16FC">
      <w:pPr>
        <w:tabs>
          <w:tab w:val="left" w:pos="6510"/>
        </w:tabs>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法定代表人/主要负责人：</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 xml:space="preserve">  </w:t>
      </w:r>
    </w:p>
    <w:p w14:paraId="1AFD7265">
      <w:pPr>
        <w:tabs>
          <w:tab w:val="left" w:pos="6510"/>
        </w:tabs>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dotted"/>
        </w:rPr>
        <w:t xml:space="preserve">                                             </w:t>
      </w:r>
    </w:p>
    <w:p w14:paraId="3BF66A1B">
      <w:pPr>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授权代表：</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dotted"/>
        </w:rPr>
        <w:t xml:space="preserve">：                  </w:t>
      </w:r>
    </w:p>
    <w:p w14:paraId="02D5526E">
      <w:pPr>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邮编：</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dotted"/>
        </w:rPr>
        <w:t xml:space="preserve">                   </w:t>
      </w:r>
    </w:p>
    <w:p w14:paraId="6B6486C4">
      <w:pP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被投诉人1：</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14:paraId="40EF5D4D">
      <w:pP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邮编：</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14:paraId="2E993635">
      <w:pP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14:paraId="17948538">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被投诉人2</w:t>
      </w:r>
    </w:p>
    <w:p w14:paraId="2DB1FF23">
      <w:pPr>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w:t>
      </w:r>
    </w:p>
    <w:p w14:paraId="2743796C">
      <w:pP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相关供应商：</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14:paraId="61E9EF88">
      <w:pP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邮编：</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14:paraId="7340E6D0">
      <w:pP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14:paraId="795F3D68">
      <w:pPr>
        <w:outlineLvl w:val="2"/>
        <w:rPr>
          <w:rFonts w:ascii="宋体" w:hAnsi="宋体" w:eastAsia="宋体" w:cs="宋体"/>
          <w:color w:val="auto"/>
          <w:sz w:val="28"/>
          <w:szCs w:val="28"/>
          <w:highlight w:val="none"/>
        </w:rPr>
      </w:pPr>
      <w:bookmarkStart w:id="255" w:name="_Toc144971877"/>
      <w:bookmarkStart w:id="256" w:name="_Toc146703328"/>
      <w:r>
        <w:rPr>
          <w:rFonts w:hint="eastAsia" w:ascii="宋体" w:hAnsi="宋体" w:eastAsia="宋体" w:cs="宋体"/>
          <w:color w:val="auto"/>
          <w:sz w:val="28"/>
          <w:szCs w:val="28"/>
          <w:highlight w:val="none"/>
        </w:rPr>
        <w:t>二、投诉项目基本情况</w:t>
      </w:r>
      <w:bookmarkEnd w:id="255"/>
      <w:bookmarkEnd w:id="256"/>
    </w:p>
    <w:p w14:paraId="2A107B22">
      <w:pPr>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采购项目名称：</w:t>
      </w:r>
      <w:r>
        <w:rPr>
          <w:rFonts w:hint="eastAsia" w:ascii="宋体" w:hAnsi="宋体" w:eastAsia="宋体" w:cs="宋体"/>
          <w:color w:val="auto"/>
          <w:sz w:val="28"/>
          <w:szCs w:val="28"/>
          <w:highlight w:val="none"/>
          <w:u w:val="dotted"/>
        </w:rPr>
        <w:t xml:space="preserve">                                       </w:t>
      </w:r>
    </w:p>
    <w:p w14:paraId="79084BAF">
      <w:pP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采购项目编号：</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包号：</w:t>
      </w:r>
      <w:r>
        <w:rPr>
          <w:rFonts w:hint="eastAsia" w:ascii="宋体" w:hAnsi="宋体" w:eastAsia="宋体" w:cs="宋体"/>
          <w:color w:val="auto"/>
          <w:sz w:val="28"/>
          <w:szCs w:val="28"/>
          <w:highlight w:val="none"/>
          <w:u w:val="dotted"/>
        </w:rPr>
        <w:t xml:space="preserve">              </w:t>
      </w:r>
    </w:p>
    <w:p w14:paraId="05B9D786">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征集人名称：</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14:paraId="63409AEE">
      <w:pP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代理机构名称：</w:t>
      </w:r>
      <w:r>
        <w:rPr>
          <w:rFonts w:hint="eastAsia" w:ascii="宋体" w:hAnsi="宋体" w:eastAsia="宋体" w:cs="宋体"/>
          <w:color w:val="auto"/>
          <w:sz w:val="28"/>
          <w:szCs w:val="28"/>
          <w:highlight w:val="none"/>
          <w:u w:val="dotted"/>
        </w:rPr>
        <w:t xml:space="preserve">                                         </w:t>
      </w:r>
    </w:p>
    <w:p w14:paraId="2E9F134C">
      <w:pPr>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采购文件公告:</w:t>
      </w:r>
      <w:r>
        <w:rPr>
          <w:rFonts w:hint="eastAsia" w:ascii="宋体" w:hAnsi="宋体" w:eastAsia="宋体" w:cs="宋体"/>
          <w:color w:val="auto"/>
          <w:sz w:val="28"/>
          <w:szCs w:val="28"/>
          <w:highlight w:val="none"/>
          <w:u w:val="dotted"/>
        </w:rPr>
        <w:t xml:space="preserve">是/否 </w:t>
      </w:r>
      <w:r>
        <w:rPr>
          <w:rFonts w:hint="eastAsia" w:ascii="宋体" w:hAnsi="宋体" w:eastAsia="宋体" w:cs="宋体"/>
          <w:color w:val="auto"/>
          <w:sz w:val="28"/>
          <w:szCs w:val="28"/>
          <w:highlight w:val="none"/>
        </w:rPr>
        <w:t>公告期限：</w:t>
      </w:r>
      <w:r>
        <w:rPr>
          <w:rFonts w:hint="eastAsia" w:ascii="宋体" w:hAnsi="宋体" w:eastAsia="宋体" w:cs="宋体"/>
          <w:color w:val="auto"/>
          <w:sz w:val="28"/>
          <w:szCs w:val="28"/>
          <w:highlight w:val="none"/>
          <w:u w:val="dotted"/>
        </w:rPr>
        <w:t xml:space="preserve">                                 </w:t>
      </w:r>
    </w:p>
    <w:p w14:paraId="5355EB41">
      <w:pP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采购结果公告:</w:t>
      </w:r>
      <w:r>
        <w:rPr>
          <w:rFonts w:hint="eastAsia" w:ascii="宋体" w:hAnsi="宋体" w:eastAsia="宋体" w:cs="宋体"/>
          <w:color w:val="auto"/>
          <w:sz w:val="28"/>
          <w:szCs w:val="28"/>
          <w:highlight w:val="none"/>
          <w:u w:val="dotted"/>
        </w:rPr>
        <w:t xml:space="preserve">是/否 </w:t>
      </w:r>
      <w:r>
        <w:rPr>
          <w:rFonts w:hint="eastAsia" w:ascii="宋体" w:hAnsi="宋体" w:eastAsia="宋体" w:cs="宋体"/>
          <w:color w:val="auto"/>
          <w:sz w:val="28"/>
          <w:szCs w:val="28"/>
          <w:highlight w:val="none"/>
        </w:rPr>
        <w:t>公告期限：</w:t>
      </w:r>
      <w:r>
        <w:rPr>
          <w:rFonts w:hint="eastAsia" w:ascii="宋体" w:hAnsi="宋体" w:eastAsia="宋体" w:cs="宋体"/>
          <w:color w:val="auto"/>
          <w:sz w:val="28"/>
          <w:szCs w:val="28"/>
          <w:highlight w:val="none"/>
          <w:u w:val="dotted"/>
        </w:rPr>
        <w:t xml:space="preserve">                        </w:t>
      </w:r>
    </w:p>
    <w:p w14:paraId="09E077C1">
      <w:pPr>
        <w:outlineLvl w:val="2"/>
        <w:rPr>
          <w:rFonts w:ascii="宋体" w:hAnsi="宋体" w:eastAsia="宋体" w:cs="宋体"/>
          <w:color w:val="auto"/>
          <w:sz w:val="28"/>
          <w:szCs w:val="28"/>
          <w:highlight w:val="none"/>
        </w:rPr>
      </w:pPr>
      <w:bookmarkStart w:id="257" w:name="_Toc146703329"/>
      <w:bookmarkStart w:id="258" w:name="_Toc144971878"/>
      <w:r>
        <w:rPr>
          <w:rFonts w:hint="eastAsia" w:ascii="宋体" w:hAnsi="宋体" w:eastAsia="宋体" w:cs="宋体"/>
          <w:color w:val="auto"/>
          <w:sz w:val="28"/>
          <w:szCs w:val="28"/>
          <w:highlight w:val="none"/>
        </w:rPr>
        <w:t>三、质疑基本情况</w:t>
      </w:r>
      <w:bookmarkEnd w:id="257"/>
      <w:bookmarkEnd w:id="258"/>
    </w:p>
    <w:p w14:paraId="7C88DAC1">
      <w:pPr>
        <w:ind w:firstLine="560" w:firstLineChars="200"/>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投诉人于</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日,向</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提出质疑，质疑事项为：</w:t>
      </w:r>
      <w:r>
        <w:rPr>
          <w:rFonts w:hint="eastAsia" w:ascii="宋体" w:hAnsi="宋体" w:eastAsia="宋体" w:cs="宋体"/>
          <w:color w:val="auto"/>
          <w:sz w:val="28"/>
          <w:szCs w:val="28"/>
          <w:highlight w:val="none"/>
          <w:u w:val="dotted"/>
        </w:rPr>
        <w:t xml:space="preserve">                                </w:t>
      </w:r>
    </w:p>
    <w:p w14:paraId="2A5C4085">
      <w:pPr>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 xml:space="preserve">  </w:t>
      </w:r>
    </w:p>
    <w:p w14:paraId="68257F9A">
      <w:pPr>
        <w:ind w:firstLine="420" w:firstLineChars="1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dotted"/>
        </w:rPr>
        <w:t>征集人/代理机构</w:t>
      </w:r>
      <w:r>
        <w:rPr>
          <w:rFonts w:hint="eastAsia" w:ascii="宋体" w:hAnsi="宋体" w:eastAsia="宋体" w:cs="宋体"/>
          <w:color w:val="auto"/>
          <w:sz w:val="28"/>
          <w:szCs w:val="28"/>
          <w:highlight w:val="none"/>
        </w:rPr>
        <w:t>于</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日,就质疑事项作出了答复/没有在法定期限内作出答复。</w:t>
      </w:r>
    </w:p>
    <w:p w14:paraId="6427841A">
      <w:pPr>
        <w:outlineLvl w:val="2"/>
        <w:rPr>
          <w:rFonts w:ascii="宋体" w:hAnsi="宋体" w:eastAsia="宋体" w:cs="宋体"/>
          <w:color w:val="auto"/>
          <w:sz w:val="28"/>
          <w:szCs w:val="28"/>
          <w:highlight w:val="none"/>
        </w:rPr>
      </w:pPr>
      <w:bookmarkStart w:id="259" w:name="_Toc146703330"/>
      <w:bookmarkStart w:id="260" w:name="_Toc144971879"/>
      <w:r>
        <w:rPr>
          <w:rFonts w:hint="eastAsia" w:ascii="宋体" w:hAnsi="宋体" w:eastAsia="宋体" w:cs="宋体"/>
          <w:color w:val="auto"/>
          <w:sz w:val="28"/>
          <w:szCs w:val="28"/>
          <w:highlight w:val="none"/>
        </w:rPr>
        <w:t>四、投诉事项具体内容</w:t>
      </w:r>
      <w:bookmarkEnd w:id="259"/>
      <w:bookmarkEnd w:id="260"/>
    </w:p>
    <w:p w14:paraId="1C7312EE">
      <w:pP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投诉事项 1：</w:t>
      </w:r>
      <w:r>
        <w:rPr>
          <w:rFonts w:hint="eastAsia" w:ascii="宋体" w:hAnsi="宋体" w:eastAsia="宋体" w:cs="宋体"/>
          <w:color w:val="auto"/>
          <w:sz w:val="28"/>
          <w:szCs w:val="28"/>
          <w:highlight w:val="none"/>
          <w:u w:val="dotted"/>
        </w:rPr>
        <w:t xml:space="preserve">                                       </w:t>
      </w:r>
    </w:p>
    <w:p w14:paraId="5F216E39">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事实依据：</w:t>
      </w:r>
      <w:r>
        <w:rPr>
          <w:rFonts w:hint="eastAsia" w:ascii="宋体" w:hAnsi="宋体" w:eastAsia="宋体" w:cs="宋体"/>
          <w:color w:val="auto"/>
          <w:sz w:val="28"/>
          <w:szCs w:val="28"/>
          <w:highlight w:val="none"/>
          <w:u w:val="dotted"/>
        </w:rPr>
        <w:t xml:space="preserve">                                         </w:t>
      </w:r>
    </w:p>
    <w:p w14:paraId="2BC63CB7">
      <w:pPr>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u w:val="dotted"/>
        </w:rPr>
        <w:t xml:space="preserve">                                                      </w:t>
      </w:r>
    </w:p>
    <w:p w14:paraId="003247BE">
      <w:pP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法律依据：</w:t>
      </w:r>
      <w:r>
        <w:rPr>
          <w:rFonts w:hint="eastAsia" w:ascii="宋体" w:hAnsi="宋体" w:eastAsia="宋体" w:cs="宋体"/>
          <w:color w:val="auto"/>
          <w:sz w:val="28"/>
          <w:szCs w:val="28"/>
          <w:highlight w:val="none"/>
          <w:u w:val="dotted"/>
        </w:rPr>
        <w:t xml:space="preserve">                                          </w:t>
      </w:r>
    </w:p>
    <w:p w14:paraId="0C69D57B">
      <w:pPr>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u w:val="dotted"/>
        </w:rPr>
        <w:t xml:space="preserve">                                                      </w:t>
      </w:r>
    </w:p>
    <w:p w14:paraId="5A8A3B0F">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投诉事项2</w:t>
      </w:r>
    </w:p>
    <w:p w14:paraId="6D067313">
      <w:pPr>
        <w:rPr>
          <w:rFonts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w:t>
      </w:r>
    </w:p>
    <w:p w14:paraId="1CFC80E5">
      <w:pPr>
        <w:outlineLvl w:val="2"/>
        <w:rPr>
          <w:rFonts w:ascii="宋体" w:hAnsi="宋体" w:eastAsia="宋体" w:cs="宋体"/>
          <w:color w:val="auto"/>
          <w:sz w:val="28"/>
          <w:szCs w:val="28"/>
          <w:highlight w:val="none"/>
        </w:rPr>
      </w:pPr>
      <w:bookmarkStart w:id="261" w:name="_Toc146703331"/>
      <w:bookmarkStart w:id="262" w:name="_Toc144971880"/>
      <w:r>
        <w:rPr>
          <w:rFonts w:hint="eastAsia" w:ascii="宋体" w:hAnsi="宋体" w:eastAsia="宋体" w:cs="宋体"/>
          <w:color w:val="auto"/>
          <w:sz w:val="28"/>
          <w:szCs w:val="28"/>
          <w:highlight w:val="none"/>
        </w:rPr>
        <w:t>五、与投诉事项相关的投诉请求</w:t>
      </w:r>
      <w:bookmarkEnd w:id="261"/>
      <w:bookmarkEnd w:id="262"/>
    </w:p>
    <w:p w14:paraId="10B4DC46">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请求：</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 xml:space="preserve"> </w:t>
      </w:r>
    </w:p>
    <w:p w14:paraId="6C70FDA1">
      <w:pP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w:t>
      </w:r>
    </w:p>
    <w:p w14:paraId="6950403D">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签字(签章)：                   公章：                      </w:t>
      </w:r>
    </w:p>
    <w:p w14:paraId="201BDD77">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日期：    </w:t>
      </w:r>
    </w:p>
    <w:p w14:paraId="30889745">
      <w:pPr>
        <w:rPr>
          <w:rFonts w:ascii="宋体" w:hAnsi="宋体" w:eastAsia="宋体" w:cs="宋体"/>
          <w:b/>
          <w:color w:val="auto"/>
          <w:sz w:val="28"/>
          <w:szCs w:val="28"/>
          <w:highlight w:val="none"/>
        </w:rPr>
      </w:pPr>
    </w:p>
    <w:p w14:paraId="6FA16E09">
      <w:pPr>
        <w:outlineLvl w:val="2"/>
        <w:rPr>
          <w:rFonts w:ascii="宋体" w:hAnsi="宋体" w:eastAsia="宋体" w:cs="宋体"/>
          <w:b/>
          <w:color w:val="auto"/>
          <w:sz w:val="28"/>
          <w:szCs w:val="28"/>
          <w:highlight w:val="none"/>
        </w:rPr>
      </w:pPr>
      <w:bookmarkStart w:id="263" w:name="_Toc146703332"/>
      <w:r>
        <w:rPr>
          <w:rFonts w:hint="eastAsia" w:ascii="宋体" w:hAnsi="宋体" w:eastAsia="宋体" w:cs="宋体"/>
          <w:b/>
          <w:color w:val="auto"/>
          <w:sz w:val="28"/>
          <w:szCs w:val="28"/>
          <w:highlight w:val="none"/>
        </w:rPr>
        <w:t>投诉书制作说明：</w:t>
      </w:r>
      <w:bookmarkEnd w:id="263"/>
    </w:p>
    <w:p w14:paraId="630AB331">
      <w:pPr>
        <w:widowControl/>
        <w:ind w:firstLine="560" w:firstLineChars="200"/>
        <w:rPr>
          <w:rFonts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1.投诉人提起投诉时，应当提交投诉书和必要的证明材料，并按照被投诉人和与投诉事项有关的供应商数量提供投诉书副本。</w:t>
      </w:r>
    </w:p>
    <w:p w14:paraId="07C9A5FA">
      <w:pPr>
        <w:widowControl/>
        <w:ind w:firstLine="560" w:firstLineChars="200"/>
        <w:jc w:val="left"/>
        <w:rPr>
          <w:rFonts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2.投诉人若委托代理人进行投诉的，投诉书应按照要求列明“授权代表”的有关内容，并在附件中提交由</w:t>
      </w:r>
      <w:r>
        <w:rPr>
          <w:rFonts w:hint="eastAsia" w:ascii="宋体" w:hAnsi="宋体" w:eastAsia="宋体" w:cs="宋体"/>
          <w:color w:val="auto"/>
          <w:kern w:val="0"/>
          <w:sz w:val="28"/>
          <w:szCs w:val="28"/>
          <w:highlight w:val="none"/>
        </w:rPr>
        <w:t>投诉人签署的授权委托书。授权委托书应当载明代理人的姓名或者名称、代理事项、具体权限、期限和相关事项。</w:t>
      </w:r>
    </w:p>
    <w:p w14:paraId="108357E8">
      <w:pPr>
        <w:widowControl/>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3.投诉人若对项目的某一分包进行投诉，投诉书应列明具体分包号。</w:t>
      </w:r>
    </w:p>
    <w:p w14:paraId="7013A0E0">
      <w:pPr>
        <w:widowControl/>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4.投诉书应简要列明质疑事项，质疑函、质疑答复等作为附件材料提供。</w:t>
      </w:r>
    </w:p>
    <w:p w14:paraId="66A24AFC">
      <w:pPr>
        <w:widowControl/>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5.投诉书的投诉事项应具体、明确，并有必要的事实依据和法律依据。</w:t>
      </w:r>
    </w:p>
    <w:p w14:paraId="2103AC7F">
      <w:pPr>
        <w:widowControl/>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6.投诉书的投诉请求应与投诉事项相关。</w:t>
      </w:r>
    </w:p>
    <w:p w14:paraId="43AF0495">
      <w:pPr>
        <w:widowControl/>
        <w:ind w:firstLine="560" w:firstLineChars="200"/>
        <w:jc w:val="left"/>
        <w:rPr>
          <w:rFonts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7.投诉人为自然人的，投诉书应当由本人签字；投诉人为法人或者其他组织的，投诉书应当由法定代表人、主要负责人，或者其授权代表签字或者盖章，并加盖公章。</w:t>
      </w:r>
    </w:p>
    <w:p w14:paraId="2AB0DE71">
      <w:pPr>
        <w:snapToGrid w:val="0"/>
        <w:spacing w:before="50" w:after="156" w:afterLines="50" w:line="360" w:lineRule="auto"/>
        <w:ind w:firstLine="560" w:firstLineChars="200"/>
        <w:jc w:val="left"/>
        <w:rPr>
          <w:rFonts w:ascii="宋体" w:hAnsi="宋体" w:eastAsia="宋体" w:cs="宋体"/>
          <w:color w:val="auto"/>
          <w:sz w:val="28"/>
          <w:szCs w:val="28"/>
          <w:highlight w:val="none"/>
        </w:rPr>
      </w:pPr>
    </w:p>
    <w:p w14:paraId="54EEABB0">
      <w:pPr>
        <w:rPr>
          <w:color w:val="auto"/>
          <w:highlight w:val="none"/>
        </w:rPr>
      </w:pPr>
    </w:p>
    <w:bookmarkEnd w:id="2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69F91">
    <w:pPr>
      <w:pStyle w:val="23"/>
      <w:jc w:val="center"/>
    </w:pPr>
    <w:r>
      <w:fldChar w:fldCharType="begin"/>
    </w:r>
    <w:r>
      <w:instrText xml:space="preserve"> PAGE   \* MERGEFORMAT </w:instrText>
    </w:r>
    <w:r>
      <w:fldChar w:fldCharType="separate"/>
    </w:r>
    <w:r>
      <w:rPr>
        <w:lang w:val="zh-CN"/>
      </w:rPr>
      <w:t>10</w:t>
    </w:r>
    <w:r>
      <w:fldChar w:fldCharType="end"/>
    </w:r>
  </w:p>
  <w:p w14:paraId="4681B5CA">
    <w:pPr>
      <w:pStyle w:val="23"/>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ED421">
    <w:pPr>
      <w:pStyle w:val="23"/>
      <w:framePr w:wrap="around" w:vAnchor="text" w:hAnchor="margin" w:xAlign="center" w:y="1"/>
      <w:rPr>
        <w:rStyle w:val="35"/>
      </w:rPr>
    </w:pPr>
    <w:r>
      <w:fldChar w:fldCharType="begin"/>
    </w:r>
    <w:r>
      <w:rPr>
        <w:rStyle w:val="35"/>
      </w:rPr>
      <w:instrText xml:space="preserve">PAGE  </w:instrText>
    </w:r>
    <w:r>
      <w:fldChar w:fldCharType="end"/>
    </w:r>
  </w:p>
  <w:p w14:paraId="07FC7F95">
    <w:pPr>
      <w:pStyle w:val="2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43AB4">
    <w:pPr>
      <w:pStyle w:val="23"/>
      <w:framePr w:wrap="around" w:vAnchor="text" w:hAnchor="margin" w:xAlign="right" w:y="1"/>
      <w:rPr>
        <w:rStyle w:val="35"/>
      </w:rPr>
    </w:pPr>
    <w:r>
      <w:fldChar w:fldCharType="begin"/>
    </w:r>
    <w:r>
      <w:rPr>
        <w:rStyle w:val="35"/>
      </w:rPr>
      <w:instrText xml:space="preserve">PAGE  </w:instrText>
    </w:r>
    <w:r>
      <w:fldChar w:fldCharType="separate"/>
    </w:r>
    <w:r>
      <w:rPr>
        <w:rStyle w:val="35"/>
      </w:rPr>
      <w:t>122</w:t>
    </w:r>
    <w:r>
      <w:fldChar w:fldCharType="end"/>
    </w:r>
  </w:p>
  <w:p w14:paraId="5B0CDE5F">
    <w:pPr>
      <w:pStyle w:val="23"/>
      <w:ind w:right="360"/>
      <w:jc w:val="both"/>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037A1">
    <w:pPr>
      <w:pStyle w:val="23"/>
      <w:framePr w:wrap="around" w:vAnchor="text" w:hAnchor="margin" w:xAlign="center" w:y="1"/>
      <w:rPr>
        <w:rStyle w:val="35"/>
        <w:sz w:val="21"/>
      </w:rPr>
    </w:pPr>
    <w:r>
      <w:rPr>
        <w:sz w:val="21"/>
      </w:rPr>
      <w:fldChar w:fldCharType="begin"/>
    </w:r>
    <w:r>
      <w:rPr>
        <w:rStyle w:val="35"/>
        <w:sz w:val="21"/>
      </w:rPr>
      <w:instrText xml:space="preserve">PAGE  </w:instrText>
    </w:r>
    <w:r>
      <w:rPr>
        <w:sz w:val="21"/>
      </w:rPr>
      <w:fldChar w:fldCharType="separate"/>
    </w:r>
    <w:r>
      <w:rPr>
        <w:rStyle w:val="35"/>
        <w:sz w:val="21"/>
      </w:rPr>
      <w:t>0</w:t>
    </w:r>
    <w:r>
      <w:rPr>
        <w:sz w:val="21"/>
      </w:rPr>
      <w:fldChar w:fldCharType="end"/>
    </w:r>
  </w:p>
  <w:p w14:paraId="53A36E0E">
    <w:pPr>
      <w:pStyle w:val="2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82160">
    <w:pPr>
      <w:pStyle w:val="2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254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0B1BDF9">
                          <w:pPr>
                            <w:pStyle w:val="23"/>
                          </w:pPr>
                          <w:r>
                            <w:fldChar w:fldCharType="begin"/>
                          </w:r>
                          <w:r>
                            <w:instrText xml:space="preserve"> PAGE  \* MERGEFORMAT </w:instrText>
                          </w:r>
                          <w:r>
                            <w:fldChar w:fldCharType="separate"/>
                          </w:r>
                          <w:r>
                            <w:t>19</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dDvzoKAgAAAg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quQzzqww1PDDj++Hn78P&#10;v76xWbSnc76grFtHeaF/Az0NTZLq3Q3IL55ZuG6E3agrROgaJSqil8eX2YOnA46PIOvuPVRUR2wD&#10;JKC+RhO9IzcYoVNr9qfWqD4wGUvms9fnF5xJusrP89nsIlUQxfjYoQ9vFRgWg5IjdT6Bi92ND5GM&#10;KMaUWMvCSrdt6n5r/zqgxHiSyEe+A/PQr/ujGWuo9iQDYRgm+koUNIBfOetokEpu6d9w1r6zZESc&#10;uTHAMViPgbCSHpY8cDaE12GYza1DvWkId7T6isxa6SQkujpwOLKk0Uj6jmMcZ+/hPmX9+bqL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AHQ786CgIAAAIEAAAOAAAAAAAAAAEAIAAAAB8BAABk&#10;cnMvZTJvRG9jLnhtbFBLBQYAAAAABgAGAFkBAACbBQAAAAA=&#10;">
              <v:fill on="f" focussize="0,0"/>
              <v:stroke on="f"/>
              <v:imagedata o:title=""/>
              <o:lock v:ext="edit" aspectratio="f"/>
              <v:textbox inset="0mm,0mm,0mm,0mm" style="mso-fit-shape-to-text:t;">
                <w:txbxContent>
                  <w:p w14:paraId="00B1BDF9">
                    <w:pPr>
                      <w:pStyle w:val="23"/>
                    </w:pPr>
                    <w:r>
                      <w:fldChar w:fldCharType="begin"/>
                    </w:r>
                    <w:r>
                      <w:instrText xml:space="preserve"> PAGE  \* MERGEFORMAT </w:instrText>
                    </w:r>
                    <w:r>
                      <w:fldChar w:fldCharType="separate"/>
                    </w:r>
                    <w:r>
                      <w:t>19</w:t>
                    </w:r>
                    <w:r>
                      <w:fldChar w:fldCharType="end"/>
                    </w:r>
                  </w:p>
                </w:txbxContent>
              </v:textbox>
            </v:shape>
          </w:pict>
        </mc:Fallback>
      </mc:AlternateContent>
    </w:r>
  </w:p>
  <w:p w14:paraId="64E42998">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DB67A">
    <w:pPr>
      <w:pStyle w:val="23"/>
      <w:jc w:val="center"/>
    </w:pPr>
    <w:r>
      <w:fldChar w:fldCharType="begin"/>
    </w:r>
    <w:r>
      <w:instrText xml:space="preserve"> PAGE   \* MERGEFORMAT </w:instrText>
    </w:r>
    <w:r>
      <w:fldChar w:fldCharType="separate"/>
    </w:r>
    <w:r>
      <w:rPr>
        <w:lang w:val="zh-CN"/>
      </w:rPr>
      <w:t>58</w:t>
    </w:r>
    <w:r>
      <w:fldChar w:fldCharType="end"/>
    </w:r>
  </w:p>
  <w:p w14:paraId="41165AD3">
    <w:pPr>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C7D14">
    <w:pPr>
      <w:pStyle w:val="23"/>
      <w:jc w:val="center"/>
    </w:pPr>
    <w:r>
      <w:fldChar w:fldCharType="begin"/>
    </w:r>
    <w:r>
      <w:instrText xml:space="preserve"> PAGE   \* MERGEFORMAT </w:instrText>
    </w:r>
    <w:r>
      <w:fldChar w:fldCharType="separate"/>
    </w:r>
    <w:r>
      <w:rPr>
        <w:lang w:val="zh-CN"/>
      </w:rPr>
      <w:t>78</w:t>
    </w:r>
    <w:r>
      <w:fldChar w:fldCharType="end"/>
    </w:r>
  </w:p>
  <w:p w14:paraId="0288BDFB">
    <w:pPr>
      <w:pStyle w:val="2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CE80D">
    <w:pPr>
      <w:pStyle w:val="23"/>
      <w:jc w:val="center"/>
    </w:pPr>
    <w:r>
      <w:fldChar w:fldCharType="begin"/>
    </w:r>
    <w:r>
      <w:instrText xml:space="preserve"> PAGE   \* MERGEFORMAT </w:instrText>
    </w:r>
    <w:r>
      <w:fldChar w:fldCharType="separate"/>
    </w:r>
    <w:r>
      <w:rPr>
        <w:lang w:val="zh-CN"/>
      </w:rPr>
      <w:t>84</w:t>
    </w:r>
    <w:r>
      <w:fldChar w:fldCharType="end"/>
    </w:r>
  </w:p>
  <w:p w14:paraId="1BD4660C">
    <w:pPr>
      <w:pStyle w:val="2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B2C1A">
    <w:pPr>
      <w:pStyle w:val="23"/>
      <w:framePr w:wrap="around" w:vAnchor="text" w:hAnchor="margin" w:xAlign="center" w:y="1"/>
      <w:rPr>
        <w:rStyle w:val="35"/>
      </w:rPr>
    </w:pPr>
    <w:r>
      <w:fldChar w:fldCharType="begin"/>
    </w:r>
    <w:r>
      <w:rPr>
        <w:rStyle w:val="35"/>
      </w:rPr>
      <w:instrText xml:space="preserve">PAGE  </w:instrText>
    </w:r>
    <w:r>
      <w:fldChar w:fldCharType="end"/>
    </w:r>
  </w:p>
  <w:p w14:paraId="04FA18B9">
    <w:pPr>
      <w:pStyle w:val="2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0585B">
    <w:pPr>
      <w:pStyle w:val="23"/>
      <w:framePr w:wrap="around" w:vAnchor="text" w:hAnchor="margin" w:xAlign="right" w:y="1"/>
      <w:rPr>
        <w:rStyle w:val="35"/>
      </w:rPr>
    </w:pPr>
    <w:r>
      <w:fldChar w:fldCharType="begin"/>
    </w:r>
    <w:r>
      <w:rPr>
        <w:rStyle w:val="35"/>
      </w:rPr>
      <w:instrText xml:space="preserve">PAGE  </w:instrText>
    </w:r>
    <w:r>
      <w:fldChar w:fldCharType="separate"/>
    </w:r>
    <w:r>
      <w:rPr>
        <w:rStyle w:val="35"/>
      </w:rPr>
      <w:t>122</w:t>
    </w:r>
    <w:r>
      <w:fldChar w:fldCharType="end"/>
    </w:r>
  </w:p>
  <w:p w14:paraId="059787AF">
    <w:pPr>
      <w:pStyle w:val="23"/>
      <w:ind w:right="360"/>
      <w:jc w:val="both"/>
    </w:pPr>
    <w:r>
      <w:rPr>
        <w:rFonts w:hint="eastAsia"/>
      </w:rPr>
      <w:t>121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328D0">
    <w:pPr>
      <w:pStyle w:val="23"/>
      <w:jc w:val="center"/>
    </w:pPr>
    <w:r>
      <w:fldChar w:fldCharType="begin"/>
    </w:r>
    <w:r>
      <w:instrText xml:space="preserve"> PAGE   \* MERGEFORMAT </w:instrText>
    </w:r>
    <w:r>
      <w:fldChar w:fldCharType="separate"/>
    </w:r>
    <w:r>
      <w:rPr>
        <w:lang w:val="zh-CN"/>
      </w:rPr>
      <w:t>95</w:t>
    </w:r>
    <w:r>
      <w:fldChar w:fldCharType="end"/>
    </w:r>
  </w:p>
  <w:p w14:paraId="5BBD05C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0AE0B">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6F328">
    <w:pPr>
      <w:pStyle w:val="24"/>
      <w:tabs>
        <w:tab w:val="center" w:pos="0"/>
        <w:tab w:val="clear" w:pos="4153"/>
      </w:tabs>
    </w:pPr>
    <w:r>
      <w:rPr>
        <w:rFonts w:hint="eastAsia"/>
      </w:rPr>
      <w:t>项目编号：@采购文件模板实体.项目编号1@</w:t>
    </w:r>
  </w:p>
  <w:p w14:paraId="6130C24A">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29C63">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35751E4"/>
    <w:multiLevelType w:val="singleLevel"/>
    <w:tmpl w:val="335751E4"/>
    <w:lvl w:ilvl="0" w:tentative="0">
      <w:start w:val="1"/>
      <w:numFmt w:val="chineseCounting"/>
      <w:suff w:val="nothing"/>
      <w:lvlText w:val="%1、"/>
      <w:lvlJc w:val="left"/>
      <w:rPr>
        <w:rFonts w:hint="eastAsia"/>
      </w:rPr>
    </w:lvl>
  </w:abstractNum>
  <w:abstractNum w:abstractNumId="3">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4">
    <w:nsid w:val="41367BD3"/>
    <w:multiLevelType w:val="multilevel"/>
    <w:tmpl w:val="41367BD3"/>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46D729B"/>
    <w:multiLevelType w:val="singleLevel"/>
    <w:tmpl w:val="546D729B"/>
    <w:lvl w:ilvl="0" w:tentative="0">
      <w:start w:val="5"/>
      <w:numFmt w:val="decimal"/>
      <w:lvlText w:val="%1."/>
      <w:lvlJc w:val="left"/>
      <w:pPr>
        <w:tabs>
          <w:tab w:val="left" w:pos="312"/>
        </w:tabs>
      </w:pPr>
    </w:lvl>
  </w:abstractNum>
  <w:abstractNum w:abstractNumId="6">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4"/>
  </w:num>
  <w:num w:numId="2">
    <w:abstractNumId w:val="6"/>
  </w:num>
  <w:num w:numId="3">
    <w:abstractNumId w:val="5"/>
  </w:num>
  <w:num w:numId="4">
    <w:abstractNumId w:val="2"/>
  </w:num>
  <w:num w:numId="5">
    <w:abstractNumId w:val="1"/>
    <w:lvlOverride w:ilvl="0">
      <w:startOverride w:val="1"/>
    </w:lvlOverride>
  </w:num>
  <w:num w:numId="6">
    <w:abstractNumId w:val="0"/>
    <w:lvlOverride w:ilvl="0">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iZTFhYjMwNjI1OWM2ZTk4ZjQyYjhlOTA1YTE2NjMifQ=="/>
  </w:docVars>
  <w:rsids>
    <w:rsidRoot w:val="003151DD"/>
    <w:rsid w:val="0030728B"/>
    <w:rsid w:val="003151DD"/>
    <w:rsid w:val="00323A7B"/>
    <w:rsid w:val="004216B2"/>
    <w:rsid w:val="0052291C"/>
    <w:rsid w:val="00607840"/>
    <w:rsid w:val="00691601"/>
    <w:rsid w:val="00771B80"/>
    <w:rsid w:val="007A4BB7"/>
    <w:rsid w:val="00A22069"/>
    <w:rsid w:val="00BD4782"/>
    <w:rsid w:val="00C2688A"/>
    <w:rsid w:val="00E16D20"/>
    <w:rsid w:val="00F800F2"/>
    <w:rsid w:val="00F8309D"/>
    <w:rsid w:val="00FA7790"/>
    <w:rsid w:val="0145134B"/>
    <w:rsid w:val="015679DE"/>
    <w:rsid w:val="04AD4CE7"/>
    <w:rsid w:val="04BE0C93"/>
    <w:rsid w:val="089D2691"/>
    <w:rsid w:val="0D720E66"/>
    <w:rsid w:val="14BE346A"/>
    <w:rsid w:val="15946BAC"/>
    <w:rsid w:val="18FA2EDF"/>
    <w:rsid w:val="19B668C3"/>
    <w:rsid w:val="207E24F7"/>
    <w:rsid w:val="215D540D"/>
    <w:rsid w:val="23B24235"/>
    <w:rsid w:val="254E4396"/>
    <w:rsid w:val="29C23FA4"/>
    <w:rsid w:val="29E17ECF"/>
    <w:rsid w:val="2A1C6737"/>
    <w:rsid w:val="2AEE3377"/>
    <w:rsid w:val="2C7E2FE1"/>
    <w:rsid w:val="36B7464D"/>
    <w:rsid w:val="38154103"/>
    <w:rsid w:val="393E16E1"/>
    <w:rsid w:val="39AA76BF"/>
    <w:rsid w:val="3AEF4559"/>
    <w:rsid w:val="3B56798A"/>
    <w:rsid w:val="3D58438F"/>
    <w:rsid w:val="442109EF"/>
    <w:rsid w:val="44FA19ED"/>
    <w:rsid w:val="47B6361D"/>
    <w:rsid w:val="4B781CEE"/>
    <w:rsid w:val="4D575168"/>
    <w:rsid w:val="4F23138A"/>
    <w:rsid w:val="50070B0C"/>
    <w:rsid w:val="52A21FB9"/>
    <w:rsid w:val="54902503"/>
    <w:rsid w:val="562332FA"/>
    <w:rsid w:val="5EAE32AE"/>
    <w:rsid w:val="5FE35BDF"/>
    <w:rsid w:val="62214605"/>
    <w:rsid w:val="630E06AB"/>
    <w:rsid w:val="6361115D"/>
    <w:rsid w:val="637F7F59"/>
    <w:rsid w:val="67B045F9"/>
    <w:rsid w:val="69856F97"/>
    <w:rsid w:val="6B001EA0"/>
    <w:rsid w:val="6CB342AF"/>
    <w:rsid w:val="6FC6416A"/>
    <w:rsid w:val="708F2B0E"/>
    <w:rsid w:val="7148570A"/>
    <w:rsid w:val="75B97080"/>
    <w:rsid w:val="75C44139"/>
    <w:rsid w:val="76C52C1B"/>
    <w:rsid w:val="7A581F61"/>
    <w:rsid w:val="7D6B3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40"/>
    <w:autoRedefine/>
    <w:qFormat/>
    <w:uiPriority w:val="9"/>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41"/>
    <w:autoRedefine/>
    <w:qFormat/>
    <w:uiPriority w:val="9"/>
    <w:pPr>
      <w:keepNext/>
      <w:keepLines/>
      <w:spacing w:line="600" w:lineRule="exact"/>
      <w:ind w:firstLine="643" w:firstLineChars="200"/>
      <w:outlineLvl w:val="2"/>
    </w:pPr>
    <w:rPr>
      <w:rFonts w:ascii="Times New Roman" w:hAnsi="Times New Roman" w:eastAsia="宋体" w:cs="Times New Roman"/>
      <w:b/>
      <w:bCs/>
      <w:sz w:val="32"/>
      <w:szCs w:val="32"/>
    </w:rPr>
  </w:style>
  <w:style w:type="paragraph" w:styleId="5">
    <w:name w:val="heading 4"/>
    <w:basedOn w:val="1"/>
    <w:next w:val="1"/>
    <w:link w:val="42"/>
    <w:autoRedefine/>
    <w:qFormat/>
    <w:uiPriority w:val="9"/>
    <w:pPr>
      <w:tabs>
        <w:tab w:val="left" w:pos="2155"/>
      </w:tabs>
      <w:adjustRightInd w:val="0"/>
      <w:spacing w:before="120" w:line="360" w:lineRule="auto"/>
      <w:ind w:left="2155" w:hanging="1078"/>
      <w:textAlignment w:val="baseline"/>
      <w:outlineLvl w:val="3"/>
    </w:pPr>
    <w:rPr>
      <w:rFonts w:ascii="Arial" w:hAnsi="Times New Roman" w:eastAsia="黑体" w:cs="Times New Roman"/>
      <w:kern w:val="0"/>
      <w:sz w:val="28"/>
      <w:szCs w:val="20"/>
    </w:rPr>
  </w:style>
  <w:style w:type="paragraph" w:styleId="6">
    <w:name w:val="heading 5"/>
    <w:basedOn w:val="1"/>
    <w:next w:val="1"/>
    <w:link w:val="43"/>
    <w:autoRedefine/>
    <w:qFormat/>
    <w:uiPriority w:val="9"/>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44"/>
    <w:qFormat/>
    <w:uiPriority w:val="0"/>
    <w:pPr>
      <w:wordWrap w:val="0"/>
      <w:spacing w:after="160"/>
      <w:ind w:left="2000" w:hanging="400"/>
      <w:outlineLvl w:val="5"/>
    </w:pPr>
    <w:rPr>
      <w:rFonts w:ascii="Times New Roman" w:hAnsi="Times New Roman" w:eastAsia="宋体" w:cs="Times New Roman"/>
      <w:b/>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unhideWhenUsed/>
    <w:qFormat/>
    <w:uiPriority w:val="39"/>
    <w:pPr>
      <w:jc w:val="left"/>
    </w:pPr>
    <w:rPr>
      <w:rFonts w:ascii="Calibri" w:hAnsi="Calibri" w:eastAsia="宋体" w:cs="Times New Roman"/>
      <w:sz w:val="22"/>
    </w:rPr>
  </w:style>
  <w:style w:type="paragraph" w:styleId="9">
    <w:name w:val="Normal Indent"/>
    <w:basedOn w:val="1"/>
    <w:autoRedefine/>
    <w:unhideWhenUsed/>
    <w:qFormat/>
    <w:uiPriority w:val="99"/>
    <w:pPr>
      <w:ind w:firstLine="420"/>
    </w:pPr>
    <w:rPr>
      <w:rFonts w:ascii="Times New Roman" w:hAnsi="Times New Roman" w:eastAsia="宋体" w:cs="Times New Roman"/>
      <w:szCs w:val="20"/>
    </w:rPr>
  </w:style>
  <w:style w:type="paragraph" w:styleId="10">
    <w:name w:val="caption"/>
    <w:basedOn w:val="1"/>
    <w:next w:val="1"/>
    <w:autoRedefine/>
    <w:qFormat/>
    <w:uiPriority w:val="35"/>
    <w:pPr>
      <w:spacing w:before="152" w:after="160"/>
    </w:pPr>
    <w:rPr>
      <w:rFonts w:ascii="Arial" w:hAnsi="Arial" w:eastAsia="黑体" w:cs="Arial"/>
      <w:sz w:val="20"/>
      <w:szCs w:val="20"/>
    </w:rPr>
  </w:style>
  <w:style w:type="paragraph" w:styleId="11">
    <w:name w:val="Document Map"/>
    <w:basedOn w:val="1"/>
    <w:link w:val="75"/>
    <w:autoRedefine/>
    <w:unhideWhenUsed/>
    <w:qFormat/>
    <w:uiPriority w:val="0"/>
    <w:rPr>
      <w:rFonts w:ascii="宋体"/>
      <w:sz w:val="18"/>
      <w:szCs w:val="18"/>
    </w:rPr>
  </w:style>
  <w:style w:type="paragraph" w:styleId="12">
    <w:name w:val="annotation text"/>
    <w:basedOn w:val="1"/>
    <w:link w:val="46"/>
    <w:autoRedefine/>
    <w:unhideWhenUsed/>
    <w:qFormat/>
    <w:uiPriority w:val="0"/>
    <w:pPr>
      <w:jc w:val="left"/>
    </w:pPr>
    <w:rPr>
      <w:szCs w:val="24"/>
    </w:rPr>
  </w:style>
  <w:style w:type="paragraph" w:styleId="13">
    <w:name w:val="Body Text 3"/>
    <w:basedOn w:val="1"/>
    <w:link w:val="92"/>
    <w:autoRedefine/>
    <w:unhideWhenUsed/>
    <w:qFormat/>
    <w:uiPriority w:val="99"/>
    <w:pPr>
      <w:spacing w:after="120"/>
    </w:pPr>
    <w:rPr>
      <w:sz w:val="16"/>
      <w:szCs w:val="16"/>
    </w:rPr>
  </w:style>
  <w:style w:type="paragraph" w:styleId="14">
    <w:name w:val="Body Text"/>
    <w:basedOn w:val="1"/>
    <w:link w:val="81"/>
    <w:autoRedefine/>
    <w:unhideWhenUsed/>
    <w:qFormat/>
    <w:uiPriority w:val="99"/>
    <w:pPr>
      <w:spacing w:after="120"/>
    </w:pPr>
    <w:rPr>
      <w:szCs w:val="24"/>
    </w:rPr>
  </w:style>
  <w:style w:type="paragraph" w:styleId="15">
    <w:name w:val="Body Text Indent"/>
    <w:basedOn w:val="1"/>
    <w:link w:val="70"/>
    <w:autoRedefine/>
    <w:unhideWhenUsed/>
    <w:qFormat/>
    <w:uiPriority w:val="0"/>
    <w:pPr>
      <w:spacing w:line="200" w:lineRule="exact"/>
      <w:ind w:firstLine="301"/>
    </w:pPr>
    <w:rPr>
      <w:rFonts w:ascii="宋体" w:hAnsi="Courier New" w:eastAsia="宋体"/>
      <w:spacing w:val="-4"/>
      <w:sz w:val="18"/>
    </w:rPr>
  </w:style>
  <w:style w:type="paragraph" w:styleId="16">
    <w:name w:val="toc 5"/>
    <w:basedOn w:val="1"/>
    <w:next w:val="1"/>
    <w:autoRedefine/>
    <w:unhideWhenUsed/>
    <w:qFormat/>
    <w:uiPriority w:val="39"/>
    <w:pPr>
      <w:jc w:val="left"/>
    </w:pPr>
    <w:rPr>
      <w:rFonts w:ascii="Calibri" w:hAnsi="Calibri" w:eastAsia="宋体" w:cs="Times New Roman"/>
      <w:sz w:val="22"/>
    </w:rPr>
  </w:style>
  <w:style w:type="paragraph" w:styleId="17">
    <w:name w:val="toc 3"/>
    <w:basedOn w:val="1"/>
    <w:next w:val="1"/>
    <w:autoRedefine/>
    <w:unhideWhenUsed/>
    <w:qFormat/>
    <w:uiPriority w:val="39"/>
    <w:pPr>
      <w:jc w:val="left"/>
    </w:pPr>
    <w:rPr>
      <w:rFonts w:ascii="Calibri" w:hAnsi="Calibri" w:eastAsia="宋体" w:cs="Times New Roman"/>
      <w:smallCaps/>
      <w:sz w:val="22"/>
    </w:rPr>
  </w:style>
  <w:style w:type="paragraph" w:styleId="18">
    <w:name w:val="Plain Text"/>
    <w:basedOn w:val="1"/>
    <w:next w:val="1"/>
    <w:link w:val="83"/>
    <w:autoRedefine/>
    <w:unhideWhenUsed/>
    <w:qFormat/>
    <w:uiPriority w:val="0"/>
    <w:rPr>
      <w:rFonts w:ascii="宋体" w:hAnsi="Courier New" w:eastAsia="宋体" w:cs="Times New Roman"/>
      <w:szCs w:val="20"/>
    </w:rPr>
  </w:style>
  <w:style w:type="paragraph" w:styleId="19">
    <w:name w:val="toc 8"/>
    <w:basedOn w:val="1"/>
    <w:next w:val="1"/>
    <w:autoRedefine/>
    <w:unhideWhenUsed/>
    <w:qFormat/>
    <w:uiPriority w:val="39"/>
    <w:pPr>
      <w:jc w:val="left"/>
    </w:pPr>
    <w:rPr>
      <w:rFonts w:ascii="Calibri" w:hAnsi="Calibri" w:eastAsia="宋体" w:cs="Times New Roman"/>
      <w:sz w:val="22"/>
    </w:rPr>
  </w:style>
  <w:style w:type="paragraph" w:styleId="20">
    <w:name w:val="Date"/>
    <w:basedOn w:val="1"/>
    <w:next w:val="1"/>
    <w:link w:val="88"/>
    <w:autoRedefine/>
    <w:unhideWhenUsed/>
    <w:qFormat/>
    <w:uiPriority w:val="0"/>
    <w:pPr>
      <w:ind w:left="100" w:leftChars="2500"/>
    </w:pPr>
    <w:rPr>
      <w:szCs w:val="24"/>
    </w:rPr>
  </w:style>
  <w:style w:type="paragraph" w:styleId="21">
    <w:name w:val="Body Text Indent 2"/>
    <w:basedOn w:val="1"/>
    <w:link w:val="94"/>
    <w:unhideWhenUsed/>
    <w:qFormat/>
    <w:uiPriority w:val="0"/>
    <w:pPr>
      <w:spacing w:after="120" w:line="480" w:lineRule="auto"/>
      <w:ind w:left="420" w:leftChars="200"/>
    </w:pPr>
    <w:rPr>
      <w:szCs w:val="24"/>
    </w:rPr>
  </w:style>
  <w:style w:type="paragraph" w:styleId="22">
    <w:name w:val="Balloon Text"/>
    <w:basedOn w:val="1"/>
    <w:link w:val="78"/>
    <w:autoRedefine/>
    <w:unhideWhenUsed/>
    <w:qFormat/>
    <w:uiPriority w:val="0"/>
    <w:rPr>
      <w:sz w:val="18"/>
      <w:szCs w:val="18"/>
    </w:rPr>
  </w:style>
  <w:style w:type="paragraph" w:styleId="23">
    <w:name w:val="footer"/>
    <w:basedOn w:val="1"/>
    <w:link w:val="63"/>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24">
    <w:name w:val="header"/>
    <w:basedOn w:val="1"/>
    <w:link w:val="73"/>
    <w:autoRedefine/>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5">
    <w:name w:val="toc 1"/>
    <w:basedOn w:val="1"/>
    <w:next w:val="1"/>
    <w:unhideWhenUsed/>
    <w:qFormat/>
    <w:uiPriority w:val="39"/>
    <w:pPr>
      <w:spacing w:before="360" w:after="360"/>
      <w:jc w:val="left"/>
    </w:pPr>
    <w:rPr>
      <w:rFonts w:ascii="Calibri" w:hAnsi="Calibri" w:eastAsia="宋体" w:cs="Times New Roman"/>
      <w:b/>
      <w:bCs/>
      <w:caps/>
      <w:sz w:val="22"/>
      <w:u w:val="single"/>
    </w:rPr>
  </w:style>
  <w:style w:type="paragraph" w:styleId="26">
    <w:name w:val="toc 4"/>
    <w:basedOn w:val="1"/>
    <w:next w:val="1"/>
    <w:autoRedefine/>
    <w:unhideWhenUsed/>
    <w:qFormat/>
    <w:uiPriority w:val="39"/>
    <w:pPr>
      <w:jc w:val="left"/>
    </w:pPr>
    <w:rPr>
      <w:rFonts w:ascii="Calibri" w:hAnsi="Calibri" w:eastAsia="宋体" w:cs="Times New Roman"/>
      <w:sz w:val="22"/>
    </w:rPr>
  </w:style>
  <w:style w:type="paragraph" w:styleId="27">
    <w:name w:val="List"/>
    <w:basedOn w:val="1"/>
    <w:autoRedefine/>
    <w:unhideWhenUsed/>
    <w:qFormat/>
    <w:uiPriority w:val="99"/>
    <w:pPr>
      <w:ind w:left="200" w:hanging="200" w:hangingChars="200"/>
    </w:pPr>
    <w:rPr>
      <w:rFonts w:ascii="Times New Roman" w:hAnsi="Times New Roman" w:eastAsia="宋体" w:cs="Times New Roman"/>
      <w:sz w:val="28"/>
      <w:szCs w:val="24"/>
    </w:rPr>
  </w:style>
  <w:style w:type="paragraph" w:styleId="28">
    <w:name w:val="toc 6"/>
    <w:basedOn w:val="1"/>
    <w:next w:val="1"/>
    <w:unhideWhenUsed/>
    <w:qFormat/>
    <w:uiPriority w:val="39"/>
    <w:pPr>
      <w:jc w:val="left"/>
    </w:pPr>
    <w:rPr>
      <w:rFonts w:ascii="Calibri" w:hAnsi="Calibri" w:eastAsia="宋体" w:cs="Times New Roman"/>
      <w:sz w:val="22"/>
    </w:rPr>
  </w:style>
  <w:style w:type="paragraph" w:styleId="29">
    <w:name w:val="toc 2"/>
    <w:basedOn w:val="1"/>
    <w:next w:val="1"/>
    <w:autoRedefine/>
    <w:unhideWhenUsed/>
    <w:qFormat/>
    <w:uiPriority w:val="39"/>
    <w:pPr>
      <w:jc w:val="left"/>
    </w:pPr>
    <w:rPr>
      <w:rFonts w:ascii="Calibri" w:hAnsi="Calibri" w:eastAsia="宋体" w:cs="Times New Roman"/>
      <w:b/>
      <w:bCs/>
      <w:smallCaps/>
      <w:sz w:val="22"/>
    </w:rPr>
  </w:style>
  <w:style w:type="paragraph" w:styleId="30">
    <w:name w:val="toc 9"/>
    <w:basedOn w:val="1"/>
    <w:next w:val="1"/>
    <w:autoRedefine/>
    <w:unhideWhenUsed/>
    <w:qFormat/>
    <w:uiPriority w:val="39"/>
    <w:pPr>
      <w:jc w:val="left"/>
    </w:pPr>
    <w:rPr>
      <w:rFonts w:ascii="Calibri" w:hAnsi="Calibri" w:eastAsia="宋体" w:cs="Times New Roman"/>
      <w:sz w:val="22"/>
    </w:rPr>
  </w:style>
  <w:style w:type="paragraph" w:styleId="31">
    <w:name w:val="annotation subject"/>
    <w:basedOn w:val="12"/>
    <w:next w:val="12"/>
    <w:link w:val="45"/>
    <w:unhideWhenUsed/>
    <w:qFormat/>
    <w:uiPriority w:val="99"/>
    <w:rPr>
      <w:b/>
      <w:bCs/>
    </w:rPr>
  </w:style>
  <w:style w:type="table" w:styleId="33">
    <w:name w:val="Table Grid"/>
    <w:basedOn w:val="32"/>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age number"/>
    <w:autoRedefine/>
    <w:unhideWhenUsed/>
    <w:qFormat/>
    <w:uiPriority w:val="99"/>
  </w:style>
  <w:style w:type="character" w:styleId="36">
    <w:name w:val="FollowedHyperlink"/>
    <w:unhideWhenUsed/>
    <w:qFormat/>
    <w:uiPriority w:val="99"/>
    <w:rPr>
      <w:color w:val="800080"/>
      <w:u w:val="single"/>
    </w:rPr>
  </w:style>
  <w:style w:type="character" w:styleId="37">
    <w:name w:val="Hyperlink"/>
    <w:autoRedefine/>
    <w:unhideWhenUsed/>
    <w:qFormat/>
    <w:uiPriority w:val="99"/>
    <w:rPr>
      <w:color w:val="0000FF"/>
      <w:u w:val="single"/>
    </w:rPr>
  </w:style>
  <w:style w:type="character" w:styleId="38">
    <w:name w:val="annotation reference"/>
    <w:autoRedefine/>
    <w:unhideWhenUsed/>
    <w:qFormat/>
    <w:uiPriority w:val="99"/>
    <w:rPr>
      <w:sz w:val="21"/>
      <w:szCs w:val="21"/>
    </w:rPr>
  </w:style>
  <w:style w:type="character" w:customStyle="1" w:styleId="39">
    <w:name w:val="标题 1 Char"/>
    <w:basedOn w:val="34"/>
    <w:link w:val="2"/>
    <w:qFormat/>
    <w:uiPriority w:val="0"/>
    <w:rPr>
      <w:rFonts w:ascii="Times New Roman" w:hAnsi="Times New Roman" w:eastAsia="宋体" w:cs="Times New Roman"/>
      <w:b/>
      <w:bCs/>
      <w:kern w:val="44"/>
      <w:sz w:val="44"/>
      <w:szCs w:val="44"/>
    </w:rPr>
  </w:style>
  <w:style w:type="character" w:customStyle="1" w:styleId="40">
    <w:name w:val="标题 2 Char"/>
    <w:basedOn w:val="34"/>
    <w:link w:val="3"/>
    <w:autoRedefine/>
    <w:qFormat/>
    <w:uiPriority w:val="9"/>
    <w:rPr>
      <w:rFonts w:ascii="Arial" w:hAnsi="Arial" w:eastAsia="黑体" w:cs="Times New Roman"/>
      <w:b/>
      <w:bCs/>
      <w:sz w:val="32"/>
      <w:szCs w:val="32"/>
    </w:rPr>
  </w:style>
  <w:style w:type="character" w:customStyle="1" w:styleId="41">
    <w:name w:val="标题 3 Char"/>
    <w:basedOn w:val="34"/>
    <w:link w:val="4"/>
    <w:autoRedefine/>
    <w:qFormat/>
    <w:uiPriority w:val="9"/>
    <w:rPr>
      <w:rFonts w:ascii="Times New Roman" w:hAnsi="Times New Roman" w:eastAsia="宋体" w:cs="Times New Roman"/>
      <w:b/>
      <w:bCs/>
      <w:sz w:val="32"/>
      <w:szCs w:val="32"/>
    </w:rPr>
  </w:style>
  <w:style w:type="character" w:customStyle="1" w:styleId="42">
    <w:name w:val="标题 4 Char"/>
    <w:basedOn w:val="34"/>
    <w:link w:val="5"/>
    <w:qFormat/>
    <w:uiPriority w:val="9"/>
    <w:rPr>
      <w:rFonts w:ascii="Arial" w:hAnsi="Times New Roman" w:eastAsia="黑体" w:cs="Times New Roman"/>
      <w:kern w:val="0"/>
      <w:sz w:val="28"/>
      <w:szCs w:val="20"/>
    </w:rPr>
  </w:style>
  <w:style w:type="character" w:customStyle="1" w:styleId="43">
    <w:name w:val="标题 5 Char"/>
    <w:basedOn w:val="34"/>
    <w:link w:val="6"/>
    <w:autoRedefine/>
    <w:qFormat/>
    <w:uiPriority w:val="9"/>
    <w:rPr>
      <w:rFonts w:ascii="Times New Roman" w:hAnsi="Times New Roman" w:eastAsia="宋体" w:cs="Times New Roman"/>
      <w:b/>
      <w:bCs/>
      <w:sz w:val="28"/>
      <w:szCs w:val="28"/>
    </w:rPr>
  </w:style>
  <w:style w:type="character" w:customStyle="1" w:styleId="44">
    <w:name w:val="标题 6 Char"/>
    <w:basedOn w:val="34"/>
    <w:link w:val="7"/>
    <w:autoRedefine/>
    <w:qFormat/>
    <w:uiPriority w:val="0"/>
    <w:rPr>
      <w:rFonts w:ascii="Times New Roman" w:hAnsi="Times New Roman" w:eastAsia="宋体" w:cs="Times New Roman"/>
      <w:b/>
      <w:szCs w:val="24"/>
    </w:rPr>
  </w:style>
  <w:style w:type="character" w:customStyle="1" w:styleId="45">
    <w:name w:val="批注主题 Char"/>
    <w:link w:val="31"/>
    <w:qFormat/>
    <w:uiPriority w:val="99"/>
    <w:rPr>
      <w:b/>
      <w:bCs/>
      <w:szCs w:val="24"/>
    </w:rPr>
  </w:style>
  <w:style w:type="character" w:customStyle="1" w:styleId="46">
    <w:name w:val="批注文字 Char"/>
    <w:link w:val="12"/>
    <w:autoRedefine/>
    <w:qFormat/>
    <w:uiPriority w:val="0"/>
    <w:rPr>
      <w:szCs w:val="24"/>
    </w:rPr>
  </w:style>
  <w:style w:type="character" w:customStyle="1" w:styleId="47">
    <w:name w:val="标题 1 Char1"/>
    <w:autoRedefine/>
    <w:qFormat/>
    <w:uiPriority w:val="0"/>
    <w:rPr>
      <w:b/>
      <w:bCs/>
      <w:kern w:val="44"/>
      <w:sz w:val="44"/>
      <w:szCs w:val="44"/>
    </w:rPr>
  </w:style>
  <w:style w:type="character" w:customStyle="1" w:styleId="48">
    <w:name w:val="日期 字符"/>
    <w:autoRedefine/>
    <w:qFormat/>
    <w:uiPriority w:val="0"/>
    <w:rPr>
      <w:kern w:val="2"/>
      <w:sz w:val="21"/>
      <w:szCs w:val="24"/>
    </w:rPr>
  </w:style>
  <w:style w:type="character" w:customStyle="1" w:styleId="49">
    <w:name w:val="正文文本缩进 2 字符"/>
    <w:autoRedefine/>
    <w:qFormat/>
    <w:uiPriority w:val="0"/>
    <w:rPr>
      <w:kern w:val="2"/>
      <w:sz w:val="21"/>
      <w:szCs w:val="24"/>
    </w:rPr>
  </w:style>
  <w:style w:type="character" w:customStyle="1" w:styleId="50">
    <w:name w:val="纯文本 字符2"/>
    <w:autoRedefine/>
    <w:qFormat/>
    <w:uiPriority w:val="0"/>
    <w:rPr>
      <w:rFonts w:ascii="宋体" w:hAnsi="Courier New" w:eastAsia="宋体" w:cs="Courier New"/>
      <w:szCs w:val="21"/>
    </w:rPr>
  </w:style>
  <w:style w:type="character" w:customStyle="1" w:styleId="51">
    <w:name w:val="纯文本 Char1"/>
    <w:link w:val="52"/>
    <w:autoRedefine/>
    <w:qFormat/>
    <w:uiPriority w:val="0"/>
    <w:rPr>
      <w:rFonts w:ascii="宋体" w:hAnsi="Courier New" w:eastAsia="宋体"/>
    </w:rPr>
  </w:style>
  <w:style w:type="paragraph" w:customStyle="1" w:styleId="52">
    <w:name w:val="纯文本1"/>
    <w:basedOn w:val="1"/>
    <w:link w:val="51"/>
    <w:autoRedefine/>
    <w:qFormat/>
    <w:uiPriority w:val="0"/>
    <w:rPr>
      <w:rFonts w:ascii="宋体" w:hAnsi="Courier New" w:eastAsia="宋体"/>
    </w:rPr>
  </w:style>
  <w:style w:type="character" w:customStyle="1" w:styleId="53">
    <w:name w:val="批注文字 字符1"/>
    <w:autoRedefine/>
    <w:qFormat/>
    <w:uiPriority w:val="0"/>
    <w:rPr>
      <w:rFonts w:ascii="Times New Roman" w:hAnsi="Times New Roman"/>
      <w:kern w:val="2"/>
      <w:sz w:val="21"/>
      <w:szCs w:val="24"/>
    </w:rPr>
  </w:style>
  <w:style w:type="character" w:customStyle="1" w:styleId="54">
    <w:name w:val="纯文本 Char2"/>
    <w:autoRedefine/>
    <w:qFormat/>
    <w:uiPriority w:val="0"/>
    <w:rPr>
      <w:rFonts w:ascii="宋体" w:hAnsi="Courier New" w:eastAsia="宋体"/>
      <w:kern w:val="2"/>
      <w:sz w:val="21"/>
      <w:lang w:val="en-US" w:eastAsia="zh-CN" w:bidi="ar-SA"/>
    </w:rPr>
  </w:style>
  <w:style w:type="character" w:customStyle="1" w:styleId="55">
    <w:name w:val="标题 2 字符"/>
    <w:autoRedefine/>
    <w:qFormat/>
    <w:uiPriority w:val="0"/>
    <w:rPr>
      <w:rFonts w:ascii="Arial" w:hAnsi="Arial" w:eastAsia="黑体"/>
      <w:b/>
      <w:bCs/>
      <w:kern w:val="2"/>
      <w:sz w:val="32"/>
      <w:szCs w:val="32"/>
    </w:rPr>
  </w:style>
  <w:style w:type="character" w:customStyle="1" w:styleId="56">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57">
    <w:name w:val="标题 3 字符"/>
    <w:autoRedefine/>
    <w:qFormat/>
    <w:uiPriority w:val="0"/>
    <w:rPr>
      <w:b/>
      <w:bCs/>
      <w:kern w:val="2"/>
      <w:sz w:val="32"/>
      <w:szCs w:val="32"/>
    </w:rPr>
  </w:style>
  <w:style w:type="character" w:customStyle="1" w:styleId="58">
    <w:name w:val="纯文本 字符1"/>
    <w:autoRedefine/>
    <w:semiHidden/>
    <w:qFormat/>
    <w:locked/>
    <w:uiPriority w:val="0"/>
    <w:rPr>
      <w:rFonts w:ascii="宋体" w:hAnsi="Courier New"/>
      <w:kern w:val="2"/>
      <w:sz w:val="21"/>
    </w:rPr>
  </w:style>
  <w:style w:type="character" w:customStyle="1" w:styleId="59">
    <w:name w:val="正文文本 字符"/>
    <w:autoRedefine/>
    <w:qFormat/>
    <w:uiPriority w:val="99"/>
    <w:rPr>
      <w:kern w:val="2"/>
      <w:sz w:val="21"/>
      <w:szCs w:val="24"/>
    </w:rPr>
  </w:style>
  <w:style w:type="character" w:customStyle="1" w:styleId="60">
    <w:name w:val="标题 4 字符"/>
    <w:autoRedefine/>
    <w:qFormat/>
    <w:uiPriority w:val="0"/>
    <w:rPr>
      <w:rFonts w:ascii="Arial" w:eastAsia="黑体"/>
      <w:sz w:val="28"/>
    </w:rPr>
  </w:style>
  <w:style w:type="character" w:customStyle="1" w:styleId="61">
    <w:name w:val="页脚 Char1"/>
    <w:qFormat/>
    <w:uiPriority w:val="99"/>
    <w:rPr>
      <w:kern w:val="2"/>
      <w:sz w:val="18"/>
      <w:szCs w:val="18"/>
    </w:rPr>
  </w:style>
  <w:style w:type="character" w:customStyle="1" w:styleId="62">
    <w:name w:val="页眉 Char1"/>
    <w:autoRedefine/>
    <w:qFormat/>
    <w:uiPriority w:val="99"/>
    <w:rPr>
      <w:kern w:val="2"/>
      <w:sz w:val="18"/>
      <w:szCs w:val="18"/>
    </w:rPr>
  </w:style>
  <w:style w:type="character" w:customStyle="1" w:styleId="63">
    <w:name w:val="页脚 Char"/>
    <w:link w:val="23"/>
    <w:autoRedefine/>
    <w:qFormat/>
    <w:uiPriority w:val="99"/>
    <w:rPr>
      <w:rFonts w:ascii="Calibri" w:hAnsi="Calibri" w:eastAsia="宋体" w:cs="Times New Roman"/>
      <w:sz w:val="18"/>
      <w:szCs w:val="18"/>
    </w:rPr>
  </w:style>
  <w:style w:type="character" w:customStyle="1" w:styleId="64">
    <w:name w:val="标题 5 字符"/>
    <w:qFormat/>
    <w:uiPriority w:val="9"/>
    <w:rPr>
      <w:b/>
      <w:bCs/>
      <w:kern w:val="2"/>
      <w:sz w:val="28"/>
      <w:szCs w:val="28"/>
    </w:rPr>
  </w:style>
  <w:style w:type="character" w:customStyle="1" w:styleId="65">
    <w:name w:val="纯文本 字符"/>
    <w:autoRedefine/>
    <w:qFormat/>
    <w:uiPriority w:val="0"/>
    <w:rPr>
      <w:rFonts w:ascii="宋体" w:hAnsi="Courier New"/>
      <w:kern w:val="2"/>
      <w:sz w:val="21"/>
    </w:rPr>
  </w:style>
  <w:style w:type="character" w:customStyle="1" w:styleId="66">
    <w:name w:val="页脚 字符1"/>
    <w:autoRedefine/>
    <w:qFormat/>
    <w:uiPriority w:val="99"/>
    <w:rPr>
      <w:kern w:val="2"/>
      <w:sz w:val="18"/>
      <w:szCs w:val="18"/>
    </w:rPr>
  </w:style>
  <w:style w:type="character" w:customStyle="1" w:styleId="67">
    <w:name w:val="批注文字 字符"/>
    <w:qFormat/>
    <w:uiPriority w:val="0"/>
    <w:rPr>
      <w:kern w:val="2"/>
      <w:sz w:val="21"/>
      <w:szCs w:val="24"/>
    </w:rPr>
  </w:style>
  <w:style w:type="character" w:customStyle="1" w:styleId="68">
    <w:name w:val="页眉 字符1"/>
    <w:autoRedefine/>
    <w:qFormat/>
    <w:uiPriority w:val="99"/>
    <w:rPr>
      <w:kern w:val="2"/>
      <w:sz w:val="18"/>
      <w:szCs w:val="18"/>
    </w:rPr>
  </w:style>
  <w:style w:type="character" w:customStyle="1" w:styleId="69">
    <w:name w:val="标题 1 字符"/>
    <w:autoRedefine/>
    <w:qFormat/>
    <w:uiPriority w:val="0"/>
    <w:rPr>
      <w:b/>
      <w:bCs/>
      <w:kern w:val="44"/>
      <w:sz w:val="44"/>
      <w:szCs w:val="44"/>
    </w:rPr>
  </w:style>
  <w:style w:type="character" w:customStyle="1" w:styleId="70">
    <w:name w:val="正文文本缩进 Char"/>
    <w:link w:val="15"/>
    <w:qFormat/>
    <w:uiPriority w:val="0"/>
    <w:rPr>
      <w:rFonts w:ascii="宋体" w:hAnsi="Courier New" w:eastAsia="宋体"/>
      <w:spacing w:val="-4"/>
      <w:sz w:val="18"/>
    </w:rPr>
  </w:style>
  <w:style w:type="character" w:customStyle="1" w:styleId="71">
    <w:name w:val="正文文本缩进 字符"/>
    <w:autoRedefine/>
    <w:qFormat/>
    <w:uiPriority w:val="0"/>
    <w:rPr>
      <w:rFonts w:ascii="宋体" w:hAnsi="Courier New"/>
      <w:spacing w:val="-4"/>
      <w:kern w:val="2"/>
      <w:sz w:val="18"/>
    </w:rPr>
  </w:style>
  <w:style w:type="character" w:customStyle="1" w:styleId="72">
    <w:name w:val="正文文本 3 字符"/>
    <w:autoRedefine/>
    <w:qFormat/>
    <w:uiPriority w:val="99"/>
    <w:rPr>
      <w:kern w:val="2"/>
      <w:sz w:val="16"/>
      <w:szCs w:val="16"/>
    </w:rPr>
  </w:style>
  <w:style w:type="character" w:customStyle="1" w:styleId="73">
    <w:name w:val="页眉 Char"/>
    <w:link w:val="24"/>
    <w:qFormat/>
    <w:uiPriority w:val="99"/>
    <w:rPr>
      <w:rFonts w:ascii="Calibri" w:hAnsi="Calibri" w:eastAsia="宋体" w:cs="Times New Roman"/>
      <w:sz w:val="18"/>
      <w:szCs w:val="18"/>
    </w:rPr>
  </w:style>
  <w:style w:type="character" w:customStyle="1" w:styleId="74">
    <w:name w:val="批注文字 Char1"/>
    <w:autoRedefine/>
    <w:qFormat/>
    <w:uiPriority w:val="0"/>
    <w:rPr>
      <w:rFonts w:ascii="Times New Roman" w:hAnsi="Times New Roman"/>
      <w:kern w:val="2"/>
      <w:sz w:val="21"/>
      <w:szCs w:val="24"/>
    </w:rPr>
  </w:style>
  <w:style w:type="character" w:customStyle="1" w:styleId="75">
    <w:name w:val="文档结构图 Char"/>
    <w:link w:val="11"/>
    <w:autoRedefine/>
    <w:qFormat/>
    <w:uiPriority w:val="0"/>
    <w:rPr>
      <w:rFonts w:ascii="宋体"/>
      <w:sz w:val="18"/>
      <w:szCs w:val="18"/>
    </w:rPr>
  </w:style>
  <w:style w:type="character" w:customStyle="1" w:styleId="76">
    <w:name w:val="正文文本_"/>
    <w:link w:val="77"/>
    <w:autoRedefine/>
    <w:qFormat/>
    <w:uiPriority w:val="0"/>
    <w:rPr>
      <w:rFonts w:ascii="MingLiU" w:hAnsi="MingLiU" w:eastAsia="MingLiU" w:cs="MingLiU"/>
      <w:spacing w:val="9"/>
      <w:sz w:val="19"/>
      <w:szCs w:val="19"/>
      <w:shd w:val="clear" w:color="auto" w:fill="FFFFFF"/>
    </w:rPr>
  </w:style>
  <w:style w:type="paragraph" w:customStyle="1" w:styleId="77">
    <w:name w:val="正文文本1"/>
    <w:basedOn w:val="1"/>
    <w:link w:val="76"/>
    <w:autoRedefine/>
    <w:qFormat/>
    <w:uiPriority w:val="0"/>
    <w:pPr>
      <w:shd w:val="clear" w:color="auto" w:fill="FFFFFF"/>
      <w:spacing w:line="302" w:lineRule="exact"/>
      <w:ind w:firstLine="460"/>
      <w:jc w:val="left"/>
    </w:pPr>
    <w:rPr>
      <w:rFonts w:ascii="MingLiU" w:hAnsi="MingLiU" w:eastAsia="MingLiU" w:cs="MingLiU"/>
      <w:spacing w:val="9"/>
      <w:sz w:val="19"/>
      <w:szCs w:val="19"/>
    </w:rPr>
  </w:style>
  <w:style w:type="character" w:customStyle="1" w:styleId="78">
    <w:name w:val="批注框文本 Char"/>
    <w:link w:val="22"/>
    <w:qFormat/>
    <w:uiPriority w:val="0"/>
    <w:rPr>
      <w:sz w:val="18"/>
      <w:szCs w:val="18"/>
    </w:rPr>
  </w:style>
  <w:style w:type="character" w:customStyle="1" w:styleId="79">
    <w:name w:val="批注主题 字符"/>
    <w:autoRedefine/>
    <w:qFormat/>
    <w:uiPriority w:val="99"/>
    <w:rPr>
      <w:b/>
      <w:bCs/>
      <w:kern w:val="2"/>
      <w:sz w:val="21"/>
      <w:szCs w:val="24"/>
    </w:rPr>
  </w:style>
  <w:style w:type="character" w:customStyle="1" w:styleId="80">
    <w:name w:val="批注框文本 字符"/>
    <w:autoRedefine/>
    <w:qFormat/>
    <w:uiPriority w:val="0"/>
    <w:rPr>
      <w:kern w:val="2"/>
      <w:sz w:val="18"/>
      <w:szCs w:val="18"/>
    </w:rPr>
  </w:style>
  <w:style w:type="character" w:customStyle="1" w:styleId="81">
    <w:name w:val="正文文本 Char"/>
    <w:link w:val="14"/>
    <w:qFormat/>
    <w:uiPriority w:val="99"/>
    <w:rPr>
      <w:szCs w:val="24"/>
    </w:rPr>
  </w:style>
  <w:style w:type="character" w:customStyle="1" w:styleId="82">
    <w:name w:val="Char Char1"/>
    <w:autoRedefine/>
    <w:qFormat/>
    <w:uiPriority w:val="0"/>
    <w:rPr>
      <w:rFonts w:ascii="宋体" w:hAnsi="Courier New" w:eastAsia="宋体"/>
      <w:kern w:val="2"/>
      <w:sz w:val="21"/>
      <w:lang w:val="en-US" w:eastAsia="zh-CN" w:bidi="ar-SA"/>
    </w:rPr>
  </w:style>
  <w:style w:type="character" w:customStyle="1" w:styleId="83">
    <w:name w:val="纯文本 Char"/>
    <w:link w:val="18"/>
    <w:autoRedefine/>
    <w:qFormat/>
    <w:uiPriority w:val="0"/>
    <w:rPr>
      <w:rFonts w:ascii="宋体" w:hAnsi="Courier New" w:eastAsia="宋体" w:cs="Times New Roman"/>
      <w:szCs w:val="20"/>
    </w:rPr>
  </w:style>
  <w:style w:type="character" w:customStyle="1" w:styleId="84">
    <w:name w:val="纯文本 Char_0"/>
    <w:link w:val="85"/>
    <w:qFormat/>
    <w:uiPriority w:val="0"/>
    <w:rPr>
      <w:rFonts w:ascii="宋体" w:hAnsi="Courier New"/>
      <w:szCs w:val="21"/>
      <w:lang w:val="en-US" w:eastAsia="zh-CN"/>
    </w:rPr>
  </w:style>
  <w:style w:type="paragraph" w:customStyle="1" w:styleId="85">
    <w:name w:val="纯文本_0_0"/>
    <w:basedOn w:val="1"/>
    <w:link w:val="84"/>
    <w:autoRedefine/>
    <w:qFormat/>
    <w:uiPriority w:val="0"/>
    <w:rPr>
      <w:rFonts w:ascii="宋体" w:hAnsi="Courier New"/>
      <w:szCs w:val="21"/>
    </w:rPr>
  </w:style>
  <w:style w:type="character" w:customStyle="1" w:styleId="86">
    <w:name w:val="正文2 Char Char"/>
    <w:link w:val="87"/>
    <w:autoRedefine/>
    <w:qFormat/>
    <w:uiPriority w:val="0"/>
    <w:rPr>
      <w:sz w:val="24"/>
    </w:rPr>
  </w:style>
  <w:style w:type="paragraph" w:customStyle="1" w:styleId="87">
    <w:name w:val="正文2"/>
    <w:basedOn w:val="1"/>
    <w:link w:val="86"/>
    <w:qFormat/>
    <w:uiPriority w:val="0"/>
    <w:pPr>
      <w:adjustRightInd w:val="0"/>
      <w:spacing w:before="156" w:line="360" w:lineRule="auto"/>
      <w:ind w:firstLine="510" w:firstLineChars="200"/>
    </w:pPr>
    <w:rPr>
      <w:sz w:val="24"/>
    </w:rPr>
  </w:style>
  <w:style w:type="character" w:customStyle="1" w:styleId="88">
    <w:name w:val="日期 Char"/>
    <w:link w:val="20"/>
    <w:autoRedefine/>
    <w:qFormat/>
    <w:uiPriority w:val="0"/>
    <w:rPr>
      <w:szCs w:val="24"/>
    </w:rPr>
  </w:style>
  <w:style w:type="character" w:customStyle="1" w:styleId="89">
    <w:name w:val="页脚 字符"/>
    <w:autoRedefine/>
    <w:qFormat/>
    <w:uiPriority w:val="99"/>
    <w:rPr>
      <w:sz w:val="18"/>
      <w:szCs w:val="18"/>
    </w:rPr>
  </w:style>
  <w:style w:type="character" w:customStyle="1" w:styleId="90">
    <w:name w:val="正文文本 + 10 pt"/>
    <w:autoRedefine/>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91">
    <w:name w:val="文档结构图 字符"/>
    <w:autoRedefine/>
    <w:qFormat/>
    <w:uiPriority w:val="0"/>
    <w:rPr>
      <w:rFonts w:ascii="宋体"/>
      <w:kern w:val="2"/>
      <w:sz w:val="18"/>
      <w:szCs w:val="18"/>
    </w:rPr>
  </w:style>
  <w:style w:type="character" w:customStyle="1" w:styleId="92">
    <w:name w:val="正文文本 3 Char"/>
    <w:link w:val="13"/>
    <w:autoRedefine/>
    <w:qFormat/>
    <w:uiPriority w:val="99"/>
    <w:rPr>
      <w:sz w:val="16"/>
      <w:szCs w:val="16"/>
    </w:rPr>
  </w:style>
  <w:style w:type="character" w:customStyle="1" w:styleId="93">
    <w:name w:val="页眉 字符"/>
    <w:autoRedefine/>
    <w:qFormat/>
    <w:uiPriority w:val="99"/>
    <w:rPr>
      <w:rFonts w:ascii="Times New Roman" w:hAnsi="Times New Roman"/>
      <w:kern w:val="2"/>
      <w:sz w:val="18"/>
      <w:szCs w:val="18"/>
    </w:rPr>
  </w:style>
  <w:style w:type="character" w:customStyle="1" w:styleId="94">
    <w:name w:val="正文文本缩进 2 Char"/>
    <w:link w:val="21"/>
    <w:autoRedefine/>
    <w:qFormat/>
    <w:uiPriority w:val="0"/>
    <w:rPr>
      <w:szCs w:val="24"/>
    </w:rPr>
  </w:style>
  <w:style w:type="paragraph" w:customStyle="1" w:styleId="95">
    <w:name w:val="Char"/>
    <w:basedOn w:val="1"/>
    <w:autoRedefine/>
    <w:qFormat/>
    <w:uiPriority w:val="0"/>
    <w:rPr>
      <w:rFonts w:ascii="Times New Roman" w:hAnsi="Times New Roman" w:eastAsia="宋体" w:cs="Times New Roman"/>
      <w:szCs w:val="24"/>
    </w:rPr>
  </w:style>
  <w:style w:type="paragraph" w:customStyle="1" w:styleId="96">
    <w:name w:val="表格文字"/>
    <w:basedOn w:val="1"/>
    <w:next w:val="14"/>
    <w:autoRedefine/>
    <w:qFormat/>
    <w:uiPriority w:val="0"/>
    <w:pPr>
      <w:adjustRightInd w:val="0"/>
      <w:spacing w:line="420" w:lineRule="atLeast"/>
      <w:jc w:val="left"/>
      <w:textAlignment w:val="baseline"/>
    </w:pPr>
    <w:rPr>
      <w:rFonts w:ascii="Times New Roman" w:hAnsi="Times New Roman" w:eastAsia="宋体" w:cs="Times New Roman"/>
      <w:kern w:val="0"/>
      <w:szCs w:val="24"/>
    </w:rPr>
  </w:style>
  <w:style w:type="character" w:customStyle="1" w:styleId="97">
    <w:name w:val="批注文字 Char2"/>
    <w:basedOn w:val="34"/>
    <w:autoRedefine/>
    <w:semiHidden/>
    <w:qFormat/>
    <w:uiPriority w:val="99"/>
  </w:style>
  <w:style w:type="paragraph" w:customStyle="1" w:styleId="98">
    <w:name w:val="正文段"/>
    <w:basedOn w:val="1"/>
    <w:autoRedefine/>
    <w:qFormat/>
    <w:uiPriority w:val="0"/>
    <w:pPr>
      <w:widowControl/>
      <w:snapToGrid w:val="0"/>
      <w:spacing w:after="156" w:afterLines="50"/>
      <w:ind w:firstLine="200" w:firstLineChars="200"/>
    </w:pPr>
    <w:rPr>
      <w:rFonts w:ascii="Times New Roman" w:hAnsi="Times New Roman" w:eastAsia="宋体" w:cs="Times New Roman"/>
      <w:kern w:val="0"/>
      <w:sz w:val="24"/>
      <w:szCs w:val="20"/>
    </w:rPr>
  </w:style>
  <w:style w:type="paragraph" w:customStyle="1" w:styleId="99">
    <w:name w:val="p0"/>
    <w:basedOn w:val="1"/>
    <w:autoRedefine/>
    <w:qFormat/>
    <w:uiPriority w:val="0"/>
    <w:pPr>
      <w:widowControl/>
    </w:pPr>
    <w:rPr>
      <w:rFonts w:ascii="Times New Roman" w:hAnsi="Times New Roman" w:eastAsia="宋体" w:cs="Times New Roman"/>
      <w:kern w:val="0"/>
      <w:szCs w:val="21"/>
    </w:rPr>
  </w:style>
  <w:style w:type="paragraph" w:customStyle="1" w:styleId="100">
    <w:name w:val="Table Paragraph"/>
    <w:basedOn w:val="1"/>
    <w:autoRedefine/>
    <w:qFormat/>
    <w:uiPriority w:val="1"/>
    <w:pPr>
      <w:jc w:val="left"/>
    </w:pPr>
    <w:rPr>
      <w:rFonts w:ascii="Calibri" w:hAnsi="Calibri" w:eastAsia="宋体" w:cs="Times New Roman"/>
      <w:kern w:val="0"/>
      <w:sz w:val="22"/>
      <w:lang w:eastAsia="en-US"/>
    </w:rPr>
  </w:style>
  <w:style w:type="paragraph" w:customStyle="1" w:styleId="101">
    <w:name w:val="Char Char Char Char Char Char Char"/>
    <w:basedOn w:val="1"/>
    <w:autoRedefine/>
    <w:qFormat/>
    <w:uiPriority w:val="0"/>
    <w:rPr>
      <w:rFonts w:ascii="Times New Roman" w:hAnsi="Times New Roman" w:eastAsia="宋体" w:cs="Times New Roman"/>
      <w:szCs w:val="24"/>
    </w:rPr>
  </w:style>
  <w:style w:type="character" w:customStyle="1" w:styleId="102">
    <w:name w:val="批注主题 Char1"/>
    <w:basedOn w:val="97"/>
    <w:autoRedefine/>
    <w:semiHidden/>
    <w:qFormat/>
    <w:uiPriority w:val="99"/>
    <w:rPr>
      <w:b/>
      <w:bCs/>
    </w:rPr>
  </w:style>
  <w:style w:type="character" w:customStyle="1" w:styleId="103">
    <w:name w:val="批注框文本 Char1"/>
    <w:basedOn w:val="34"/>
    <w:autoRedefine/>
    <w:semiHidden/>
    <w:qFormat/>
    <w:uiPriority w:val="99"/>
    <w:rPr>
      <w:sz w:val="18"/>
      <w:szCs w:val="18"/>
    </w:rPr>
  </w:style>
  <w:style w:type="character" w:customStyle="1" w:styleId="104">
    <w:name w:val="正文文本 Char1"/>
    <w:basedOn w:val="34"/>
    <w:semiHidden/>
    <w:qFormat/>
    <w:uiPriority w:val="99"/>
  </w:style>
  <w:style w:type="character" w:customStyle="1" w:styleId="105">
    <w:name w:val="文档结构图 Char1"/>
    <w:basedOn w:val="34"/>
    <w:semiHidden/>
    <w:qFormat/>
    <w:uiPriority w:val="99"/>
    <w:rPr>
      <w:rFonts w:ascii="宋体" w:eastAsia="宋体"/>
      <w:sz w:val="18"/>
      <w:szCs w:val="18"/>
    </w:rPr>
  </w:style>
  <w:style w:type="character" w:customStyle="1" w:styleId="106">
    <w:name w:val="页眉 Char2"/>
    <w:basedOn w:val="34"/>
    <w:autoRedefine/>
    <w:semiHidden/>
    <w:qFormat/>
    <w:uiPriority w:val="99"/>
    <w:rPr>
      <w:sz w:val="18"/>
      <w:szCs w:val="18"/>
    </w:rPr>
  </w:style>
  <w:style w:type="character" w:customStyle="1" w:styleId="107">
    <w:name w:val="日期 Char1"/>
    <w:basedOn w:val="34"/>
    <w:autoRedefine/>
    <w:semiHidden/>
    <w:qFormat/>
    <w:uiPriority w:val="99"/>
  </w:style>
  <w:style w:type="paragraph" w:customStyle="1" w:styleId="108">
    <w:name w:val="样式 标题 2 + 非加粗 首行缩进:  2 字符"/>
    <w:basedOn w:val="3"/>
    <w:qFormat/>
    <w:uiPriority w:val="0"/>
    <w:pPr>
      <w:spacing w:before="0" w:after="0" w:line="600" w:lineRule="exact"/>
      <w:ind w:firstLine="640" w:firstLineChars="200"/>
      <w:jc w:val="left"/>
    </w:pPr>
    <w:rPr>
      <w:rFonts w:cs="宋体"/>
      <w:b w:val="0"/>
      <w:bCs w:val="0"/>
      <w:szCs w:val="20"/>
    </w:rPr>
  </w:style>
  <w:style w:type="paragraph" w:customStyle="1" w:styleId="109">
    <w:name w:val="Char1"/>
    <w:basedOn w:val="1"/>
    <w:autoRedefine/>
    <w:qFormat/>
    <w:uiPriority w:val="0"/>
    <w:rPr>
      <w:rFonts w:ascii="Times New Roman" w:hAnsi="Times New Roman" w:eastAsia="宋体" w:cs="Times New Roman"/>
      <w:szCs w:val="21"/>
    </w:rPr>
  </w:style>
  <w:style w:type="paragraph" w:customStyle="1" w:styleId="110">
    <w:name w:val="Char Char Char"/>
    <w:basedOn w:val="1"/>
    <w:autoRedefine/>
    <w:qFormat/>
    <w:uiPriority w:val="0"/>
    <w:rPr>
      <w:rFonts w:ascii="Times New Roman" w:hAnsi="Times New Roman" w:eastAsia="宋体" w:cs="Times New Roman"/>
      <w:szCs w:val="20"/>
    </w:rPr>
  </w:style>
  <w:style w:type="paragraph" w:customStyle="1" w:styleId="111">
    <w:name w:val="默认段落字体 Para Char Char Char Char Char Char Char Char Char1 Char Char Char Char"/>
    <w:basedOn w:val="1"/>
    <w:autoRedefine/>
    <w:qFormat/>
    <w:uiPriority w:val="0"/>
    <w:rPr>
      <w:rFonts w:ascii="Tahoma" w:hAnsi="Tahoma" w:eastAsia="宋体" w:cs="Times New Roman"/>
      <w:sz w:val="24"/>
      <w:szCs w:val="20"/>
    </w:rPr>
  </w:style>
  <w:style w:type="paragraph" w:customStyle="1" w:styleId="112">
    <w:name w:val="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13">
    <w:name w:val="样式 标题 1 + 居中 段前: 0 磅 段后: 0 磅 行距: 固定值 30 磅"/>
    <w:basedOn w:val="2"/>
    <w:qFormat/>
    <w:uiPriority w:val="0"/>
    <w:pPr>
      <w:spacing w:before="0" w:after="0" w:line="600" w:lineRule="exact"/>
      <w:jc w:val="center"/>
    </w:pPr>
    <w:rPr>
      <w:rFonts w:cs="宋体"/>
      <w:szCs w:val="20"/>
    </w:rPr>
  </w:style>
  <w:style w:type="paragraph" w:customStyle="1" w:styleId="114">
    <w:name w:val="Char Char Char Char Char Char 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15">
    <w:name w:val="列出段落1"/>
    <w:basedOn w:val="1"/>
    <w:autoRedefine/>
    <w:qFormat/>
    <w:uiPriority w:val="34"/>
    <w:pPr>
      <w:spacing w:before="100" w:beforeAutospacing="1" w:after="100" w:afterAutospacing="1" w:line="360" w:lineRule="auto"/>
      <w:ind w:firstLine="420" w:firstLineChars="200"/>
    </w:pPr>
    <w:rPr>
      <w:rFonts w:ascii="Times New Roman" w:hAnsi="Times New Roman" w:eastAsia="宋体" w:cs="Times New Roman"/>
      <w:szCs w:val="24"/>
    </w:rPr>
  </w:style>
  <w:style w:type="paragraph" w:customStyle="1" w:styleId="116">
    <w:name w:val="Char Char Char Char Char Char Char1"/>
    <w:basedOn w:val="1"/>
    <w:autoRedefine/>
    <w:qFormat/>
    <w:uiPriority w:val="0"/>
    <w:rPr>
      <w:rFonts w:ascii="Times New Roman" w:hAnsi="Times New Roman" w:eastAsia="宋体" w:cs="Times New Roman"/>
      <w:szCs w:val="24"/>
    </w:rPr>
  </w:style>
  <w:style w:type="paragraph" w:customStyle="1" w:styleId="11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118">
    <w:name w:val="纯文本 Char3"/>
    <w:basedOn w:val="34"/>
    <w:autoRedefine/>
    <w:semiHidden/>
    <w:qFormat/>
    <w:uiPriority w:val="99"/>
    <w:rPr>
      <w:rFonts w:ascii="宋体" w:hAnsi="Courier New" w:eastAsia="宋体" w:cs="Courier New"/>
      <w:szCs w:val="21"/>
    </w:rPr>
  </w:style>
  <w:style w:type="paragraph" w:customStyle="1" w:styleId="119">
    <w:name w:val="正文缩进1"/>
    <w:basedOn w:val="1"/>
    <w:next w:val="15"/>
    <w:autoRedefine/>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character" w:customStyle="1" w:styleId="120">
    <w:name w:val="页脚 Char2"/>
    <w:basedOn w:val="34"/>
    <w:autoRedefine/>
    <w:semiHidden/>
    <w:qFormat/>
    <w:uiPriority w:val="99"/>
    <w:rPr>
      <w:sz w:val="18"/>
      <w:szCs w:val="18"/>
    </w:rPr>
  </w:style>
  <w:style w:type="character" w:customStyle="1" w:styleId="121">
    <w:name w:val="正文文本缩进 2 Char1"/>
    <w:basedOn w:val="34"/>
    <w:autoRedefine/>
    <w:semiHidden/>
    <w:qFormat/>
    <w:uiPriority w:val="99"/>
  </w:style>
  <w:style w:type="character" w:customStyle="1" w:styleId="122">
    <w:name w:val="正文文本缩进 Char1"/>
    <w:basedOn w:val="34"/>
    <w:autoRedefine/>
    <w:semiHidden/>
    <w:qFormat/>
    <w:uiPriority w:val="99"/>
  </w:style>
  <w:style w:type="character" w:customStyle="1" w:styleId="123">
    <w:name w:val="正文文本 3 Char1"/>
    <w:basedOn w:val="34"/>
    <w:autoRedefine/>
    <w:semiHidden/>
    <w:qFormat/>
    <w:uiPriority w:val="99"/>
    <w:rPr>
      <w:sz w:val="16"/>
      <w:szCs w:val="16"/>
    </w:rPr>
  </w:style>
  <w:style w:type="paragraph" w:customStyle="1" w:styleId="124">
    <w:name w:val="Char Char Char1 Char Char Char Char Char Char Char"/>
    <w:basedOn w:val="1"/>
    <w:autoRedefine/>
    <w:qFormat/>
    <w:uiPriority w:val="0"/>
    <w:rPr>
      <w:rFonts w:ascii="Times New Roman" w:hAnsi="Times New Roman" w:eastAsia="宋体" w:cs="Times New Roman"/>
      <w:szCs w:val="24"/>
    </w:rPr>
  </w:style>
  <w:style w:type="paragraph" w:customStyle="1" w:styleId="125">
    <w:name w:val="Char Char Char Char1"/>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26">
    <w:name w:val="样式5"/>
    <w:basedOn w:val="1"/>
    <w:autoRedefine/>
    <w:qFormat/>
    <w:uiPriority w:val="0"/>
    <w:pPr>
      <w:adjustRightInd w:val="0"/>
      <w:spacing w:line="440" w:lineRule="exact"/>
      <w:ind w:left="2" w:firstLine="480" w:firstLineChars="200"/>
    </w:pPr>
    <w:rPr>
      <w:rFonts w:ascii="仿宋_GB2312" w:hAnsi="仿宋" w:eastAsia="仿宋_GB2312" w:cs="Times New Roman"/>
      <w:sz w:val="24"/>
      <w:szCs w:val="24"/>
    </w:rPr>
  </w:style>
  <w:style w:type="paragraph" w:customStyle="1" w:styleId="127">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8">
    <w:name w:val="Char Char Char Char Char Char Char Char Char Char Char Char1"/>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29">
    <w:name w:val="_Style 11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
    <w:name w:val="cjk"/>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131">
    <w:name w:val="List Paragraph"/>
    <w:basedOn w:val="1"/>
    <w:autoRedefine/>
    <w:qFormat/>
    <w:uiPriority w:val="34"/>
    <w:pPr>
      <w:ind w:firstLine="420" w:firstLineChars="200"/>
    </w:pPr>
    <w:rPr>
      <w:rFonts w:ascii="Times New Roman" w:hAnsi="Times New Roman" w:eastAsia="宋体" w:cs="Times New Roman"/>
      <w:szCs w:val="24"/>
    </w:rPr>
  </w:style>
  <w:style w:type="paragraph" w:customStyle="1" w:styleId="132">
    <w:name w:val="TOC 标题1"/>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97</Pages>
  <Words>5905</Words>
  <Characters>6604</Characters>
  <Lines>490</Lines>
  <Paragraphs>138</Paragraphs>
  <TotalTime>53</TotalTime>
  <ScaleCrop>false</ScaleCrop>
  <LinksUpToDate>false</LinksUpToDate>
  <CharactersWithSpaces>6728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2023-10-16T02:17:00Z</dcterms:created>
  <dc:creator>Administrator</dc:creator>
  <cp:lastModifiedBy>YR</cp:lastModifiedBy>
  <dcterms:modified xsi:type="dcterms:W3CDTF">2025-11-03T01:58:34Z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AAC1769CC4ED4E8CB4A9E199593F7FDA_13</vt:lpwstr>
  </property>
  <property fmtid="{D5CDD505-2E9C-101B-9397-08002B2CF9AE}" pid="4" name="KSOTemplateDocerSaveRecord">
    <vt:lpwstr>eyJoZGlkIjoiYWQyZWI0ZGU5NmZiYWM0Mjc1OTFmYTAwNzY3N2ViZTMiLCJ1c2VySWQiOiIzNTM4NjE4NzMifQ==</vt:lpwstr>
  </property>
</Properties>
</file>