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624AC">
      <w:pPr>
        <w:spacing w:before="120" w:beforeLines="50" w:line="360" w:lineRule="auto"/>
        <w:jc w:val="center"/>
        <w:rPr>
          <w:color w:val="auto"/>
          <w:sz w:val="52"/>
          <w:szCs w:val="52"/>
          <w:highlight w:val="none"/>
        </w:rPr>
      </w:pPr>
    </w:p>
    <w:p w14:paraId="3BADEE9E">
      <w:pPr>
        <w:spacing w:before="120" w:beforeLines="50" w:line="360" w:lineRule="auto"/>
        <w:jc w:val="center"/>
        <w:rPr>
          <w:color w:val="auto"/>
          <w:sz w:val="44"/>
          <w:szCs w:val="44"/>
          <w:highlight w:val="none"/>
        </w:rPr>
      </w:pPr>
      <w:r>
        <w:rPr>
          <w:rFonts w:hint="eastAsia"/>
          <w:color w:val="auto"/>
          <w:sz w:val="72"/>
          <w:szCs w:val="72"/>
          <w:highlight w:val="none"/>
        </w:rPr>
        <w:t>广西科联招标中心有限公司</w:t>
      </w:r>
    </w:p>
    <w:p w14:paraId="11637B25">
      <w:pPr>
        <w:spacing w:before="120" w:beforeLines="50" w:line="360" w:lineRule="auto"/>
        <w:jc w:val="center"/>
        <w:rPr>
          <w:color w:val="auto"/>
          <w:sz w:val="36"/>
          <w:szCs w:val="36"/>
          <w:highlight w:val="none"/>
        </w:rPr>
      </w:pPr>
    </w:p>
    <w:p w14:paraId="09F0A791">
      <w:pPr>
        <w:snapToGrid w:val="0"/>
        <w:spacing w:before="120"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2737FCA4">
      <w:pPr>
        <w:spacing w:before="240" w:beforeLines="100" w:after="120" w:afterLines="50"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（全流程电子化评标）</w:t>
      </w:r>
    </w:p>
    <w:p w14:paraId="2A9DB28F">
      <w:pPr>
        <w:spacing w:line="360" w:lineRule="auto"/>
        <w:rPr>
          <w:rFonts w:ascii="宋体" w:hAnsi="宋体" w:cs="宋体"/>
          <w:b/>
          <w:color w:val="auto"/>
          <w:sz w:val="32"/>
          <w:szCs w:val="32"/>
          <w:highlight w:val="none"/>
        </w:rPr>
      </w:pPr>
    </w:p>
    <w:p w14:paraId="7FCE4A66">
      <w:pPr>
        <w:spacing w:line="360" w:lineRule="auto"/>
        <w:jc w:val="center"/>
        <w:rPr>
          <w:rFonts w:ascii="宋体" w:hAnsi="宋体" w:cs="宋体"/>
          <w:b/>
          <w:color w:val="auto"/>
          <w:sz w:val="32"/>
          <w:szCs w:val="32"/>
          <w:highlight w:val="none"/>
        </w:rPr>
      </w:pPr>
    </w:p>
    <w:p w14:paraId="7647B8AE">
      <w:pPr>
        <w:snapToGrid w:val="0"/>
        <w:spacing w:before="50" w:after="120" w:line="360" w:lineRule="auto"/>
        <w:ind w:firstLine="1684" w:firstLineChars="559"/>
        <w:rPr>
          <w:rFonts w:ascii="宋体" w:hAnsi="宋体" w:cs="宋体"/>
          <w:b/>
          <w:bCs/>
          <w:color w:val="auto"/>
          <w:kern w:val="0"/>
          <w:sz w:val="30"/>
          <w:szCs w:val="30"/>
          <w:highlight w:val="none"/>
        </w:rPr>
      </w:pPr>
    </w:p>
    <w:p w14:paraId="5AB7E436">
      <w:pPr>
        <w:snapToGrid w:val="0"/>
        <w:spacing w:before="50" w:after="120" w:line="360" w:lineRule="auto"/>
        <w:jc w:val="center"/>
        <w:rPr>
          <w:b/>
          <w:bCs/>
          <w:color w:val="auto"/>
          <w:kern w:val="0"/>
          <w:sz w:val="30"/>
          <w:szCs w:val="30"/>
          <w:highlight w:val="none"/>
        </w:rPr>
      </w:pPr>
      <w:r>
        <w:rPr>
          <w:rFonts w:hint="eastAsia" w:ascii="宋体" w:hAnsi="宋体" w:cs="宋体"/>
          <w:b/>
          <w:bCs/>
          <w:color w:val="auto"/>
          <w:kern w:val="0"/>
          <w:sz w:val="30"/>
          <w:szCs w:val="30"/>
          <w:highlight w:val="none"/>
        </w:rPr>
        <w:t>项目</w:t>
      </w:r>
      <w:r>
        <w:rPr>
          <w:b/>
          <w:bCs/>
          <w:color w:val="auto"/>
          <w:w w:val="95"/>
          <w:kern w:val="0"/>
          <w:sz w:val="30"/>
          <w:szCs w:val="30"/>
          <w:highlight w:val="none"/>
        </w:rPr>
        <w:t>名称</w:t>
      </w:r>
      <w:r>
        <w:rPr>
          <w:b/>
          <w:bCs/>
          <w:color w:val="auto"/>
          <w:kern w:val="0"/>
          <w:sz w:val="30"/>
          <w:szCs w:val="30"/>
          <w:highlight w:val="none"/>
        </w:rPr>
        <w:t>：</w:t>
      </w:r>
      <w:r>
        <w:rPr>
          <w:rFonts w:hint="eastAsia"/>
          <w:b/>
          <w:bCs/>
          <w:color w:val="auto"/>
          <w:kern w:val="0"/>
          <w:sz w:val="30"/>
          <w:szCs w:val="30"/>
          <w:highlight w:val="none"/>
        </w:rPr>
        <w:t>广西民族大学修建思源湖校区跑廊项目</w:t>
      </w:r>
    </w:p>
    <w:p w14:paraId="0423E5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b/>
          <w:bCs/>
          <w:color w:val="auto"/>
          <w:kern w:val="0"/>
          <w:sz w:val="30"/>
          <w:szCs w:val="30"/>
          <w:highlight w:val="none"/>
        </w:rPr>
      </w:pPr>
      <w:r>
        <w:rPr>
          <w:rFonts w:hint="eastAsia"/>
          <w:b/>
          <w:bCs/>
          <w:color w:val="auto"/>
          <w:kern w:val="0"/>
          <w:sz w:val="30"/>
          <w:szCs w:val="30"/>
          <w:highlight w:val="none"/>
          <w:lang w:val="en-US" w:eastAsia="zh-CN"/>
        </w:rPr>
        <w:t xml:space="preserve">          </w:t>
      </w:r>
      <w:r>
        <w:rPr>
          <w:b/>
          <w:bCs/>
          <w:color w:val="auto"/>
          <w:kern w:val="0"/>
          <w:sz w:val="30"/>
          <w:szCs w:val="30"/>
          <w:highlight w:val="none"/>
        </w:rPr>
        <w:t>项目编号：GXZC2025-C2-002818-GXKL</w:t>
      </w:r>
    </w:p>
    <w:p w14:paraId="6B3217B9">
      <w:pPr>
        <w:snapToGrid w:val="0"/>
        <w:spacing w:before="50" w:after="120" w:line="360" w:lineRule="auto"/>
        <w:ind w:firstLine="2765" w:firstLineChars="918"/>
        <w:rPr>
          <w:b/>
          <w:bCs/>
          <w:color w:val="auto"/>
          <w:kern w:val="0"/>
          <w:sz w:val="30"/>
          <w:szCs w:val="30"/>
          <w:highlight w:val="none"/>
        </w:rPr>
      </w:pPr>
    </w:p>
    <w:p w14:paraId="78A26438">
      <w:pPr>
        <w:snapToGrid w:val="0"/>
        <w:spacing w:before="50" w:after="120" w:line="360" w:lineRule="auto"/>
        <w:ind w:firstLine="1684" w:firstLineChars="559"/>
        <w:rPr>
          <w:b/>
          <w:bCs/>
          <w:color w:val="auto"/>
          <w:kern w:val="0"/>
          <w:sz w:val="30"/>
          <w:szCs w:val="30"/>
          <w:highlight w:val="none"/>
        </w:rPr>
      </w:pPr>
    </w:p>
    <w:p w14:paraId="5AB9E25D">
      <w:pPr>
        <w:pStyle w:val="2"/>
        <w:rPr>
          <w:b/>
          <w:bCs/>
          <w:color w:val="auto"/>
          <w:sz w:val="30"/>
          <w:szCs w:val="30"/>
          <w:highlight w:val="none"/>
        </w:rPr>
      </w:pPr>
    </w:p>
    <w:p w14:paraId="4257D59D">
      <w:pPr>
        <w:pStyle w:val="2"/>
        <w:rPr>
          <w:b/>
          <w:bCs/>
          <w:color w:val="auto"/>
          <w:sz w:val="30"/>
          <w:szCs w:val="30"/>
          <w:highlight w:val="none"/>
        </w:rPr>
      </w:pPr>
    </w:p>
    <w:p w14:paraId="0242C913">
      <w:pPr>
        <w:pStyle w:val="2"/>
        <w:rPr>
          <w:b/>
          <w:bCs/>
          <w:color w:val="auto"/>
          <w:sz w:val="30"/>
          <w:szCs w:val="30"/>
          <w:highlight w:val="none"/>
        </w:rPr>
      </w:pPr>
    </w:p>
    <w:p w14:paraId="349123CB">
      <w:pPr>
        <w:snapToGrid w:val="0"/>
        <w:spacing w:before="50" w:after="120" w:line="360" w:lineRule="auto"/>
        <w:ind w:firstLine="1807" w:firstLineChars="600"/>
        <w:jc w:val="left"/>
        <w:rPr>
          <w:b/>
          <w:bCs/>
          <w:color w:val="auto"/>
          <w:kern w:val="0"/>
          <w:sz w:val="30"/>
          <w:szCs w:val="30"/>
          <w:highlight w:val="none"/>
        </w:rPr>
      </w:pPr>
    </w:p>
    <w:p w14:paraId="31A330F1">
      <w:pPr>
        <w:snapToGrid w:val="0"/>
        <w:spacing w:before="50" w:after="120" w:line="360" w:lineRule="auto"/>
        <w:ind w:firstLine="1807" w:firstLineChars="600"/>
        <w:jc w:val="left"/>
        <w:rPr>
          <w:b/>
          <w:bCs/>
          <w:color w:val="auto"/>
          <w:kern w:val="0"/>
          <w:sz w:val="30"/>
          <w:szCs w:val="30"/>
          <w:highlight w:val="none"/>
        </w:rPr>
      </w:pPr>
      <w:r>
        <w:rPr>
          <w:b/>
          <w:bCs/>
          <w:color w:val="auto"/>
          <w:kern w:val="0"/>
          <w:sz w:val="30"/>
          <w:szCs w:val="30"/>
          <w:highlight w:val="none"/>
        </w:rPr>
        <w:t>采购人：</w:t>
      </w:r>
      <w:r>
        <w:rPr>
          <w:rFonts w:hint="eastAsia"/>
          <w:b/>
          <w:bCs/>
          <w:color w:val="auto"/>
          <w:kern w:val="0"/>
          <w:sz w:val="30"/>
          <w:szCs w:val="30"/>
          <w:highlight w:val="none"/>
        </w:rPr>
        <w:t>广西民族大学</w:t>
      </w:r>
    </w:p>
    <w:p w14:paraId="4B20C160">
      <w:pPr>
        <w:snapToGrid w:val="0"/>
        <w:spacing w:before="50" w:after="120" w:line="360" w:lineRule="auto"/>
        <w:ind w:firstLine="1807" w:firstLineChars="600"/>
        <w:jc w:val="left"/>
        <w:rPr>
          <w:b/>
          <w:bCs/>
          <w:color w:val="auto"/>
          <w:kern w:val="0"/>
          <w:sz w:val="30"/>
          <w:szCs w:val="30"/>
          <w:highlight w:val="none"/>
        </w:rPr>
      </w:pPr>
      <w:r>
        <w:rPr>
          <w:b/>
          <w:bCs/>
          <w:color w:val="auto"/>
          <w:kern w:val="0"/>
          <w:sz w:val="30"/>
          <w:szCs w:val="30"/>
          <w:highlight w:val="none"/>
        </w:rPr>
        <w:t>采购代理机构：</w:t>
      </w:r>
      <w:bookmarkStart w:id="0" w:name="PO_3000001866_PM031"/>
      <w:r>
        <w:rPr>
          <w:b/>
          <w:bCs/>
          <w:color w:val="auto"/>
          <w:kern w:val="0"/>
          <w:sz w:val="30"/>
          <w:szCs w:val="30"/>
          <w:highlight w:val="none"/>
        </w:rPr>
        <w:t>广西科联招标中心有限公司</w:t>
      </w:r>
      <w:bookmarkEnd w:id="0"/>
    </w:p>
    <w:p w14:paraId="0FCC828F">
      <w:pPr>
        <w:snapToGrid w:val="0"/>
        <w:spacing w:before="50" w:after="120" w:line="360" w:lineRule="auto"/>
        <w:jc w:val="center"/>
        <w:rPr>
          <w:b/>
          <w:bCs/>
          <w:color w:val="auto"/>
          <w:w w:val="95"/>
          <w:kern w:val="0"/>
          <w:sz w:val="30"/>
          <w:szCs w:val="30"/>
          <w:highlight w:val="none"/>
        </w:rPr>
      </w:pPr>
      <w:r>
        <w:rPr>
          <w:rFonts w:hint="eastAsia"/>
          <w:b/>
          <w:bCs/>
          <w:color w:val="auto"/>
          <w:w w:val="95"/>
          <w:kern w:val="0"/>
          <w:sz w:val="30"/>
          <w:szCs w:val="30"/>
          <w:highlight w:val="none"/>
        </w:rPr>
        <w:t>2025</w:t>
      </w:r>
      <w:r>
        <w:rPr>
          <w:b/>
          <w:bCs/>
          <w:color w:val="auto"/>
          <w:w w:val="95"/>
          <w:kern w:val="0"/>
          <w:sz w:val="30"/>
          <w:szCs w:val="30"/>
          <w:highlight w:val="none"/>
        </w:rPr>
        <w:t>年</w:t>
      </w:r>
      <w:r>
        <w:rPr>
          <w:rFonts w:hint="eastAsia"/>
          <w:b/>
          <w:bCs/>
          <w:color w:val="auto"/>
          <w:w w:val="95"/>
          <w:kern w:val="0"/>
          <w:sz w:val="30"/>
          <w:szCs w:val="30"/>
          <w:highlight w:val="none"/>
          <w:lang w:val="en-US" w:eastAsia="zh-CN"/>
        </w:rPr>
        <w:t>9</w:t>
      </w:r>
      <w:r>
        <w:rPr>
          <w:b/>
          <w:bCs/>
          <w:color w:val="auto"/>
          <w:w w:val="95"/>
          <w:kern w:val="0"/>
          <w:sz w:val="30"/>
          <w:szCs w:val="30"/>
          <w:highlight w:val="none"/>
        </w:rPr>
        <w:t>月</w:t>
      </w:r>
      <w:r>
        <w:rPr>
          <w:rFonts w:hint="eastAsia"/>
          <w:b/>
          <w:bCs/>
          <w:color w:val="auto"/>
          <w:w w:val="95"/>
          <w:kern w:val="0"/>
          <w:sz w:val="30"/>
          <w:szCs w:val="30"/>
          <w:highlight w:val="none"/>
          <w:lang w:val="en-US" w:eastAsia="zh-CN"/>
        </w:rPr>
        <w:t>17</w:t>
      </w:r>
      <w:r>
        <w:rPr>
          <w:b/>
          <w:bCs/>
          <w:color w:val="auto"/>
          <w:w w:val="95"/>
          <w:kern w:val="0"/>
          <w:sz w:val="30"/>
          <w:szCs w:val="30"/>
          <w:highlight w:val="none"/>
        </w:rPr>
        <w:t>日</w:t>
      </w:r>
    </w:p>
    <w:p w14:paraId="317DD673">
      <w:pPr>
        <w:pStyle w:val="12"/>
        <w:ind w:firstLine="803"/>
        <w:jc w:val="center"/>
        <w:rPr>
          <w:rFonts w:ascii="宋体" w:hAnsi="宋体" w:cs="宋体"/>
          <w:b/>
          <w:bCs/>
          <w:color w:val="auto"/>
          <w:w w:val="95"/>
          <w:sz w:val="30"/>
          <w:szCs w:val="30"/>
          <w:highlight w:val="none"/>
        </w:rPr>
        <w:sectPr>
          <w:headerReference r:id="rId5" w:type="first"/>
          <w:headerReference r:id="rId3" w:type="default"/>
          <w:footerReference r:id="rId6" w:type="default"/>
          <w:headerReference r:id="rId4" w:type="even"/>
          <w:footerReference r:id="rId7" w:type="even"/>
          <w:pgSz w:w="11911" w:h="16838"/>
          <w:pgMar w:top="1134" w:right="1134" w:bottom="1134" w:left="1134" w:header="720" w:footer="720" w:gutter="0"/>
          <w:pgNumType w:start="1"/>
          <w:cols w:space="720" w:num="1"/>
          <w:titlePg/>
          <w:docGrid w:linePitch="331" w:charSpace="0"/>
        </w:sectPr>
      </w:pPr>
    </w:p>
    <w:p w14:paraId="19C1119C">
      <w:pPr>
        <w:spacing w:line="360" w:lineRule="auto"/>
        <w:jc w:val="center"/>
        <w:rPr>
          <w:b/>
          <w:color w:val="auto"/>
          <w:sz w:val="44"/>
          <w:szCs w:val="44"/>
          <w:highlight w:val="none"/>
        </w:rPr>
      </w:pPr>
      <w:r>
        <w:rPr>
          <w:rFonts w:hint="eastAsia"/>
          <w:b/>
          <w:color w:val="auto"/>
          <w:sz w:val="44"/>
          <w:szCs w:val="44"/>
          <w:highlight w:val="none"/>
        </w:rPr>
        <w:t>目   录</w:t>
      </w:r>
    </w:p>
    <w:p w14:paraId="2EBD2FBE">
      <w:pPr>
        <w:spacing w:line="400" w:lineRule="exact"/>
        <w:jc w:val="center"/>
        <w:rPr>
          <w:b/>
          <w:color w:val="auto"/>
          <w:sz w:val="44"/>
          <w:szCs w:val="44"/>
          <w:highlight w:val="none"/>
        </w:rPr>
      </w:pPr>
    </w:p>
    <w:p w14:paraId="1B6B7165">
      <w:pPr>
        <w:pStyle w:val="22"/>
        <w:tabs>
          <w:tab w:val="right" w:leader="dot" w:pos="9643"/>
        </w:tabs>
        <w:spacing w:line="480" w:lineRule="auto"/>
        <w:rPr>
          <w:color w:val="auto"/>
          <w:highlight w:val="none"/>
        </w:rPr>
      </w:pPr>
      <w:r>
        <w:rPr>
          <w:b/>
          <w:bCs/>
          <w:color w:val="auto"/>
          <w:sz w:val="24"/>
          <w:highlight w:val="none"/>
        </w:rPr>
        <w:fldChar w:fldCharType="begin"/>
      </w:r>
      <w:r>
        <w:rPr>
          <w:b/>
          <w:bCs/>
          <w:color w:val="auto"/>
          <w:sz w:val="24"/>
          <w:highlight w:val="none"/>
        </w:rPr>
        <w:instrText xml:space="preserve">TOC \o "1-1" \h \u </w:instrText>
      </w:r>
      <w:r>
        <w:rPr>
          <w:b/>
          <w:bCs/>
          <w:color w:val="auto"/>
          <w:sz w:val="24"/>
          <w:highlight w:val="none"/>
        </w:rPr>
        <w:fldChar w:fldCharType="separate"/>
      </w:r>
      <w:r>
        <w:rPr>
          <w:color w:val="auto"/>
          <w:highlight w:val="none"/>
        </w:rPr>
        <w:fldChar w:fldCharType="begin"/>
      </w:r>
      <w:r>
        <w:rPr>
          <w:color w:val="auto"/>
          <w:highlight w:val="none"/>
        </w:rPr>
        <w:instrText xml:space="preserve"> HYPERLINK \l "_Toc29804" </w:instrText>
      </w:r>
      <w:r>
        <w:rPr>
          <w:color w:val="auto"/>
          <w:highlight w:val="none"/>
        </w:rPr>
        <w:fldChar w:fldCharType="separate"/>
      </w:r>
      <w:r>
        <w:rPr>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_Toc29804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F499F22">
      <w:pPr>
        <w:pStyle w:val="22"/>
        <w:tabs>
          <w:tab w:val="right" w:leader="dot" w:pos="9643"/>
        </w:tabs>
        <w:spacing w:line="480" w:lineRule="auto"/>
        <w:rPr>
          <w:color w:val="auto"/>
          <w:highlight w:val="none"/>
        </w:rPr>
      </w:pPr>
      <w:r>
        <w:rPr>
          <w:color w:val="auto"/>
          <w:highlight w:val="none"/>
        </w:rPr>
        <w:fldChar w:fldCharType="begin"/>
      </w:r>
      <w:r>
        <w:rPr>
          <w:color w:val="auto"/>
          <w:highlight w:val="none"/>
        </w:rPr>
        <w:instrText xml:space="preserve"> HYPERLINK \l "_Toc9190" </w:instrText>
      </w:r>
      <w:r>
        <w:rPr>
          <w:color w:val="auto"/>
          <w:highlight w:val="none"/>
        </w:rPr>
        <w:fldChar w:fldCharType="separate"/>
      </w:r>
      <w:r>
        <w:rPr>
          <w:rFonts w:hint="eastAsia" w:ascii="Cambria" w:hAnsi="Cambria"/>
          <w:bCs/>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_Toc9190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35827FE">
      <w:pPr>
        <w:pStyle w:val="22"/>
        <w:tabs>
          <w:tab w:val="right" w:leader="dot" w:pos="9643"/>
        </w:tabs>
        <w:spacing w:line="480" w:lineRule="auto"/>
        <w:rPr>
          <w:color w:val="auto"/>
          <w:highlight w:val="none"/>
        </w:rPr>
      </w:pPr>
      <w:r>
        <w:rPr>
          <w:color w:val="auto"/>
          <w:highlight w:val="none"/>
        </w:rPr>
        <w:fldChar w:fldCharType="begin"/>
      </w:r>
      <w:r>
        <w:rPr>
          <w:color w:val="auto"/>
          <w:highlight w:val="none"/>
        </w:rPr>
        <w:instrText xml:space="preserve"> HYPERLINK \l "_Toc21050" </w:instrText>
      </w:r>
      <w:r>
        <w:rPr>
          <w:color w:val="auto"/>
          <w:highlight w:val="none"/>
        </w:rPr>
        <w:fldChar w:fldCharType="separate"/>
      </w:r>
      <w:r>
        <w:rPr>
          <w:rFonts w:hint="eastAsia" w:ascii="Cambria" w:hAnsi="Cambria"/>
          <w:bCs/>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_Toc21050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C6154EE">
      <w:pPr>
        <w:pStyle w:val="22"/>
        <w:tabs>
          <w:tab w:val="right" w:leader="dot" w:pos="9643"/>
        </w:tabs>
        <w:spacing w:line="480" w:lineRule="auto"/>
        <w:rPr>
          <w:color w:val="auto"/>
          <w:highlight w:val="none"/>
        </w:rPr>
      </w:pPr>
      <w:r>
        <w:rPr>
          <w:color w:val="auto"/>
          <w:highlight w:val="none"/>
        </w:rPr>
        <w:fldChar w:fldCharType="begin"/>
      </w:r>
      <w:r>
        <w:rPr>
          <w:color w:val="auto"/>
          <w:highlight w:val="none"/>
        </w:rPr>
        <w:instrText xml:space="preserve"> HYPERLINK \l "_Toc29100" </w:instrText>
      </w:r>
      <w:r>
        <w:rPr>
          <w:color w:val="auto"/>
          <w:highlight w:val="none"/>
        </w:rPr>
        <w:fldChar w:fldCharType="separate"/>
      </w:r>
      <w:r>
        <w:rPr>
          <w:rFonts w:hint="eastAsia" w:ascii="Calibri" w:hAnsi="Calibri"/>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_Toc29100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176B39B">
      <w:pPr>
        <w:pStyle w:val="22"/>
        <w:tabs>
          <w:tab w:val="right" w:leader="dot" w:pos="9643"/>
        </w:tabs>
        <w:spacing w:line="480" w:lineRule="auto"/>
        <w:rPr>
          <w:color w:val="auto"/>
          <w:highlight w:val="none"/>
        </w:rPr>
      </w:pPr>
      <w:r>
        <w:rPr>
          <w:color w:val="auto"/>
          <w:highlight w:val="none"/>
        </w:rPr>
        <w:fldChar w:fldCharType="begin"/>
      </w:r>
      <w:r>
        <w:rPr>
          <w:color w:val="auto"/>
          <w:highlight w:val="none"/>
        </w:rPr>
        <w:instrText xml:space="preserve"> HYPERLINK \l "_Toc12792" </w:instrText>
      </w:r>
      <w:r>
        <w:rPr>
          <w:color w:val="auto"/>
          <w:highlight w:val="none"/>
        </w:rPr>
        <w:fldChar w:fldCharType="separate"/>
      </w:r>
      <w:r>
        <w:rPr>
          <w:rFonts w:hint="eastAsia" w:ascii="Calibri" w:hAnsi="Calibri"/>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_Toc12792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D0B787F">
      <w:pPr>
        <w:pStyle w:val="22"/>
        <w:tabs>
          <w:tab w:val="right" w:leader="dot" w:pos="9643"/>
        </w:tabs>
        <w:spacing w:line="480" w:lineRule="auto"/>
        <w:rPr>
          <w:color w:val="auto"/>
          <w:highlight w:val="none"/>
        </w:rPr>
      </w:pPr>
      <w:r>
        <w:rPr>
          <w:color w:val="auto"/>
          <w:highlight w:val="none"/>
        </w:rPr>
        <w:fldChar w:fldCharType="begin"/>
      </w:r>
      <w:r>
        <w:rPr>
          <w:color w:val="auto"/>
          <w:highlight w:val="none"/>
        </w:rPr>
        <w:instrText xml:space="preserve"> HYPERLINK \l "_Toc31579" </w:instrText>
      </w:r>
      <w:r>
        <w:rPr>
          <w:color w:val="auto"/>
          <w:highlight w:val="none"/>
        </w:rPr>
        <w:fldChar w:fldCharType="separate"/>
      </w:r>
      <w:r>
        <w:rPr>
          <w:rFonts w:hint="eastAsia"/>
          <w:bCs/>
          <w:color w:val="auto"/>
          <w:highlight w:val="none"/>
        </w:rPr>
        <w:t xml:space="preserve">第六章 </w:t>
      </w:r>
      <w:r>
        <w:rPr>
          <w:bCs/>
          <w:color w:val="auto"/>
          <w:highlight w:val="none"/>
        </w:rPr>
        <w:t xml:space="preserve"> </w:t>
      </w:r>
      <w:r>
        <w:rPr>
          <w:rFonts w:hint="eastAsia"/>
          <w:bCs/>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_Toc31579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DECB580">
      <w:pPr>
        <w:pStyle w:val="22"/>
        <w:tabs>
          <w:tab w:val="right" w:leader="dot" w:pos="9643"/>
        </w:tabs>
        <w:spacing w:line="480" w:lineRule="auto"/>
        <w:rPr>
          <w:color w:val="auto"/>
          <w:highlight w:val="none"/>
        </w:rPr>
      </w:pPr>
      <w:r>
        <w:rPr>
          <w:color w:val="auto"/>
          <w:highlight w:val="none"/>
        </w:rPr>
        <w:fldChar w:fldCharType="begin"/>
      </w:r>
      <w:r>
        <w:rPr>
          <w:color w:val="auto"/>
          <w:highlight w:val="none"/>
        </w:rPr>
        <w:instrText xml:space="preserve"> HYPERLINK \l "_Toc21822" </w:instrText>
      </w:r>
      <w:r>
        <w:rPr>
          <w:color w:val="auto"/>
          <w:highlight w:val="none"/>
        </w:rPr>
        <w:fldChar w:fldCharType="separate"/>
      </w:r>
      <w:r>
        <w:rPr>
          <w:rFonts w:hint="eastAsia" w:cs="仿宋_GB2312"/>
          <w:bCs/>
          <w:color w:val="auto"/>
          <w:highlight w:val="none"/>
        </w:rPr>
        <w:t>第七章 工程量清单、图纸</w:t>
      </w:r>
      <w:r>
        <w:rPr>
          <w:color w:val="auto"/>
          <w:highlight w:val="none"/>
        </w:rPr>
        <w:tab/>
      </w:r>
      <w:r>
        <w:rPr>
          <w:color w:val="auto"/>
          <w:highlight w:val="none"/>
        </w:rPr>
        <w:fldChar w:fldCharType="begin"/>
      </w:r>
      <w:r>
        <w:rPr>
          <w:color w:val="auto"/>
          <w:highlight w:val="none"/>
        </w:rPr>
        <w:instrText xml:space="preserve"> PAGEREF _Toc21822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5005705B">
      <w:pPr>
        <w:pStyle w:val="22"/>
        <w:tabs>
          <w:tab w:val="right" w:leader="dot" w:pos="9643"/>
        </w:tabs>
        <w:spacing w:line="480" w:lineRule="auto"/>
        <w:rPr>
          <w:color w:val="auto"/>
          <w:highlight w:val="none"/>
        </w:rPr>
      </w:pPr>
      <w:r>
        <w:rPr>
          <w:color w:val="auto"/>
          <w:highlight w:val="none"/>
        </w:rPr>
        <w:fldChar w:fldCharType="begin"/>
      </w:r>
      <w:r>
        <w:rPr>
          <w:color w:val="auto"/>
          <w:highlight w:val="none"/>
        </w:rPr>
        <w:instrText xml:space="preserve"> HYPERLINK \l "_Toc18783" </w:instrText>
      </w:r>
      <w:r>
        <w:rPr>
          <w:color w:val="auto"/>
          <w:highlight w:val="none"/>
        </w:rPr>
        <w:fldChar w:fldCharType="separate"/>
      </w:r>
      <w:r>
        <w:rPr>
          <w:rFonts w:hint="eastAsia" w:cs="仿宋_GB2312"/>
          <w:color w:val="auto"/>
          <w:highlight w:val="none"/>
        </w:rPr>
        <w:t>第八章 质疑、投诉材料格式</w:t>
      </w:r>
      <w:r>
        <w:rPr>
          <w:color w:val="auto"/>
          <w:highlight w:val="none"/>
        </w:rPr>
        <w:tab/>
      </w:r>
      <w:r>
        <w:rPr>
          <w:color w:val="auto"/>
          <w:highlight w:val="none"/>
        </w:rPr>
        <w:fldChar w:fldCharType="begin"/>
      </w:r>
      <w:r>
        <w:rPr>
          <w:color w:val="auto"/>
          <w:highlight w:val="none"/>
        </w:rPr>
        <w:instrText xml:space="preserve"> PAGEREF _Toc18783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14:paraId="27F9F794">
      <w:pPr>
        <w:pStyle w:val="24"/>
        <w:spacing w:line="480" w:lineRule="auto"/>
        <w:rPr>
          <w:rFonts w:ascii="宋体" w:hAnsi="宋体" w:cs="宋体"/>
          <w:color w:val="auto"/>
          <w:sz w:val="24"/>
          <w:highlight w:val="none"/>
        </w:rPr>
      </w:pPr>
      <w:r>
        <w:rPr>
          <w:b/>
          <w:bCs/>
          <w:color w:val="auto"/>
          <w:highlight w:val="none"/>
        </w:rPr>
        <w:fldChar w:fldCharType="end"/>
      </w:r>
    </w:p>
    <w:p w14:paraId="043F7931">
      <w:pPr>
        <w:spacing w:line="400" w:lineRule="exact"/>
        <w:jc w:val="left"/>
        <w:rPr>
          <w:b/>
          <w:color w:val="auto"/>
          <w:sz w:val="32"/>
          <w:szCs w:val="32"/>
          <w:highlight w:val="none"/>
        </w:rPr>
      </w:pPr>
      <w:bookmarkStart w:id="1155" w:name="_GoBack"/>
      <w:bookmarkEnd w:id="1155"/>
    </w:p>
    <w:p w14:paraId="701CF844">
      <w:pPr>
        <w:spacing w:line="400" w:lineRule="exact"/>
        <w:jc w:val="center"/>
        <w:rPr>
          <w:b/>
          <w:color w:val="auto"/>
          <w:sz w:val="32"/>
          <w:szCs w:val="32"/>
          <w:highlight w:val="none"/>
        </w:rPr>
      </w:pPr>
    </w:p>
    <w:p w14:paraId="6F1D9C84">
      <w:pPr>
        <w:spacing w:line="400" w:lineRule="exact"/>
        <w:jc w:val="center"/>
        <w:rPr>
          <w:b/>
          <w:color w:val="auto"/>
          <w:sz w:val="32"/>
          <w:szCs w:val="32"/>
          <w:highlight w:val="none"/>
        </w:rPr>
      </w:pPr>
    </w:p>
    <w:p w14:paraId="2419D8E7">
      <w:pPr>
        <w:spacing w:line="400" w:lineRule="exact"/>
        <w:jc w:val="center"/>
        <w:rPr>
          <w:b/>
          <w:color w:val="auto"/>
          <w:sz w:val="32"/>
          <w:szCs w:val="32"/>
          <w:highlight w:val="none"/>
        </w:rPr>
      </w:pPr>
    </w:p>
    <w:p w14:paraId="2D09AC59">
      <w:pPr>
        <w:spacing w:line="400" w:lineRule="exact"/>
        <w:jc w:val="center"/>
        <w:rPr>
          <w:b/>
          <w:color w:val="auto"/>
          <w:sz w:val="32"/>
          <w:szCs w:val="32"/>
          <w:highlight w:val="none"/>
        </w:rPr>
      </w:pPr>
    </w:p>
    <w:p w14:paraId="4B0BA670">
      <w:pPr>
        <w:spacing w:line="400" w:lineRule="exact"/>
        <w:rPr>
          <w:b/>
          <w:color w:val="auto"/>
          <w:sz w:val="32"/>
          <w:szCs w:val="32"/>
          <w:highlight w:val="none"/>
        </w:rPr>
        <w:sectPr>
          <w:headerReference r:id="rId9" w:type="first"/>
          <w:footerReference r:id="rId11" w:type="first"/>
          <w:headerReference r:id="rId8" w:type="default"/>
          <w:footerReference r:id="rId10" w:type="default"/>
          <w:pgSz w:w="11911" w:h="16838"/>
          <w:pgMar w:top="1134" w:right="1537" w:bottom="1134" w:left="1134" w:header="720" w:footer="720" w:gutter="0"/>
          <w:pgNumType w:start="1"/>
          <w:cols w:space="720" w:num="1"/>
          <w:docGrid w:linePitch="312" w:charSpace="0"/>
        </w:sectPr>
      </w:pPr>
    </w:p>
    <w:p w14:paraId="00CE59E1">
      <w:pPr>
        <w:pStyle w:val="3"/>
        <w:spacing w:line="400" w:lineRule="exact"/>
        <w:jc w:val="center"/>
        <w:rPr>
          <w:color w:val="auto"/>
          <w:highlight w:val="none"/>
        </w:rPr>
      </w:pPr>
      <w:bookmarkStart w:id="1" w:name="_Toc22943"/>
      <w:bookmarkStart w:id="2" w:name="_Toc15624"/>
      <w:bookmarkStart w:id="3" w:name="_Toc80886925"/>
      <w:bookmarkStart w:id="4" w:name="_Toc27000"/>
      <w:bookmarkStart w:id="5" w:name="_Toc11382"/>
      <w:bookmarkStart w:id="6" w:name="_Toc11989"/>
      <w:bookmarkStart w:id="7" w:name="_Toc29804"/>
      <w:bookmarkStart w:id="8" w:name="_Toc12242"/>
      <w:r>
        <w:rPr>
          <w:color w:val="auto"/>
          <w:highlight w:val="none"/>
        </w:rPr>
        <w:t>第一章 竞争性磋商公告</w:t>
      </w:r>
      <w:bookmarkEnd w:id="1"/>
      <w:bookmarkEnd w:id="2"/>
      <w:bookmarkEnd w:id="3"/>
      <w:bookmarkEnd w:id="4"/>
      <w:bookmarkEnd w:id="5"/>
      <w:bookmarkEnd w:id="6"/>
      <w:bookmarkEnd w:id="7"/>
      <w:bookmarkEnd w:id="8"/>
      <w:bookmarkStart w:id="9" w:name="_Toc28359089"/>
      <w:bookmarkStart w:id="10" w:name="_Toc44229878"/>
      <w:bookmarkStart w:id="11" w:name="_Toc28359012"/>
      <w:bookmarkStart w:id="12" w:name="_Toc35393798"/>
      <w:bookmarkStart w:id="13" w:name="_Toc35393629"/>
      <w:bookmarkStart w:id="14" w:name="_Toc35393623"/>
      <w:bookmarkStart w:id="15" w:name="_Toc28359081"/>
      <w:bookmarkStart w:id="16" w:name="_Toc28359004"/>
      <w:bookmarkStart w:id="17" w:name="_Toc35393792"/>
    </w:p>
    <w:tbl>
      <w:tblPr>
        <w:tblStyle w:val="28"/>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58A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1B3F4E28">
            <w:pPr>
              <w:spacing w:line="360" w:lineRule="auto"/>
              <w:ind w:firstLine="420" w:firstLineChars="200"/>
              <w:rPr>
                <w:color w:val="auto"/>
                <w:szCs w:val="21"/>
                <w:highlight w:val="none"/>
              </w:rPr>
            </w:pPr>
            <w:r>
              <w:rPr>
                <w:color w:val="auto"/>
                <w:szCs w:val="21"/>
                <w:highlight w:val="none"/>
              </w:rPr>
              <w:t>项目概况</w:t>
            </w:r>
          </w:p>
          <w:p w14:paraId="7A912410">
            <w:pPr>
              <w:spacing w:line="360" w:lineRule="auto"/>
              <w:ind w:firstLine="420" w:firstLineChars="200"/>
              <w:rPr>
                <w:rFonts w:eastAsia="黑体"/>
                <w:bCs/>
                <w:color w:val="auto"/>
                <w:sz w:val="24"/>
                <w:highlight w:val="none"/>
              </w:rPr>
            </w:pPr>
            <w:r>
              <w:rPr>
                <w:color w:val="auto"/>
                <w:szCs w:val="21"/>
                <w:highlight w:val="none"/>
                <w:u w:val="single"/>
              </w:rPr>
              <w:t xml:space="preserve"> </w:t>
            </w:r>
            <w:r>
              <w:rPr>
                <w:rFonts w:hint="eastAsia" w:ascii="宋体" w:hAnsi="宋体"/>
                <w:color w:val="auto"/>
                <w:szCs w:val="21"/>
                <w:highlight w:val="none"/>
                <w:u w:val="single"/>
              </w:rPr>
              <w:t xml:space="preserve"> 广西民族大学修建思源湖校区跑廊项目</w:t>
            </w:r>
            <w:r>
              <w:rPr>
                <w:rFonts w:hint="eastAsia" w:ascii="宋体" w:hAnsi="宋体"/>
                <w:color w:val="auto"/>
                <w:szCs w:val="21"/>
                <w:highlight w:val="none"/>
                <w:u w:val="single"/>
                <w:lang w:val="en-US" w:eastAsia="zh-CN"/>
              </w:rPr>
              <w:t xml:space="preserve"> </w:t>
            </w:r>
            <w:r>
              <w:rPr>
                <w:rFonts w:hint="eastAsia"/>
                <w:color w:val="auto"/>
                <w:szCs w:val="21"/>
                <w:highlight w:val="none"/>
              </w:rPr>
              <w:t>的潜在供应商应在</w:t>
            </w:r>
            <w:r>
              <w:rPr>
                <w:rFonts w:hint="eastAsia" w:ascii="宋体" w:hAnsi="宋体"/>
                <w:color w:val="auto"/>
                <w:szCs w:val="21"/>
                <w:highlight w:val="none"/>
                <w:u w:val="single"/>
              </w:rPr>
              <w:t>广西政府采购云平台（https://www.gcy.zfcg.gxzf.gov.cn/）</w:t>
            </w:r>
            <w:r>
              <w:rPr>
                <w:rFonts w:hint="eastAsia"/>
                <w:color w:val="auto"/>
                <w:szCs w:val="21"/>
                <w:highlight w:val="none"/>
              </w:rPr>
              <w:t>获取（下载）采购文件，并于2025年</w:t>
            </w:r>
            <w:r>
              <w:rPr>
                <w:rFonts w:hint="eastAsia"/>
                <w:color w:val="auto"/>
                <w:szCs w:val="21"/>
                <w:highlight w:val="none"/>
                <w:lang w:val="en-US" w:eastAsia="zh-CN"/>
              </w:rPr>
              <w:t>9</w:t>
            </w:r>
            <w:r>
              <w:rPr>
                <w:rFonts w:hint="eastAsia"/>
                <w:color w:val="auto"/>
                <w:szCs w:val="21"/>
                <w:highlight w:val="none"/>
              </w:rPr>
              <w:t>月</w:t>
            </w:r>
            <w:r>
              <w:rPr>
                <w:rFonts w:hint="eastAsia"/>
                <w:color w:val="auto"/>
                <w:szCs w:val="21"/>
                <w:highlight w:val="none"/>
                <w:lang w:val="en-US" w:eastAsia="zh-CN"/>
              </w:rPr>
              <w:t>28</w:t>
            </w:r>
            <w:r>
              <w:rPr>
                <w:rFonts w:hint="eastAsia"/>
                <w:color w:val="auto"/>
                <w:szCs w:val="21"/>
                <w:highlight w:val="none"/>
              </w:rPr>
              <w:t>日09点00分（北京时间）前提交响应文件。</w:t>
            </w:r>
          </w:p>
        </w:tc>
      </w:tr>
    </w:tbl>
    <w:p w14:paraId="4FA36344">
      <w:pPr>
        <w:spacing w:line="360" w:lineRule="auto"/>
        <w:ind w:firstLine="420" w:firstLineChars="200"/>
        <w:rPr>
          <w:color w:val="auto"/>
          <w:szCs w:val="21"/>
          <w:highlight w:val="none"/>
        </w:rPr>
      </w:pPr>
      <w:r>
        <w:rPr>
          <w:rFonts w:eastAsia="黑体"/>
          <w:bCs/>
          <w:color w:val="auto"/>
          <w:szCs w:val="21"/>
          <w:highlight w:val="none"/>
        </w:rPr>
        <w:t>一、项目基本情况</w:t>
      </w:r>
      <w:bookmarkEnd w:id="9"/>
      <w:bookmarkEnd w:id="10"/>
      <w:bookmarkEnd w:id="11"/>
      <w:bookmarkEnd w:id="12"/>
      <w:bookmarkEnd w:id="13"/>
    </w:p>
    <w:p w14:paraId="218121ED">
      <w:pPr>
        <w:spacing w:line="360" w:lineRule="auto"/>
        <w:ind w:firstLine="420" w:firstLineChars="200"/>
        <w:rPr>
          <w:rFonts w:hint="eastAsia"/>
          <w:color w:val="auto"/>
          <w:szCs w:val="21"/>
          <w:highlight w:val="none"/>
        </w:rPr>
      </w:pPr>
      <w:bookmarkStart w:id="18" w:name="_Toc28359013"/>
      <w:bookmarkStart w:id="19" w:name="_Toc35393630"/>
      <w:bookmarkStart w:id="20" w:name="_Toc28359090"/>
      <w:bookmarkStart w:id="21" w:name="_Toc35393799"/>
      <w:bookmarkStart w:id="22" w:name="_Toc44229879"/>
      <w:r>
        <w:rPr>
          <w:rFonts w:hint="eastAsia"/>
          <w:color w:val="auto"/>
          <w:szCs w:val="21"/>
          <w:highlight w:val="none"/>
        </w:rPr>
        <w:t>项目编号：GXZC2025-C2-002818-GXKL</w:t>
      </w:r>
    </w:p>
    <w:p w14:paraId="35A3AF6B">
      <w:pPr>
        <w:spacing w:line="360" w:lineRule="auto"/>
        <w:ind w:firstLine="420" w:firstLineChars="200"/>
        <w:rPr>
          <w:rFonts w:hint="eastAsia"/>
          <w:color w:val="auto"/>
          <w:szCs w:val="21"/>
          <w:highlight w:val="none"/>
        </w:rPr>
      </w:pPr>
      <w:r>
        <w:rPr>
          <w:rFonts w:hint="eastAsia"/>
          <w:color w:val="auto"/>
          <w:szCs w:val="21"/>
          <w:highlight w:val="none"/>
        </w:rPr>
        <w:t>项目名称：广西民族大学修建思源湖校区跑廊项目</w:t>
      </w:r>
    </w:p>
    <w:p w14:paraId="467EAF49">
      <w:pPr>
        <w:spacing w:line="360" w:lineRule="auto"/>
        <w:ind w:firstLine="420" w:firstLineChars="200"/>
        <w:rPr>
          <w:rFonts w:hint="eastAsia"/>
          <w:color w:val="auto"/>
          <w:szCs w:val="21"/>
          <w:highlight w:val="none"/>
        </w:rPr>
      </w:pPr>
      <w:r>
        <w:rPr>
          <w:rFonts w:hint="eastAsia"/>
          <w:color w:val="auto"/>
          <w:szCs w:val="21"/>
          <w:highlight w:val="none"/>
        </w:rPr>
        <w:t>采购方式：竞争性磋商</w:t>
      </w:r>
    </w:p>
    <w:p w14:paraId="73BDE524">
      <w:pPr>
        <w:spacing w:line="360" w:lineRule="auto"/>
        <w:ind w:firstLine="420" w:firstLineChars="200"/>
        <w:rPr>
          <w:color w:val="auto"/>
          <w:szCs w:val="21"/>
          <w:highlight w:val="none"/>
        </w:rPr>
      </w:pPr>
      <w:r>
        <w:rPr>
          <w:rFonts w:hint="eastAsia"/>
          <w:color w:val="auto"/>
          <w:szCs w:val="21"/>
          <w:highlight w:val="none"/>
        </w:rPr>
        <w:t>预算总金额： 1138279.06元</w:t>
      </w:r>
    </w:p>
    <w:p w14:paraId="2460735F">
      <w:pPr>
        <w:spacing w:line="360" w:lineRule="auto"/>
        <w:ind w:firstLine="420" w:firstLineChars="200"/>
        <w:rPr>
          <w:color w:val="auto"/>
          <w:szCs w:val="21"/>
          <w:highlight w:val="none"/>
        </w:rPr>
      </w:pPr>
      <w:r>
        <w:rPr>
          <w:rFonts w:hint="eastAsia"/>
          <w:color w:val="auto"/>
          <w:szCs w:val="21"/>
          <w:highlight w:val="none"/>
        </w:rPr>
        <w:t>采购需求：</w:t>
      </w:r>
    </w:p>
    <w:p w14:paraId="46221DE0">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标项名称：</w:t>
      </w:r>
      <w:r>
        <w:rPr>
          <w:rFonts w:hint="eastAsia"/>
          <w:color w:val="auto"/>
          <w:szCs w:val="21"/>
          <w:highlight w:val="none"/>
        </w:rPr>
        <w:t>广西民族大学修建思源湖校区跑廊项目</w:t>
      </w:r>
    </w:p>
    <w:p w14:paraId="6A7E0C06">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数量：1 </w:t>
      </w:r>
    </w:p>
    <w:p w14:paraId="641C699A">
      <w:pPr>
        <w:spacing w:line="360" w:lineRule="auto"/>
        <w:ind w:firstLine="630" w:firstLineChars="300"/>
        <w:rPr>
          <w:rFonts w:ascii="宋体" w:hAnsi="宋体"/>
          <w:color w:val="auto"/>
          <w:szCs w:val="21"/>
          <w:highlight w:val="none"/>
        </w:rPr>
      </w:pPr>
      <w:r>
        <w:rPr>
          <w:rFonts w:hint="eastAsia" w:ascii="宋体" w:hAnsi="宋体" w:cs="宋体"/>
          <w:color w:val="auto"/>
          <w:szCs w:val="21"/>
          <w:highlight w:val="none"/>
        </w:rPr>
        <w:t>预算金额（元）：</w:t>
      </w:r>
      <w:r>
        <w:rPr>
          <w:rFonts w:hint="eastAsia"/>
          <w:color w:val="auto"/>
          <w:szCs w:val="21"/>
          <w:highlight w:val="none"/>
        </w:rPr>
        <w:t>1138279.06</w:t>
      </w:r>
      <w:r>
        <w:rPr>
          <w:rFonts w:hint="eastAsia" w:ascii="宋体" w:hAnsi="宋体"/>
          <w:color w:val="auto"/>
          <w:szCs w:val="21"/>
          <w:highlight w:val="none"/>
        </w:rPr>
        <w:t xml:space="preserve"> </w:t>
      </w:r>
    </w:p>
    <w:p w14:paraId="149B64D9">
      <w:pPr>
        <w:pStyle w:val="14"/>
        <w:spacing w:line="360" w:lineRule="auto"/>
        <w:ind w:firstLine="630" w:firstLineChars="300"/>
        <w:rPr>
          <w:color w:val="auto"/>
          <w:highlight w:val="none"/>
        </w:rPr>
      </w:pPr>
      <w:r>
        <w:rPr>
          <w:rFonts w:hint="eastAsia" w:ascii="宋体" w:hAnsi="宋体" w:cs="宋体"/>
          <w:color w:val="auto"/>
          <w:szCs w:val="21"/>
          <w:highlight w:val="none"/>
        </w:rPr>
        <w:t>简要规格描述或项目基本概况介绍、用途：</w:t>
      </w:r>
      <w:r>
        <w:rPr>
          <w:color w:val="auto"/>
          <w:highlight w:val="none"/>
        </w:rPr>
        <w:t>建设膜结构跑廊，建筑面积736.45m2。钢柱及钢梁采用Q355B材质H型钢，PVDF刀刮膜顶棚，地面铺设200mm碎石基层+40mm中粒沥青混凝土+30mm细粒沥青混凝土+13mm厚自结纹混合型塑胶地面，砖砌沙坑1座、沉砂井1座、雨水检查井1座，埋设实木成品起跳板7个，以及跑廊防雷接地、水电工程等</w:t>
      </w:r>
      <w:r>
        <w:rPr>
          <w:rFonts w:hint="eastAsia" w:ascii="宋体" w:hAnsi="宋体" w:cs="宋体"/>
          <w:color w:val="auto"/>
          <w:szCs w:val="21"/>
          <w:highlight w:val="none"/>
        </w:rPr>
        <w:t>（具体以采购文件、施工图纸和工程量清单内容为准）。</w:t>
      </w:r>
    </w:p>
    <w:p w14:paraId="4A4880BE">
      <w:pPr>
        <w:spacing w:line="360" w:lineRule="auto"/>
        <w:ind w:firstLine="630" w:firstLineChars="300"/>
        <w:rPr>
          <w:color w:val="auto"/>
          <w:szCs w:val="21"/>
          <w:highlight w:val="none"/>
        </w:rPr>
      </w:pPr>
      <w:r>
        <w:rPr>
          <w:rFonts w:hint="eastAsia" w:ascii="宋体" w:hAnsi="宋体" w:cs="宋体"/>
          <w:color w:val="auto"/>
          <w:szCs w:val="21"/>
          <w:highlight w:val="none"/>
        </w:rPr>
        <w:t>最高限价（万元）：</w:t>
      </w:r>
      <w:r>
        <w:rPr>
          <w:rFonts w:hint="eastAsia"/>
          <w:color w:val="auto"/>
          <w:szCs w:val="21"/>
          <w:highlight w:val="none"/>
        </w:rPr>
        <w:t>113.827906</w:t>
      </w:r>
    </w:p>
    <w:p w14:paraId="05CE5AA5">
      <w:pPr>
        <w:spacing w:line="360" w:lineRule="auto"/>
        <w:ind w:firstLine="630" w:firstLineChars="300"/>
        <w:rPr>
          <w:color w:val="auto"/>
          <w:szCs w:val="21"/>
          <w:highlight w:val="none"/>
          <w:u w:val="single"/>
        </w:rPr>
      </w:pPr>
      <w:r>
        <w:rPr>
          <w:rFonts w:hint="eastAsia"/>
          <w:color w:val="auto"/>
          <w:szCs w:val="21"/>
          <w:highlight w:val="none"/>
        </w:rPr>
        <w:t>合同履行期限：50日历天</w:t>
      </w:r>
    </w:p>
    <w:p w14:paraId="4B5CC833">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本项目（是/否）接受联合体：否。</w:t>
      </w:r>
    </w:p>
    <w:p w14:paraId="24297374">
      <w:pPr>
        <w:spacing w:line="360" w:lineRule="auto"/>
        <w:ind w:firstLine="422" w:firstLineChars="200"/>
        <w:rPr>
          <w:rFonts w:eastAsia="黑体"/>
          <w:bCs/>
          <w:color w:val="auto"/>
          <w:szCs w:val="21"/>
          <w:highlight w:val="none"/>
        </w:rPr>
      </w:pPr>
      <w:r>
        <w:rPr>
          <w:rFonts w:eastAsia="黑体"/>
          <w:b/>
          <w:color w:val="auto"/>
          <w:kern w:val="44"/>
          <w:szCs w:val="21"/>
          <w:highlight w:val="none"/>
        </w:rPr>
        <w:t>二、申请人的资格</w:t>
      </w:r>
      <w:bookmarkEnd w:id="18"/>
      <w:bookmarkEnd w:id="19"/>
      <w:bookmarkEnd w:id="20"/>
      <w:bookmarkEnd w:id="21"/>
      <w:bookmarkEnd w:id="22"/>
      <w:r>
        <w:rPr>
          <w:rFonts w:hint="eastAsia" w:eastAsia="黑体"/>
          <w:b/>
          <w:color w:val="auto"/>
          <w:kern w:val="44"/>
          <w:szCs w:val="21"/>
          <w:highlight w:val="none"/>
        </w:rPr>
        <w:t>要求</w:t>
      </w:r>
    </w:p>
    <w:p w14:paraId="224C7E06">
      <w:pPr>
        <w:spacing w:line="360" w:lineRule="auto"/>
        <w:ind w:firstLine="420" w:firstLineChars="200"/>
        <w:rPr>
          <w:color w:val="auto"/>
          <w:szCs w:val="21"/>
          <w:highlight w:val="none"/>
        </w:rPr>
      </w:pPr>
      <w:r>
        <w:rPr>
          <w:color w:val="auto"/>
          <w:szCs w:val="21"/>
          <w:highlight w:val="none"/>
        </w:rPr>
        <w:t>1.满足《中华人民共和国政府采购法》第二十二条规定；</w:t>
      </w:r>
    </w:p>
    <w:p w14:paraId="400A25BE">
      <w:pPr>
        <w:spacing w:line="360" w:lineRule="auto"/>
        <w:ind w:firstLine="420" w:firstLineChars="200"/>
        <w:rPr>
          <w:color w:val="auto"/>
          <w:szCs w:val="21"/>
          <w:highlight w:val="none"/>
        </w:rPr>
      </w:pPr>
      <w:r>
        <w:rPr>
          <w:color w:val="auto"/>
          <w:szCs w:val="21"/>
          <w:highlight w:val="none"/>
        </w:rPr>
        <w:t>2.落实政府采购政策需满足的资格要求：</w:t>
      </w:r>
      <w:r>
        <w:rPr>
          <w:rFonts w:hint="eastAsia"/>
          <w:color w:val="auto"/>
          <w:highlight w:val="none"/>
        </w:rPr>
        <w:t>无，</w:t>
      </w:r>
      <w:r>
        <w:rPr>
          <w:rFonts w:hint="eastAsia" w:ascii="宋体" w:hAnsi="宋体" w:cs="宋体"/>
          <w:color w:val="auto"/>
          <w:szCs w:val="21"/>
          <w:highlight w:val="none"/>
        </w:rPr>
        <w:t>本项目为非专门面向中小企业采购的项目</w:t>
      </w:r>
      <w:r>
        <w:rPr>
          <w:rFonts w:ascii="仿宋" w:hAnsi="仿宋" w:eastAsia="仿宋" w:cs="仿宋"/>
          <w:color w:val="auto"/>
          <w:sz w:val="27"/>
          <w:szCs w:val="27"/>
          <w:highlight w:val="none"/>
        </w:rPr>
        <w:t>。</w:t>
      </w:r>
    </w:p>
    <w:p w14:paraId="0F7EB1ED">
      <w:pPr>
        <w:spacing w:line="360" w:lineRule="auto"/>
        <w:ind w:firstLine="420" w:firstLineChars="200"/>
        <w:rPr>
          <w:color w:val="auto"/>
          <w:szCs w:val="21"/>
          <w:highlight w:val="none"/>
        </w:rPr>
      </w:pPr>
      <w:r>
        <w:rPr>
          <w:color w:val="auto"/>
          <w:szCs w:val="21"/>
          <w:highlight w:val="none"/>
        </w:rPr>
        <w:t>3.本项目的特定资格要求：</w:t>
      </w:r>
      <w:r>
        <w:rPr>
          <w:rFonts w:hint="eastAsia" w:ascii="宋体" w:hAnsi="宋体" w:cs="宋体"/>
          <w:color w:val="auto"/>
          <w:szCs w:val="21"/>
          <w:highlight w:val="none"/>
        </w:rPr>
        <w:t>具备</w:t>
      </w:r>
      <w:r>
        <w:rPr>
          <w:rFonts w:hint="eastAsia" w:ascii="宋体" w:hAnsi="宋体" w:cs="宋体"/>
          <w:color w:val="auto"/>
          <w:szCs w:val="21"/>
          <w:highlight w:val="none"/>
          <w:u w:val="single"/>
        </w:rPr>
        <w:t>建筑工程施工总承包三级（含）以上</w:t>
      </w:r>
      <w:r>
        <w:rPr>
          <w:rFonts w:hint="eastAsia" w:ascii="宋体" w:hAnsi="宋体" w:cs="宋体"/>
          <w:color w:val="auto"/>
          <w:szCs w:val="21"/>
          <w:highlight w:val="none"/>
        </w:rPr>
        <w:t>资质，具备有效的安全生产许可证，并在人员、设备、资金等方面具备相应的施工能力。其中，供应商拟派项目经理须具备建筑工程专业二级（含）以上注册建造师执业资格，具备有效的安全生产考核合格证书（B类）；本项目不接受有在建、已中标未开工或已列为其他项目中标候选人第一名的建造师作为项目经理（符合《广西壮族自治区建筑市场诚信卡管理暂行办法》第十六条第一款除外）。</w:t>
      </w:r>
    </w:p>
    <w:p w14:paraId="7621716B">
      <w:pPr>
        <w:spacing w:line="360" w:lineRule="auto"/>
        <w:ind w:firstLine="422" w:firstLineChars="200"/>
        <w:rPr>
          <w:rFonts w:eastAsia="黑体"/>
          <w:b/>
          <w:bCs/>
          <w:color w:val="auto"/>
          <w:szCs w:val="21"/>
          <w:highlight w:val="none"/>
        </w:rPr>
      </w:pPr>
      <w:r>
        <w:rPr>
          <w:rFonts w:eastAsia="黑体"/>
          <w:b/>
          <w:bCs/>
          <w:color w:val="auto"/>
          <w:szCs w:val="21"/>
          <w:highlight w:val="none"/>
        </w:rPr>
        <w:t>三、获取采购文件</w:t>
      </w:r>
      <w:bookmarkEnd w:id="14"/>
      <w:bookmarkEnd w:id="15"/>
      <w:bookmarkEnd w:id="16"/>
      <w:bookmarkEnd w:id="17"/>
    </w:p>
    <w:p w14:paraId="1DC5C089">
      <w:pPr>
        <w:spacing w:line="360" w:lineRule="auto"/>
        <w:ind w:firstLine="420" w:firstLineChars="200"/>
        <w:rPr>
          <w:color w:val="auto"/>
          <w:szCs w:val="21"/>
          <w:highlight w:val="none"/>
        </w:rPr>
      </w:pPr>
      <w:bookmarkStart w:id="23" w:name="_Toc35393793"/>
      <w:bookmarkStart w:id="24" w:name="_Toc28359082"/>
      <w:bookmarkStart w:id="25" w:name="_Toc28359005"/>
      <w:bookmarkStart w:id="26" w:name="_Toc35393624"/>
      <w:r>
        <w:rPr>
          <w:color w:val="auto"/>
          <w:szCs w:val="21"/>
          <w:highlight w:val="none"/>
        </w:rPr>
        <w:t>时间：</w:t>
      </w:r>
      <w:r>
        <w:rPr>
          <w:bCs/>
          <w:color w:val="auto"/>
          <w:kern w:val="0"/>
          <w:szCs w:val="21"/>
          <w:highlight w:val="none"/>
          <w:u w:val="single"/>
        </w:rPr>
        <w:t xml:space="preserve"> </w:t>
      </w:r>
      <w:r>
        <w:rPr>
          <w:rFonts w:hint="eastAsia"/>
          <w:bCs/>
          <w:color w:val="auto"/>
          <w:kern w:val="0"/>
          <w:szCs w:val="21"/>
          <w:highlight w:val="none"/>
          <w:u w:val="single"/>
        </w:rPr>
        <w:t>2025</w:t>
      </w:r>
      <w:r>
        <w:rPr>
          <w:bCs/>
          <w:color w:val="auto"/>
          <w:kern w:val="0"/>
          <w:szCs w:val="21"/>
          <w:highlight w:val="none"/>
          <w:u w:val="single"/>
        </w:rPr>
        <w:t xml:space="preserve"> </w:t>
      </w:r>
      <w:r>
        <w:rPr>
          <w:bCs/>
          <w:color w:val="auto"/>
          <w:kern w:val="0"/>
          <w:szCs w:val="21"/>
          <w:highlight w:val="none"/>
        </w:rPr>
        <w:t>年</w:t>
      </w:r>
      <w:r>
        <w:rPr>
          <w:rFonts w:hint="eastAsia"/>
          <w:bCs/>
          <w:color w:val="auto"/>
          <w:kern w:val="0"/>
          <w:szCs w:val="21"/>
          <w:highlight w:val="none"/>
          <w:u w:val="single"/>
          <w:lang w:val="en-US" w:eastAsia="zh-CN"/>
        </w:rPr>
        <w:t>9</w:t>
      </w:r>
      <w:r>
        <w:rPr>
          <w:bCs/>
          <w:color w:val="auto"/>
          <w:kern w:val="0"/>
          <w:szCs w:val="21"/>
          <w:highlight w:val="none"/>
        </w:rPr>
        <w:t>月</w:t>
      </w:r>
      <w:r>
        <w:rPr>
          <w:rFonts w:hint="eastAsia"/>
          <w:bCs/>
          <w:color w:val="auto"/>
          <w:kern w:val="0"/>
          <w:szCs w:val="21"/>
          <w:highlight w:val="none"/>
          <w:u w:val="single"/>
          <w:lang w:val="en-US" w:eastAsia="zh-CN"/>
        </w:rPr>
        <w:t>17</w:t>
      </w:r>
      <w:r>
        <w:rPr>
          <w:bCs/>
          <w:color w:val="auto"/>
          <w:kern w:val="0"/>
          <w:szCs w:val="21"/>
          <w:highlight w:val="none"/>
        </w:rPr>
        <w:t>日至</w:t>
      </w:r>
      <w:r>
        <w:rPr>
          <w:bCs/>
          <w:color w:val="auto"/>
          <w:kern w:val="0"/>
          <w:szCs w:val="21"/>
          <w:highlight w:val="none"/>
          <w:u w:val="single"/>
        </w:rPr>
        <w:t xml:space="preserve"> </w:t>
      </w:r>
      <w:r>
        <w:rPr>
          <w:rFonts w:hint="eastAsia"/>
          <w:bCs/>
          <w:color w:val="auto"/>
          <w:kern w:val="0"/>
          <w:szCs w:val="21"/>
          <w:highlight w:val="none"/>
          <w:u w:val="single"/>
        </w:rPr>
        <w:t>2025</w:t>
      </w:r>
      <w:r>
        <w:rPr>
          <w:bCs/>
          <w:color w:val="auto"/>
          <w:kern w:val="0"/>
          <w:szCs w:val="21"/>
          <w:highlight w:val="none"/>
          <w:u w:val="single"/>
        </w:rPr>
        <w:t xml:space="preserve"> </w:t>
      </w:r>
      <w:r>
        <w:rPr>
          <w:bCs/>
          <w:color w:val="auto"/>
          <w:kern w:val="0"/>
          <w:szCs w:val="21"/>
          <w:highlight w:val="none"/>
        </w:rPr>
        <w:t>年</w:t>
      </w:r>
      <w:r>
        <w:rPr>
          <w:rFonts w:hint="eastAsia"/>
          <w:bCs/>
          <w:color w:val="auto"/>
          <w:kern w:val="0"/>
          <w:szCs w:val="21"/>
          <w:highlight w:val="none"/>
          <w:u w:val="single"/>
          <w:lang w:val="en-US" w:eastAsia="zh-CN"/>
        </w:rPr>
        <w:t>9</w:t>
      </w:r>
      <w:r>
        <w:rPr>
          <w:bCs/>
          <w:color w:val="auto"/>
          <w:kern w:val="0"/>
          <w:szCs w:val="21"/>
          <w:highlight w:val="none"/>
        </w:rPr>
        <w:t>月</w:t>
      </w:r>
      <w:r>
        <w:rPr>
          <w:rFonts w:hint="eastAsia"/>
          <w:bCs/>
          <w:color w:val="auto"/>
          <w:kern w:val="0"/>
          <w:szCs w:val="21"/>
          <w:highlight w:val="none"/>
          <w:u w:val="single"/>
          <w:lang w:val="en-US" w:eastAsia="zh-CN"/>
        </w:rPr>
        <w:t>24</w:t>
      </w:r>
      <w:r>
        <w:rPr>
          <w:bCs/>
          <w:color w:val="auto"/>
          <w:kern w:val="0"/>
          <w:szCs w:val="21"/>
          <w:highlight w:val="none"/>
        </w:rPr>
        <w:t>日，</w:t>
      </w:r>
      <w:r>
        <w:rPr>
          <w:rFonts w:hint="eastAsia" w:ascii="宋体" w:hAnsi="宋体" w:cs="宋体"/>
          <w:color w:val="auto"/>
          <w:szCs w:val="21"/>
          <w:highlight w:val="none"/>
        </w:rPr>
        <w:t>每天上午00:00至11:59，下午12:00至23:59</w:t>
      </w:r>
      <w:r>
        <w:rPr>
          <w:bCs/>
          <w:color w:val="auto"/>
          <w:kern w:val="0"/>
          <w:szCs w:val="21"/>
          <w:highlight w:val="none"/>
        </w:rPr>
        <w:t>（北京时间，法定节假日除外）</w:t>
      </w:r>
      <w:r>
        <w:rPr>
          <w:color w:val="auto"/>
          <w:szCs w:val="21"/>
          <w:highlight w:val="none"/>
        </w:rPr>
        <w:t>。</w:t>
      </w:r>
    </w:p>
    <w:p w14:paraId="264CBD62">
      <w:pPr>
        <w:spacing w:line="360" w:lineRule="auto"/>
        <w:ind w:firstLine="420" w:firstLineChars="200"/>
        <w:rPr>
          <w:color w:val="auto"/>
          <w:szCs w:val="21"/>
          <w:highlight w:val="none"/>
        </w:rPr>
      </w:pPr>
      <w:r>
        <w:rPr>
          <w:bCs/>
          <w:color w:val="auto"/>
          <w:kern w:val="0"/>
          <w:szCs w:val="21"/>
          <w:highlight w:val="none"/>
        </w:rPr>
        <w:t>地点</w:t>
      </w:r>
      <w:r>
        <w:rPr>
          <w:rFonts w:hint="eastAsia"/>
          <w:color w:val="auto"/>
          <w:szCs w:val="21"/>
          <w:highlight w:val="none"/>
        </w:rPr>
        <w:t>（网址）</w:t>
      </w:r>
      <w:r>
        <w:rPr>
          <w:bCs/>
          <w:color w:val="auto"/>
          <w:kern w:val="0"/>
          <w:szCs w:val="21"/>
          <w:highlight w:val="none"/>
        </w:rPr>
        <w:t>：</w:t>
      </w:r>
      <w:r>
        <w:rPr>
          <w:rFonts w:hint="eastAsia"/>
          <w:color w:val="auto"/>
          <w:szCs w:val="21"/>
          <w:highlight w:val="none"/>
        </w:rPr>
        <w:t>广西政府采购云平台（https://www.gcy.zfcg.gxzf.gov.cn/）</w:t>
      </w:r>
      <w:r>
        <w:rPr>
          <w:color w:val="auto"/>
          <w:szCs w:val="21"/>
          <w:highlight w:val="none"/>
        </w:rPr>
        <w:t xml:space="preserve"> </w:t>
      </w:r>
    </w:p>
    <w:p w14:paraId="7EBA1573">
      <w:pPr>
        <w:pStyle w:val="12"/>
        <w:spacing w:line="360" w:lineRule="auto"/>
        <w:rPr>
          <w:b/>
          <w:bCs/>
          <w:color w:val="auto"/>
          <w:szCs w:val="21"/>
          <w:highlight w:val="none"/>
        </w:rPr>
      </w:pPr>
      <w:r>
        <w:rPr>
          <w:color w:val="auto"/>
          <w:szCs w:val="21"/>
          <w:highlight w:val="none"/>
        </w:rPr>
        <w:t>　　方式：网上下载。本项目不发放纸质采购文件</w:t>
      </w:r>
      <w:r>
        <w:rPr>
          <w:rFonts w:hint="eastAsia"/>
          <w:color w:val="auto"/>
          <w:szCs w:val="21"/>
          <w:highlight w:val="none"/>
        </w:rPr>
        <w:t>、工程量清单、图纸。</w:t>
      </w:r>
      <w:r>
        <w:rPr>
          <w:rFonts w:hint="eastAsia" w:ascii="宋体" w:hAnsi="宋体" w:cs="宋体"/>
          <w:color w:val="auto"/>
          <w:szCs w:val="21"/>
          <w:highlight w:val="none"/>
        </w:rPr>
        <w:t>潜在供应商可自行在广西政府采购云平台（https://www.gcy.zfcg.gxzf.gov.cn/）下载采购文件</w:t>
      </w:r>
      <w:r>
        <w:rPr>
          <w:rFonts w:hint="eastAsia"/>
          <w:color w:val="auto"/>
          <w:szCs w:val="21"/>
          <w:highlight w:val="none"/>
        </w:rPr>
        <w:t>、工程量清单、图纸</w:t>
      </w:r>
      <w:r>
        <w:rPr>
          <w:rFonts w:hint="eastAsia" w:ascii="宋体" w:hAnsi="宋体" w:cs="宋体"/>
          <w:color w:val="auto"/>
          <w:szCs w:val="21"/>
          <w:highlight w:val="none"/>
        </w:rPr>
        <w:t>（操作路径：登录广西政府采购云平台-项目采购-获取采购文件-找到本项目-点击“申请获取采购文件”），电子响应文件制作需要基于广西政府采购云平台获取的采购文件编制</w:t>
      </w:r>
      <w:r>
        <w:rPr>
          <w:color w:val="auto"/>
          <w:szCs w:val="21"/>
          <w:highlight w:val="none"/>
        </w:rPr>
        <w:t>。</w:t>
      </w:r>
    </w:p>
    <w:p w14:paraId="6467AF9C">
      <w:pPr>
        <w:snapToGrid w:val="0"/>
        <w:spacing w:line="360" w:lineRule="auto"/>
        <w:ind w:firstLine="420" w:firstLineChars="200"/>
        <w:rPr>
          <w:color w:val="auto"/>
          <w:szCs w:val="21"/>
          <w:highlight w:val="none"/>
        </w:rPr>
      </w:pPr>
      <w:r>
        <w:rPr>
          <w:color w:val="auto"/>
          <w:szCs w:val="21"/>
          <w:highlight w:val="none"/>
        </w:rPr>
        <w:t>售价：人民币0元。</w:t>
      </w:r>
    </w:p>
    <w:p w14:paraId="40BD77B4">
      <w:pPr>
        <w:spacing w:line="360" w:lineRule="auto"/>
        <w:ind w:firstLine="422" w:firstLineChars="200"/>
        <w:rPr>
          <w:rFonts w:eastAsia="黑体"/>
          <w:b/>
          <w:bCs/>
          <w:color w:val="auto"/>
          <w:szCs w:val="21"/>
          <w:highlight w:val="none"/>
        </w:rPr>
      </w:pPr>
      <w:r>
        <w:rPr>
          <w:rFonts w:eastAsia="黑体"/>
          <w:b/>
          <w:bCs/>
          <w:color w:val="auto"/>
          <w:szCs w:val="21"/>
          <w:highlight w:val="none"/>
        </w:rPr>
        <w:t>四、</w:t>
      </w:r>
      <w:bookmarkEnd w:id="23"/>
      <w:bookmarkEnd w:id="24"/>
      <w:bookmarkEnd w:id="25"/>
      <w:bookmarkEnd w:id="26"/>
      <w:r>
        <w:rPr>
          <w:rFonts w:eastAsia="黑体"/>
          <w:b/>
          <w:bCs/>
          <w:color w:val="auto"/>
          <w:szCs w:val="21"/>
          <w:highlight w:val="none"/>
        </w:rPr>
        <w:t>响应文件提交</w:t>
      </w:r>
    </w:p>
    <w:p w14:paraId="07E4D61C">
      <w:pPr>
        <w:spacing w:line="360" w:lineRule="auto"/>
        <w:ind w:firstLine="420" w:firstLineChars="200"/>
        <w:rPr>
          <w:i/>
          <w:iCs/>
          <w:color w:val="auto"/>
          <w:szCs w:val="21"/>
          <w:highlight w:val="none"/>
          <w:u w:val="single"/>
        </w:rPr>
      </w:pPr>
      <w:r>
        <w:rPr>
          <w:color w:val="auto"/>
          <w:szCs w:val="21"/>
          <w:highlight w:val="none"/>
        </w:rPr>
        <w:t>1、截止时间</w:t>
      </w:r>
      <w:r>
        <w:rPr>
          <w:bCs/>
          <w:color w:val="auto"/>
          <w:szCs w:val="21"/>
          <w:highlight w:val="none"/>
        </w:rPr>
        <w:t>：</w:t>
      </w:r>
      <w:bookmarkStart w:id="27" w:name="PO_3000001868_PM015"/>
      <w:r>
        <w:rPr>
          <w:rFonts w:hint="eastAsia"/>
          <w:bCs/>
          <w:color w:val="auto"/>
          <w:kern w:val="0"/>
          <w:szCs w:val="21"/>
          <w:highlight w:val="none"/>
          <w:u w:val="single"/>
        </w:rPr>
        <w:t xml:space="preserve"> </w:t>
      </w:r>
      <w:bookmarkEnd w:id="27"/>
      <w:r>
        <w:rPr>
          <w:rFonts w:hint="eastAsia"/>
          <w:bCs/>
          <w:color w:val="auto"/>
          <w:kern w:val="0"/>
          <w:szCs w:val="21"/>
          <w:highlight w:val="none"/>
          <w:u w:val="single"/>
        </w:rPr>
        <w:t>2025 年</w:t>
      </w:r>
      <w:r>
        <w:rPr>
          <w:rFonts w:hint="eastAsia"/>
          <w:bCs/>
          <w:color w:val="auto"/>
          <w:kern w:val="0"/>
          <w:szCs w:val="21"/>
          <w:highlight w:val="none"/>
          <w:u w:val="single"/>
          <w:lang w:val="en-US" w:eastAsia="zh-CN"/>
        </w:rPr>
        <w:t>9</w:t>
      </w:r>
      <w:r>
        <w:rPr>
          <w:rFonts w:hint="eastAsia"/>
          <w:bCs/>
          <w:color w:val="auto"/>
          <w:kern w:val="0"/>
          <w:szCs w:val="21"/>
          <w:highlight w:val="none"/>
          <w:u w:val="single"/>
        </w:rPr>
        <w:t>月</w:t>
      </w:r>
      <w:r>
        <w:rPr>
          <w:rFonts w:hint="eastAsia"/>
          <w:bCs/>
          <w:color w:val="auto"/>
          <w:kern w:val="0"/>
          <w:szCs w:val="21"/>
          <w:highlight w:val="none"/>
          <w:u w:val="single"/>
          <w:lang w:val="en-US" w:eastAsia="zh-CN"/>
        </w:rPr>
        <w:t>28</w:t>
      </w:r>
      <w:r>
        <w:rPr>
          <w:rFonts w:hint="eastAsia"/>
          <w:bCs/>
          <w:color w:val="auto"/>
          <w:kern w:val="0"/>
          <w:szCs w:val="21"/>
          <w:highlight w:val="none"/>
          <w:u w:val="single"/>
        </w:rPr>
        <w:t>日</w:t>
      </w:r>
      <w:r>
        <w:rPr>
          <w:rFonts w:hint="eastAsia"/>
          <w:bCs/>
          <w:color w:val="auto"/>
          <w:szCs w:val="21"/>
          <w:highlight w:val="none"/>
        </w:rPr>
        <w:t>09时00分</w:t>
      </w:r>
      <w:r>
        <w:rPr>
          <w:bCs/>
          <w:color w:val="auto"/>
          <w:szCs w:val="21"/>
          <w:highlight w:val="none"/>
        </w:rPr>
        <w:t>（北京时间）</w:t>
      </w:r>
    </w:p>
    <w:p w14:paraId="18A0C56B">
      <w:pPr>
        <w:spacing w:line="360" w:lineRule="auto"/>
        <w:ind w:firstLine="420" w:firstLineChars="200"/>
        <w:rPr>
          <w:color w:val="auto"/>
          <w:szCs w:val="21"/>
          <w:highlight w:val="none"/>
        </w:rPr>
      </w:pPr>
      <w:r>
        <w:rPr>
          <w:color w:val="auto"/>
          <w:szCs w:val="21"/>
          <w:highlight w:val="none"/>
        </w:rPr>
        <w:t>2、地点</w:t>
      </w:r>
      <w:r>
        <w:rPr>
          <w:rFonts w:hint="eastAsia"/>
          <w:color w:val="auto"/>
          <w:szCs w:val="21"/>
          <w:highlight w:val="none"/>
        </w:rPr>
        <w:t>（网址）</w:t>
      </w:r>
      <w:r>
        <w:rPr>
          <w:color w:val="auto"/>
          <w:szCs w:val="21"/>
          <w:highlight w:val="none"/>
        </w:rPr>
        <w:t>：</w:t>
      </w:r>
      <w:r>
        <w:rPr>
          <w:rFonts w:hint="eastAsia"/>
          <w:color w:val="auto"/>
          <w:szCs w:val="21"/>
          <w:highlight w:val="none"/>
        </w:rPr>
        <w:t>广西政府采购云平台（https://www.gcy.zfcg.gxzf.gov.cn/）</w:t>
      </w:r>
    </w:p>
    <w:p w14:paraId="39C8EB1B">
      <w:pPr>
        <w:spacing w:line="360" w:lineRule="auto"/>
        <w:ind w:firstLine="422" w:firstLineChars="200"/>
        <w:rPr>
          <w:rFonts w:eastAsia="黑体"/>
          <w:b/>
          <w:bCs/>
          <w:color w:val="auto"/>
          <w:szCs w:val="21"/>
          <w:highlight w:val="none"/>
        </w:rPr>
      </w:pPr>
      <w:r>
        <w:rPr>
          <w:rFonts w:eastAsia="黑体"/>
          <w:b/>
          <w:bCs/>
          <w:color w:val="auto"/>
          <w:szCs w:val="21"/>
          <w:highlight w:val="none"/>
        </w:rPr>
        <w:t>五、开启（首次响应文件开启时间）</w:t>
      </w:r>
    </w:p>
    <w:p w14:paraId="6A5A1DF6">
      <w:pPr>
        <w:spacing w:line="360" w:lineRule="auto"/>
        <w:ind w:firstLine="420" w:firstLineChars="200"/>
        <w:rPr>
          <w:bCs/>
          <w:color w:val="auto"/>
          <w:szCs w:val="21"/>
          <w:highlight w:val="none"/>
          <w:u w:val="single"/>
        </w:rPr>
      </w:pPr>
      <w:r>
        <w:rPr>
          <w:color w:val="auto"/>
          <w:szCs w:val="21"/>
          <w:highlight w:val="none"/>
        </w:rPr>
        <w:t>时间：</w:t>
      </w:r>
      <w:r>
        <w:rPr>
          <w:rFonts w:hint="eastAsia"/>
          <w:bCs/>
          <w:color w:val="auto"/>
          <w:kern w:val="0"/>
          <w:szCs w:val="21"/>
          <w:highlight w:val="none"/>
          <w:u w:val="single"/>
        </w:rPr>
        <w:t xml:space="preserve"> 2025 年</w:t>
      </w:r>
      <w:r>
        <w:rPr>
          <w:rFonts w:hint="eastAsia"/>
          <w:bCs/>
          <w:color w:val="auto"/>
          <w:kern w:val="0"/>
          <w:szCs w:val="21"/>
          <w:highlight w:val="none"/>
          <w:u w:val="single"/>
          <w:lang w:val="en-US" w:eastAsia="zh-CN"/>
        </w:rPr>
        <w:t>9</w:t>
      </w:r>
      <w:r>
        <w:rPr>
          <w:rFonts w:hint="eastAsia"/>
          <w:bCs/>
          <w:color w:val="auto"/>
          <w:kern w:val="0"/>
          <w:szCs w:val="21"/>
          <w:highlight w:val="none"/>
          <w:u w:val="single"/>
        </w:rPr>
        <w:t>月</w:t>
      </w:r>
      <w:r>
        <w:rPr>
          <w:rFonts w:hint="eastAsia"/>
          <w:bCs/>
          <w:color w:val="auto"/>
          <w:kern w:val="0"/>
          <w:szCs w:val="21"/>
          <w:highlight w:val="none"/>
          <w:u w:val="single"/>
          <w:lang w:val="en-US" w:eastAsia="zh-CN"/>
        </w:rPr>
        <w:t>28</w:t>
      </w:r>
      <w:r>
        <w:rPr>
          <w:bCs/>
          <w:color w:val="auto"/>
          <w:kern w:val="0"/>
          <w:szCs w:val="21"/>
          <w:highlight w:val="none"/>
          <w:u w:val="single"/>
        </w:rPr>
        <w:t>日</w:t>
      </w:r>
      <w:r>
        <w:rPr>
          <w:rFonts w:hint="eastAsia"/>
          <w:bCs/>
          <w:color w:val="auto"/>
          <w:szCs w:val="21"/>
          <w:highlight w:val="none"/>
        </w:rPr>
        <w:t>09时00分</w:t>
      </w:r>
      <w:r>
        <w:rPr>
          <w:bCs/>
          <w:color w:val="auto"/>
          <w:szCs w:val="21"/>
          <w:highlight w:val="none"/>
        </w:rPr>
        <w:t>（北京时间）</w:t>
      </w:r>
    </w:p>
    <w:p w14:paraId="46DC4B6E">
      <w:pPr>
        <w:spacing w:line="360" w:lineRule="auto"/>
        <w:ind w:firstLine="420" w:firstLineChars="200"/>
        <w:rPr>
          <w:bCs/>
          <w:color w:val="auto"/>
          <w:szCs w:val="21"/>
          <w:highlight w:val="none"/>
          <w:u w:val="single"/>
        </w:rPr>
      </w:pPr>
      <w:r>
        <w:rPr>
          <w:color w:val="auto"/>
          <w:szCs w:val="21"/>
          <w:highlight w:val="none"/>
        </w:rPr>
        <w:t>地点：</w:t>
      </w:r>
      <w:r>
        <w:rPr>
          <w:rFonts w:hint="eastAsia"/>
          <w:color w:val="auto"/>
          <w:szCs w:val="21"/>
          <w:highlight w:val="none"/>
        </w:rPr>
        <w:t>广西政府采购云平台（https://www.gcy.zfcg.gxzf.gov.cn/）</w:t>
      </w:r>
    </w:p>
    <w:p w14:paraId="6983A397">
      <w:pPr>
        <w:spacing w:line="360" w:lineRule="auto"/>
        <w:ind w:firstLine="422" w:firstLineChars="200"/>
        <w:rPr>
          <w:rFonts w:eastAsia="黑体"/>
          <w:b/>
          <w:bCs/>
          <w:color w:val="auto"/>
          <w:szCs w:val="21"/>
          <w:highlight w:val="none"/>
        </w:rPr>
      </w:pPr>
      <w:bookmarkStart w:id="28" w:name="_Toc28359007"/>
      <w:bookmarkStart w:id="29" w:name="_Toc28359084"/>
      <w:bookmarkStart w:id="30" w:name="_Toc35393794"/>
      <w:bookmarkStart w:id="31" w:name="_Toc35393625"/>
      <w:r>
        <w:rPr>
          <w:rFonts w:eastAsia="黑体"/>
          <w:b/>
          <w:bCs/>
          <w:color w:val="auto"/>
          <w:szCs w:val="21"/>
          <w:highlight w:val="none"/>
        </w:rPr>
        <w:t>六、公告期限</w:t>
      </w:r>
      <w:bookmarkEnd w:id="28"/>
      <w:bookmarkEnd w:id="29"/>
      <w:bookmarkEnd w:id="30"/>
      <w:bookmarkEnd w:id="31"/>
    </w:p>
    <w:p w14:paraId="415A8668">
      <w:pPr>
        <w:spacing w:line="360" w:lineRule="auto"/>
        <w:ind w:firstLine="420" w:firstLineChars="200"/>
        <w:rPr>
          <w:color w:val="auto"/>
          <w:kern w:val="0"/>
          <w:szCs w:val="21"/>
          <w:highlight w:val="none"/>
        </w:rPr>
      </w:pPr>
      <w:r>
        <w:rPr>
          <w:color w:val="auto"/>
          <w:kern w:val="0"/>
          <w:szCs w:val="21"/>
          <w:highlight w:val="none"/>
        </w:rPr>
        <w:t>自本公告发布之日起</w:t>
      </w:r>
      <w:r>
        <w:rPr>
          <w:rFonts w:hint="eastAsia"/>
          <w:color w:val="auto"/>
          <w:kern w:val="0"/>
          <w:szCs w:val="21"/>
          <w:highlight w:val="none"/>
        </w:rPr>
        <w:t>5</w:t>
      </w:r>
      <w:r>
        <w:rPr>
          <w:color w:val="auto"/>
          <w:kern w:val="0"/>
          <w:szCs w:val="21"/>
          <w:highlight w:val="none"/>
        </w:rPr>
        <w:t>个工作日。</w:t>
      </w:r>
    </w:p>
    <w:p w14:paraId="6EEC25A4">
      <w:pPr>
        <w:spacing w:line="360" w:lineRule="auto"/>
        <w:ind w:firstLine="422" w:firstLineChars="200"/>
        <w:rPr>
          <w:rFonts w:eastAsia="黑体"/>
          <w:b/>
          <w:bCs/>
          <w:color w:val="auto"/>
          <w:szCs w:val="21"/>
          <w:highlight w:val="none"/>
        </w:rPr>
      </w:pPr>
      <w:bookmarkStart w:id="32" w:name="_Toc35393626"/>
      <w:bookmarkStart w:id="33" w:name="_Toc35393795"/>
      <w:r>
        <w:rPr>
          <w:rFonts w:eastAsia="黑体"/>
          <w:b/>
          <w:bCs/>
          <w:color w:val="auto"/>
          <w:szCs w:val="21"/>
          <w:highlight w:val="none"/>
        </w:rPr>
        <w:t>七、其他补充事宜</w:t>
      </w:r>
      <w:bookmarkEnd w:id="32"/>
      <w:bookmarkEnd w:id="33"/>
    </w:p>
    <w:p w14:paraId="10230803">
      <w:pPr>
        <w:spacing w:line="360" w:lineRule="auto"/>
        <w:ind w:firstLine="420" w:firstLineChars="200"/>
        <w:rPr>
          <w:color w:val="auto"/>
          <w:kern w:val="0"/>
          <w:szCs w:val="21"/>
          <w:highlight w:val="none"/>
        </w:rPr>
      </w:pPr>
      <w:bookmarkStart w:id="34" w:name="_Hlk37429585"/>
      <w:r>
        <w:rPr>
          <w:color w:val="auto"/>
          <w:kern w:val="0"/>
          <w:szCs w:val="21"/>
          <w:highlight w:val="none"/>
        </w:rPr>
        <w:t>1.磋商保证金：</w:t>
      </w:r>
    </w:p>
    <w:p w14:paraId="5AEFC86F">
      <w:pPr>
        <w:spacing w:line="360" w:lineRule="auto"/>
        <w:ind w:firstLine="422" w:firstLineChars="200"/>
        <w:rPr>
          <w:b/>
          <w:bCs/>
          <w:color w:val="auto"/>
          <w:szCs w:val="21"/>
          <w:highlight w:val="none"/>
        </w:rPr>
      </w:pPr>
      <w:r>
        <w:rPr>
          <w:rFonts w:hint="eastAsia" w:ascii="宋体" w:hAnsi="宋体" w:cs="宋体"/>
          <w:b/>
          <w:bCs/>
          <w:color w:val="auto"/>
          <w:szCs w:val="21"/>
          <w:highlight w:val="none"/>
        </w:rPr>
        <w:t xml:space="preserve">☑ </w:t>
      </w:r>
      <w:r>
        <w:rPr>
          <w:b/>
          <w:bCs/>
          <w:color w:val="auto"/>
          <w:szCs w:val="21"/>
          <w:highlight w:val="none"/>
        </w:rPr>
        <w:t>本项目需要缴</w:t>
      </w:r>
      <w:r>
        <w:rPr>
          <w:b/>
          <w:bCs/>
          <w:color w:val="auto"/>
          <w:kern w:val="0"/>
          <w:szCs w:val="21"/>
          <w:highlight w:val="none"/>
        </w:rPr>
        <w:t>纳</w:t>
      </w:r>
      <w:r>
        <w:rPr>
          <w:b/>
          <w:bCs/>
          <w:color w:val="auto"/>
          <w:szCs w:val="21"/>
          <w:highlight w:val="none"/>
        </w:rPr>
        <w:t>磋商保证金，相关要求：</w:t>
      </w:r>
    </w:p>
    <w:p w14:paraId="67440750">
      <w:pPr>
        <w:spacing w:line="360" w:lineRule="auto"/>
        <w:ind w:firstLine="420" w:firstLineChars="200"/>
        <w:rPr>
          <w:color w:val="auto"/>
          <w:kern w:val="0"/>
          <w:szCs w:val="21"/>
          <w:highlight w:val="none"/>
        </w:rPr>
      </w:pPr>
      <w:r>
        <w:rPr>
          <w:color w:val="auto"/>
          <w:kern w:val="0"/>
          <w:szCs w:val="21"/>
          <w:highlight w:val="none"/>
        </w:rPr>
        <w:t>磋商保证金金额：</w:t>
      </w:r>
      <w:r>
        <w:rPr>
          <w:color w:val="auto"/>
          <w:szCs w:val="21"/>
          <w:highlight w:val="none"/>
        </w:rPr>
        <w:t>（大写）</w:t>
      </w:r>
      <w:r>
        <w:rPr>
          <w:color w:val="auto"/>
          <w:szCs w:val="21"/>
          <w:highlight w:val="none"/>
          <w:u w:val="single"/>
        </w:rPr>
        <w:t>人民币</w:t>
      </w:r>
      <w:r>
        <w:rPr>
          <w:rFonts w:hint="eastAsia"/>
          <w:color w:val="auto"/>
          <w:szCs w:val="21"/>
          <w:highlight w:val="none"/>
          <w:u w:val="single"/>
        </w:rPr>
        <w:t>壹万元整</w:t>
      </w:r>
      <w:r>
        <w:rPr>
          <w:color w:val="auto"/>
          <w:szCs w:val="21"/>
          <w:highlight w:val="none"/>
        </w:rPr>
        <w:t>（小写）¥</w:t>
      </w:r>
      <w:r>
        <w:rPr>
          <w:rFonts w:hint="eastAsia"/>
          <w:color w:val="auto"/>
          <w:szCs w:val="21"/>
          <w:highlight w:val="none"/>
          <w:u w:val="single"/>
        </w:rPr>
        <w:t>10000.00</w:t>
      </w:r>
      <w:r>
        <w:rPr>
          <w:color w:val="auto"/>
          <w:szCs w:val="21"/>
          <w:highlight w:val="none"/>
          <w:u w:val="single"/>
        </w:rPr>
        <w:t xml:space="preserve"> </w:t>
      </w:r>
      <w:r>
        <w:rPr>
          <w:color w:val="auto"/>
          <w:kern w:val="0"/>
          <w:szCs w:val="21"/>
          <w:highlight w:val="none"/>
        </w:rPr>
        <w:t>。</w:t>
      </w:r>
    </w:p>
    <w:p w14:paraId="26E432F2">
      <w:pPr>
        <w:spacing w:line="360" w:lineRule="auto"/>
        <w:ind w:firstLine="420" w:firstLineChars="200"/>
        <w:rPr>
          <w:color w:val="auto"/>
          <w:kern w:val="0"/>
          <w:szCs w:val="21"/>
          <w:highlight w:val="none"/>
        </w:rPr>
      </w:pPr>
      <w:r>
        <w:rPr>
          <w:color w:val="auto"/>
          <w:kern w:val="0"/>
          <w:szCs w:val="21"/>
          <w:highlight w:val="none"/>
        </w:rPr>
        <w:t>磋商保证金的</w:t>
      </w:r>
      <w:r>
        <w:rPr>
          <w:color w:val="auto"/>
          <w:szCs w:val="21"/>
          <w:highlight w:val="none"/>
        </w:rPr>
        <w:t>缴</w:t>
      </w:r>
      <w:r>
        <w:rPr>
          <w:color w:val="auto"/>
          <w:kern w:val="0"/>
          <w:szCs w:val="21"/>
          <w:highlight w:val="none"/>
        </w:rPr>
        <w:t>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0B734C5F">
      <w:pPr>
        <w:spacing w:line="360" w:lineRule="auto"/>
        <w:ind w:firstLine="420" w:firstLineChars="200"/>
        <w:rPr>
          <w:color w:val="auto"/>
          <w:kern w:val="0"/>
          <w:szCs w:val="21"/>
          <w:highlight w:val="none"/>
        </w:rPr>
      </w:pPr>
      <w:r>
        <w:rPr>
          <w:color w:val="auto"/>
          <w:kern w:val="0"/>
          <w:szCs w:val="21"/>
          <w:highlight w:val="none"/>
        </w:rPr>
        <w:t>开户银行：</w:t>
      </w:r>
      <w:r>
        <w:rPr>
          <w:rFonts w:hint="eastAsia" w:ascii="宋体" w:hAnsi="宋体" w:cs="宋体"/>
          <w:bCs/>
          <w:color w:val="auto"/>
          <w:szCs w:val="21"/>
          <w:highlight w:val="none"/>
        </w:rPr>
        <w:t>招商银行南宁金浦路支行</w:t>
      </w:r>
    </w:p>
    <w:p w14:paraId="6A1F4393">
      <w:pPr>
        <w:spacing w:line="360" w:lineRule="auto"/>
        <w:ind w:firstLine="420" w:firstLineChars="200"/>
        <w:rPr>
          <w:color w:val="auto"/>
          <w:kern w:val="0"/>
          <w:szCs w:val="21"/>
          <w:highlight w:val="none"/>
        </w:rPr>
      </w:pPr>
      <w:r>
        <w:rPr>
          <w:color w:val="auto"/>
          <w:kern w:val="0"/>
          <w:szCs w:val="21"/>
          <w:highlight w:val="none"/>
        </w:rPr>
        <w:t>开户名称：广西科联招标中心有限公司</w:t>
      </w:r>
    </w:p>
    <w:p w14:paraId="256D321D">
      <w:pPr>
        <w:spacing w:line="360" w:lineRule="auto"/>
        <w:ind w:firstLine="420" w:firstLineChars="200"/>
        <w:rPr>
          <w:color w:val="auto"/>
          <w:kern w:val="0"/>
          <w:szCs w:val="21"/>
          <w:highlight w:val="none"/>
        </w:rPr>
      </w:pPr>
      <w:r>
        <w:rPr>
          <w:rFonts w:hint="eastAsia"/>
          <w:color w:val="auto"/>
          <w:kern w:val="0"/>
          <w:szCs w:val="21"/>
          <w:highlight w:val="none"/>
        </w:rPr>
        <w:t>银行账号：</w:t>
      </w:r>
      <w:r>
        <w:rPr>
          <w:color w:val="auto"/>
          <w:kern w:val="0"/>
          <w:szCs w:val="21"/>
          <w:highlight w:val="none"/>
        </w:rPr>
        <w:t>771901196910333</w:t>
      </w:r>
      <w:r>
        <w:rPr>
          <w:rFonts w:hint="eastAsia"/>
          <w:color w:val="auto"/>
          <w:kern w:val="0"/>
          <w:szCs w:val="21"/>
          <w:highlight w:val="none"/>
        </w:rPr>
        <w:t>3000007751</w:t>
      </w:r>
    </w:p>
    <w:p w14:paraId="2AD34868">
      <w:pPr>
        <w:pStyle w:val="8"/>
        <w:rPr>
          <w:color w:val="auto"/>
          <w:highlight w:val="none"/>
        </w:rPr>
      </w:pPr>
    </w:p>
    <w:p w14:paraId="0170ED9D">
      <w:pPr>
        <w:spacing w:line="360" w:lineRule="auto"/>
        <w:ind w:firstLine="420" w:firstLineChars="200"/>
        <w:rPr>
          <w:color w:val="auto"/>
          <w:kern w:val="0"/>
          <w:szCs w:val="21"/>
          <w:highlight w:val="none"/>
        </w:rPr>
      </w:pPr>
      <w:r>
        <w:rPr>
          <w:color w:val="auto"/>
          <w:kern w:val="0"/>
          <w:szCs w:val="21"/>
          <w:highlight w:val="none"/>
        </w:rPr>
        <w:t>采用支票、汇票、本票或者保函等方式的，在首次响应文件提交截止时间前，供应商必须提交单独密封的支票、汇票、本票或者保函</w:t>
      </w:r>
      <w:r>
        <w:rPr>
          <w:rFonts w:hint="eastAsia" w:ascii="宋体" w:hAnsi="宋体" w:cs="宋体"/>
          <w:color w:val="auto"/>
          <w:kern w:val="0"/>
          <w:szCs w:val="21"/>
          <w:highlight w:val="none"/>
        </w:rPr>
        <w:t>（电子保函除外）</w:t>
      </w:r>
      <w:r>
        <w:rPr>
          <w:color w:val="auto"/>
          <w:kern w:val="0"/>
          <w:szCs w:val="21"/>
          <w:highlight w:val="none"/>
        </w:rPr>
        <w:t>等原件给采购代理机构。</w:t>
      </w:r>
      <w:r>
        <w:rPr>
          <w:b/>
          <w:bCs/>
          <w:color w:val="auto"/>
          <w:kern w:val="0"/>
          <w:szCs w:val="21"/>
          <w:highlight w:val="none"/>
        </w:rPr>
        <w:t>否则视为无效磋商保证金。</w:t>
      </w:r>
    </w:p>
    <w:p w14:paraId="0773B161">
      <w:pPr>
        <w:spacing w:line="360" w:lineRule="auto"/>
        <w:ind w:firstLine="420" w:firstLineChars="200"/>
        <w:rPr>
          <w:color w:val="auto"/>
          <w:kern w:val="0"/>
          <w:szCs w:val="21"/>
          <w:highlight w:val="none"/>
        </w:rPr>
      </w:pPr>
      <w:r>
        <w:rPr>
          <w:color w:val="auto"/>
          <w:kern w:val="0"/>
          <w:szCs w:val="21"/>
          <w:highlight w:val="none"/>
        </w:rPr>
        <w:t>2.</w:t>
      </w:r>
      <w:bookmarkStart w:id="35" w:name="_Hlk37429595"/>
      <w:r>
        <w:rPr>
          <w:color w:val="auto"/>
          <w:kern w:val="0"/>
          <w:szCs w:val="21"/>
          <w:highlight w:val="none"/>
        </w:rPr>
        <w:t>网上查询地址</w:t>
      </w:r>
    </w:p>
    <w:bookmarkEnd w:id="34"/>
    <w:bookmarkEnd w:id="35"/>
    <w:p w14:paraId="71FC041E">
      <w:pPr>
        <w:spacing w:line="360" w:lineRule="auto"/>
        <w:ind w:firstLine="420" w:firstLineChars="200"/>
        <w:rPr>
          <w:color w:val="auto"/>
          <w:kern w:val="0"/>
          <w:szCs w:val="21"/>
          <w:highlight w:val="none"/>
        </w:rPr>
      </w:pPr>
      <w:bookmarkStart w:id="36" w:name="_Hlk37429674"/>
      <w:r>
        <w:rPr>
          <w:color w:val="auto"/>
          <w:kern w:val="0"/>
          <w:szCs w:val="21"/>
          <w:highlight w:val="none"/>
        </w:rPr>
        <w:t>（中国政府采购网）http://www.ccgp.gov.cn/、(中国政府采购网广西分网)http://www.ccgp-guangxi.gov.cn/。</w:t>
      </w:r>
    </w:p>
    <w:p w14:paraId="64FA02BD">
      <w:pPr>
        <w:spacing w:line="360" w:lineRule="auto"/>
        <w:ind w:firstLine="420" w:firstLineChars="200"/>
        <w:rPr>
          <w:color w:val="auto"/>
          <w:kern w:val="0"/>
          <w:szCs w:val="21"/>
          <w:highlight w:val="none"/>
        </w:rPr>
      </w:pPr>
      <w:r>
        <w:rPr>
          <w:color w:val="auto"/>
          <w:kern w:val="0"/>
          <w:szCs w:val="21"/>
          <w:highlight w:val="none"/>
        </w:rPr>
        <w:t>3</w:t>
      </w:r>
      <w:r>
        <w:rPr>
          <w:color w:val="auto"/>
          <w:szCs w:val="21"/>
          <w:highlight w:val="none"/>
        </w:rPr>
        <w:t xml:space="preserve">. </w:t>
      </w:r>
      <w:r>
        <w:rPr>
          <w:color w:val="auto"/>
          <w:kern w:val="0"/>
          <w:szCs w:val="21"/>
          <w:highlight w:val="none"/>
        </w:rPr>
        <w:t>本项目需要落实的政府采购政策</w:t>
      </w:r>
    </w:p>
    <w:p w14:paraId="666EE1D7">
      <w:pPr>
        <w:spacing w:line="360" w:lineRule="auto"/>
        <w:ind w:firstLine="420" w:firstLineChars="200"/>
        <w:rPr>
          <w:color w:val="auto"/>
          <w:kern w:val="0"/>
          <w:szCs w:val="21"/>
          <w:highlight w:val="none"/>
        </w:rPr>
      </w:pPr>
      <w:r>
        <w:rPr>
          <w:color w:val="auto"/>
          <w:kern w:val="0"/>
          <w:szCs w:val="21"/>
          <w:highlight w:val="none"/>
        </w:rPr>
        <w:t>（1）政府采购促进中小企业发展。</w:t>
      </w:r>
    </w:p>
    <w:p w14:paraId="130F8C19">
      <w:pPr>
        <w:spacing w:line="360" w:lineRule="auto"/>
        <w:ind w:firstLine="420" w:firstLineChars="200"/>
        <w:rPr>
          <w:color w:val="auto"/>
          <w:kern w:val="0"/>
          <w:szCs w:val="21"/>
          <w:highlight w:val="none"/>
        </w:rPr>
      </w:pPr>
      <w:r>
        <w:rPr>
          <w:color w:val="auto"/>
          <w:kern w:val="0"/>
          <w:szCs w:val="21"/>
          <w:highlight w:val="none"/>
        </w:rPr>
        <w:t>（2）政府采购支持采用本国产品的政策。</w:t>
      </w:r>
    </w:p>
    <w:p w14:paraId="32073BFD">
      <w:pPr>
        <w:spacing w:line="360" w:lineRule="auto"/>
        <w:ind w:firstLine="420" w:firstLineChars="200"/>
        <w:rPr>
          <w:color w:val="auto"/>
          <w:kern w:val="0"/>
          <w:szCs w:val="21"/>
          <w:highlight w:val="none"/>
        </w:rPr>
      </w:pPr>
      <w:r>
        <w:rPr>
          <w:color w:val="auto"/>
          <w:kern w:val="0"/>
          <w:szCs w:val="21"/>
          <w:highlight w:val="none"/>
        </w:rPr>
        <w:t>（3）强制采购节能产品；优先采购节能产品、环境标志产品。</w:t>
      </w:r>
    </w:p>
    <w:p w14:paraId="186E2AC7">
      <w:pPr>
        <w:spacing w:line="360" w:lineRule="auto"/>
        <w:ind w:firstLine="420" w:firstLineChars="200"/>
        <w:rPr>
          <w:color w:val="auto"/>
          <w:kern w:val="0"/>
          <w:szCs w:val="21"/>
          <w:highlight w:val="none"/>
        </w:rPr>
      </w:pPr>
      <w:r>
        <w:rPr>
          <w:color w:val="auto"/>
          <w:kern w:val="0"/>
          <w:szCs w:val="21"/>
          <w:highlight w:val="none"/>
        </w:rPr>
        <w:t>（4）政府采购促进残疾人就业政策。</w:t>
      </w:r>
    </w:p>
    <w:p w14:paraId="71802355">
      <w:pPr>
        <w:spacing w:line="360" w:lineRule="auto"/>
        <w:ind w:firstLine="420" w:firstLineChars="200"/>
        <w:rPr>
          <w:color w:val="auto"/>
          <w:kern w:val="0"/>
          <w:szCs w:val="21"/>
          <w:highlight w:val="none"/>
        </w:rPr>
      </w:pPr>
      <w:r>
        <w:rPr>
          <w:color w:val="auto"/>
          <w:kern w:val="0"/>
          <w:szCs w:val="21"/>
          <w:highlight w:val="none"/>
        </w:rPr>
        <w:t>（5）政府采购支持监狱企业发展。</w:t>
      </w:r>
      <w:bookmarkEnd w:id="36"/>
    </w:p>
    <w:p w14:paraId="5472A637">
      <w:pPr>
        <w:snapToGrid w:val="0"/>
        <w:spacing w:line="360" w:lineRule="auto"/>
        <w:ind w:firstLine="420" w:firstLineChars="200"/>
        <w:jc w:val="left"/>
        <w:rPr>
          <w:color w:val="auto"/>
          <w:szCs w:val="21"/>
          <w:highlight w:val="none"/>
        </w:rPr>
      </w:pPr>
      <w:r>
        <w:rPr>
          <w:color w:val="auto"/>
          <w:kern w:val="0"/>
          <w:szCs w:val="21"/>
          <w:highlight w:val="none"/>
        </w:rPr>
        <w:t>4.</w:t>
      </w:r>
      <w:r>
        <w:rPr>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50BB171">
      <w:pPr>
        <w:snapToGrid w:val="0"/>
        <w:spacing w:line="360" w:lineRule="auto"/>
        <w:ind w:firstLine="420" w:firstLineChars="200"/>
        <w:jc w:val="left"/>
        <w:rPr>
          <w:color w:val="auto"/>
          <w:kern w:val="0"/>
          <w:szCs w:val="21"/>
          <w:highlight w:val="none"/>
        </w:rPr>
      </w:pPr>
      <w:r>
        <w:rPr>
          <w:color w:val="auto"/>
          <w:kern w:val="0"/>
          <w:szCs w:val="21"/>
          <w:highlight w:val="none"/>
        </w:rPr>
        <w:t>5.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863B7AE">
      <w:pPr>
        <w:spacing w:line="360" w:lineRule="auto"/>
        <w:ind w:firstLine="422" w:firstLineChars="200"/>
        <w:rPr>
          <w:color w:val="auto"/>
          <w:kern w:val="0"/>
          <w:szCs w:val="21"/>
          <w:highlight w:val="none"/>
        </w:rPr>
      </w:pPr>
      <w:r>
        <w:rPr>
          <w:b/>
          <w:bCs/>
          <w:color w:val="auto"/>
          <w:kern w:val="0"/>
          <w:szCs w:val="21"/>
          <w:highlight w:val="none"/>
        </w:rPr>
        <w:t>6.</w:t>
      </w:r>
      <w:r>
        <w:rPr>
          <w:b/>
          <w:bCs/>
          <w:color w:val="auto"/>
          <w:szCs w:val="21"/>
          <w:highlight w:val="none"/>
        </w:rPr>
        <w:t>在线竞标的有关说明</w:t>
      </w:r>
      <w:r>
        <w:rPr>
          <w:b/>
          <w:bCs/>
          <w:color w:val="auto"/>
          <w:kern w:val="0"/>
          <w:szCs w:val="21"/>
          <w:highlight w:val="none"/>
        </w:rPr>
        <w:t>：</w:t>
      </w:r>
    </w:p>
    <w:p w14:paraId="2F1099A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w:t>
      </w:r>
      <w:r>
        <w:rPr>
          <w:rFonts w:hint="eastAsia" w:ascii="宋体" w:hAnsi="宋体" w:cs="宋体"/>
          <w:b/>
          <w:color w:val="auto"/>
          <w:szCs w:val="21"/>
          <w:highlight w:val="none"/>
        </w:rPr>
        <w:t>供应商在广西政府采购云平台提交电子版响应文件时，请填写参加远程开标活动经办人联系方式</w:t>
      </w:r>
      <w:r>
        <w:rPr>
          <w:rFonts w:hint="eastAsia" w:ascii="宋体" w:hAnsi="宋体" w:cs="宋体"/>
          <w:color w:val="auto"/>
          <w:szCs w:val="21"/>
          <w:highlight w:val="none"/>
        </w:rPr>
        <w:t>。</w:t>
      </w:r>
    </w:p>
    <w:p w14:paraId="6EFDAB9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14:paraId="020DAB61">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17A62174">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（4）CA证书在线解密：首次响应文件开启时，需要供应商携带制作响应文件时用来加密的有效数字证书（CA认证）登录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电子开标大厅现场按规定时间对加密的响应文件进行解密。</w:t>
      </w:r>
    </w:p>
    <w:p w14:paraId="4229DE82">
      <w:pPr>
        <w:spacing w:line="360" w:lineRule="auto"/>
        <w:ind w:firstLine="420" w:firstLineChars="200"/>
        <w:rPr>
          <w:rFonts w:ascii="宋体" w:hAnsi="宋体" w:cs="宋体"/>
          <w:color w:val="auto"/>
          <w:highlight w:val="none"/>
        </w:rPr>
      </w:pPr>
      <w:r>
        <w:rPr>
          <w:rFonts w:hint="eastAsia" w:ascii="宋体" w:hAnsi="宋体" w:cs="宋体"/>
          <w:color w:val="auto"/>
          <w:kern w:val="0"/>
          <w:szCs w:val="21"/>
          <w:highlight w:val="none"/>
        </w:rPr>
        <w:t>（5）供应商需要在具备有摄像头及语音功能且互联网网络状况良好的电脑登录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远程开标大厅参与本次磋商，否则后果自负。</w:t>
      </w:r>
    </w:p>
    <w:p w14:paraId="6AA8BCD8">
      <w:pPr>
        <w:spacing w:line="360" w:lineRule="auto"/>
        <w:ind w:firstLine="420" w:firstLineChars="200"/>
        <w:rPr>
          <w:color w:val="auto"/>
          <w:kern w:val="0"/>
          <w:szCs w:val="21"/>
          <w:highlight w:val="none"/>
        </w:rPr>
      </w:pPr>
      <w:r>
        <w:rPr>
          <w:rFonts w:hint="eastAsia" w:ascii="宋体" w:hAnsi="宋体" w:cs="宋体"/>
          <w:color w:val="auto"/>
          <w:kern w:val="0"/>
          <w:szCs w:val="21"/>
          <w:highlight w:val="none"/>
        </w:rPr>
        <w:t>7. 若对项目采购电子交易系统操作有疑问，可登录</w:t>
      </w:r>
      <w:r>
        <w:rPr>
          <w:rFonts w:hint="eastAsia" w:ascii="宋体" w:hAnsi="宋体" w:cs="宋体"/>
          <w:color w:val="auto"/>
          <w:szCs w:val="21"/>
          <w:highlight w:val="none"/>
        </w:rPr>
        <w:t>广西政府采购云平台（https://www.gcy.zfcg.gxzf.gov.cn/）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 xml:space="preserve">服务热线95763获取热线服务帮助。 </w:t>
      </w:r>
    </w:p>
    <w:p w14:paraId="692D9B01">
      <w:pPr>
        <w:spacing w:line="360" w:lineRule="auto"/>
        <w:ind w:firstLine="422" w:firstLineChars="200"/>
        <w:rPr>
          <w:rFonts w:eastAsia="黑体"/>
          <w:bCs/>
          <w:color w:val="auto"/>
          <w:szCs w:val="21"/>
          <w:highlight w:val="none"/>
        </w:rPr>
      </w:pPr>
      <w:r>
        <w:rPr>
          <w:rFonts w:eastAsia="黑体"/>
          <w:b/>
          <w:color w:val="auto"/>
          <w:kern w:val="44"/>
          <w:szCs w:val="21"/>
          <w:highlight w:val="none"/>
        </w:rPr>
        <w:t>八、凡对本次采购提出询问，请按以下方式联系。</w:t>
      </w:r>
    </w:p>
    <w:p w14:paraId="47E6D37E">
      <w:pPr>
        <w:spacing w:line="360" w:lineRule="auto"/>
        <w:ind w:firstLine="735" w:firstLineChars="350"/>
        <w:jc w:val="left"/>
        <w:rPr>
          <w:color w:val="auto"/>
          <w:szCs w:val="21"/>
          <w:highlight w:val="none"/>
        </w:rPr>
      </w:pPr>
      <w:r>
        <w:rPr>
          <w:color w:val="auto"/>
          <w:szCs w:val="21"/>
          <w:highlight w:val="none"/>
        </w:rPr>
        <w:t>1.采购人信息</w:t>
      </w:r>
    </w:p>
    <w:p w14:paraId="08F02BC0">
      <w:pPr>
        <w:spacing w:line="360" w:lineRule="auto"/>
        <w:ind w:left="1041" w:leftChars="371" w:hanging="262" w:hangingChars="125"/>
        <w:jc w:val="left"/>
        <w:rPr>
          <w:color w:val="auto"/>
          <w:szCs w:val="21"/>
          <w:highlight w:val="none"/>
        </w:rPr>
      </w:pPr>
      <w:r>
        <w:rPr>
          <w:color w:val="auto"/>
          <w:szCs w:val="21"/>
          <w:highlight w:val="none"/>
        </w:rPr>
        <w:t xml:space="preserve">名  </w:t>
      </w:r>
      <w:r>
        <w:rPr>
          <w:rFonts w:hint="eastAsia"/>
          <w:color w:val="auto"/>
          <w:szCs w:val="21"/>
          <w:highlight w:val="none"/>
        </w:rPr>
        <w:t xml:space="preserve"> </w:t>
      </w:r>
      <w:r>
        <w:rPr>
          <w:color w:val="auto"/>
          <w:szCs w:val="21"/>
          <w:highlight w:val="none"/>
        </w:rPr>
        <w:t>称：</w:t>
      </w:r>
      <w:r>
        <w:rPr>
          <w:rFonts w:hint="eastAsia"/>
          <w:color w:val="auto"/>
          <w:szCs w:val="21"/>
          <w:highlight w:val="none"/>
        </w:rPr>
        <w:t xml:space="preserve">广西民族大学 </w:t>
      </w:r>
    </w:p>
    <w:p w14:paraId="1C57A168">
      <w:pPr>
        <w:spacing w:line="360" w:lineRule="auto"/>
        <w:ind w:left="1041" w:leftChars="371" w:hanging="262" w:hangingChars="125"/>
        <w:jc w:val="left"/>
        <w:rPr>
          <w:color w:val="auto"/>
          <w:szCs w:val="21"/>
          <w:highlight w:val="none"/>
        </w:rPr>
      </w:pPr>
      <w:r>
        <w:rPr>
          <w:rFonts w:hint="eastAsia" w:ascii="宋体" w:hAnsi="宋体" w:cs="宋体"/>
          <w:color w:val="auto"/>
          <w:szCs w:val="21"/>
          <w:highlight w:val="none"/>
        </w:rPr>
        <w:t>地   址：</w:t>
      </w:r>
      <w:bookmarkStart w:id="37" w:name="EB3d41339109314122a04a60151a72504b"/>
      <w:r>
        <w:rPr>
          <w:rFonts w:hint="eastAsia"/>
          <w:color w:val="auto"/>
          <w:szCs w:val="21"/>
          <w:highlight w:val="none"/>
        </w:rPr>
        <w:t>广西南宁市大学东路188号</w:t>
      </w:r>
      <w:bookmarkEnd w:id="37"/>
    </w:p>
    <w:p w14:paraId="5D067A11">
      <w:pPr>
        <w:spacing w:line="360" w:lineRule="auto"/>
        <w:ind w:left="1041" w:leftChars="371" w:hanging="262" w:hangingChars="125"/>
        <w:jc w:val="left"/>
        <w:rPr>
          <w:color w:val="auto"/>
          <w:szCs w:val="21"/>
          <w:highlight w:val="none"/>
        </w:rPr>
      </w:pPr>
      <w:r>
        <w:rPr>
          <w:rFonts w:hint="eastAsia"/>
          <w:color w:val="auto"/>
          <w:szCs w:val="21"/>
          <w:highlight w:val="none"/>
        </w:rPr>
        <w:t>项目联系人：杨秋霞 </w:t>
      </w:r>
    </w:p>
    <w:p w14:paraId="17D96F41">
      <w:pPr>
        <w:spacing w:line="360" w:lineRule="auto"/>
        <w:ind w:left="1041" w:leftChars="371" w:hanging="262" w:hangingChars="125"/>
        <w:jc w:val="left"/>
        <w:rPr>
          <w:color w:val="auto"/>
          <w:szCs w:val="21"/>
          <w:highlight w:val="none"/>
        </w:rPr>
      </w:pPr>
      <w:r>
        <w:rPr>
          <w:rFonts w:hint="eastAsia"/>
          <w:color w:val="auto"/>
          <w:szCs w:val="21"/>
          <w:highlight w:val="none"/>
        </w:rPr>
        <w:t>项目联系方式：0771-3265219</w:t>
      </w:r>
    </w:p>
    <w:p w14:paraId="4EDF9935">
      <w:pPr>
        <w:pStyle w:val="2"/>
        <w:rPr>
          <w:color w:val="auto"/>
          <w:highlight w:val="none"/>
        </w:rPr>
      </w:pPr>
    </w:p>
    <w:p w14:paraId="333C77D8">
      <w:pPr>
        <w:spacing w:line="360" w:lineRule="auto"/>
        <w:ind w:left="1041" w:leftChars="371" w:hanging="262" w:hangingChars="125"/>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5E3E49DA">
      <w:pPr>
        <w:spacing w:line="420" w:lineRule="exact"/>
        <w:ind w:firstLine="735" w:firstLineChars="350"/>
        <w:rPr>
          <w:rFonts w:ascii="宋体" w:hAnsi="宋体" w:cs="宋体"/>
          <w:color w:val="auto"/>
          <w:szCs w:val="21"/>
          <w:highlight w:val="none"/>
        </w:rPr>
      </w:pPr>
      <w:r>
        <w:rPr>
          <w:rFonts w:hint="eastAsia" w:ascii="宋体" w:hAnsi="宋体" w:cs="宋体"/>
          <w:color w:val="auto"/>
          <w:szCs w:val="21"/>
          <w:highlight w:val="none"/>
        </w:rPr>
        <w:t>名  称：广西科联招标中心有限公司 </w:t>
      </w:r>
    </w:p>
    <w:p w14:paraId="096414D7">
      <w:pPr>
        <w:spacing w:line="420" w:lineRule="exact"/>
        <w:ind w:firstLine="735" w:firstLineChars="350"/>
        <w:rPr>
          <w:rFonts w:ascii="宋体" w:hAnsi="宋体" w:cs="宋体"/>
          <w:color w:val="auto"/>
          <w:szCs w:val="21"/>
          <w:highlight w:val="none"/>
        </w:rPr>
      </w:pPr>
      <w:r>
        <w:rPr>
          <w:rFonts w:hint="eastAsia" w:ascii="宋体" w:hAnsi="宋体" w:cs="宋体"/>
          <w:color w:val="auto"/>
          <w:szCs w:val="21"/>
          <w:highlight w:val="none"/>
        </w:rPr>
        <w:t>地  址：广西南宁市大学东路170号 </w:t>
      </w:r>
    </w:p>
    <w:p w14:paraId="2F95640D">
      <w:pPr>
        <w:spacing w:line="420" w:lineRule="exact"/>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项目联系人：周先桂 </w:t>
      </w:r>
    </w:p>
    <w:p w14:paraId="0A346911">
      <w:pPr>
        <w:spacing w:line="420" w:lineRule="exact"/>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项目联系方式：0771-3486517</w:t>
      </w:r>
    </w:p>
    <w:p w14:paraId="564F1AA3">
      <w:pPr>
        <w:spacing w:line="360" w:lineRule="auto"/>
        <w:ind w:left="1041" w:leftChars="371" w:hanging="262" w:hangingChars="125"/>
        <w:jc w:val="left"/>
        <w:rPr>
          <w:color w:val="auto"/>
          <w:szCs w:val="21"/>
          <w:highlight w:val="none"/>
        </w:rPr>
      </w:pPr>
      <w:r>
        <w:rPr>
          <w:color w:val="auto"/>
          <w:szCs w:val="21"/>
          <w:highlight w:val="none"/>
        </w:rPr>
        <w:t xml:space="preserve"> </w:t>
      </w:r>
      <w:r>
        <w:rPr>
          <w:rFonts w:hint="eastAsia"/>
          <w:color w:val="auto"/>
          <w:szCs w:val="21"/>
          <w:highlight w:val="none"/>
        </w:rPr>
        <w:t xml:space="preserve"> </w:t>
      </w:r>
    </w:p>
    <w:p w14:paraId="69DB338D">
      <w:pPr>
        <w:spacing w:line="360" w:lineRule="auto"/>
        <w:ind w:firstLine="420" w:firstLineChars="200"/>
        <w:rPr>
          <w:color w:val="auto"/>
          <w:szCs w:val="21"/>
          <w:highlight w:val="none"/>
        </w:rPr>
      </w:pPr>
    </w:p>
    <w:p w14:paraId="433FD373">
      <w:pPr>
        <w:pStyle w:val="3"/>
        <w:spacing w:before="0" w:after="0" w:line="240" w:lineRule="auto"/>
        <w:jc w:val="center"/>
        <w:rPr>
          <w:rFonts w:ascii="Cambria" w:hAnsi="Cambria"/>
          <w:bCs w:val="0"/>
          <w:color w:val="auto"/>
          <w:sz w:val="32"/>
          <w:szCs w:val="32"/>
          <w:highlight w:val="none"/>
        </w:rPr>
      </w:pPr>
      <w:bookmarkStart w:id="38" w:name="_Toc80886926"/>
      <w:bookmarkStart w:id="39" w:name="_Toc7184"/>
      <w:bookmarkStart w:id="40" w:name="_Toc9127"/>
      <w:bookmarkStart w:id="41" w:name="_Toc25520"/>
      <w:bookmarkStart w:id="42" w:name="_Toc29321"/>
      <w:bookmarkStart w:id="43" w:name="_Toc11093"/>
      <w:bookmarkStart w:id="44" w:name="_Toc22760"/>
      <w:r>
        <w:rPr>
          <w:rFonts w:hint="eastAsia" w:ascii="Cambria" w:hAnsi="Cambria"/>
          <w:bCs w:val="0"/>
          <w:color w:val="auto"/>
          <w:sz w:val="32"/>
          <w:szCs w:val="32"/>
          <w:highlight w:val="none"/>
        </w:rPr>
        <w:br w:type="page"/>
      </w:r>
      <w:bookmarkStart w:id="45" w:name="_Toc9190"/>
      <w:r>
        <w:rPr>
          <w:rFonts w:hint="eastAsia" w:ascii="Cambria" w:hAnsi="Cambria"/>
          <w:bCs w:val="0"/>
          <w:color w:val="auto"/>
          <w:sz w:val="32"/>
          <w:szCs w:val="32"/>
          <w:highlight w:val="none"/>
        </w:rPr>
        <w:t>第二章 采购需求</w:t>
      </w:r>
      <w:bookmarkEnd w:id="38"/>
      <w:bookmarkEnd w:id="39"/>
      <w:bookmarkEnd w:id="40"/>
      <w:bookmarkEnd w:id="41"/>
      <w:bookmarkEnd w:id="42"/>
      <w:bookmarkEnd w:id="43"/>
      <w:bookmarkEnd w:id="45"/>
    </w:p>
    <w:bookmarkEnd w:id="44"/>
    <w:p w14:paraId="60B319DC">
      <w:pPr>
        <w:spacing w:line="420" w:lineRule="exact"/>
        <w:jc w:val="left"/>
        <w:rPr>
          <w:color w:val="auto"/>
          <w:szCs w:val="21"/>
          <w:highlight w:val="none"/>
        </w:rPr>
      </w:pPr>
      <w:r>
        <w:rPr>
          <w:color w:val="auto"/>
          <w:szCs w:val="21"/>
          <w:highlight w:val="none"/>
        </w:rPr>
        <w:t>说明：</w:t>
      </w:r>
    </w:p>
    <w:p w14:paraId="3F75FA37">
      <w:pPr>
        <w:spacing w:line="420" w:lineRule="exact"/>
        <w:ind w:firstLine="420" w:firstLineChars="200"/>
        <w:jc w:val="left"/>
        <w:rPr>
          <w:color w:val="auto"/>
          <w:szCs w:val="21"/>
          <w:highlight w:val="none"/>
        </w:rPr>
      </w:pPr>
      <w:r>
        <w:rPr>
          <w:color w:val="auto"/>
          <w:highlight w:val="none"/>
        </w:rPr>
        <w:t>1. 为落实政府采购政策需满足的要求：</w:t>
      </w:r>
    </w:p>
    <w:p w14:paraId="780F5EA1">
      <w:pPr>
        <w:spacing w:line="420" w:lineRule="exact"/>
        <w:ind w:firstLine="420" w:firstLineChars="200"/>
        <w:jc w:val="left"/>
        <w:rPr>
          <w:color w:val="auto"/>
          <w:szCs w:val="21"/>
          <w:highlight w:val="none"/>
        </w:rPr>
      </w:pPr>
      <w:r>
        <w:rPr>
          <w:color w:val="auto"/>
          <w:szCs w:val="21"/>
          <w:highlight w:val="none"/>
        </w:rPr>
        <w:t>（1）本竞争性磋商文件所称中小企业必须符合《政府采购促进中小企业发展管理办法》（财库〔2020〕46号）的规定。</w:t>
      </w:r>
    </w:p>
    <w:p w14:paraId="61BA9FDE">
      <w:pPr>
        <w:spacing w:line="420" w:lineRule="exact"/>
        <w:ind w:firstLine="420" w:firstLineChars="200"/>
        <w:jc w:val="left"/>
        <w:rPr>
          <w:color w:val="auto"/>
          <w:szCs w:val="21"/>
          <w:highlight w:val="none"/>
        </w:rPr>
      </w:pPr>
      <w:r>
        <w:rPr>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b/>
          <w:bCs/>
          <w:color w:val="auto"/>
          <w:szCs w:val="21"/>
          <w:highlight w:val="none"/>
        </w:rPr>
        <w:t>否则响应文件按无效处理</w:t>
      </w:r>
      <w:r>
        <w:rPr>
          <w:color w:val="auto"/>
          <w:szCs w:val="21"/>
          <w:highlight w:val="none"/>
        </w:rPr>
        <w:t xml:space="preserve">。如本项目包含的配套货物属于品目清单内非标注“★”的产品时，应优先采购，具体详见“第四章 </w:t>
      </w:r>
      <w:r>
        <w:rPr>
          <w:rStyle w:val="35"/>
          <w:color w:val="auto"/>
          <w:highlight w:val="none"/>
        </w:rPr>
        <w:t>评审程序、评审方法和评审标准</w:t>
      </w:r>
      <w:r>
        <w:rPr>
          <w:color w:val="auto"/>
          <w:szCs w:val="21"/>
          <w:highlight w:val="none"/>
        </w:rPr>
        <w:t>”。</w:t>
      </w:r>
    </w:p>
    <w:p w14:paraId="52E0FCF2">
      <w:pPr>
        <w:spacing w:line="420" w:lineRule="exact"/>
        <w:ind w:firstLine="413" w:firstLineChars="196"/>
        <w:rPr>
          <w:b/>
          <w:bCs/>
          <w:color w:val="auto"/>
          <w:szCs w:val="21"/>
          <w:highlight w:val="none"/>
        </w:rPr>
      </w:pPr>
      <w:r>
        <w:rPr>
          <w:b/>
          <w:bCs/>
          <w:color w:val="auto"/>
          <w:szCs w:val="21"/>
          <w:highlight w:val="none"/>
        </w:rPr>
        <w:t>2.“实质性要求”是指磋商文件中已经指明不满足则响应文件按无效响应处理的条款，或者不能负偏离的条款，或者采购需求中带“▲”的条款。</w:t>
      </w:r>
    </w:p>
    <w:p w14:paraId="18590E89">
      <w:pPr>
        <w:pStyle w:val="12"/>
        <w:spacing w:line="420" w:lineRule="exact"/>
        <w:ind w:firstLine="420" w:firstLineChars="200"/>
        <w:rPr>
          <w:color w:val="auto"/>
          <w:highlight w:val="none"/>
        </w:rPr>
      </w:pPr>
      <w:r>
        <w:rPr>
          <w:color w:val="auto"/>
          <w:szCs w:val="21"/>
          <w:highlight w:val="none"/>
        </w:rPr>
        <w:t xml:space="preserve">3. </w:t>
      </w:r>
      <w:r>
        <w:rPr>
          <w:color w:val="auto"/>
          <w:highlight w:val="none"/>
        </w:rPr>
        <w:t>如竞标产品存在侵犯他人的知识产权或者专利成果行为的，应承担相应法律责任。</w:t>
      </w:r>
    </w:p>
    <w:p w14:paraId="75E059C0">
      <w:pPr>
        <w:tabs>
          <w:tab w:val="left" w:pos="180"/>
          <w:tab w:val="left" w:pos="1620"/>
        </w:tabs>
        <w:spacing w:line="420" w:lineRule="exact"/>
        <w:ind w:firstLine="420" w:firstLineChars="200"/>
        <w:rPr>
          <w:i/>
          <w:iCs/>
          <w:color w:val="auto"/>
          <w:highlight w:val="none"/>
          <w:u w:val="single"/>
        </w:rPr>
      </w:pPr>
      <w:r>
        <w:rPr>
          <w:color w:val="auto"/>
          <w:highlight w:val="none"/>
        </w:rPr>
        <w:t>4.采购内容所属行业：</w:t>
      </w:r>
      <w:r>
        <w:rPr>
          <w:color w:val="auto"/>
          <w:highlight w:val="none"/>
          <w:u w:val="single"/>
        </w:rPr>
        <w:t xml:space="preserve">  </w:t>
      </w:r>
      <w:r>
        <w:rPr>
          <w:rFonts w:hint="eastAsia"/>
          <w:color w:val="auto"/>
          <w:highlight w:val="none"/>
          <w:u w:val="single"/>
        </w:rPr>
        <w:t xml:space="preserve">建筑业 </w:t>
      </w:r>
    </w:p>
    <w:p w14:paraId="5AC4CF0E">
      <w:pPr>
        <w:pStyle w:val="8"/>
        <w:rPr>
          <w:color w:val="auto"/>
          <w:highlight w:val="none"/>
        </w:rPr>
      </w:pPr>
    </w:p>
    <w:tbl>
      <w:tblPr>
        <w:tblStyle w:val="28"/>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675"/>
        <w:gridCol w:w="1105"/>
        <w:gridCol w:w="6339"/>
        <w:gridCol w:w="967"/>
      </w:tblGrid>
      <w:tr w14:paraId="1737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37DA0836">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需求一览表</w:t>
            </w:r>
          </w:p>
        </w:tc>
        <w:tc>
          <w:tcPr>
            <w:tcW w:w="596" w:type="dxa"/>
            <w:tcBorders>
              <w:top w:val="single" w:color="auto" w:sz="4" w:space="0"/>
            </w:tcBorders>
            <w:vAlign w:val="center"/>
          </w:tcPr>
          <w:p w14:paraId="28283ED3">
            <w:pPr>
              <w:spacing w:line="320" w:lineRule="exact"/>
              <w:jc w:val="center"/>
              <w:rPr>
                <w:color w:val="auto"/>
                <w:szCs w:val="21"/>
                <w:highlight w:val="none"/>
              </w:rPr>
            </w:pPr>
            <w:r>
              <w:rPr>
                <w:color w:val="auto"/>
                <w:szCs w:val="21"/>
                <w:highlight w:val="none"/>
              </w:rPr>
              <w:t>序号</w:t>
            </w:r>
          </w:p>
        </w:tc>
        <w:tc>
          <w:tcPr>
            <w:tcW w:w="675" w:type="dxa"/>
            <w:tcBorders>
              <w:top w:val="single" w:color="auto" w:sz="4" w:space="0"/>
            </w:tcBorders>
            <w:vAlign w:val="center"/>
          </w:tcPr>
          <w:p w14:paraId="06ED42B2">
            <w:pPr>
              <w:spacing w:line="320" w:lineRule="exact"/>
              <w:jc w:val="center"/>
              <w:rPr>
                <w:color w:val="auto"/>
                <w:szCs w:val="21"/>
                <w:highlight w:val="none"/>
              </w:rPr>
            </w:pPr>
            <w:r>
              <w:rPr>
                <w:color w:val="auto"/>
                <w:szCs w:val="21"/>
                <w:highlight w:val="none"/>
              </w:rPr>
              <w:t>标的的名称</w:t>
            </w:r>
          </w:p>
        </w:tc>
        <w:tc>
          <w:tcPr>
            <w:tcW w:w="1105" w:type="dxa"/>
            <w:tcBorders>
              <w:top w:val="single" w:color="auto" w:sz="4" w:space="0"/>
            </w:tcBorders>
            <w:vAlign w:val="center"/>
          </w:tcPr>
          <w:p w14:paraId="6240A08D">
            <w:pPr>
              <w:spacing w:line="320" w:lineRule="exact"/>
              <w:jc w:val="center"/>
              <w:rPr>
                <w:color w:val="auto"/>
                <w:szCs w:val="21"/>
                <w:highlight w:val="none"/>
              </w:rPr>
            </w:pPr>
            <w:r>
              <w:rPr>
                <w:color w:val="auto"/>
                <w:szCs w:val="21"/>
                <w:highlight w:val="none"/>
              </w:rPr>
              <w:t>数量及单位</w:t>
            </w:r>
          </w:p>
          <w:p w14:paraId="68B425D4">
            <w:pPr>
              <w:spacing w:line="320" w:lineRule="exact"/>
              <w:jc w:val="center"/>
              <w:rPr>
                <w:color w:val="auto"/>
                <w:szCs w:val="21"/>
                <w:highlight w:val="none"/>
              </w:rPr>
            </w:pPr>
          </w:p>
        </w:tc>
        <w:tc>
          <w:tcPr>
            <w:tcW w:w="6339" w:type="dxa"/>
            <w:tcBorders>
              <w:top w:val="single" w:color="auto" w:sz="4" w:space="0"/>
            </w:tcBorders>
            <w:vAlign w:val="center"/>
          </w:tcPr>
          <w:p w14:paraId="1EDF3519">
            <w:pPr>
              <w:spacing w:line="320" w:lineRule="exact"/>
              <w:jc w:val="center"/>
              <w:rPr>
                <w:color w:val="auto"/>
                <w:szCs w:val="21"/>
                <w:highlight w:val="none"/>
              </w:rPr>
            </w:pPr>
            <w:r>
              <w:rPr>
                <w:rFonts w:hint="eastAsia"/>
                <w:color w:val="auto"/>
                <w:szCs w:val="21"/>
                <w:highlight w:val="none"/>
              </w:rPr>
              <w:t>技术要求</w:t>
            </w:r>
          </w:p>
          <w:p w14:paraId="35418050">
            <w:pPr>
              <w:spacing w:line="320" w:lineRule="exact"/>
              <w:jc w:val="center"/>
              <w:rPr>
                <w:color w:val="auto"/>
                <w:szCs w:val="21"/>
                <w:highlight w:val="none"/>
              </w:rPr>
            </w:pPr>
          </w:p>
          <w:p w14:paraId="71B33C8C">
            <w:pPr>
              <w:spacing w:line="320" w:lineRule="exact"/>
              <w:jc w:val="center"/>
              <w:rPr>
                <w:color w:val="auto"/>
                <w:szCs w:val="21"/>
                <w:highlight w:val="none"/>
              </w:rPr>
            </w:pPr>
          </w:p>
        </w:tc>
        <w:tc>
          <w:tcPr>
            <w:tcW w:w="967" w:type="dxa"/>
            <w:tcBorders>
              <w:top w:val="single" w:color="auto" w:sz="4" w:space="0"/>
            </w:tcBorders>
            <w:vAlign w:val="center"/>
          </w:tcPr>
          <w:p w14:paraId="7BA7411D">
            <w:pPr>
              <w:spacing w:line="320" w:lineRule="exact"/>
              <w:jc w:val="center"/>
              <w:rPr>
                <w:color w:val="auto"/>
                <w:szCs w:val="21"/>
                <w:highlight w:val="none"/>
              </w:rPr>
            </w:pPr>
            <w:r>
              <w:rPr>
                <w:color w:val="auto"/>
                <w:szCs w:val="21"/>
                <w:highlight w:val="none"/>
              </w:rPr>
              <w:t>中小企业划分标准所属行业名称（行业名称及划分见本章附件</w:t>
            </w:r>
            <w:r>
              <w:rPr>
                <w:rFonts w:hint="eastAsia"/>
                <w:color w:val="auto"/>
                <w:szCs w:val="21"/>
                <w:highlight w:val="none"/>
              </w:rPr>
              <w:t>1</w:t>
            </w:r>
            <w:r>
              <w:rPr>
                <w:color w:val="auto"/>
                <w:szCs w:val="21"/>
                <w:highlight w:val="none"/>
              </w:rPr>
              <w:t>）</w:t>
            </w:r>
          </w:p>
        </w:tc>
      </w:tr>
      <w:tr w14:paraId="063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3" w:type="dxa"/>
            <w:vMerge w:val="continue"/>
            <w:vAlign w:val="center"/>
          </w:tcPr>
          <w:p w14:paraId="3828AD89">
            <w:pPr>
              <w:spacing w:line="320" w:lineRule="exact"/>
              <w:jc w:val="center"/>
              <w:rPr>
                <w:rFonts w:ascii="宋体" w:hAnsi="宋体" w:cs="宋体"/>
                <w:color w:val="auto"/>
                <w:szCs w:val="21"/>
                <w:highlight w:val="none"/>
              </w:rPr>
            </w:pPr>
          </w:p>
        </w:tc>
        <w:tc>
          <w:tcPr>
            <w:tcW w:w="596" w:type="dxa"/>
            <w:vAlign w:val="center"/>
          </w:tcPr>
          <w:p w14:paraId="0F6B19C8">
            <w:pPr>
              <w:spacing w:line="240" w:lineRule="exact"/>
              <w:jc w:val="center"/>
              <w:rPr>
                <w:color w:val="auto"/>
                <w:szCs w:val="21"/>
                <w:highlight w:val="none"/>
              </w:rPr>
            </w:pPr>
            <w:r>
              <w:rPr>
                <w:color w:val="auto"/>
                <w:szCs w:val="21"/>
                <w:highlight w:val="none"/>
              </w:rPr>
              <w:t>1</w:t>
            </w:r>
          </w:p>
        </w:tc>
        <w:tc>
          <w:tcPr>
            <w:tcW w:w="675" w:type="dxa"/>
            <w:vAlign w:val="center"/>
          </w:tcPr>
          <w:p w14:paraId="5FD27135">
            <w:pPr>
              <w:spacing w:line="320" w:lineRule="exact"/>
              <w:jc w:val="left"/>
              <w:rPr>
                <w:color w:val="auto"/>
                <w:szCs w:val="21"/>
                <w:highlight w:val="none"/>
              </w:rPr>
            </w:pPr>
            <w:r>
              <w:rPr>
                <w:rFonts w:hint="eastAsia"/>
                <w:color w:val="auto"/>
                <w:szCs w:val="21"/>
                <w:highlight w:val="none"/>
              </w:rPr>
              <w:t>广西民族大学修建思源湖校区跑廊项目</w:t>
            </w:r>
          </w:p>
        </w:tc>
        <w:tc>
          <w:tcPr>
            <w:tcW w:w="1105" w:type="dxa"/>
            <w:vAlign w:val="center"/>
          </w:tcPr>
          <w:p w14:paraId="75C0D1F9">
            <w:pPr>
              <w:spacing w:line="320" w:lineRule="exact"/>
              <w:jc w:val="center"/>
              <w:rPr>
                <w:color w:val="auto"/>
                <w:szCs w:val="21"/>
                <w:highlight w:val="none"/>
              </w:rPr>
            </w:pPr>
            <w:r>
              <w:rPr>
                <w:rFonts w:hint="eastAsia"/>
                <w:color w:val="auto"/>
                <w:szCs w:val="21"/>
                <w:highlight w:val="none"/>
              </w:rPr>
              <w:t>1项</w:t>
            </w:r>
          </w:p>
        </w:tc>
        <w:tc>
          <w:tcPr>
            <w:tcW w:w="6339" w:type="dxa"/>
            <w:vAlign w:val="center"/>
          </w:tcPr>
          <w:p w14:paraId="50B3C0B2">
            <w:pPr>
              <w:spacing w:line="400" w:lineRule="exact"/>
              <w:rPr>
                <w:rFonts w:ascii="宋体" w:hAnsi="宋体" w:cs="宋体"/>
                <w:color w:val="auto"/>
                <w:szCs w:val="21"/>
                <w:highlight w:val="none"/>
              </w:rPr>
            </w:pPr>
            <w:r>
              <w:rPr>
                <w:rFonts w:hint="eastAsia"/>
                <w:color w:val="auto"/>
                <w:highlight w:val="none"/>
              </w:rPr>
              <w:t>1、建设内容：</w:t>
            </w:r>
            <w:r>
              <w:rPr>
                <w:color w:val="auto"/>
                <w:highlight w:val="none"/>
              </w:rPr>
              <w:t>建设膜结构跑廊，建筑面积736.45m2。钢柱及钢梁采用Q355B材质H型钢，PVDF刀刮膜顶棚，地面铺设200mm碎石基层+40mm中粒沥青混凝土+30mm细粒沥青混凝土+13mm厚自结纹混合型塑胶地面，砖砌沙坑1座、沉砂井1座、雨水检查井1座，埋设实木成品起跳板7个，以及跑廊防雷接地、水电工程等。</w:t>
            </w:r>
            <w:r>
              <w:rPr>
                <w:rFonts w:hint="eastAsia" w:ascii="宋体" w:hAnsi="宋体" w:cs="宋体"/>
                <w:color w:val="auto"/>
                <w:szCs w:val="21"/>
                <w:highlight w:val="none"/>
              </w:rPr>
              <w:t>（具体以采购文件、施工图纸和工程量清单内容为准）。</w:t>
            </w:r>
          </w:p>
          <w:p w14:paraId="010342E6">
            <w:pPr>
              <w:spacing w:line="400" w:lineRule="exact"/>
              <w:rPr>
                <w:rFonts w:ascii="宋体" w:hAnsi="宋体" w:cs="宋体"/>
                <w:color w:val="auto"/>
                <w:szCs w:val="21"/>
                <w:highlight w:val="none"/>
              </w:rPr>
            </w:pPr>
            <w:r>
              <w:rPr>
                <w:rFonts w:hint="eastAsia" w:ascii="宋体" w:hAnsi="宋体" w:cs="宋体"/>
                <w:color w:val="auto"/>
                <w:szCs w:val="21"/>
                <w:highlight w:val="none"/>
              </w:rPr>
              <w:t>2、建设地点：广西民族大学思源湖校区</w:t>
            </w:r>
          </w:p>
          <w:p w14:paraId="5CD521CA">
            <w:pPr>
              <w:spacing w:line="400" w:lineRule="exact"/>
              <w:rPr>
                <w:color w:val="auto"/>
                <w:highlight w:val="none"/>
              </w:rPr>
            </w:pPr>
            <w:r>
              <w:rPr>
                <w:color w:val="auto"/>
                <w:highlight w:val="none"/>
              </w:rPr>
              <w:t>▲</w:t>
            </w:r>
            <w:r>
              <w:rPr>
                <w:rFonts w:hint="eastAsia"/>
                <w:color w:val="auto"/>
                <w:highlight w:val="none"/>
              </w:rPr>
              <w:t>3、要求工期：50日历天。</w:t>
            </w:r>
          </w:p>
          <w:p w14:paraId="6F82E907">
            <w:pPr>
              <w:spacing w:line="400" w:lineRule="exact"/>
              <w:rPr>
                <w:color w:val="auto"/>
                <w:highlight w:val="none"/>
              </w:rPr>
            </w:pPr>
            <w:r>
              <w:rPr>
                <w:color w:val="auto"/>
                <w:highlight w:val="none"/>
              </w:rPr>
              <w:t>▲</w:t>
            </w:r>
            <w:r>
              <w:rPr>
                <w:rFonts w:hint="eastAsia"/>
                <w:color w:val="auto"/>
                <w:highlight w:val="none"/>
              </w:rPr>
              <w:t>4、质量要求：达到国家现行验收规范合格标准。</w:t>
            </w:r>
          </w:p>
          <w:p w14:paraId="0A3C5021">
            <w:pPr>
              <w:spacing w:line="400" w:lineRule="exact"/>
              <w:rPr>
                <w:color w:val="auto"/>
                <w:highlight w:val="none"/>
              </w:rPr>
            </w:pPr>
            <w:r>
              <w:rPr>
                <w:rFonts w:hint="eastAsia"/>
                <w:color w:val="auto"/>
                <w:highlight w:val="none"/>
              </w:rPr>
              <w:t>5、施工组织设计：供应商应根据设计施工图纸、工程量清单进行施工组织设计，包含但不仅限于主要施工方法、拟投入的主要物资计划、劳动力安排计划、确保工程质量的技术组织措施、确保安全生产的技术组织措施、确保工期的技术组织措施、确保文明施工的技术组织措施等内容。</w:t>
            </w:r>
          </w:p>
          <w:p w14:paraId="26EEC6EF">
            <w:pPr>
              <w:spacing w:line="400" w:lineRule="exact"/>
              <w:rPr>
                <w:color w:val="auto"/>
                <w:highlight w:val="none"/>
              </w:rPr>
            </w:pPr>
            <w:r>
              <w:rPr>
                <w:color w:val="auto"/>
                <w:highlight w:val="none"/>
              </w:rPr>
              <w:t>▲</w:t>
            </w:r>
            <w:r>
              <w:rPr>
                <w:rFonts w:hint="eastAsia"/>
                <w:color w:val="auto"/>
                <w:highlight w:val="none"/>
              </w:rPr>
              <w:t>6、人员要求：</w:t>
            </w:r>
          </w:p>
          <w:p w14:paraId="750F2520">
            <w:pPr>
              <w:spacing w:line="400" w:lineRule="exact"/>
              <w:rPr>
                <w:color w:val="auto"/>
                <w:highlight w:val="none"/>
              </w:rPr>
            </w:pPr>
            <w:r>
              <w:rPr>
                <w:rFonts w:hint="eastAsia"/>
                <w:color w:val="auto"/>
                <w:highlight w:val="none"/>
              </w:rPr>
              <w:t>（1）项目经理：具备</w:t>
            </w:r>
            <w:r>
              <w:rPr>
                <w:rFonts w:hint="eastAsia"/>
                <w:color w:val="auto"/>
                <w:highlight w:val="none"/>
                <w:u w:val="single"/>
              </w:rPr>
              <w:t>建筑工程</w:t>
            </w:r>
            <w:r>
              <w:rPr>
                <w:rFonts w:hint="eastAsia"/>
                <w:color w:val="auto"/>
                <w:highlight w:val="none"/>
              </w:rPr>
              <w:t>专业二级（含）以上注册建造师执业资格，具备有效的安全生产考核合格证书（B类）。</w:t>
            </w:r>
          </w:p>
          <w:p w14:paraId="4793A428">
            <w:pPr>
              <w:spacing w:line="400" w:lineRule="exact"/>
              <w:rPr>
                <w:color w:val="auto"/>
                <w:highlight w:val="none"/>
              </w:rPr>
            </w:pPr>
            <w:r>
              <w:rPr>
                <w:rFonts w:hint="eastAsia"/>
                <w:color w:val="auto"/>
                <w:highlight w:val="none"/>
              </w:rPr>
              <w:t>（2）安全员：具备有效的安全生产考核合格证书（C类）。</w:t>
            </w:r>
          </w:p>
          <w:p w14:paraId="618824A3">
            <w:pPr>
              <w:spacing w:line="400" w:lineRule="exact"/>
              <w:rPr>
                <w:color w:val="auto"/>
                <w:highlight w:val="none"/>
              </w:rPr>
            </w:pPr>
            <w:r>
              <w:rPr>
                <w:rFonts w:hint="eastAsia"/>
                <w:color w:val="auto"/>
                <w:highlight w:val="none"/>
              </w:rPr>
              <w:t>（3）施工员、质量员、材料员：</w:t>
            </w:r>
            <w:r>
              <w:rPr>
                <w:rFonts w:hint="eastAsia" w:cs="宋体"/>
                <w:color w:val="auto"/>
                <w:kern w:val="0"/>
                <w:highlight w:val="none"/>
              </w:rPr>
              <w:t>具有相应施工现场专业人</w:t>
            </w:r>
            <w:r>
              <w:rPr>
                <w:rFonts w:hint="eastAsia"/>
                <w:color w:val="auto"/>
                <w:highlight w:val="none"/>
              </w:rPr>
              <w:t>员职业培训合格证书并在有效期内。</w:t>
            </w:r>
          </w:p>
          <w:p w14:paraId="58857721">
            <w:pPr>
              <w:spacing w:line="400" w:lineRule="exact"/>
              <w:rPr>
                <w:color w:val="auto"/>
                <w:szCs w:val="21"/>
                <w:highlight w:val="none"/>
              </w:rPr>
            </w:pPr>
            <w:r>
              <w:rPr>
                <w:color w:val="auto"/>
                <w:highlight w:val="none"/>
              </w:rPr>
              <w:t>▲</w:t>
            </w:r>
            <w:r>
              <w:rPr>
                <w:rFonts w:hint="eastAsia"/>
                <w:b/>
                <w:bCs/>
                <w:color w:val="auto"/>
                <w:highlight w:val="none"/>
              </w:rPr>
              <w:t>7、项目各项技术</w:t>
            </w:r>
            <w:r>
              <w:rPr>
                <w:rFonts w:hint="eastAsia" w:ascii="宋体" w:hAnsi="宋体" w:cs="宋体"/>
                <w:b/>
                <w:bCs/>
                <w:color w:val="auto"/>
                <w:highlight w:val="none"/>
              </w:rPr>
              <w:t>指标要求：附后，具体内容详见附件2</w:t>
            </w:r>
            <w:r>
              <w:rPr>
                <w:b/>
                <w:bCs/>
                <w:color w:val="auto"/>
                <w:highlight w:val="none"/>
              </w:rPr>
              <w:t>。</w:t>
            </w:r>
            <w:r>
              <w:rPr>
                <w:rFonts w:hint="eastAsia"/>
                <w:b/>
                <w:bCs/>
                <w:color w:val="auto"/>
                <w:highlight w:val="none"/>
              </w:rPr>
              <w:t>（供应商响应文件中必须附上附件2，否则按无效响应处理）</w:t>
            </w:r>
          </w:p>
        </w:tc>
        <w:tc>
          <w:tcPr>
            <w:tcW w:w="967" w:type="dxa"/>
            <w:vAlign w:val="center"/>
          </w:tcPr>
          <w:p w14:paraId="0C93699F">
            <w:pPr>
              <w:spacing w:line="320" w:lineRule="exact"/>
              <w:jc w:val="left"/>
              <w:rPr>
                <w:color w:val="auto"/>
                <w:szCs w:val="21"/>
                <w:highlight w:val="none"/>
              </w:rPr>
            </w:pPr>
            <w:r>
              <w:rPr>
                <w:rFonts w:hint="eastAsia"/>
                <w:color w:val="auto"/>
                <w:highlight w:val="none"/>
                <w:u w:val="single"/>
              </w:rPr>
              <w:t>建筑业</w:t>
            </w:r>
          </w:p>
        </w:tc>
      </w:tr>
      <w:tr w14:paraId="2DB0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14:paraId="14568E4A">
            <w:pPr>
              <w:spacing w:line="400" w:lineRule="exact"/>
              <w:rPr>
                <w:color w:val="auto"/>
                <w:highlight w:val="none"/>
              </w:rPr>
            </w:pPr>
            <w:r>
              <w:rPr>
                <w:rFonts w:hint="eastAsia"/>
                <w:color w:val="auto"/>
                <w:highlight w:val="none"/>
              </w:rPr>
              <w:t>商务条款</w:t>
            </w:r>
          </w:p>
        </w:tc>
        <w:tc>
          <w:tcPr>
            <w:tcW w:w="9682" w:type="dxa"/>
            <w:gridSpan w:val="5"/>
          </w:tcPr>
          <w:p w14:paraId="168FF266">
            <w:pPr>
              <w:spacing w:line="400" w:lineRule="exact"/>
              <w:rPr>
                <w:color w:val="auto"/>
                <w:highlight w:val="none"/>
              </w:rPr>
            </w:pPr>
            <w:r>
              <w:rPr>
                <w:rFonts w:hint="eastAsia"/>
                <w:color w:val="auto"/>
                <w:highlight w:val="none"/>
              </w:rPr>
              <w:t>1、</w:t>
            </w:r>
            <w:r>
              <w:rPr>
                <w:color w:val="auto"/>
                <w:highlight w:val="none"/>
              </w:rPr>
              <w:t>竞标有效期</w:t>
            </w:r>
            <w:r>
              <w:rPr>
                <w:rFonts w:hint="eastAsia"/>
                <w:color w:val="auto"/>
                <w:highlight w:val="none"/>
              </w:rPr>
              <w:t>：自</w:t>
            </w:r>
            <w:r>
              <w:rPr>
                <w:color w:val="auto"/>
                <w:highlight w:val="none"/>
              </w:rPr>
              <w:t>首次响应文件提交截止</w:t>
            </w:r>
            <w:r>
              <w:rPr>
                <w:rFonts w:hint="eastAsia"/>
                <w:color w:val="auto"/>
                <w:highlight w:val="none"/>
              </w:rPr>
              <w:t>日</w:t>
            </w:r>
            <w:r>
              <w:rPr>
                <w:color w:val="auto"/>
                <w:highlight w:val="none"/>
              </w:rPr>
              <w:t>起</w:t>
            </w:r>
            <w:r>
              <w:rPr>
                <w:rFonts w:hint="eastAsia"/>
                <w:color w:val="auto"/>
                <w:highlight w:val="none"/>
              </w:rPr>
              <w:t>6</w:t>
            </w:r>
            <w:r>
              <w:rPr>
                <w:color w:val="auto"/>
                <w:highlight w:val="none"/>
              </w:rPr>
              <w:t>0日</w:t>
            </w:r>
          </w:p>
          <w:p w14:paraId="19CD491A">
            <w:pPr>
              <w:spacing w:line="400" w:lineRule="exact"/>
              <w:rPr>
                <w:color w:val="auto"/>
                <w:highlight w:val="none"/>
              </w:rPr>
            </w:pPr>
            <w:r>
              <w:rPr>
                <w:color w:val="auto"/>
                <w:highlight w:val="none"/>
              </w:rPr>
              <w:t>▲</w:t>
            </w:r>
            <w:r>
              <w:rPr>
                <w:rFonts w:hint="eastAsia"/>
                <w:color w:val="auto"/>
                <w:highlight w:val="none"/>
              </w:rPr>
              <w:t>2、缺陷责任期</w:t>
            </w:r>
            <w:r>
              <w:rPr>
                <w:color w:val="auto"/>
                <w:highlight w:val="none"/>
              </w:rPr>
              <w:t>：</w:t>
            </w:r>
            <w:r>
              <w:rPr>
                <w:rFonts w:hint="eastAsia"/>
                <w:color w:val="auto"/>
                <w:highlight w:val="none"/>
              </w:rPr>
              <w:t>24个月</w:t>
            </w:r>
          </w:p>
          <w:p w14:paraId="4833DAE0">
            <w:pPr>
              <w:spacing w:line="400" w:lineRule="exact"/>
              <w:jc w:val="left"/>
              <w:rPr>
                <w:b/>
                <w:bCs/>
                <w:color w:val="auto"/>
                <w:highlight w:val="none"/>
              </w:rPr>
            </w:pPr>
            <w:r>
              <w:rPr>
                <w:color w:val="auto"/>
                <w:highlight w:val="none"/>
              </w:rPr>
              <w:t>▲</w:t>
            </w:r>
            <w:r>
              <w:rPr>
                <w:rFonts w:hint="eastAsia"/>
                <w:color w:val="auto"/>
                <w:highlight w:val="none"/>
              </w:rPr>
              <w:t>3、</w:t>
            </w:r>
            <w:r>
              <w:rPr>
                <w:color w:val="auto"/>
                <w:highlight w:val="none"/>
              </w:rPr>
              <w:t>付款方式：</w:t>
            </w:r>
            <w:r>
              <w:rPr>
                <w:rFonts w:hint="eastAsia"/>
                <w:b/>
                <w:bCs/>
                <w:color w:val="auto"/>
                <w:highlight w:val="none"/>
              </w:rPr>
              <w:fldChar w:fldCharType="begin"/>
            </w:r>
            <w:r>
              <w:rPr>
                <w:rFonts w:hint="eastAsia"/>
                <w:b/>
                <w:bCs/>
                <w:color w:val="auto"/>
                <w:highlight w:val="none"/>
              </w:rPr>
              <w:instrText xml:space="preserve"> = 1 \* GB3 </w:instrText>
            </w:r>
            <w:r>
              <w:rPr>
                <w:rFonts w:hint="eastAsia"/>
                <w:b/>
                <w:bCs/>
                <w:color w:val="auto"/>
                <w:highlight w:val="none"/>
              </w:rPr>
              <w:fldChar w:fldCharType="separate"/>
            </w:r>
            <w:r>
              <w:rPr>
                <w:rFonts w:hint="eastAsia"/>
                <w:b/>
                <w:bCs/>
                <w:color w:val="auto"/>
                <w:highlight w:val="none"/>
              </w:rPr>
              <w:t>①</w:t>
            </w:r>
            <w:r>
              <w:rPr>
                <w:rFonts w:hint="eastAsia"/>
                <w:b/>
                <w:bCs/>
                <w:color w:val="auto"/>
                <w:highlight w:val="none"/>
              </w:rPr>
              <w:fldChar w:fldCharType="end"/>
            </w:r>
            <w:r>
              <w:rPr>
                <w:rFonts w:hint="eastAsia"/>
                <w:b/>
                <w:bCs/>
                <w:color w:val="auto"/>
                <w:highlight w:val="none"/>
              </w:rPr>
              <w:t>预付款：合同价款（扣除暂列金额、安全文明施工费）的</w:t>
            </w:r>
            <w:r>
              <w:rPr>
                <w:b/>
                <w:bCs/>
                <w:color w:val="auto"/>
                <w:highlight w:val="none"/>
              </w:rPr>
              <w:t>30%</w:t>
            </w:r>
            <w:r>
              <w:rPr>
                <w:rFonts w:hint="eastAsia"/>
                <w:b/>
                <w:bCs/>
                <w:color w:val="auto"/>
                <w:highlight w:val="none"/>
              </w:rPr>
              <w:t>，在合同签订后</w:t>
            </w:r>
            <w:r>
              <w:rPr>
                <w:b/>
                <w:bCs/>
                <w:color w:val="auto"/>
                <w:highlight w:val="none"/>
              </w:rPr>
              <w:t>10</w:t>
            </w:r>
            <w:r>
              <w:rPr>
                <w:rFonts w:hint="eastAsia"/>
                <w:b/>
                <w:bCs/>
                <w:color w:val="auto"/>
                <w:highlight w:val="none"/>
              </w:rPr>
              <w:t>个工作日内支付，</w:t>
            </w:r>
            <w:r>
              <w:rPr>
                <w:rFonts w:hint="eastAsia"/>
                <w:b/>
                <w:bCs/>
                <w:color w:val="auto"/>
                <w:highlight w:val="none"/>
              </w:rPr>
              <w:fldChar w:fldCharType="begin"/>
            </w:r>
            <w:r>
              <w:rPr>
                <w:rFonts w:hint="eastAsia"/>
                <w:b/>
                <w:bCs/>
                <w:color w:val="auto"/>
                <w:highlight w:val="none"/>
              </w:rPr>
              <w:instrText xml:space="preserve"> = 2 \* GB3 </w:instrText>
            </w:r>
            <w:r>
              <w:rPr>
                <w:rFonts w:hint="eastAsia"/>
                <w:b/>
                <w:bCs/>
                <w:color w:val="auto"/>
                <w:highlight w:val="none"/>
              </w:rPr>
              <w:fldChar w:fldCharType="separate"/>
            </w:r>
            <w:r>
              <w:rPr>
                <w:rFonts w:hint="eastAsia"/>
                <w:b/>
                <w:bCs/>
                <w:color w:val="auto"/>
                <w:highlight w:val="none"/>
              </w:rPr>
              <w:t>②</w:t>
            </w:r>
            <w:r>
              <w:rPr>
                <w:rFonts w:hint="eastAsia"/>
                <w:b/>
                <w:bCs/>
                <w:color w:val="auto"/>
                <w:highlight w:val="none"/>
              </w:rPr>
              <w:fldChar w:fldCharType="end"/>
            </w:r>
            <w:r>
              <w:rPr>
                <w:rFonts w:hint="eastAsia"/>
                <w:b/>
                <w:bCs/>
                <w:color w:val="auto"/>
                <w:highlight w:val="none"/>
              </w:rPr>
              <w:t>工程款按进度申请支付；竣工验收合格后，合同内进度款支付至签约合同价（扣除暂列金额、安全文明施工费）的80%，工程变更部分属于合同外于竣工结算审定后付清；办理最终工程竣工结算并经财政投资评审中心（如需要）或采购人委托的具有工程造价咨询资质单位审定后，成交供应商按工程款结算总价的3%向采购人缴纳工程质量保修金（采购人待</w:t>
            </w:r>
            <w:bookmarkStart w:id="46" w:name="OLE_LINK2"/>
            <w:r>
              <w:rPr>
                <w:rFonts w:hint="eastAsia"/>
                <w:b/>
                <w:bCs/>
                <w:color w:val="auto"/>
                <w:highlight w:val="none"/>
              </w:rPr>
              <w:t>工程质量保修期</w:t>
            </w:r>
            <w:bookmarkEnd w:id="46"/>
            <w:r>
              <w:rPr>
                <w:rFonts w:hint="eastAsia"/>
                <w:b/>
                <w:bCs/>
                <w:color w:val="auto"/>
                <w:highlight w:val="none"/>
              </w:rPr>
              <w:t xml:space="preserve">满后无息返还），成交供应商提交完整合格的竣工备案资料给采购人后15天内工程款支付至结算总价的100%。工程款支付前成交供应商向采购人提供相关合格有效的增值税专用发票，成交供应商未及时提供上述发票及支付证书或提供的材料不符合要求的，采购人不予付款且无需承担逾期付款责任。如采购人未按合同约定支付工程进度款，成交供应商有权停止施工，所产生的一切损失由采购人承担。                                                                         </w:t>
            </w:r>
          </w:p>
          <w:p w14:paraId="4D42C938">
            <w:pPr>
              <w:spacing w:line="400" w:lineRule="exact"/>
              <w:rPr>
                <w:color w:val="auto"/>
                <w:highlight w:val="none"/>
              </w:rPr>
            </w:pPr>
            <w:r>
              <w:rPr>
                <w:rFonts w:hint="eastAsia"/>
                <w:color w:val="auto"/>
                <w:highlight w:val="none"/>
              </w:rPr>
              <w:t>4、计价依据：详见第七章工程量清单</w:t>
            </w:r>
          </w:p>
          <w:p w14:paraId="22BBAE5A">
            <w:pPr>
              <w:spacing w:line="400" w:lineRule="exact"/>
              <w:rPr>
                <w:color w:val="auto"/>
                <w:highlight w:val="none"/>
              </w:rPr>
            </w:pPr>
            <w:r>
              <w:rPr>
                <w:rFonts w:hint="eastAsia"/>
                <w:color w:val="auto"/>
                <w:highlight w:val="none"/>
              </w:rPr>
              <w:t>5、</w:t>
            </w:r>
            <w:r>
              <w:rPr>
                <w:color w:val="auto"/>
                <w:highlight w:val="none"/>
              </w:rPr>
              <w:t>合同签订时间</w:t>
            </w:r>
            <w:r>
              <w:rPr>
                <w:rFonts w:hint="eastAsia"/>
                <w:color w:val="auto"/>
                <w:highlight w:val="none"/>
              </w:rPr>
              <w:t>：</w:t>
            </w:r>
            <w:r>
              <w:rPr>
                <w:color w:val="auto"/>
                <w:highlight w:val="none"/>
              </w:rPr>
              <w:t>自成交通知书发出之日起</w:t>
            </w:r>
            <w:r>
              <w:rPr>
                <w:rFonts w:hint="eastAsia"/>
                <w:color w:val="auto"/>
                <w:highlight w:val="none"/>
              </w:rPr>
              <w:t>25日</w:t>
            </w:r>
            <w:r>
              <w:rPr>
                <w:color w:val="auto"/>
                <w:highlight w:val="none"/>
              </w:rPr>
              <w:t>内。</w:t>
            </w:r>
          </w:p>
          <w:p w14:paraId="64368EAD">
            <w:pPr>
              <w:spacing w:line="400" w:lineRule="exact"/>
              <w:rPr>
                <w:color w:val="auto"/>
                <w:highlight w:val="none"/>
              </w:rPr>
            </w:pPr>
            <w:r>
              <w:rPr>
                <w:rFonts w:hint="eastAsia"/>
                <w:color w:val="auto"/>
                <w:highlight w:val="none"/>
              </w:rPr>
              <w:t>6、</w:t>
            </w:r>
            <w:r>
              <w:rPr>
                <w:color w:val="auto"/>
                <w:highlight w:val="none"/>
              </w:rPr>
              <w:t>验收标准：符合国家现行相关标准、行业标准、地方标准或者其他标准、规范。</w:t>
            </w:r>
          </w:p>
          <w:p w14:paraId="525BB309">
            <w:pPr>
              <w:spacing w:line="400" w:lineRule="exact"/>
              <w:rPr>
                <w:color w:val="auto"/>
                <w:highlight w:val="none"/>
              </w:rPr>
            </w:pPr>
            <w:r>
              <w:rPr>
                <w:rFonts w:hint="eastAsia"/>
                <w:color w:val="auto"/>
                <w:highlight w:val="none"/>
              </w:rPr>
              <w:t>7、</w:t>
            </w:r>
            <w:r>
              <w:rPr>
                <w:rFonts w:hint="eastAsia" w:ascii="宋体" w:hAnsi="宋体" w:cs="宋体"/>
                <w:color w:val="auto"/>
                <w:spacing w:val="6"/>
                <w:kern w:val="48"/>
                <w:szCs w:val="21"/>
                <w:highlight w:val="none"/>
              </w:rPr>
              <w:t>施工材料要求：用于本工程的主要材料品质不得低于工程量清单中对材料设备所规定的规格、技术参数等各项指标，自行采购材料设备，质量应符合国家和行业标准、经采购人确认，才能进行使用和安装，并同时提供相关质量证明。如成交供应商未按此采购材料，将视为违约，所造成的损失由成交供应商承担，所有材料均为环保型优等品。如若成交供应商未按此采购材料，将视为违约，所造成的损失由成交供应商承担。</w:t>
            </w:r>
          </w:p>
        </w:tc>
      </w:tr>
    </w:tbl>
    <w:p w14:paraId="6B9D69EC">
      <w:pPr>
        <w:spacing w:line="428" w:lineRule="exact"/>
        <w:ind w:left="119"/>
        <w:rPr>
          <w:rFonts w:eastAsia="Arial Unicode MS"/>
          <w:color w:val="auto"/>
          <w:sz w:val="32"/>
          <w:szCs w:val="32"/>
          <w:highlight w:val="none"/>
        </w:rPr>
      </w:pPr>
    </w:p>
    <w:p w14:paraId="2C1A5E40">
      <w:pPr>
        <w:spacing w:line="428" w:lineRule="exact"/>
        <w:rPr>
          <w:rFonts w:eastAsia="Arial Unicode MS"/>
          <w:color w:val="auto"/>
          <w:sz w:val="32"/>
          <w:szCs w:val="32"/>
          <w:highlight w:val="none"/>
        </w:rPr>
      </w:pPr>
    </w:p>
    <w:p w14:paraId="5A089684">
      <w:pPr>
        <w:pStyle w:val="8"/>
        <w:rPr>
          <w:rFonts w:eastAsia="Arial Unicode MS"/>
          <w:color w:val="auto"/>
          <w:sz w:val="32"/>
          <w:szCs w:val="32"/>
          <w:highlight w:val="none"/>
        </w:rPr>
      </w:pPr>
    </w:p>
    <w:p w14:paraId="53EA8B2E">
      <w:pPr>
        <w:pStyle w:val="8"/>
        <w:rPr>
          <w:rFonts w:eastAsia="Arial Unicode MS"/>
          <w:color w:val="auto"/>
          <w:sz w:val="32"/>
          <w:szCs w:val="32"/>
          <w:highlight w:val="none"/>
        </w:rPr>
      </w:pPr>
    </w:p>
    <w:p w14:paraId="615981FB">
      <w:pPr>
        <w:pStyle w:val="8"/>
        <w:ind w:firstLine="0"/>
        <w:rPr>
          <w:rFonts w:eastAsia="Arial Unicode MS"/>
          <w:color w:val="auto"/>
          <w:sz w:val="32"/>
          <w:szCs w:val="32"/>
          <w:highlight w:val="none"/>
        </w:rPr>
      </w:pPr>
    </w:p>
    <w:p w14:paraId="715D1A9A">
      <w:pPr>
        <w:pStyle w:val="8"/>
        <w:rPr>
          <w:rFonts w:eastAsia="Arial Unicode MS"/>
          <w:color w:val="auto"/>
          <w:kern w:val="0"/>
          <w:sz w:val="32"/>
          <w:szCs w:val="32"/>
          <w:highlight w:val="none"/>
        </w:rPr>
      </w:pPr>
      <w:r>
        <w:rPr>
          <w:rFonts w:eastAsia="Arial Unicode MS"/>
          <w:color w:val="auto"/>
          <w:sz w:val="32"/>
          <w:szCs w:val="32"/>
          <w:highlight w:val="none"/>
        </w:rPr>
        <w:br w:type="page"/>
      </w:r>
      <w:r>
        <w:rPr>
          <w:rFonts w:eastAsia="Arial Unicode MS"/>
          <w:color w:val="auto"/>
          <w:kern w:val="0"/>
          <w:sz w:val="32"/>
          <w:szCs w:val="32"/>
          <w:highlight w:val="none"/>
        </w:rPr>
        <w:t>附件</w:t>
      </w:r>
      <w:r>
        <w:rPr>
          <w:rFonts w:hint="eastAsia" w:eastAsia="Arial Unicode MS"/>
          <w:color w:val="auto"/>
          <w:kern w:val="0"/>
          <w:sz w:val="32"/>
          <w:szCs w:val="32"/>
          <w:highlight w:val="none"/>
        </w:rPr>
        <w:t>1</w:t>
      </w:r>
      <w:r>
        <w:rPr>
          <w:rFonts w:eastAsia="Arial Unicode MS"/>
          <w:color w:val="auto"/>
          <w:kern w:val="0"/>
          <w:sz w:val="32"/>
          <w:szCs w:val="32"/>
          <w:highlight w:val="none"/>
        </w:rPr>
        <w:t>：</w:t>
      </w:r>
    </w:p>
    <w:p w14:paraId="280F6A2B">
      <w:pPr>
        <w:widowControl/>
        <w:spacing w:before="120" w:beforeLines="50" w:after="120" w:afterLines="50" w:line="280" w:lineRule="exact"/>
        <w:jc w:val="center"/>
        <w:rPr>
          <w:b/>
          <w:bCs/>
          <w:color w:val="auto"/>
          <w:kern w:val="0"/>
          <w:sz w:val="30"/>
          <w:szCs w:val="30"/>
          <w:highlight w:val="none"/>
        </w:rPr>
      </w:pPr>
      <w:bookmarkStart w:id="47" w:name="_Toc28361_WPSOffice_Level2"/>
      <w:r>
        <w:rPr>
          <w:b/>
          <w:bCs/>
          <w:color w:val="auto"/>
          <w:kern w:val="0"/>
          <w:sz w:val="30"/>
          <w:szCs w:val="30"/>
          <w:highlight w:val="none"/>
        </w:rPr>
        <w:t>统计上大中小微型企业划分标准</w:t>
      </w:r>
      <w:bookmarkEnd w:id="47"/>
    </w:p>
    <w:tbl>
      <w:tblPr>
        <w:tblStyle w:val="2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4AA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699D80A4">
            <w:pPr>
              <w:widowControl/>
              <w:spacing w:line="280" w:lineRule="exact"/>
              <w:jc w:val="center"/>
              <w:rPr>
                <w:b/>
                <w:bCs/>
                <w:color w:val="auto"/>
                <w:kern w:val="0"/>
                <w:sz w:val="18"/>
                <w:szCs w:val="21"/>
                <w:highlight w:val="none"/>
              </w:rPr>
            </w:pPr>
            <w:r>
              <w:rPr>
                <w:b/>
                <w:bCs/>
                <w:color w:val="auto"/>
                <w:kern w:val="0"/>
                <w:sz w:val="18"/>
                <w:szCs w:val="21"/>
                <w:highlight w:val="none"/>
              </w:rPr>
              <w:t>行业名称</w:t>
            </w:r>
          </w:p>
        </w:tc>
        <w:tc>
          <w:tcPr>
            <w:tcW w:w="1369" w:type="dxa"/>
            <w:shd w:val="clear" w:color="auto" w:fill="8DB3E2"/>
            <w:vAlign w:val="center"/>
          </w:tcPr>
          <w:p w14:paraId="605DB79C">
            <w:pPr>
              <w:widowControl/>
              <w:spacing w:line="280" w:lineRule="exact"/>
              <w:jc w:val="center"/>
              <w:rPr>
                <w:b/>
                <w:bCs/>
                <w:color w:val="auto"/>
                <w:kern w:val="0"/>
                <w:sz w:val="18"/>
                <w:szCs w:val="18"/>
                <w:highlight w:val="none"/>
              </w:rPr>
            </w:pPr>
            <w:r>
              <w:rPr>
                <w:b/>
                <w:bCs/>
                <w:color w:val="auto"/>
                <w:kern w:val="0"/>
                <w:sz w:val="18"/>
                <w:szCs w:val="18"/>
                <w:highlight w:val="none"/>
              </w:rPr>
              <w:t>指标名称</w:t>
            </w:r>
          </w:p>
        </w:tc>
        <w:tc>
          <w:tcPr>
            <w:tcW w:w="709" w:type="dxa"/>
            <w:shd w:val="clear" w:color="auto" w:fill="8DB3E2"/>
            <w:vAlign w:val="center"/>
          </w:tcPr>
          <w:p w14:paraId="0E5CAC71">
            <w:pPr>
              <w:widowControl/>
              <w:spacing w:line="280" w:lineRule="exact"/>
              <w:jc w:val="center"/>
              <w:rPr>
                <w:b/>
                <w:bCs/>
                <w:color w:val="auto"/>
                <w:kern w:val="0"/>
                <w:sz w:val="18"/>
                <w:szCs w:val="18"/>
                <w:highlight w:val="none"/>
              </w:rPr>
            </w:pPr>
            <w:r>
              <w:rPr>
                <w:b/>
                <w:bCs/>
                <w:color w:val="auto"/>
                <w:kern w:val="0"/>
                <w:sz w:val="18"/>
                <w:szCs w:val="18"/>
                <w:highlight w:val="none"/>
              </w:rPr>
              <w:t>计量</w:t>
            </w:r>
          </w:p>
          <w:p w14:paraId="5B084BC1">
            <w:pPr>
              <w:widowControl/>
              <w:spacing w:line="280" w:lineRule="exact"/>
              <w:jc w:val="center"/>
              <w:rPr>
                <w:b/>
                <w:bCs/>
                <w:color w:val="auto"/>
                <w:kern w:val="0"/>
                <w:sz w:val="18"/>
                <w:szCs w:val="18"/>
                <w:highlight w:val="none"/>
              </w:rPr>
            </w:pPr>
            <w:r>
              <w:rPr>
                <w:b/>
                <w:bCs/>
                <w:color w:val="auto"/>
                <w:kern w:val="0"/>
                <w:sz w:val="18"/>
                <w:szCs w:val="18"/>
                <w:highlight w:val="none"/>
              </w:rPr>
              <w:t>单位</w:t>
            </w:r>
          </w:p>
        </w:tc>
        <w:tc>
          <w:tcPr>
            <w:tcW w:w="1125" w:type="dxa"/>
            <w:shd w:val="clear" w:color="auto" w:fill="8DB3E2"/>
            <w:vAlign w:val="center"/>
          </w:tcPr>
          <w:p w14:paraId="591BD9F6">
            <w:pPr>
              <w:widowControl/>
              <w:spacing w:line="280" w:lineRule="exact"/>
              <w:jc w:val="center"/>
              <w:rPr>
                <w:b/>
                <w:bCs/>
                <w:color w:val="auto"/>
                <w:kern w:val="0"/>
                <w:sz w:val="18"/>
                <w:szCs w:val="18"/>
                <w:highlight w:val="none"/>
              </w:rPr>
            </w:pPr>
            <w:r>
              <w:rPr>
                <w:b/>
                <w:bCs/>
                <w:color w:val="auto"/>
                <w:kern w:val="0"/>
                <w:sz w:val="18"/>
                <w:szCs w:val="18"/>
                <w:highlight w:val="none"/>
              </w:rPr>
              <w:t>大型</w:t>
            </w:r>
          </w:p>
        </w:tc>
        <w:tc>
          <w:tcPr>
            <w:tcW w:w="1701" w:type="dxa"/>
            <w:shd w:val="clear" w:color="auto" w:fill="8DB3E2"/>
            <w:vAlign w:val="center"/>
          </w:tcPr>
          <w:p w14:paraId="6A0C28AA">
            <w:pPr>
              <w:widowControl/>
              <w:spacing w:line="280" w:lineRule="exact"/>
              <w:jc w:val="center"/>
              <w:rPr>
                <w:b/>
                <w:bCs/>
                <w:color w:val="auto"/>
                <w:kern w:val="0"/>
                <w:sz w:val="18"/>
                <w:szCs w:val="18"/>
                <w:highlight w:val="none"/>
              </w:rPr>
            </w:pPr>
            <w:r>
              <w:rPr>
                <w:b/>
                <w:bCs/>
                <w:color w:val="auto"/>
                <w:kern w:val="0"/>
                <w:sz w:val="18"/>
                <w:szCs w:val="18"/>
                <w:highlight w:val="none"/>
              </w:rPr>
              <w:t>中型</w:t>
            </w:r>
          </w:p>
        </w:tc>
        <w:tc>
          <w:tcPr>
            <w:tcW w:w="1426" w:type="dxa"/>
            <w:shd w:val="clear" w:color="auto" w:fill="8DB3E2"/>
            <w:vAlign w:val="center"/>
          </w:tcPr>
          <w:p w14:paraId="4E6FA9DF">
            <w:pPr>
              <w:widowControl/>
              <w:spacing w:line="280" w:lineRule="exact"/>
              <w:jc w:val="center"/>
              <w:rPr>
                <w:b/>
                <w:bCs/>
                <w:color w:val="auto"/>
                <w:kern w:val="0"/>
                <w:sz w:val="18"/>
                <w:szCs w:val="18"/>
                <w:highlight w:val="none"/>
              </w:rPr>
            </w:pPr>
            <w:r>
              <w:rPr>
                <w:b/>
                <w:bCs/>
                <w:color w:val="auto"/>
                <w:kern w:val="0"/>
                <w:sz w:val="18"/>
                <w:szCs w:val="18"/>
                <w:highlight w:val="none"/>
              </w:rPr>
              <w:t>小型</w:t>
            </w:r>
          </w:p>
        </w:tc>
        <w:tc>
          <w:tcPr>
            <w:tcW w:w="992" w:type="dxa"/>
            <w:shd w:val="clear" w:color="auto" w:fill="8DB3E2"/>
            <w:vAlign w:val="center"/>
          </w:tcPr>
          <w:p w14:paraId="72C1063C">
            <w:pPr>
              <w:widowControl/>
              <w:spacing w:line="280" w:lineRule="exact"/>
              <w:jc w:val="center"/>
              <w:rPr>
                <w:b/>
                <w:bCs/>
                <w:color w:val="auto"/>
                <w:kern w:val="0"/>
                <w:sz w:val="18"/>
                <w:szCs w:val="18"/>
                <w:highlight w:val="none"/>
              </w:rPr>
            </w:pPr>
            <w:r>
              <w:rPr>
                <w:b/>
                <w:bCs/>
                <w:color w:val="auto"/>
                <w:kern w:val="0"/>
                <w:sz w:val="18"/>
                <w:szCs w:val="18"/>
                <w:highlight w:val="none"/>
              </w:rPr>
              <w:t>微型</w:t>
            </w:r>
          </w:p>
        </w:tc>
      </w:tr>
      <w:tr w14:paraId="4DCB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F4472DE">
            <w:pPr>
              <w:widowControl/>
              <w:spacing w:line="280" w:lineRule="exact"/>
              <w:jc w:val="left"/>
              <w:rPr>
                <w:color w:val="auto"/>
                <w:kern w:val="0"/>
                <w:sz w:val="18"/>
                <w:szCs w:val="18"/>
                <w:highlight w:val="none"/>
              </w:rPr>
            </w:pPr>
            <w:r>
              <w:rPr>
                <w:color w:val="auto"/>
                <w:kern w:val="0"/>
                <w:sz w:val="18"/>
                <w:szCs w:val="18"/>
                <w:highlight w:val="none"/>
              </w:rPr>
              <w:t>农、林、牧、渔业</w:t>
            </w:r>
          </w:p>
        </w:tc>
        <w:tc>
          <w:tcPr>
            <w:tcW w:w="1369" w:type="dxa"/>
            <w:vAlign w:val="center"/>
          </w:tcPr>
          <w:p w14:paraId="65611483">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0D780BCF">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4BA8342F">
            <w:pPr>
              <w:widowControl/>
              <w:spacing w:line="280" w:lineRule="exact"/>
              <w:jc w:val="center"/>
              <w:rPr>
                <w:color w:val="auto"/>
                <w:kern w:val="0"/>
                <w:sz w:val="18"/>
                <w:szCs w:val="18"/>
                <w:highlight w:val="none"/>
              </w:rPr>
            </w:pPr>
            <w:r>
              <w:rPr>
                <w:color w:val="auto"/>
                <w:kern w:val="0"/>
                <w:sz w:val="18"/>
                <w:szCs w:val="18"/>
                <w:highlight w:val="none"/>
              </w:rPr>
              <w:t>Y≥20000</w:t>
            </w:r>
          </w:p>
        </w:tc>
        <w:tc>
          <w:tcPr>
            <w:tcW w:w="1701" w:type="dxa"/>
            <w:vAlign w:val="center"/>
          </w:tcPr>
          <w:p w14:paraId="5148F14F">
            <w:pPr>
              <w:widowControl/>
              <w:spacing w:line="280" w:lineRule="exact"/>
              <w:jc w:val="center"/>
              <w:rPr>
                <w:color w:val="auto"/>
                <w:kern w:val="0"/>
                <w:sz w:val="18"/>
                <w:szCs w:val="18"/>
                <w:highlight w:val="none"/>
              </w:rPr>
            </w:pPr>
            <w:r>
              <w:rPr>
                <w:color w:val="auto"/>
                <w:kern w:val="0"/>
                <w:sz w:val="18"/>
                <w:szCs w:val="18"/>
                <w:highlight w:val="none"/>
              </w:rPr>
              <w:t>500≤Y＜20000</w:t>
            </w:r>
          </w:p>
        </w:tc>
        <w:tc>
          <w:tcPr>
            <w:tcW w:w="1426" w:type="dxa"/>
            <w:vAlign w:val="center"/>
          </w:tcPr>
          <w:p w14:paraId="61847D0B">
            <w:pPr>
              <w:widowControl/>
              <w:spacing w:line="280" w:lineRule="exact"/>
              <w:jc w:val="center"/>
              <w:rPr>
                <w:color w:val="auto"/>
                <w:kern w:val="0"/>
                <w:sz w:val="18"/>
                <w:szCs w:val="18"/>
                <w:highlight w:val="none"/>
              </w:rPr>
            </w:pPr>
            <w:r>
              <w:rPr>
                <w:color w:val="auto"/>
                <w:kern w:val="0"/>
                <w:sz w:val="18"/>
                <w:szCs w:val="18"/>
                <w:highlight w:val="none"/>
              </w:rPr>
              <w:t>50≤Y＜500</w:t>
            </w:r>
          </w:p>
        </w:tc>
        <w:tc>
          <w:tcPr>
            <w:tcW w:w="992" w:type="dxa"/>
            <w:vAlign w:val="center"/>
          </w:tcPr>
          <w:p w14:paraId="33CB0504">
            <w:pPr>
              <w:widowControl/>
              <w:spacing w:line="280" w:lineRule="exact"/>
              <w:jc w:val="center"/>
              <w:rPr>
                <w:color w:val="auto"/>
                <w:kern w:val="0"/>
                <w:sz w:val="18"/>
                <w:szCs w:val="18"/>
                <w:highlight w:val="none"/>
              </w:rPr>
            </w:pPr>
            <w:r>
              <w:rPr>
                <w:color w:val="auto"/>
                <w:kern w:val="0"/>
                <w:sz w:val="18"/>
                <w:szCs w:val="18"/>
                <w:highlight w:val="none"/>
              </w:rPr>
              <w:t>Y＜50</w:t>
            </w:r>
          </w:p>
        </w:tc>
      </w:tr>
      <w:tr w14:paraId="19A0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84F5E2">
            <w:pPr>
              <w:widowControl/>
              <w:spacing w:line="280" w:lineRule="exact"/>
              <w:jc w:val="left"/>
              <w:rPr>
                <w:color w:val="auto"/>
                <w:kern w:val="0"/>
                <w:sz w:val="18"/>
                <w:szCs w:val="18"/>
                <w:highlight w:val="none"/>
              </w:rPr>
            </w:pPr>
            <w:r>
              <w:rPr>
                <w:color w:val="auto"/>
                <w:kern w:val="0"/>
                <w:sz w:val="18"/>
                <w:szCs w:val="18"/>
                <w:highlight w:val="none"/>
              </w:rPr>
              <w:t>工业 *</w:t>
            </w:r>
          </w:p>
        </w:tc>
        <w:tc>
          <w:tcPr>
            <w:tcW w:w="1369" w:type="dxa"/>
            <w:vAlign w:val="center"/>
          </w:tcPr>
          <w:p w14:paraId="00FE2016">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1788EC85">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05F7F246">
            <w:pPr>
              <w:widowControl/>
              <w:spacing w:line="280" w:lineRule="exact"/>
              <w:jc w:val="center"/>
              <w:rPr>
                <w:color w:val="auto"/>
                <w:kern w:val="0"/>
                <w:sz w:val="18"/>
                <w:szCs w:val="18"/>
                <w:highlight w:val="none"/>
              </w:rPr>
            </w:pPr>
            <w:r>
              <w:rPr>
                <w:color w:val="auto"/>
                <w:kern w:val="0"/>
                <w:sz w:val="18"/>
                <w:szCs w:val="18"/>
                <w:highlight w:val="none"/>
              </w:rPr>
              <w:t>X≥1000</w:t>
            </w:r>
          </w:p>
        </w:tc>
        <w:tc>
          <w:tcPr>
            <w:tcW w:w="1701" w:type="dxa"/>
            <w:vAlign w:val="center"/>
          </w:tcPr>
          <w:p w14:paraId="4118BB8A">
            <w:pPr>
              <w:widowControl/>
              <w:spacing w:line="280" w:lineRule="exact"/>
              <w:jc w:val="center"/>
              <w:rPr>
                <w:color w:val="auto"/>
                <w:kern w:val="0"/>
                <w:sz w:val="18"/>
                <w:szCs w:val="18"/>
                <w:highlight w:val="none"/>
              </w:rPr>
            </w:pPr>
            <w:r>
              <w:rPr>
                <w:color w:val="auto"/>
                <w:kern w:val="0"/>
                <w:sz w:val="18"/>
                <w:szCs w:val="18"/>
                <w:highlight w:val="none"/>
              </w:rPr>
              <w:t>300≤X＜1000</w:t>
            </w:r>
          </w:p>
        </w:tc>
        <w:tc>
          <w:tcPr>
            <w:tcW w:w="1426" w:type="dxa"/>
            <w:vAlign w:val="center"/>
          </w:tcPr>
          <w:p w14:paraId="43EACFC7">
            <w:pPr>
              <w:widowControl/>
              <w:spacing w:line="280" w:lineRule="exact"/>
              <w:jc w:val="center"/>
              <w:rPr>
                <w:color w:val="auto"/>
                <w:kern w:val="0"/>
                <w:sz w:val="18"/>
                <w:szCs w:val="18"/>
                <w:highlight w:val="none"/>
              </w:rPr>
            </w:pPr>
            <w:r>
              <w:rPr>
                <w:color w:val="auto"/>
                <w:kern w:val="0"/>
                <w:sz w:val="18"/>
                <w:szCs w:val="18"/>
                <w:highlight w:val="none"/>
              </w:rPr>
              <w:t>20≤X＜300</w:t>
            </w:r>
          </w:p>
        </w:tc>
        <w:tc>
          <w:tcPr>
            <w:tcW w:w="992" w:type="dxa"/>
            <w:vAlign w:val="center"/>
          </w:tcPr>
          <w:p w14:paraId="49935909">
            <w:pPr>
              <w:widowControl/>
              <w:spacing w:line="280" w:lineRule="exact"/>
              <w:jc w:val="center"/>
              <w:rPr>
                <w:color w:val="auto"/>
                <w:kern w:val="0"/>
                <w:sz w:val="18"/>
                <w:szCs w:val="18"/>
                <w:highlight w:val="none"/>
              </w:rPr>
            </w:pPr>
            <w:r>
              <w:rPr>
                <w:color w:val="auto"/>
                <w:kern w:val="0"/>
                <w:sz w:val="18"/>
                <w:szCs w:val="18"/>
                <w:highlight w:val="none"/>
              </w:rPr>
              <w:t>X＜20</w:t>
            </w:r>
          </w:p>
        </w:tc>
      </w:tr>
      <w:tr w14:paraId="124F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1B3B7B2">
            <w:pPr>
              <w:widowControl/>
              <w:spacing w:line="280" w:lineRule="exact"/>
              <w:jc w:val="left"/>
              <w:rPr>
                <w:color w:val="auto"/>
                <w:kern w:val="0"/>
                <w:sz w:val="18"/>
                <w:szCs w:val="18"/>
                <w:highlight w:val="none"/>
              </w:rPr>
            </w:pPr>
          </w:p>
        </w:tc>
        <w:tc>
          <w:tcPr>
            <w:tcW w:w="1369" w:type="dxa"/>
            <w:vAlign w:val="center"/>
          </w:tcPr>
          <w:p w14:paraId="38E8D5A0">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1B0E63F4">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1026567E">
            <w:pPr>
              <w:widowControl/>
              <w:spacing w:line="280" w:lineRule="exact"/>
              <w:jc w:val="center"/>
              <w:rPr>
                <w:color w:val="auto"/>
                <w:kern w:val="0"/>
                <w:sz w:val="18"/>
                <w:szCs w:val="18"/>
                <w:highlight w:val="none"/>
              </w:rPr>
            </w:pPr>
            <w:r>
              <w:rPr>
                <w:color w:val="auto"/>
                <w:kern w:val="0"/>
                <w:sz w:val="18"/>
                <w:szCs w:val="18"/>
                <w:highlight w:val="none"/>
              </w:rPr>
              <w:t>Y≥40000</w:t>
            </w:r>
          </w:p>
        </w:tc>
        <w:tc>
          <w:tcPr>
            <w:tcW w:w="1701" w:type="dxa"/>
            <w:vAlign w:val="center"/>
          </w:tcPr>
          <w:p w14:paraId="0C75FF62">
            <w:pPr>
              <w:widowControl/>
              <w:spacing w:line="280" w:lineRule="exact"/>
              <w:jc w:val="center"/>
              <w:rPr>
                <w:color w:val="auto"/>
                <w:kern w:val="0"/>
                <w:sz w:val="18"/>
                <w:szCs w:val="18"/>
                <w:highlight w:val="none"/>
              </w:rPr>
            </w:pPr>
            <w:r>
              <w:rPr>
                <w:color w:val="auto"/>
                <w:kern w:val="0"/>
                <w:sz w:val="18"/>
                <w:szCs w:val="18"/>
                <w:highlight w:val="none"/>
              </w:rPr>
              <w:t>2000≤Y＜40000</w:t>
            </w:r>
          </w:p>
        </w:tc>
        <w:tc>
          <w:tcPr>
            <w:tcW w:w="1426" w:type="dxa"/>
            <w:vAlign w:val="center"/>
          </w:tcPr>
          <w:p w14:paraId="5F362202">
            <w:pPr>
              <w:widowControl/>
              <w:spacing w:line="280" w:lineRule="exact"/>
              <w:jc w:val="center"/>
              <w:rPr>
                <w:color w:val="auto"/>
                <w:kern w:val="0"/>
                <w:sz w:val="18"/>
                <w:szCs w:val="18"/>
                <w:highlight w:val="none"/>
              </w:rPr>
            </w:pPr>
            <w:r>
              <w:rPr>
                <w:color w:val="auto"/>
                <w:kern w:val="0"/>
                <w:sz w:val="18"/>
                <w:szCs w:val="18"/>
                <w:highlight w:val="none"/>
              </w:rPr>
              <w:t>300≤Y＜2000</w:t>
            </w:r>
          </w:p>
        </w:tc>
        <w:tc>
          <w:tcPr>
            <w:tcW w:w="992" w:type="dxa"/>
            <w:vAlign w:val="center"/>
          </w:tcPr>
          <w:p w14:paraId="2C25032D">
            <w:pPr>
              <w:widowControl/>
              <w:spacing w:line="280" w:lineRule="exact"/>
              <w:jc w:val="center"/>
              <w:rPr>
                <w:color w:val="auto"/>
                <w:kern w:val="0"/>
                <w:sz w:val="18"/>
                <w:szCs w:val="18"/>
                <w:highlight w:val="none"/>
              </w:rPr>
            </w:pPr>
            <w:r>
              <w:rPr>
                <w:color w:val="auto"/>
                <w:kern w:val="0"/>
                <w:sz w:val="18"/>
                <w:szCs w:val="18"/>
                <w:highlight w:val="none"/>
              </w:rPr>
              <w:t>Y＜300</w:t>
            </w:r>
          </w:p>
        </w:tc>
      </w:tr>
      <w:tr w14:paraId="52F6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32D8BC">
            <w:pPr>
              <w:widowControl/>
              <w:spacing w:line="280" w:lineRule="exact"/>
              <w:jc w:val="left"/>
              <w:rPr>
                <w:color w:val="auto"/>
                <w:kern w:val="0"/>
                <w:sz w:val="18"/>
                <w:szCs w:val="18"/>
                <w:highlight w:val="none"/>
              </w:rPr>
            </w:pPr>
            <w:r>
              <w:rPr>
                <w:color w:val="auto"/>
                <w:kern w:val="0"/>
                <w:sz w:val="18"/>
                <w:szCs w:val="18"/>
                <w:highlight w:val="none"/>
              </w:rPr>
              <w:t>建筑业</w:t>
            </w:r>
          </w:p>
        </w:tc>
        <w:tc>
          <w:tcPr>
            <w:tcW w:w="1369" w:type="dxa"/>
            <w:vAlign w:val="center"/>
          </w:tcPr>
          <w:p w14:paraId="04A79DF6">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1D0F5E41">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386B4ECB">
            <w:pPr>
              <w:widowControl/>
              <w:spacing w:line="280" w:lineRule="exact"/>
              <w:jc w:val="center"/>
              <w:rPr>
                <w:color w:val="auto"/>
                <w:kern w:val="0"/>
                <w:sz w:val="18"/>
                <w:szCs w:val="18"/>
                <w:highlight w:val="none"/>
              </w:rPr>
            </w:pPr>
            <w:r>
              <w:rPr>
                <w:color w:val="auto"/>
                <w:kern w:val="0"/>
                <w:sz w:val="18"/>
                <w:szCs w:val="18"/>
                <w:highlight w:val="none"/>
              </w:rPr>
              <w:t>Y≥80000</w:t>
            </w:r>
          </w:p>
        </w:tc>
        <w:tc>
          <w:tcPr>
            <w:tcW w:w="1701" w:type="dxa"/>
            <w:vAlign w:val="center"/>
          </w:tcPr>
          <w:p w14:paraId="66E7EC2E">
            <w:pPr>
              <w:widowControl/>
              <w:spacing w:line="280" w:lineRule="exact"/>
              <w:jc w:val="center"/>
              <w:rPr>
                <w:color w:val="auto"/>
                <w:kern w:val="0"/>
                <w:sz w:val="18"/>
                <w:szCs w:val="18"/>
                <w:highlight w:val="none"/>
              </w:rPr>
            </w:pPr>
            <w:r>
              <w:rPr>
                <w:color w:val="auto"/>
                <w:kern w:val="0"/>
                <w:sz w:val="18"/>
                <w:szCs w:val="18"/>
                <w:highlight w:val="none"/>
              </w:rPr>
              <w:t>6000≤Y＜80000</w:t>
            </w:r>
          </w:p>
        </w:tc>
        <w:tc>
          <w:tcPr>
            <w:tcW w:w="1426" w:type="dxa"/>
            <w:vAlign w:val="center"/>
          </w:tcPr>
          <w:p w14:paraId="23E46D9F">
            <w:pPr>
              <w:widowControl/>
              <w:spacing w:line="280" w:lineRule="exact"/>
              <w:jc w:val="center"/>
              <w:rPr>
                <w:color w:val="auto"/>
                <w:kern w:val="0"/>
                <w:sz w:val="18"/>
                <w:szCs w:val="18"/>
                <w:highlight w:val="none"/>
              </w:rPr>
            </w:pPr>
            <w:r>
              <w:rPr>
                <w:color w:val="auto"/>
                <w:kern w:val="0"/>
                <w:sz w:val="18"/>
                <w:szCs w:val="18"/>
                <w:highlight w:val="none"/>
              </w:rPr>
              <w:t>300≤Y＜6000</w:t>
            </w:r>
          </w:p>
        </w:tc>
        <w:tc>
          <w:tcPr>
            <w:tcW w:w="992" w:type="dxa"/>
            <w:vAlign w:val="center"/>
          </w:tcPr>
          <w:p w14:paraId="40EBED9A">
            <w:pPr>
              <w:widowControl/>
              <w:spacing w:line="280" w:lineRule="exact"/>
              <w:jc w:val="center"/>
              <w:rPr>
                <w:color w:val="auto"/>
                <w:kern w:val="0"/>
                <w:sz w:val="18"/>
                <w:szCs w:val="18"/>
                <w:highlight w:val="none"/>
              </w:rPr>
            </w:pPr>
            <w:r>
              <w:rPr>
                <w:color w:val="auto"/>
                <w:kern w:val="0"/>
                <w:sz w:val="18"/>
                <w:szCs w:val="18"/>
                <w:highlight w:val="none"/>
              </w:rPr>
              <w:t>Y＜300</w:t>
            </w:r>
          </w:p>
        </w:tc>
      </w:tr>
      <w:tr w14:paraId="159D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50F8A89">
            <w:pPr>
              <w:widowControl/>
              <w:spacing w:line="280" w:lineRule="exact"/>
              <w:jc w:val="left"/>
              <w:rPr>
                <w:color w:val="auto"/>
                <w:kern w:val="0"/>
                <w:sz w:val="18"/>
                <w:szCs w:val="18"/>
                <w:highlight w:val="none"/>
              </w:rPr>
            </w:pPr>
          </w:p>
        </w:tc>
        <w:tc>
          <w:tcPr>
            <w:tcW w:w="1369" w:type="dxa"/>
            <w:vAlign w:val="center"/>
          </w:tcPr>
          <w:p w14:paraId="0F7CD129">
            <w:pPr>
              <w:widowControl/>
              <w:spacing w:line="280" w:lineRule="exact"/>
              <w:jc w:val="center"/>
              <w:rPr>
                <w:color w:val="auto"/>
                <w:kern w:val="0"/>
                <w:sz w:val="18"/>
                <w:szCs w:val="18"/>
                <w:highlight w:val="none"/>
              </w:rPr>
            </w:pPr>
            <w:r>
              <w:rPr>
                <w:color w:val="auto"/>
                <w:kern w:val="0"/>
                <w:sz w:val="18"/>
                <w:szCs w:val="18"/>
                <w:highlight w:val="none"/>
              </w:rPr>
              <w:t>资产总额(Z)</w:t>
            </w:r>
          </w:p>
        </w:tc>
        <w:tc>
          <w:tcPr>
            <w:tcW w:w="709" w:type="dxa"/>
            <w:vAlign w:val="center"/>
          </w:tcPr>
          <w:p w14:paraId="75A1F16D">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1E98C0D1">
            <w:pPr>
              <w:widowControl/>
              <w:spacing w:line="280" w:lineRule="exact"/>
              <w:jc w:val="center"/>
              <w:rPr>
                <w:color w:val="auto"/>
                <w:kern w:val="0"/>
                <w:sz w:val="18"/>
                <w:szCs w:val="18"/>
                <w:highlight w:val="none"/>
              </w:rPr>
            </w:pPr>
            <w:r>
              <w:rPr>
                <w:color w:val="auto"/>
                <w:kern w:val="0"/>
                <w:sz w:val="18"/>
                <w:szCs w:val="18"/>
                <w:highlight w:val="none"/>
              </w:rPr>
              <w:t>Z≥80000</w:t>
            </w:r>
          </w:p>
        </w:tc>
        <w:tc>
          <w:tcPr>
            <w:tcW w:w="1701" w:type="dxa"/>
            <w:vAlign w:val="center"/>
          </w:tcPr>
          <w:p w14:paraId="3ACD7909">
            <w:pPr>
              <w:widowControl/>
              <w:spacing w:line="280" w:lineRule="exact"/>
              <w:jc w:val="center"/>
              <w:rPr>
                <w:color w:val="auto"/>
                <w:kern w:val="0"/>
                <w:sz w:val="18"/>
                <w:szCs w:val="18"/>
                <w:highlight w:val="none"/>
              </w:rPr>
            </w:pPr>
            <w:r>
              <w:rPr>
                <w:color w:val="auto"/>
                <w:kern w:val="0"/>
                <w:sz w:val="18"/>
                <w:szCs w:val="18"/>
                <w:highlight w:val="none"/>
              </w:rPr>
              <w:t>5000≤Z＜80000</w:t>
            </w:r>
          </w:p>
        </w:tc>
        <w:tc>
          <w:tcPr>
            <w:tcW w:w="1426" w:type="dxa"/>
            <w:vAlign w:val="center"/>
          </w:tcPr>
          <w:p w14:paraId="347F0077">
            <w:pPr>
              <w:widowControl/>
              <w:spacing w:line="280" w:lineRule="exact"/>
              <w:jc w:val="center"/>
              <w:rPr>
                <w:color w:val="auto"/>
                <w:kern w:val="0"/>
                <w:sz w:val="18"/>
                <w:szCs w:val="18"/>
                <w:highlight w:val="none"/>
              </w:rPr>
            </w:pPr>
            <w:r>
              <w:rPr>
                <w:color w:val="auto"/>
                <w:kern w:val="0"/>
                <w:sz w:val="18"/>
                <w:szCs w:val="18"/>
                <w:highlight w:val="none"/>
              </w:rPr>
              <w:t>300≤Z＜5000</w:t>
            </w:r>
          </w:p>
        </w:tc>
        <w:tc>
          <w:tcPr>
            <w:tcW w:w="992" w:type="dxa"/>
            <w:vAlign w:val="center"/>
          </w:tcPr>
          <w:p w14:paraId="276543E1">
            <w:pPr>
              <w:widowControl/>
              <w:spacing w:line="280" w:lineRule="exact"/>
              <w:jc w:val="center"/>
              <w:rPr>
                <w:color w:val="auto"/>
                <w:kern w:val="0"/>
                <w:sz w:val="18"/>
                <w:szCs w:val="18"/>
                <w:highlight w:val="none"/>
              </w:rPr>
            </w:pPr>
            <w:r>
              <w:rPr>
                <w:color w:val="auto"/>
                <w:kern w:val="0"/>
                <w:sz w:val="18"/>
                <w:szCs w:val="18"/>
                <w:highlight w:val="none"/>
              </w:rPr>
              <w:t>Z＜300</w:t>
            </w:r>
          </w:p>
        </w:tc>
      </w:tr>
      <w:tr w14:paraId="5A54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CCCBC77">
            <w:pPr>
              <w:widowControl/>
              <w:spacing w:line="280" w:lineRule="exact"/>
              <w:jc w:val="left"/>
              <w:rPr>
                <w:color w:val="auto"/>
                <w:kern w:val="0"/>
                <w:sz w:val="18"/>
                <w:szCs w:val="18"/>
                <w:highlight w:val="none"/>
              </w:rPr>
            </w:pPr>
            <w:r>
              <w:rPr>
                <w:color w:val="auto"/>
                <w:kern w:val="0"/>
                <w:sz w:val="18"/>
                <w:szCs w:val="18"/>
                <w:highlight w:val="none"/>
              </w:rPr>
              <w:t>批发业</w:t>
            </w:r>
          </w:p>
        </w:tc>
        <w:tc>
          <w:tcPr>
            <w:tcW w:w="1369" w:type="dxa"/>
            <w:vAlign w:val="center"/>
          </w:tcPr>
          <w:p w14:paraId="0EA0EDC7">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4F8EB6D0">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19AAF7AB">
            <w:pPr>
              <w:widowControl/>
              <w:spacing w:line="280" w:lineRule="exact"/>
              <w:jc w:val="center"/>
              <w:rPr>
                <w:color w:val="auto"/>
                <w:kern w:val="0"/>
                <w:sz w:val="18"/>
                <w:szCs w:val="18"/>
                <w:highlight w:val="none"/>
              </w:rPr>
            </w:pPr>
            <w:r>
              <w:rPr>
                <w:color w:val="auto"/>
                <w:kern w:val="0"/>
                <w:sz w:val="18"/>
                <w:szCs w:val="18"/>
                <w:highlight w:val="none"/>
              </w:rPr>
              <w:t>X≥200</w:t>
            </w:r>
          </w:p>
        </w:tc>
        <w:tc>
          <w:tcPr>
            <w:tcW w:w="1701" w:type="dxa"/>
            <w:vAlign w:val="center"/>
          </w:tcPr>
          <w:p w14:paraId="31907EC9">
            <w:pPr>
              <w:widowControl/>
              <w:spacing w:line="280" w:lineRule="exact"/>
              <w:jc w:val="center"/>
              <w:rPr>
                <w:color w:val="auto"/>
                <w:kern w:val="0"/>
                <w:sz w:val="18"/>
                <w:szCs w:val="18"/>
                <w:highlight w:val="none"/>
              </w:rPr>
            </w:pPr>
            <w:r>
              <w:rPr>
                <w:color w:val="auto"/>
                <w:kern w:val="0"/>
                <w:sz w:val="18"/>
                <w:szCs w:val="18"/>
                <w:highlight w:val="none"/>
              </w:rPr>
              <w:t>20≤X＜200</w:t>
            </w:r>
          </w:p>
        </w:tc>
        <w:tc>
          <w:tcPr>
            <w:tcW w:w="1426" w:type="dxa"/>
            <w:vAlign w:val="center"/>
          </w:tcPr>
          <w:p w14:paraId="52ED6D6C">
            <w:pPr>
              <w:widowControl/>
              <w:spacing w:line="280" w:lineRule="exact"/>
              <w:jc w:val="center"/>
              <w:rPr>
                <w:color w:val="auto"/>
                <w:kern w:val="0"/>
                <w:sz w:val="18"/>
                <w:szCs w:val="18"/>
                <w:highlight w:val="none"/>
              </w:rPr>
            </w:pPr>
            <w:r>
              <w:rPr>
                <w:color w:val="auto"/>
                <w:kern w:val="0"/>
                <w:sz w:val="18"/>
                <w:szCs w:val="18"/>
                <w:highlight w:val="none"/>
              </w:rPr>
              <w:t>5≤X＜20</w:t>
            </w:r>
          </w:p>
        </w:tc>
        <w:tc>
          <w:tcPr>
            <w:tcW w:w="992" w:type="dxa"/>
            <w:vAlign w:val="center"/>
          </w:tcPr>
          <w:p w14:paraId="372CA404">
            <w:pPr>
              <w:widowControl/>
              <w:spacing w:line="280" w:lineRule="exact"/>
              <w:jc w:val="center"/>
              <w:rPr>
                <w:color w:val="auto"/>
                <w:kern w:val="0"/>
                <w:sz w:val="18"/>
                <w:szCs w:val="18"/>
                <w:highlight w:val="none"/>
              </w:rPr>
            </w:pPr>
            <w:r>
              <w:rPr>
                <w:color w:val="auto"/>
                <w:kern w:val="0"/>
                <w:sz w:val="18"/>
                <w:szCs w:val="18"/>
                <w:highlight w:val="none"/>
              </w:rPr>
              <w:t>X＜5</w:t>
            </w:r>
          </w:p>
        </w:tc>
      </w:tr>
      <w:tr w14:paraId="6120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92F6F9">
            <w:pPr>
              <w:widowControl/>
              <w:spacing w:line="280" w:lineRule="exact"/>
              <w:jc w:val="left"/>
              <w:rPr>
                <w:color w:val="auto"/>
                <w:kern w:val="0"/>
                <w:sz w:val="18"/>
                <w:szCs w:val="18"/>
                <w:highlight w:val="none"/>
              </w:rPr>
            </w:pPr>
          </w:p>
        </w:tc>
        <w:tc>
          <w:tcPr>
            <w:tcW w:w="1369" w:type="dxa"/>
            <w:vAlign w:val="center"/>
          </w:tcPr>
          <w:p w14:paraId="5E034A1F">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32D0E7EE">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5E0FCB95">
            <w:pPr>
              <w:widowControl/>
              <w:spacing w:line="280" w:lineRule="exact"/>
              <w:jc w:val="center"/>
              <w:rPr>
                <w:color w:val="auto"/>
                <w:kern w:val="0"/>
                <w:sz w:val="18"/>
                <w:szCs w:val="18"/>
                <w:highlight w:val="none"/>
              </w:rPr>
            </w:pPr>
            <w:r>
              <w:rPr>
                <w:color w:val="auto"/>
                <w:kern w:val="0"/>
                <w:sz w:val="18"/>
                <w:szCs w:val="18"/>
                <w:highlight w:val="none"/>
              </w:rPr>
              <w:t>Y≥40000</w:t>
            </w:r>
          </w:p>
        </w:tc>
        <w:tc>
          <w:tcPr>
            <w:tcW w:w="1701" w:type="dxa"/>
            <w:vAlign w:val="center"/>
          </w:tcPr>
          <w:p w14:paraId="285731D6">
            <w:pPr>
              <w:widowControl/>
              <w:spacing w:line="280" w:lineRule="exact"/>
              <w:jc w:val="center"/>
              <w:rPr>
                <w:color w:val="auto"/>
                <w:kern w:val="0"/>
                <w:sz w:val="18"/>
                <w:szCs w:val="18"/>
                <w:highlight w:val="none"/>
              </w:rPr>
            </w:pPr>
            <w:r>
              <w:rPr>
                <w:color w:val="auto"/>
                <w:kern w:val="0"/>
                <w:sz w:val="18"/>
                <w:szCs w:val="18"/>
                <w:highlight w:val="none"/>
              </w:rPr>
              <w:t>5000≤Y＜40000</w:t>
            </w:r>
          </w:p>
        </w:tc>
        <w:tc>
          <w:tcPr>
            <w:tcW w:w="1426" w:type="dxa"/>
            <w:vAlign w:val="center"/>
          </w:tcPr>
          <w:p w14:paraId="43F185DC">
            <w:pPr>
              <w:widowControl/>
              <w:spacing w:line="280" w:lineRule="exact"/>
              <w:ind w:left="-1" w:leftChars="-1" w:hanging="1"/>
              <w:jc w:val="center"/>
              <w:rPr>
                <w:color w:val="auto"/>
                <w:kern w:val="0"/>
                <w:sz w:val="18"/>
                <w:szCs w:val="18"/>
                <w:highlight w:val="none"/>
              </w:rPr>
            </w:pPr>
            <w:r>
              <w:rPr>
                <w:color w:val="auto"/>
                <w:kern w:val="0"/>
                <w:sz w:val="18"/>
                <w:szCs w:val="18"/>
                <w:highlight w:val="none"/>
              </w:rPr>
              <w:t>1000≤Y＜5000</w:t>
            </w:r>
          </w:p>
        </w:tc>
        <w:tc>
          <w:tcPr>
            <w:tcW w:w="992" w:type="dxa"/>
            <w:vAlign w:val="center"/>
          </w:tcPr>
          <w:p w14:paraId="4BF9BF7C">
            <w:pPr>
              <w:widowControl/>
              <w:spacing w:line="280" w:lineRule="exact"/>
              <w:jc w:val="center"/>
              <w:rPr>
                <w:color w:val="auto"/>
                <w:kern w:val="0"/>
                <w:sz w:val="18"/>
                <w:szCs w:val="18"/>
                <w:highlight w:val="none"/>
              </w:rPr>
            </w:pPr>
            <w:r>
              <w:rPr>
                <w:color w:val="auto"/>
                <w:kern w:val="0"/>
                <w:sz w:val="18"/>
                <w:szCs w:val="18"/>
                <w:highlight w:val="none"/>
              </w:rPr>
              <w:t>Y＜1000</w:t>
            </w:r>
          </w:p>
        </w:tc>
      </w:tr>
      <w:tr w14:paraId="464B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928D694">
            <w:pPr>
              <w:widowControl/>
              <w:spacing w:line="280" w:lineRule="exact"/>
              <w:jc w:val="left"/>
              <w:rPr>
                <w:color w:val="auto"/>
                <w:kern w:val="0"/>
                <w:sz w:val="18"/>
                <w:szCs w:val="18"/>
                <w:highlight w:val="none"/>
              </w:rPr>
            </w:pPr>
            <w:r>
              <w:rPr>
                <w:color w:val="auto"/>
                <w:kern w:val="0"/>
                <w:sz w:val="18"/>
                <w:szCs w:val="18"/>
                <w:highlight w:val="none"/>
              </w:rPr>
              <w:t>零售业</w:t>
            </w:r>
          </w:p>
        </w:tc>
        <w:tc>
          <w:tcPr>
            <w:tcW w:w="1369" w:type="dxa"/>
            <w:vAlign w:val="center"/>
          </w:tcPr>
          <w:p w14:paraId="7C62EA0B">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47EFE8D9">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4D05075E">
            <w:pPr>
              <w:widowControl/>
              <w:spacing w:line="280" w:lineRule="exact"/>
              <w:jc w:val="center"/>
              <w:rPr>
                <w:color w:val="auto"/>
                <w:kern w:val="0"/>
                <w:sz w:val="18"/>
                <w:szCs w:val="18"/>
                <w:highlight w:val="none"/>
              </w:rPr>
            </w:pPr>
            <w:r>
              <w:rPr>
                <w:color w:val="auto"/>
                <w:kern w:val="0"/>
                <w:sz w:val="18"/>
                <w:szCs w:val="18"/>
                <w:highlight w:val="none"/>
              </w:rPr>
              <w:t>X≥300</w:t>
            </w:r>
          </w:p>
        </w:tc>
        <w:tc>
          <w:tcPr>
            <w:tcW w:w="1701" w:type="dxa"/>
            <w:vAlign w:val="center"/>
          </w:tcPr>
          <w:p w14:paraId="35398B96">
            <w:pPr>
              <w:widowControl/>
              <w:spacing w:line="280" w:lineRule="exact"/>
              <w:jc w:val="center"/>
              <w:rPr>
                <w:color w:val="auto"/>
                <w:kern w:val="0"/>
                <w:sz w:val="18"/>
                <w:szCs w:val="18"/>
                <w:highlight w:val="none"/>
              </w:rPr>
            </w:pPr>
            <w:r>
              <w:rPr>
                <w:color w:val="auto"/>
                <w:kern w:val="0"/>
                <w:sz w:val="18"/>
                <w:szCs w:val="18"/>
                <w:highlight w:val="none"/>
              </w:rPr>
              <w:t>50≤X＜300</w:t>
            </w:r>
          </w:p>
        </w:tc>
        <w:tc>
          <w:tcPr>
            <w:tcW w:w="1426" w:type="dxa"/>
            <w:vAlign w:val="center"/>
          </w:tcPr>
          <w:p w14:paraId="0132ABDF">
            <w:pPr>
              <w:widowControl/>
              <w:spacing w:line="280" w:lineRule="exact"/>
              <w:ind w:left="-1" w:leftChars="-1" w:hanging="1"/>
              <w:jc w:val="center"/>
              <w:rPr>
                <w:color w:val="auto"/>
                <w:kern w:val="0"/>
                <w:sz w:val="18"/>
                <w:szCs w:val="18"/>
                <w:highlight w:val="none"/>
              </w:rPr>
            </w:pPr>
            <w:r>
              <w:rPr>
                <w:color w:val="auto"/>
                <w:kern w:val="0"/>
                <w:sz w:val="18"/>
                <w:szCs w:val="18"/>
                <w:highlight w:val="none"/>
              </w:rPr>
              <w:t xml:space="preserve">10≤X＜50 </w:t>
            </w:r>
          </w:p>
        </w:tc>
        <w:tc>
          <w:tcPr>
            <w:tcW w:w="992" w:type="dxa"/>
            <w:vAlign w:val="center"/>
          </w:tcPr>
          <w:p w14:paraId="29719AE5">
            <w:pPr>
              <w:widowControl/>
              <w:spacing w:line="280" w:lineRule="exact"/>
              <w:jc w:val="center"/>
              <w:rPr>
                <w:color w:val="auto"/>
                <w:kern w:val="0"/>
                <w:sz w:val="18"/>
                <w:szCs w:val="18"/>
                <w:highlight w:val="none"/>
              </w:rPr>
            </w:pPr>
            <w:r>
              <w:rPr>
                <w:color w:val="auto"/>
                <w:kern w:val="0"/>
                <w:sz w:val="18"/>
                <w:szCs w:val="18"/>
                <w:highlight w:val="none"/>
              </w:rPr>
              <w:t>X＜10</w:t>
            </w:r>
          </w:p>
        </w:tc>
      </w:tr>
      <w:tr w14:paraId="70FC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935E1D">
            <w:pPr>
              <w:widowControl/>
              <w:spacing w:line="280" w:lineRule="exact"/>
              <w:jc w:val="left"/>
              <w:rPr>
                <w:color w:val="auto"/>
                <w:kern w:val="0"/>
                <w:sz w:val="18"/>
                <w:szCs w:val="18"/>
                <w:highlight w:val="none"/>
              </w:rPr>
            </w:pPr>
          </w:p>
        </w:tc>
        <w:tc>
          <w:tcPr>
            <w:tcW w:w="1369" w:type="dxa"/>
            <w:vAlign w:val="center"/>
          </w:tcPr>
          <w:p w14:paraId="3F658F6A">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4DBB27B6">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6F187DF3">
            <w:pPr>
              <w:widowControl/>
              <w:spacing w:line="280" w:lineRule="exact"/>
              <w:jc w:val="center"/>
              <w:rPr>
                <w:color w:val="auto"/>
                <w:kern w:val="0"/>
                <w:sz w:val="18"/>
                <w:szCs w:val="18"/>
                <w:highlight w:val="none"/>
              </w:rPr>
            </w:pPr>
            <w:r>
              <w:rPr>
                <w:color w:val="auto"/>
                <w:kern w:val="0"/>
                <w:sz w:val="18"/>
                <w:szCs w:val="18"/>
                <w:highlight w:val="none"/>
              </w:rPr>
              <w:t>Y≥20000</w:t>
            </w:r>
          </w:p>
        </w:tc>
        <w:tc>
          <w:tcPr>
            <w:tcW w:w="1701" w:type="dxa"/>
            <w:vAlign w:val="center"/>
          </w:tcPr>
          <w:p w14:paraId="3D273EE0">
            <w:pPr>
              <w:widowControl/>
              <w:spacing w:line="280" w:lineRule="exact"/>
              <w:jc w:val="center"/>
              <w:rPr>
                <w:color w:val="auto"/>
                <w:kern w:val="0"/>
                <w:sz w:val="18"/>
                <w:szCs w:val="18"/>
                <w:highlight w:val="none"/>
              </w:rPr>
            </w:pPr>
            <w:r>
              <w:rPr>
                <w:color w:val="auto"/>
                <w:kern w:val="0"/>
                <w:sz w:val="18"/>
                <w:szCs w:val="18"/>
                <w:highlight w:val="none"/>
              </w:rPr>
              <w:t>500≤Y＜20000</w:t>
            </w:r>
          </w:p>
        </w:tc>
        <w:tc>
          <w:tcPr>
            <w:tcW w:w="1426" w:type="dxa"/>
            <w:vAlign w:val="center"/>
          </w:tcPr>
          <w:p w14:paraId="16CDC728">
            <w:pPr>
              <w:widowControl/>
              <w:spacing w:line="280" w:lineRule="exact"/>
              <w:ind w:left="-1" w:leftChars="-1" w:hanging="1"/>
              <w:jc w:val="center"/>
              <w:rPr>
                <w:color w:val="auto"/>
                <w:kern w:val="0"/>
                <w:sz w:val="18"/>
                <w:szCs w:val="18"/>
                <w:highlight w:val="none"/>
              </w:rPr>
            </w:pPr>
            <w:r>
              <w:rPr>
                <w:color w:val="auto"/>
                <w:kern w:val="0"/>
                <w:sz w:val="18"/>
                <w:szCs w:val="18"/>
                <w:highlight w:val="none"/>
              </w:rPr>
              <w:t>100≤Y＜500</w:t>
            </w:r>
          </w:p>
        </w:tc>
        <w:tc>
          <w:tcPr>
            <w:tcW w:w="992" w:type="dxa"/>
            <w:vAlign w:val="center"/>
          </w:tcPr>
          <w:p w14:paraId="49840507">
            <w:pPr>
              <w:widowControl/>
              <w:spacing w:line="280" w:lineRule="exact"/>
              <w:jc w:val="center"/>
              <w:rPr>
                <w:color w:val="auto"/>
                <w:kern w:val="0"/>
                <w:sz w:val="18"/>
                <w:szCs w:val="18"/>
                <w:highlight w:val="none"/>
              </w:rPr>
            </w:pPr>
            <w:r>
              <w:rPr>
                <w:color w:val="auto"/>
                <w:kern w:val="0"/>
                <w:sz w:val="18"/>
                <w:szCs w:val="18"/>
                <w:highlight w:val="none"/>
              </w:rPr>
              <w:t>Y＜100</w:t>
            </w:r>
          </w:p>
        </w:tc>
      </w:tr>
      <w:tr w14:paraId="7C5C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restart"/>
            <w:vAlign w:val="center"/>
          </w:tcPr>
          <w:p w14:paraId="4AE72E5B">
            <w:pPr>
              <w:widowControl/>
              <w:spacing w:line="280" w:lineRule="exact"/>
              <w:jc w:val="left"/>
              <w:rPr>
                <w:color w:val="auto"/>
                <w:kern w:val="0"/>
                <w:sz w:val="18"/>
                <w:szCs w:val="18"/>
                <w:highlight w:val="none"/>
              </w:rPr>
            </w:pPr>
            <w:r>
              <w:rPr>
                <w:color w:val="auto"/>
                <w:kern w:val="0"/>
                <w:sz w:val="18"/>
                <w:szCs w:val="18"/>
                <w:highlight w:val="none"/>
              </w:rPr>
              <w:t>交通运输业 *</w:t>
            </w:r>
          </w:p>
        </w:tc>
        <w:tc>
          <w:tcPr>
            <w:tcW w:w="1369" w:type="dxa"/>
            <w:vAlign w:val="center"/>
          </w:tcPr>
          <w:p w14:paraId="1CFA98E8">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6933CA88">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14FB227A">
            <w:pPr>
              <w:widowControl/>
              <w:spacing w:line="280" w:lineRule="exact"/>
              <w:jc w:val="center"/>
              <w:rPr>
                <w:color w:val="auto"/>
                <w:kern w:val="0"/>
                <w:sz w:val="18"/>
                <w:szCs w:val="18"/>
                <w:highlight w:val="none"/>
              </w:rPr>
            </w:pPr>
            <w:r>
              <w:rPr>
                <w:color w:val="auto"/>
                <w:kern w:val="0"/>
                <w:sz w:val="18"/>
                <w:szCs w:val="18"/>
                <w:highlight w:val="none"/>
              </w:rPr>
              <w:t>X≥1000</w:t>
            </w:r>
          </w:p>
        </w:tc>
        <w:tc>
          <w:tcPr>
            <w:tcW w:w="1701" w:type="dxa"/>
            <w:vAlign w:val="center"/>
          </w:tcPr>
          <w:p w14:paraId="175CB124">
            <w:pPr>
              <w:widowControl/>
              <w:spacing w:line="280" w:lineRule="exact"/>
              <w:jc w:val="center"/>
              <w:rPr>
                <w:color w:val="auto"/>
                <w:kern w:val="0"/>
                <w:sz w:val="18"/>
                <w:szCs w:val="18"/>
                <w:highlight w:val="none"/>
              </w:rPr>
            </w:pPr>
            <w:r>
              <w:rPr>
                <w:color w:val="auto"/>
                <w:kern w:val="0"/>
                <w:sz w:val="18"/>
                <w:szCs w:val="18"/>
                <w:highlight w:val="none"/>
              </w:rPr>
              <w:t>300≤X＜1000</w:t>
            </w:r>
          </w:p>
        </w:tc>
        <w:tc>
          <w:tcPr>
            <w:tcW w:w="1426" w:type="dxa"/>
            <w:vAlign w:val="center"/>
          </w:tcPr>
          <w:p w14:paraId="005B14AB">
            <w:pPr>
              <w:widowControl/>
              <w:spacing w:line="280" w:lineRule="exact"/>
              <w:jc w:val="center"/>
              <w:rPr>
                <w:color w:val="auto"/>
                <w:kern w:val="0"/>
                <w:sz w:val="18"/>
                <w:szCs w:val="18"/>
                <w:highlight w:val="none"/>
              </w:rPr>
            </w:pPr>
            <w:r>
              <w:rPr>
                <w:color w:val="auto"/>
                <w:kern w:val="0"/>
                <w:sz w:val="18"/>
                <w:szCs w:val="18"/>
                <w:highlight w:val="none"/>
              </w:rPr>
              <w:t>20≤X＜300</w:t>
            </w:r>
          </w:p>
        </w:tc>
        <w:tc>
          <w:tcPr>
            <w:tcW w:w="992" w:type="dxa"/>
            <w:vAlign w:val="center"/>
          </w:tcPr>
          <w:p w14:paraId="3C2D4D89">
            <w:pPr>
              <w:widowControl/>
              <w:spacing w:line="280" w:lineRule="exact"/>
              <w:jc w:val="center"/>
              <w:rPr>
                <w:color w:val="auto"/>
                <w:kern w:val="0"/>
                <w:sz w:val="18"/>
                <w:szCs w:val="18"/>
                <w:highlight w:val="none"/>
              </w:rPr>
            </w:pPr>
            <w:r>
              <w:rPr>
                <w:color w:val="auto"/>
                <w:kern w:val="0"/>
                <w:sz w:val="18"/>
                <w:szCs w:val="18"/>
                <w:highlight w:val="none"/>
              </w:rPr>
              <w:t>X＜20</w:t>
            </w:r>
          </w:p>
        </w:tc>
      </w:tr>
      <w:tr w14:paraId="7F96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2CFCD9D">
            <w:pPr>
              <w:widowControl/>
              <w:spacing w:line="280" w:lineRule="exact"/>
              <w:jc w:val="left"/>
              <w:rPr>
                <w:color w:val="auto"/>
                <w:kern w:val="0"/>
                <w:sz w:val="18"/>
                <w:szCs w:val="18"/>
                <w:highlight w:val="none"/>
              </w:rPr>
            </w:pPr>
          </w:p>
        </w:tc>
        <w:tc>
          <w:tcPr>
            <w:tcW w:w="1369" w:type="dxa"/>
            <w:vAlign w:val="center"/>
          </w:tcPr>
          <w:p w14:paraId="6F18CF12">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2871934B">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4FF3260E">
            <w:pPr>
              <w:widowControl/>
              <w:spacing w:line="280" w:lineRule="exact"/>
              <w:jc w:val="center"/>
              <w:rPr>
                <w:color w:val="auto"/>
                <w:kern w:val="0"/>
                <w:sz w:val="18"/>
                <w:szCs w:val="18"/>
                <w:highlight w:val="none"/>
              </w:rPr>
            </w:pPr>
            <w:r>
              <w:rPr>
                <w:color w:val="auto"/>
                <w:kern w:val="0"/>
                <w:sz w:val="18"/>
                <w:szCs w:val="18"/>
                <w:highlight w:val="none"/>
              </w:rPr>
              <w:t>Y≥30000</w:t>
            </w:r>
          </w:p>
        </w:tc>
        <w:tc>
          <w:tcPr>
            <w:tcW w:w="1701" w:type="dxa"/>
            <w:vAlign w:val="center"/>
          </w:tcPr>
          <w:p w14:paraId="67C83426">
            <w:pPr>
              <w:widowControl/>
              <w:spacing w:line="280" w:lineRule="exact"/>
              <w:jc w:val="center"/>
              <w:rPr>
                <w:color w:val="auto"/>
                <w:kern w:val="0"/>
                <w:sz w:val="18"/>
                <w:szCs w:val="18"/>
                <w:highlight w:val="none"/>
              </w:rPr>
            </w:pPr>
            <w:r>
              <w:rPr>
                <w:color w:val="auto"/>
                <w:kern w:val="0"/>
                <w:sz w:val="18"/>
                <w:szCs w:val="18"/>
                <w:highlight w:val="none"/>
              </w:rPr>
              <w:t>3000≤Y＜30000</w:t>
            </w:r>
          </w:p>
        </w:tc>
        <w:tc>
          <w:tcPr>
            <w:tcW w:w="1426" w:type="dxa"/>
            <w:vAlign w:val="center"/>
          </w:tcPr>
          <w:p w14:paraId="3CB4456A">
            <w:pPr>
              <w:widowControl/>
              <w:spacing w:line="280" w:lineRule="exact"/>
              <w:jc w:val="center"/>
              <w:rPr>
                <w:color w:val="auto"/>
                <w:kern w:val="0"/>
                <w:sz w:val="18"/>
                <w:szCs w:val="18"/>
                <w:highlight w:val="none"/>
              </w:rPr>
            </w:pPr>
            <w:r>
              <w:rPr>
                <w:color w:val="auto"/>
                <w:kern w:val="0"/>
                <w:sz w:val="18"/>
                <w:szCs w:val="18"/>
                <w:highlight w:val="none"/>
              </w:rPr>
              <w:t>200≤Y＜3000</w:t>
            </w:r>
          </w:p>
        </w:tc>
        <w:tc>
          <w:tcPr>
            <w:tcW w:w="992" w:type="dxa"/>
            <w:vAlign w:val="center"/>
          </w:tcPr>
          <w:p w14:paraId="0EF14BAC">
            <w:pPr>
              <w:widowControl/>
              <w:spacing w:line="280" w:lineRule="exact"/>
              <w:jc w:val="center"/>
              <w:rPr>
                <w:color w:val="auto"/>
                <w:kern w:val="0"/>
                <w:sz w:val="18"/>
                <w:szCs w:val="18"/>
                <w:highlight w:val="none"/>
              </w:rPr>
            </w:pPr>
            <w:r>
              <w:rPr>
                <w:color w:val="auto"/>
                <w:kern w:val="0"/>
                <w:sz w:val="18"/>
                <w:szCs w:val="18"/>
                <w:highlight w:val="none"/>
              </w:rPr>
              <w:t>Y＜200</w:t>
            </w:r>
          </w:p>
        </w:tc>
      </w:tr>
      <w:tr w14:paraId="2BE2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31A66AB">
            <w:pPr>
              <w:widowControl/>
              <w:spacing w:line="280" w:lineRule="exact"/>
              <w:jc w:val="left"/>
              <w:rPr>
                <w:color w:val="auto"/>
                <w:kern w:val="0"/>
                <w:sz w:val="18"/>
                <w:szCs w:val="18"/>
                <w:highlight w:val="none"/>
              </w:rPr>
            </w:pPr>
            <w:r>
              <w:rPr>
                <w:color w:val="auto"/>
                <w:kern w:val="0"/>
                <w:sz w:val="18"/>
                <w:szCs w:val="18"/>
                <w:highlight w:val="none"/>
              </w:rPr>
              <w:t>仓储业*</w:t>
            </w:r>
          </w:p>
        </w:tc>
        <w:tc>
          <w:tcPr>
            <w:tcW w:w="1369" w:type="dxa"/>
            <w:vAlign w:val="center"/>
          </w:tcPr>
          <w:p w14:paraId="6253AA6C">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28C61950">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32AD91FF">
            <w:pPr>
              <w:widowControl/>
              <w:spacing w:line="280" w:lineRule="exact"/>
              <w:jc w:val="center"/>
              <w:rPr>
                <w:color w:val="auto"/>
                <w:kern w:val="0"/>
                <w:sz w:val="18"/>
                <w:szCs w:val="18"/>
                <w:highlight w:val="none"/>
              </w:rPr>
            </w:pPr>
            <w:r>
              <w:rPr>
                <w:color w:val="auto"/>
                <w:kern w:val="0"/>
                <w:sz w:val="18"/>
                <w:szCs w:val="18"/>
                <w:highlight w:val="none"/>
              </w:rPr>
              <w:t>X≥200</w:t>
            </w:r>
          </w:p>
        </w:tc>
        <w:tc>
          <w:tcPr>
            <w:tcW w:w="1701" w:type="dxa"/>
            <w:vAlign w:val="center"/>
          </w:tcPr>
          <w:p w14:paraId="69FE5071">
            <w:pPr>
              <w:widowControl/>
              <w:spacing w:line="280" w:lineRule="exact"/>
              <w:ind w:left="1" w:leftChars="-51" w:hanging="108" w:hangingChars="60"/>
              <w:jc w:val="center"/>
              <w:rPr>
                <w:color w:val="auto"/>
                <w:kern w:val="0"/>
                <w:sz w:val="18"/>
                <w:szCs w:val="18"/>
                <w:highlight w:val="none"/>
              </w:rPr>
            </w:pPr>
            <w:r>
              <w:rPr>
                <w:color w:val="auto"/>
                <w:kern w:val="0"/>
                <w:sz w:val="18"/>
                <w:szCs w:val="18"/>
                <w:highlight w:val="none"/>
              </w:rPr>
              <w:t>100≤X＜200</w:t>
            </w:r>
          </w:p>
        </w:tc>
        <w:tc>
          <w:tcPr>
            <w:tcW w:w="1426" w:type="dxa"/>
            <w:vAlign w:val="center"/>
          </w:tcPr>
          <w:p w14:paraId="33ACB022">
            <w:pPr>
              <w:widowControl/>
              <w:spacing w:line="280" w:lineRule="exact"/>
              <w:jc w:val="center"/>
              <w:rPr>
                <w:color w:val="auto"/>
                <w:kern w:val="0"/>
                <w:sz w:val="18"/>
                <w:szCs w:val="18"/>
                <w:highlight w:val="none"/>
              </w:rPr>
            </w:pPr>
            <w:r>
              <w:rPr>
                <w:color w:val="auto"/>
                <w:kern w:val="0"/>
                <w:sz w:val="18"/>
                <w:szCs w:val="18"/>
                <w:highlight w:val="none"/>
              </w:rPr>
              <w:t>20≤X＜100</w:t>
            </w:r>
          </w:p>
        </w:tc>
        <w:tc>
          <w:tcPr>
            <w:tcW w:w="992" w:type="dxa"/>
            <w:vAlign w:val="center"/>
          </w:tcPr>
          <w:p w14:paraId="355F9B8B">
            <w:pPr>
              <w:widowControl/>
              <w:spacing w:line="280" w:lineRule="exact"/>
              <w:jc w:val="center"/>
              <w:rPr>
                <w:color w:val="auto"/>
                <w:kern w:val="0"/>
                <w:sz w:val="18"/>
                <w:szCs w:val="18"/>
                <w:highlight w:val="none"/>
              </w:rPr>
            </w:pPr>
            <w:r>
              <w:rPr>
                <w:color w:val="auto"/>
                <w:kern w:val="0"/>
                <w:sz w:val="18"/>
                <w:szCs w:val="18"/>
                <w:highlight w:val="none"/>
              </w:rPr>
              <w:t>X＜20</w:t>
            </w:r>
          </w:p>
        </w:tc>
      </w:tr>
      <w:tr w14:paraId="7958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3E5189">
            <w:pPr>
              <w:widowControl/>
              <w:spacing w:line="280" w:lineRule="exact"/>
              <w:jc w:val="left"/>
              <w:rPr>
                <w:color w:val="auto"/>
                <w:kern w:val="0"/>
                <w:sz w:val="18"/>
                <w:szCs w:val="18"/>
                <w:highlight w:val="none"/>
              </w:rPr>
            </w:pPr>
          </w:p>
        </w:tc>
        <w:tc>
          <w:tcPr>
            <w:tcW w:w="1369" w:type="dxa"/>
            <w:vAlign w:val="center"/>
          </w:tcPr>
          <w:p w14:paraId="59B12578">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4EF658C8">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6EF7F07F">
            <w:pPr>
              <w:widowControl/>
              <w:spacing w:line="280" w:lineRule="exact"/>
              <w:jc w:val="center"/>
              <w:rPr>
                <w:color w:val="auto"/>
                <w:kern w:val="0"/>
                <w:sz w:val="18"/>
                <w:szCs w:val="18"/>
                <w:highlight w:val="none"/>
              </w:rPr>
            </w:pPr>
            <w:r>
              <w:rPr>
                <w:color w:val="auto"/>
                <w:kern w:val="0"/>
                <w:sz w:val="18"/>
                <w:szCs w:val="18"/>
                <w:highlight w:val="none"/>
              </w:rPr>
              <w:t>Y≥30000</w:t>
            </w:r>
          </w:p>
        </w:tc>
        <w:tc>
          <w:tcPr>
            <w:tcW w:w="1701" w:type="dxa"/>
            <w:vAlign w:val="center"/>
          </w:tcPr>
          <w:p w14:paraId="3C761397">
            <w:pPr>
              <w:widowControl/>
              <w:spacing w:line="280" w:lineRule="exact"/>
              <w:jc w:val="center"/>
              <w:rPr>
                <w:color w:val="auto"/>
                <w:kern w:val="0"/>
                <w:sz w:val="18"/>
                <w:szCs w:val="18"/>
                <w:highlight w:val="none"/>
              </w:rPr>
            </w:pPr>
            <w:r>
              <w:rPr>
                <w:color w:val="auto"/>
                <w:kern w:val="0"/>
                <w:sz w:val="18"/>
                <w:szCs w:val="18"/>
                <w:highlight w:val="none"/>
              </w:rPr>
              <w:t>1000≤Y＜30000</w:t>
            </w:r>
          </w:p>
        </w:tc>
        <w:tc>
          <w:tcPr>
            <w:tcW w:w="1426" w:type="dxa"/>
            <w:vAlign w:val="center"/>
          </w:tcPr>
          <w:p w14:paraId="47D60446">
            <w:pPr>
              <w:widowControl/>
              <w:spacing w:line="280" w:lineRule="exact"/>
              <w:jc w:val="center"/>
              <w:rPr>
                <w:color w:val="auto"/>
                <w:kern w:val="0"/>
                <w:sz w:val="18"/>
                <w:szCs w:val="18"/>
                <w:highlight w:val="none"/>
              </w:rPr>
            </w:pPr>
            <w:r>
              <w:rPr>
                <w:color w:val="auto"/>
                <w:kern w:val="0"/>
                <w:sz w:val="18"/>
                <w:szCs w:val="18"/>
                <w:highlight w:val="none"/>
              </w:rPr>
              <w:t>100≤Y＜1000</w:t>
            </w:r>
          </w:p>
        </w:tc>
        <w:tc>
          <w:tcPr>
            <w:tcW w:w="992" w:type="dxa"/>
            <w:vAlign w:val="center"/>
          </w:tcPr>
          <w:p w14:paraId="70D19223">
            <w:pPr>
              <w:widowControl/>
              <w:spacing w:line="280" w:lineRule="exact"/>
              <w:jc w:val="center"/>
              <w:rPr>
                <w:color w:val="auto"/>
                <w:kern w:val="0"/>
                <w:sz w:val="18"/>
                <w:szCs w:val="18"/>
                <w:highlight w:val="none"/>
              </w:rPr>
            </w:pPr>
            <w:r>
              <w:rPr>
                <w:color w:val="auto"/>
                <w:kern w:val="0"/>
                <w:sz w:val="18"/>
                <w:szCs w:val="18"/>
                <w:highlight w:val="none"/>
              </w:rPr>
              <w:t>Y＜100</w:t>
            </w:r>
          </w:p>
        </w:tc>
      </w:tr>
      <w:tr w14:paraId="4743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BA655D4">
            <w:pPr>
              <w:widowControl/>
              <w:spacing w:line="280" w:lineRule="exact"/>
              <w:jc w:val="left"/>
              <w:rPr>
                <w:color w:val="auto"/>
                <w:kern w:val="0"/>
                <w:sz w:val="18"/>
                <w:szCs w:val="18"/>
                <w:highlight w:val="none"/>
              </w:rPr>
            </w:pPr>
            <w:r>
              <w:rPr>
                <w:color w:val="auto"/>
                <w:kern w:val="0"/>
                <w:sz w:val="18"/>
                <w:szCs w:val="18"/>
                <w:highlight w:val="none"/>
              </w:rPr>
              <w:t>邮政业</w:t>
            </w:r>
          </w:p>
        </w:tc>
        <w:tc>
          <w:tcPr>
            <w:tcW w:w="1369" w:type="dxa"/>
            <w:vAlign w:val="center"/>
          </w:tcPr>
          <w:p w14:paraId="55DA4A63">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66589A32">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4580E2C1">
            <w:pPr>
              <w:widowControl/>
              <w:spacing w:line="280" w:lineRule="exact"/>
              <w:jc w:val="center"/>
              <w:rPr>
                <w:color w:val="auto"/>
                <w:kern w:val="0"/>
                <w:sz w:val="18"/>
                <w:szCs w:val="18"/>
                <w:highlight w:val="none"/>
              </w:rPr>
            </w:pPr>
            <w:r>
              <w:rPr>
                <w:color w:val="auto"/>
                <w:kern w:val="0"/>
                <w:sz w:val="18"/>
                <w:szCs w:val="18"/>
                <w:highlight w:val="none"/>
              </w:rPr>
              <w:t>X≥1000</w:t>
            </w:r>
          </w:p>
        </w:tc>
        <w:tc>
          <w:tcPr>
            <w:tcW w:w="1701" w:type="dxa"/>
            <w:vAlign w:val="center"/>
          </w:tcPr>
          <w:p w14:paraId="5CB24279">
            <w:pPr>
              <w:widowControl/>
              <w:spacing w:line="280" w:lineRule="exact"/>
              <w:jc w:val="center"/>
              <w:rPr>
                <w:color w:val="auto"/>
                <w:kern w:val="0"/>
                <w:sz w:val="18"/>
                <w:szCs w:val="18"/>
                <w:highlight w:val="none"/>
              </w:rPr>
            </w:pPr>
            <w:r>
              <w:rPr>
                <w:color w:val="auto"/>
                <w:kern w:val="0"/>
                <w:sz w:val="18"/>
                <w:szCs w:val="18"/>
                <w:highlight w:val="none"/>
              </w:rPr>
              <w:t>300≤X＜1000</w:t>
            </w:r>
          </w:p>
        </w:tc>
        <w:tc>
          <w:tcPr>
            <w:tcW w:w="1426" w:type="dxa"/>
            <w:vAlign w:val="center"/>
          </w:tcPr>
          <w:p w14:paraId="536C3F22">
            <w:pPr>
              <w:widowControl/>
              <w:spacing w:line="280" w:lineRule="exact"/>
              <w:jc w:val="center"/>
              <w:rPr>
                <w:color w:val="auto"/>
                <w:kern w:val="0"/>
                <w:sz w:val="18"/>
                <w:szCs w:val="18"/>
                <w:highlight w:val="none"/>
              </w:rPr>
            </w:pPr>
            <w:r>
              <w:rPr>
                <w:color w:val="auto"/>
                <w:kern w:val="0"/>
                <w:sz w:val="18"/>
                <w:szCs w:val="18"/>
                <w:highlight w:val="none"/>
              </w:rPr>
              <w:t>20≤X＜300</w:t>
            </w:r>
          </w:p>
        </w:tc>
        <w:tc>
          <w:tcPr>
            <w:tcW w:w="992" w:type="dxa"/>
            <w:vAlign w:val="center"/>
          </w:tcPr>
          <w:p w14:paraId="1A2B3A1D">
            <w:pPr>
              <w:widowControl/>
              <w:spacing w:line="280" w:lineRule="exact"/>
              <w:jc w:val="center"/>
              <w:rPr>
                <w:color w:val="auto"/>
                <w:kern w:val="0"/>
                <w:sz w:val="18"/>
                <w:szCs w:val="18"/>
                <w:highlight w:val="none"/>
              </w:rPr>
            </w:pPr>
            <w:r>
              <w:rPr>
                <w:color w:val="auto"/>
                <w:kern w:val="0"/>
                <w:sz w:val="18"/>
                <w:szCs w:val="18"/>
                <w:highlight w:val="none"/>
              </w:rPr>
              <w:t>X＜20</w:t>
            </w:r>
          </w:p>
        </w:tc>
      </w:tr>
      <w:tr w14:paraId="6D55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continue"/>
            <w:vAlign w:val="center"/>
          </w:tcPr>
          <w:p w14:paraId="0E46D0B9">
            <w:pPr>
              <w:widowControl/>
              <w:spacing w:line="280" w:lineRule="exact"/>
              <w:jc w:val="left"/>
              <w:rPr>
                <w:color w:val="auto"/>
                <w:kern w:val="0"/>
                <w:sz w:val="18"/>
                <w:szCs w:val="18"/>
                <w:highlight w:val="none"/>
              </w:rPr>
            </w:pPr>
          </w:p>
        </w:tc>
        <w:tc>
          <w:tcPr>
            <w:tcW w:w="1369" w:type="dxa"/>
            <w:vAlign w:val="center"/>
          </w:tcPr>
          <w:p w14:paraId="60289BC4">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59A4AD9A">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263D9636">
            <w:pPr>
              <w:widowControl/>
              <w:spacing w:line="280" w:lineRule="exact"/>
              <w:jc w:val="center"/>
              <w:rPr>
                <w:color w:val="auto"/>
                <w:kern w:val="0"/>
                <w:sz w:val="18"/>
                <w:szCs w:val="18"/>
                <w:highlight w:val="none"/>
              </w:rPr>
            </w:pPr>
            <w:r>
              <w:rPr>
                <w:color w:val="auto"/>
                <w:kern w:val="0"/>
                <w:sz w:val="18"/>
                <w:szCs w:val="18"/>
                <w:highlight w:val="none"/>
              </w:rPr>
              <w:t>Y≥30000</w:t>
            </w:r>
          </w:p>
        </w:tc>
        <w:tc>
          <w:tcPr>
            <w:tcW w:w="1701" w:type="dxa"/>
            <w:vAlign w:val="center"/>
          </w:tcPr>
          <w:p w14:paraId="5ED09BBD">
            <w:pPr>
              <w:widowControl/>
              <w:spacing w:line="280" w:lineRule="exact"/>
              <w:jc w:val="center"/>
              <w:rPr>
                <w:color w:val="auto"/>
                <w:kern w:val="0"/>
                <w:sz w:val="18"/>
                <w:szCs w:val="18"/>
                <w:highlight w:val="none"/>
              </w:rPr>
            </w:pPr>
            <w:r>
              <w:rPr>
                <w:color w:val="auto"/>
                <w:kern w:val="0"/>
                <w:sz w:val="18"/>
                <w:szCs w:val="18"/>
                <w:highlight w:val="none"/>
              </w:rPr>
              <w:t>2000≤Y＜30000</w:t>
            </w:r>
          </w:p>
        </w:tc>
        <w:tc>
          <w:tcPr>
            <w:tcW w:w="1426" w:type="dxa"/>
            <w:vAlign w:val="center"/>
          </w:tcPr>
          <w:p w14:paraId="2D8A0CDC">
            <w:pPr>
              <w:widowControl/>
              <w:spacing w:line="280" w:lineRule="exact"/>
              <w:jc w:val="center"/>
              <w:rPr>
                <w:color w:val="auto"/>
                <w:kern w:val="0"/>
                <w:sz w:val="18"/>
                <w:szCs w:val="18"/>
                <w:highlight w:val="none"/>
              </w:rPr>
            </w:pPr>
            <w:r>
              <w:rPr>
                <w:color w:val="auto"/>
                <w:kern w:val="0"/>
                <w:sz w:val="18"/>
                <w:szCs w:val="18"/>
                <w:highlight w:val="none"/>
              </w:rPr>
              <w:t>100≤Y＜2000</w:t>
            </w:r>
          </w:p>
        </w:tc>
        <w:tc>
          <w:tcPr>
            <w:tcW w:w="992" w:type="dxa"/>
            <w:vAlign w:val="center"/>
          </w:tcPr>
          <w:p w14:paraId="073907C7">
            <w:pPr>
              <w:widowControl/>
              <w:spacing w:line="280" w:lineRule="exact"/>
              <w:jc w:val="center"/>
              <w:rPr>
                <w:color w:val="auto"/>
                <w:kern w:val="0"/>
                <w:sz w:val="18"/>
                <w:szCs w:val="18"/>
                <w:highlight w:val="none"/>
              </w:rPr>
            </w:pPr>
            <w:r>
              <w:rPr>
                <w:color w:val="auto"/>
                <w:kern w:val="0"/>
                <w:sz w:val="18"/>
                <w:szCs w:val="18"/>
                <w:highlight w:val="none"/>
              </w:rPr>
              <w:t>Y＜100</w:t>
            </w:r>
          </w:p>
        </w:tc>
      </w:tr>
      <w:tr w14:paraId="6C5D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A077E8">
            <w:pPr>
              <w:widowControl/>
              <w:spacing w:line="280" w:lineRule="exact"/>
              <w:jc w:val="left"/>
              <w:rPr>
                <w:color w:val="auto"/>
                <w:kern w:val="0"/>
                <w:sz w:val="18"/>
                <w:szCs w:val="18"/>
                <w:highlight w:val="none"/>
              </w:rPr>
            </w:pPr>
            <w:r>
              <w:rPr>
                <w:color w:val="auto"/>
                <w:kern w:val="0"/>
                <w:sz w:val="18"/>
                <w:szCs w:val="18"/>
                <w:highlight w:val="none"/>
              </w:rPr>
              <w:t>住宿业</w:t>
            </w:r>
          </w:p>
        </w:tc>
        <w:tc>
          <w:tcPr>
            <w:tcW w:w="1369" w:type="dxa"/>
            <w:vAlign w:val="center"/>
          </w:tcPr>
          <w:p w14:paraId="432EFAF5">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33719899">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73877D02">
            <w:pPr>
              <w:widowControl/>
              <w:spacing w:line="280" w:lineRule="exact"/>
              <w:jc w:val="center"/>
              <w:rPr>
                <w:color w:val="auto"/>
                <w:kern w:val="0"/>
                <w:sz w:val="18"/>
                <w:szCs w:val="18"/>
                <w:highlight w:val="none"/>
              </w:rPr>
            </w:pPr>
            <w:r>
              <w:rPr>
                <w:color w:val="auto"/>
                <w:kern w:val="0"/>
                <w:sz w:val="18"/>
                <w:szCs w:val="18"/>
                <w:highlight w:val="none"/>
              </w:rPr>
              <w:t>X≥300</w:t>
            </w:r>
          </w:p>
        </w:tc>
        <w:tc>
          <w:tcPr>
            <w:tcW w:w="1701" w:type="dxa"/>
            <w:vAlign w:val="center"/>
          </w:tcPr>
          <w:p w14:paraId="5F0F4DCF">
            <w:pPr>
              <w:widowControl/>
              <w:spacing w:line="280" w:lineRule="exact"/>
              <w:ind w:left="1" w:leftChars="-51" w:hanging="108" w:hangingChars="60"/>
              <w:jc w:val="center"/>
              <w:rPr>
                <w:color w:val="auto"/>
                <w:kern w:val="0"/>
                <w:sz w:val="18"/>
                <w:szCs w:val="18"/>
                <w:highlight w:val="none"/>
              </w:rPr>
            </w:pPr>
            <w:r>
              <w:rPr>
                <w:color w:val="auto"/>
                <w:kern w:val="0"/>
                <w:sz w:val="18"/>
                <w:szCs w:val="18"/>
                <w:highlight w:val="none"/>
              </w:rPr>
              <w:t>100≤X＜300</w:t>
            </w:r>
          </w:p>
        </w:tc>
        <w:tc>
          <w:tcPr>
            <w:tcW w:w="1426" w:type="dxa"/>
            <w:vAlign w:val="center"/>
          </w:tcPr>
          <w:p w14:paraId="3E044A6D">
            <w:pPr>
              <w:widowControl/>
              <w:spacing w:line="280" w:lineRule="exact"/>
              <w:jc w:val="center"/>
              <w:rPr>
                <w:color w:val="auto"/>
                <w:kern w:val="0"/>
                <w:sz w:val="18"/>
                <w:szCs w:val="18"/>
                <w:highlight w:val="none"/>
              </w:rPr>
            </w:pPr>
            <w:r>
              <w:rPr>
                <w:color w:val="auto"/>
                <w:kern w:val="0"/>
                <w:sz w:val="18"/>
                <w:szCs w:val="18"/>
                <w:highlight w:val="none"/>
              </w:rPr>
              <w:t>10≤X＜100</w:t>
            </w:r>
          </w:p>
        </w:tc>
        <w:tc>
          <w:tcPr>
            <w:tcW w:w="992" w:type="dxa"/>
            <w:vAlign w:val="center"/>
          </w:tcPr>
          <w:p w14:paraId="5EB0EBD1">
            <w:pPr>
              <w:widowControl/>
              <w:spacing w:line="280" w:lineRule="exact"/>
              <w:jc w:val="center"/>
              <w:rPr>
                <w:color w:val="auto"/>
                <w:kern w:val="0"/>
                <w:sz w:val="18"/>
                <w:szCs w:val="18"/>
                <w:highlight w:val="none"/>
              </w:rPr>
            </w:pPr>
            <w:r>
              <w:rPr>
                <w:color w:val="auto"/>
                <w:kern w:val="0"/>
                <w:sz w:val="18"/>
                <w:szCs w:val="18"/>
                <w:highlight w:val="none"/>
              </w:rPr>
              <w:t>X＜10</w:t>
            </w:r>
          </w:p>
        </w:tc>
      </w:tr>
      <w:tr w14:paraId="04B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BD5F4C">
            <w:pPr>
              <w:widowControl/>
              <w:spacing w:line="280" w:lineRule="exact"/>
              <w:jc w:val="left"/>
              <w:rPr>
                <w:color w:val="auto"/>
                <w:kern w:val="0"/>
                <w:sz w:val="18"/>
                <w:szCs w:val="18"/>
                <w:highlight w:val="none"/>
              </w:rPr>
            </w:pPr>
          </w:p>
        </w:tc>
        <w:tc>
          <w:tcPr>
            <w:tcW w:w="1369" w:type="dxa"/>
            <w:vAlign w:val="center"/>
          </w:tcPr>
          <w:p w14:paraId="766B8909">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2AE49014">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6B321ED2">
            <w:pPr>
              <w:widowControl/>
              <w:spacing w:line="280" w:lineRule="exact"/>
              <w:jc w:val="center"/>
              <w:rPr>
                <w:color w:val="auto"/>
                <w:kern w:val="0"/>
                <w:sz w:val="18"/>
                <w:szCs w:val="18"/>
                <w:highlight w:val="none"/>
              </w:rPr>
            </w:pPr>
            <w:r>
              <w:rPr>
                <w:color w:val="auto"/>
                <w:kern w:val="0"/>
                <w:sz w:val="18"/>
                <w:szCs w:val="18"/>
                <w:highlight w:val="none"/>
              </w:rPr>
              <w:t>Y≥10000</w:t>
            </w:r>
          </w:p>
        </w:tc>
        <w:tc>
          <w:tcPr>
            <w:tcW w:w="1701" w:type="dxa"/>
            <w:vAlign w:val="center"/>
          </w:tcPr>
          <w:p w14:paraId="0AD8AD56">
            <w:pPr>
              <w:widowControl/>
              <w:spacing w:line="280" w:lineRule="exact"/>
              <w:jc w:val="center"/>
              <w:rPr>
                <w:color w:val="auto"/>
                <w:kern w:val="0"/>
                <w:sz w:val="18"/>
                <w:szCs w:val="18"/>
                <w:highlight w:val="none"/>
              </w:rPr>
            </w:pPr>
            <w:r>
              <w:rPr>
                <w:color w:val="auto"/>
                <w:kern w:val="0"/>
                <w:sz w:val="18"/>
                <w:szCs w:val="18"/>
                <w:highlight w:val="none"/>
              </w:rPr>
              <w:t>2000≤Y＜10000</w:t>
            </w:r>
          </w:p>
        </w:tc>
        <w:tc>
          <w:tcPr>
            <w:tcW w:w="1426" w:type="dxa"/>
            <w:vAlign w:val="center"/>
          </w:tcPr>
          <w:p w14:paraId="4C6E3854">
            <w:pPr>
              <w:widowControl/>
              <w:spacing w:line="280" w:lineRule="exact"/>
              <w:jc w:val="center"/>
              <w:rPr>
                <w:color w:val="auto"/>
                <w:kern w:val="0"/>
                <w:sz w:val="18"/>
                <w:szCs w:val="18"/>
                <w:highlight w:val="none"/>
              </w:rPr>
            </w:pPr>
            <w:r>
              <w:rPr>
                <w:color w:val="auto"/>
                <w:kern w:val="0"/>
                <w:sz w:val="18"/>
                <w:szCs w:val="18"/>
                <w:highlight w:val="none"/>
              </w:rPr>
              <w:t>100≤Y＜2000</w:t>
            </w:r>
          </w:p>
        </w:tc>
        <w:tc>
          <w:tcPr>
            <w:tcW w:w="992" w:type="dxa"/>
            <w:vAlign w:val="center"/>
          </w:tcPr>
          <w:p w14:paraId="5716BF4B">
            <w:pPr>
              <w:widowControl/>
              <w:spacing w:line="280" w:lineRule="exact"/>
              <w:jc w:val="center"/>
              <w:rPr>
                <w:color w:val="auto"/>
                <w:kern w:val="0"/>
                <w:sz w:val="18"/>
                <w:szCs w:val="18"/>
                <w:highlight w:val="none"/>
              </w:rPr>
            </w:pPr>
            <w:r>
              <w:rPr>
                <w:color w:val="auto"/>
                <w:kern w:val="0"/>
                <w:sz w:val="18"/>
                <w:szCs w:val="18"/>
                <w:highlight w:val="none"/>
              </w:rPr>
              <w:t>Y＜100</w:t>
            </w:r>
          </w:p>
        </w:tc>
      </w:tr>
      <w:tr w14:paraId="2061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139D060">
            <w:pPr>
              <w:widowControl/>
              <w:spacing w:line="280" w:lineRule="exact"/>
              <w:jc w:val="left"/>
              <w:rPr>
                <w:color w:val="auto"/>
                <w:kern w:val="0"/>
                <w:sz w:val="18"/>
                <w:szCs w:val="18"/>
                <w:highlight w:val="none"/>
              </w:rPr>
            </w:pPr>
            <w:r>
              <w:rPr>
                <w:color w:val="auto"/>
                <w:kern w:val="0"/>
                <w:sz w:val="18"/>
                <w:szCs w:val="18"/>
                <w:highlight w:val="none"/>
              </w:rPr>
              <w:t>餐饮业</w:t>
            </w:r>
          </w:p>
        </w:tc>
        <w:tc>
          <w:tcPr>
            <w:tcW w:w="1369" w:type="dxa"/>
            <w:vAlign w:val="center"/>
          </w:tcPr>
          <w:p w14:paraId="3ADCF43F">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7D969B81">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15903A40">
            <w:pPr>
              <w:widowControl/>
              <w:spacing w:line="280" w:lineRule="exact"/>
              <w:jc w:val="center"/>
              <w:rPr>
                <w:color w:val="auto"/>
                <w:kern w:val="0"/>
                <w:sz w:val="18"/>
                <w:szCs w:val="18"/>
                <w:highlight w:val="none"/>
              </w:rPr>
            </w:pPr>
            <w:r>
              <w:rPr>
                <w:color w:val="auto"/>
                <w:kern w:val="0"/>
                <w:sz w:val="18"/>
                <w:szCs w:val="18"/>
                <w:highlight w:val="none"/>
              </w:rPr>
              <w:t>X≥300</w:t>
            </w:r>
          </w:p>
        </w:tc>
        <w:tc>
          <w:tcPr>
            <w:tcW w:w="1701" w:type="dxa"/>
            <w:vAlign w:val="center"/>
          </w:tcPr>
          <w:p w14:paraId="5238A12D">
            <w:pPr>
              <w:widowControl/>
              <w:spacing w:line="280" w:lineRule="exact"/>
              <w:ind w:left="1" w:leftChars="-51" w:hanging="108" w:hangingChars="60"/>
              <w:jc w:val="center"/>
              <w:rPr>
                <w:color w:val="auto"/>
                <w:kern w:val="0"/>
                <w:sz w:val="18"/>
                <w:szCs w:val="18"/>
                <w:highlight w:val="none"/>
              </w:rPr>
            </w:pPr>
            <w:r>
              <w:rPr>
                <w:color w:val="auto"/>
                <w:kern w:val="0"/>
                <w:sz w:val="18"/>
                <w:szCs w:val="18"/>
                <w:highlight w:val="none"/>
              </w:rPr>
              <w:t xml:space="preserve">100≤X＜300 </w:t>
            </w:r>
          </w:p>
        </w:tc>
        <w:tc>
          <w:tcPr>
            <w:tcW w:w="1426" w:type="dxa"/>
            <w:vAlign w:val="center"/>
          </w:tcPr>
          <w:p w14:paraId="7621FA0E">
            <w:pPr>
              <w:widowControl/>
              <w:spacing w:line="280" w:lineRule="exact"/>
              <w:jc w:val="center"/>
              <w:rPr>
                <w:color w:val="auto"/>
                <w:kern w:val="0"/>
                <w:sz w:val="18"/>
                <w:szCs w:val="18"/>
                <w:highlight w:val="none"/>
              </w:rPr>
            </w:pPr>
            <w:r>
              <w:rPr>
                <w:color w:val="auto"/>
                <w:kern w:val="0"/>
                <w:sz w:val="18"/>
                <w:szCs w:val="18"/>
                <w:highlight w:val="none"/>
              </w:rPr>
              <w:t>10≤X＜100</w:t>
            </w:r>
          </w:p>
        </w:tc>
        <w:tc>
          <w:tcPr>
            <w:tcW w:w="992" w:type="dxa"/>
            <w:vAlign w:val="center"/>
          </w:tcPr>
          <w:p w14:paraId="413FE698">
            <w:pPr>
              <w:widowControl/>
              <w:spacing w:line="280" w:lineRule="exact"/>
              <w:jc w:val="center"/>
              <w:rPr>
                <w:color w:val="auto"/>
                <w:kern w:val="0"/>
                <w:sz w:val="18"/>
                <w:szCs w:val="18"/>
                <w:highlight w:val="none"/>
              </w:rPr>
            </w:pPr>
            <w:r>
              <w:rPr>
                <w:color w:val="auto"/>
                <w:kern w:val="0"/>
                <w:sz w:val="18"/>
                <w:szCs w:val="18"/>
                <w:highlight w:val="none"/>
              </w:rPr>
              <w:t>X＜10</w:t>
            </w:r>
          </w:p>
        </w:tc>
      </w:tr>
      <w:tr w14:paraId="3D16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C0CBA42">
            <w:pPr>
              <w:widowControl/>
              <w:spacing w:line="280" w:lineRule="exact"/>
              <w:jc w:val="left"/>
              <w:rPr>
                <w:color w:val="auto"/>
                <w:kern w:val="0"/>
                <w:sz w:val="18"/>
                <w:szCs w:val="18"/>
                <w:highlight w:val="none"/>
              </w:rPr>
            </w:pPr>
          </w:p>
        </w:tc>
        <w:tc>
          <w:tcPr>
            <w:tcW w:w="1369" w:type="dxa"/>
            <w:vAlign w:val="center"/>
          </w:tcPr>
          <w:p w14:paraId="4E211F50">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3DB70903">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77781812">
            <w:pPr>
              <w:widowControl/>
              <w:spacing w:line="280" w:lineRule="exact"/>
              <w:jc w:val="center"/>
              <w:rPr>
                <w:color w:val="auto"/>
                <w:kern w:val="0"/>
                <w:sz w:val="18"/>
                <w:szCs w:val="18"/>
                <w:highlight w:val="none"/>
              </w:rPr>
            </w:pPr>
            <w:r>
              <w:rPr>
                <w:color w:val="auto"/>
                <w:kern w:val="0"/>
                <w:sz w:val="18"/>
                <w:szCs w:val="18"/>
                <w:highlight w:val="none"/>
              </w:rPr>
              <w:t>Y≥10000</w:t>
            </w:r>
          </w:p>
        </w:tc>
        <w:tc>
          <w:tcPr>
            <w:tcW w:w="1701" w:type="dxa"/>
            <w:vAlign w:val="center"/>
          </w:tcPr>
          <w:p w14:paraId="0C75FD89">
            <w:pPr>
              <w:widowControl/>
              <w:spacing w:line="280" w:lineRule="exact"/>
              <w:jc w:val="center"/>
              <w:rPr>
                <w:color w:val="auto"/>
                <w:kern w:val="0"/>
                <w:sz w:val="18"/>
                <w:szCs w:val="18"/>
                <w:highlight w:val="none"/>
              </w:rPr>
            </w:pPr>
            <w:r>
              <w:rPr>
                <w:color w:val="auto"/>
                <w:kern w:val="0"/>
                <w:sz w:val="18"/>
                <w:szCs w:val="18"/>
                <w:highlight w:val="none"/>
              </w:rPr>
              <w:t>2000≤Y＜10000</w:t>
            </w:r>
          </w:p>
        </w:tc>
        <w:tc>
          <w:tcPr>
            <w:tcW w:w="1426" w:type="dxa"/>
            <w:vAlign w:val="center"/>
          </w:tcPr>
          <w:p w14:paraId="36F10EA4">
            <w:pPr>
              <w:widowControl/>
              <w:spacing w:line="280" w:lineRule="exact"/>
              <w:jc w:val="center"/>
              <w:rPr>
                <w:color w:val="auto"/>
                <w:kern w:val="0"/>
                <w:sz w:val="18"/>
                <w:szCs w:val="18"/>
                <w:highlight w:val="none"/>
              </w:rPr>
            </w:pPr>
            <w:r>
              <w:rPr>
                <w:color w:val="auto"/>
                <w:kern w:val="0"/>
                <w:sz w:val="18"/>
                <w:szCs w:val="18"/>
                <w:highlight w:val="none"/>
              </w:rPr>
              <w:t>100≤Y＜2000</w:t>
            </w:r>
          </w:p>
        </w:tc>
        <w:tc>
          <w:tcPr>
            <w:tcW w:w="992" w:type="dxa"/>
            <w:vAlign w:val="center"/>
          </w:tcPr>
          <w:p w14:paraId="609EE2A4">
            <w:pPr>
              <w:widowControl/>
              <w:spacing w:line="280" w:lineRule="exact"/>
              <w:jc w:val="center"/>
              <w:rPr>
                <w:color w:val="auto"/>
                <w:kern w:val="0"/>
                <w:sz w:val="18"/>
                <w:szCs w:val="18"/>
                <w:highlight w:val="none"/>
              </w:rPr>
            </w:pPr>
            <w:r>
              <w:rPr>
                <w:color w:val="auto"/>
                <w:kern w:val="0"/>
                <w:sz w:val="18"/>
                <w:szCs w:val="18"/>
                <w:highlight w:val="none"/>
              </w:rPr>
              <w:t>Y＜100</w:t>
            </w:r>
          </w:p>
        </w:tc>
      </w:tr>
      <w:tr w14:paraId="74AE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25F8AB1">
            <w:pPr>
              <w:widowControl/>
              <w:spacing w:line="280" w:lineRule="exact"/>
              <w:jc w:val="left"/>
              <w:rPr>
                <w:color w:val="auto"/>
                <w:kern w:val="0"/>
                <w:sz w:val="18"/>
                <w:szCs w:val="18"/>
                <w:highlight w:val="none"/>
              </w:rPr>
            </w:pPr>
            <w:r>
              <w:rPr>
                <w:color w:val="auto"/>
                <w:kern w:val="0"/>
                <w:sz w:val="18"/>
                <w:szCs w:val="18"/>
                <w:highlight w:val="none"/>
              </w:rPr>
              <w:t>信息传输业 *</w:t>
            </w:r>
          </w:p>
        </w:tc>
        <w:tc>
          <w:tcPr>
            <w:tcW w:w="1369" w:type="dxa"/>
            <w:vAlign w:val="center"/>
          </w:tcPr>
          <w:p w14:paraId="4D1D4D7D">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1A94ADA9">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6261FB27">
            <w:pPr>
              <w:widowControl/>
              <w:spacing w:line="280" w:lineRule="exact"/>
              <w:jc w:val="center"/>
              <w:rPr>
                <w:color w:val="auto"/>
                <w:kern w:val="0"/>
                <w:sz w:val="18"/>
                <w:szCs w:val="18"/>
                <w:highlight w:val="none"/>
              </w:rPr>
            </w:pPr>
            <w:r>
              <w:rPr>
                <w:color w:val="auto"/>
                <w:kern w:val="0"/>
                <w:sz w:val="18"/>
                <w:szCs w:val="18"/>
                <w:highlight w:val="none"/>
              </w:rPr>
              <w:t>X≥2000</w:t>
            </w:r>
          </w:p>
        </w:tc>
        <w:tc>
          <w:tcPr>
            <w:tcW w:w="1701" w:type="dxa"/>
            <w:vAlign w:val="center"/>
          </w:tcPr>
          <w:p w14:paraId="5BD59C0D">
            <w:pPr>
              <w:widowControl/>
              <w:spacing w:line="280" w:lineRule="exact"/>
              <w:jc w:val="center"/>
              <w:rPr>
                <w:color w:val="auto"/>
                <w:kern w:val="0"/>
                <w:sz w:val="18"/>
                <w:szCs w:val="18"/>
                <w:highlight w:val="none"/>
              </w:rPr>
            </w:pPr>
            <w:r>
              <w:rPr>
                <w:color w:val="auto"/>
                <w:kern w:val="0"/>
                <w:sz w:val="18"/>
                <w:szCs w:val="18"/>
                <w:highlight w:val="none"/>
              </w:rPr>
              <w:t>100≤X＜2000</w:t>
            </w:r>
          </w:p>
        </w:tc>
        <w:tc>
          <w:tcPr>
            <w:tcW w:w="1426" w:type="dxa"/>
            <w:vAlign w:val="center"/>
          </w:tcPr>
          <w:p w14:paraId="39EE8D95">
            <w:pPr>
              <w:widowControl/>
              <w:spacing w:line="280" w:lineRule="exact"/>
              <w:jc w:val="center"/>
              <w:rPr>
                <w:color w:val="auto"/>
                <w:kern w:val="0"/>
                <w:sz w:val="18"/>
                <w:szCs w:val="18"/>
                <w:highlight w:val="none"/>
              </w:rPr>
            </w:pPr>
            <w:r>
              <w:rPr>
                <w:color w:val="auto"/>
                <w:kern w:val="0"/>
                <w:sz w:val="18"/>
                <w:szCs w:val="18"/>
                <w:highlight w:val="none"/>
              </w:rPr>
              <w:t>10≤X＜100</w:t>
            </w:r>
          </w:p>
        </w:tc>
        <w:tc>
          <w:tcPr>
            <w:tcW w:w="992" w:type="dxa"/>
            <w:vAlign w:val="center"/>
          </w:tcPr>
          <w:p w14:paraId="126E0BE2">
            <w:pPr>
              <w:widowControl/>
              <w:spacing w:line="280" w:lineRule="exact"/>
              <w:jc w:val="center"/>
              <w:rPr>
                <w:color w:val="auto"/>
                <w:kern w:val="0"/>
                <w:sz w:val="18"/>
                <w:szCs w:val="18"/>
                <w:highlight w:val="none"/>
              </w:rPr>
            </w:pPr>
            <w:r>
              <w:rPr>
                <w:color w:val="auto"/>
                <w:kern w:val="0"/>
                <w:sz w:val="18"/>
                <w:szCs w:val="18"/>
                <w:highlight w:val="none"/>
              </w:rPr>
              <w:t>X＜10</w:t>
            </w:r>
          </w:p>
        </w:tc>
      </w:tr>
      <w:tr w14:paraId="5F51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4CAA5B">
            <w:pPr>
              <w:widowControl/>
              <w:spacing w:line="280" w:lineRule="exact"/>
              <w:jc w:val="left"/>
              <w:rPr>
                <w:color w:val="auto"/>
                <w:kern w:val="0"/>
                <w:sz w:val="18"/>
                <w:szCs w:val="18"/>
                <w:highlight w:val="none"/>
              </w:rPr>
            </w:pPr>
          </w:p>
        </w:tc>
        <w:tc>
          <w:tcPr>
            <w:tcW w:w="1369" w:type="dxa"/>
            <w:vAlign w:val="center"/>
          </w:tcPr>
          <w:p w14:paraId="4C73C368">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30E5BA60">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55580B43">
            <w:pPr>
              <w:widowControl/>
              <w:spacing w:line="280" w:lineRule="exact"/>
              <w:jc w:val="center"/>
              <w:rPr>
                <w:color w:val="auto"/>
                <w:kern w:val="0"/>
                <w:sz w:val="18"/>
                <w:szCs w:val="18"/>
                <w:highlight w:val="none"/>
              </w:rPr>
            </w:pPr>
            <w:r>
              <w:rPr>
                <w:color w:val="auto"/>
                <w:kern w:val="0"/>
                <w:sz w:val="18"/>
                <w:szCs w:val="18"/>
                <w:highlight w:val="none"/>
              </w:rPr>
              <w:t>Y≥100000</w:t>
            </w:r>
          </w:p>
        </w:tc>
        <w:tc>
          <w:tcPr>
            <w:tcW w:w="1701" w:type="dxa"/>
            <w:vAlign w:val="center"/>
          </w:tcPr>
          <w:p w14:paraId="7F7D7CFA">
            <w:pPr>
              <w:widowControl/>
              <w:spacing w:line="280" w:lineRule="exact"/>
              <w:jc w:val="center"/>
              <w:rPr>
                <w:color w:val="auto"/>
                <w:kern w:val="0"/>
                <w:sz w:val="18"/>
                <w:szCs w:val="18"/>
                <w:highlight w:val="none"/>
              </w:rPr>
            </w:pPr>
            <w:r>
              <w:rPr>
                <w:color w:val="auto"/>
                <w:kern w:val="0"/>
                <w:sz w:val="18"/>
                <w:szCs w:val="18"/>
                <w:highlight w:val="none"/>
              </w:rPr>
              <w:t>1000≤Y＜100000</w:t>
            </w:r>
          </w:p>
        </w:tc>
        <w:tc>
          <w:tcPr>
            <w:tcW w:w="1426" w:type="dxa"/>
            <w:vAlign w:val="center"/>
          </w:tcPr>
          <w:p w14:paraId="41DA4BC2">
            <w:pPr>
              <w:widowControl/>
              <w:spacing w:line="280" w:lineRule="exact"/>
              <w:jc w:val="center"/>
              <w:rPr>
                <w:color w:val="auto"/>
                <w:kern w:val="0"/>
                <w:sz w:val="18"/>
                <w:szCs w:val="18"/>
                <w:highlight w:val="none"/>
              </w:rPr>
            </w:pPr>
            <w:r>
              <w:rPr>
                <w:color w:val="auto"/>
                <w:kern w:val="0"/>
                <w:sz w:val="18"/>
                <w:szCs w:val="18"/>
                <w:highlight w:val="none"/>
              </w:rPr>
              <w:t>100≤Y＜1000</w:t>
            </w:r>
          </w:p>
        </w:tc>
        <w:tc>
          <w:tcPr>
            <w:tcW w:w="992" w:type="dxa"/>
            <w:vAlign w:val="center"/>
          </w:tcPr>
          <w:p w14:paraId="73652CA0">
            <w:pPr>
              <w:widowControl/>
              <w:spacing w:line="280" w:lineRule="exact"/>
              <w:jc w:val="center"/>
              <w:rPr>
                <w:color w:val="auto"/>
                <w:kern w:val="0"/>
                <w:sz w:val="18"/>
                <w:szCs w:val="18"/>
                <w:highlight w:val="none"/>
              </w:rPr>
            </w:pPr>
            <w:r>
              <w:rPr>
                <w:color w:val="auto"/>
                <w:kern w:val="0"/>
                <w:sz w:val="18"/>
                <w:szCs w:val="18"/>
                <w:highlight w:val="none"/>
              </w:rPr>
              <w:t>Y＜100</w:t>
            </w:r>
          </w:p>
        </w:tc>
      </w:tr>
      <w:tr w14:paraId="1885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0993180">
            <w:pPr>
              <w:widowControl/>
              <w:spacing w:line="280" w:lineRule="exact"/>
              <w:jc w:val="left"/>
              <w:rPr>
                <w:color w:val="auto"/>
                <w:spacing w:val="-12"/>
                <w:kern w:val="0"/>
                <w:sz w:val="18"/>
                <w:szCs w:val="18"/>
                <w:highlight w:val="none"/>
              </w:rPr>
            </w:pPr>
            <w:r>
              <w:rPr>
                <w:color w:val="auto"/>
                <w:spacing w:val="-12"/>
                <w:kern w:val="0"/>
                <w:sz w:val="18"/>
                <w:szCs w:val="18"/>
                <w:highlight w:val="none"/>
              </w:rPr>
              <w:t>软件和信息技术服</w:t>
            </w:r>
            <w:r>
              <w:rPr>
                <w:color w:val="auto"/>
                <w:kern w:val="0"/>
                <w:sz w:val="18"/>
                <w:szCs w:val="18"/>
                <w:highlight w:val="none"/>
              </w:rPr>
              <w:t>务业</w:t>
            </w:r>
          </w:p>
        </w:tc>
        <w:tc>
          <w:tcPr>
            <w:tcW w:w="1369" w:type="dxa"/>
            <w:vAlign w:val="center"/>
          </w:tcPr>
          <w:p w14:paraId="75989285">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69F18761">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2BB75D19">
            <w:pPr>
              <w:widowControl/>
              <w:spacing w:line="280" w:lineRule="exact"/>
              <w:jc w:val="center"/>
              <w:rPr>
                <w:color w:val="auto"/>
                <w:kern w:val="0"/>
                <w:sz w:val="18"/>
                <w:szCs w:val="18"/>
                <w:highlight w:val="none"/>
              </w:rPr>
            </w:pPr>
            <w:r>
              <w:rPr>
                <w:color w:val="auto"/>
                <w:kern w:val="0"/>
                <w:sz w:val="18"/>
                <w:szCs w:val="18"/>
                <w:highlight w:val="none"/>
              </w:rPr>
              <w:t>X≥300</w:t>
            </w:r>
          </w:p>
        </w:tc>
        <w:tc>
          <w:tcPr>
            <w:tcW w:w="1701" w:type="dxa"/>
            <w:vAlign w:val="center"/>
          </w:tcPr>
          <w:p w14:paraId="7E7C9B11">
            <w:pPr>
              <w:widowControl/>
              <w:spacing w:line="280" w:lineRule="exact"/>
              <w:ind w:left="1" w:leftChars="-51" w:hanging="108" w:hangingChars="60"/>
              <w:jc w:val="center"/>
              <w:rPr>
                <w:color w:val="auto"/>
                <w:kern w:val="0"/>
                <w:sz w:val="18"/>
                <w:szCs w:val="18"/>
                <w:highlight w:val="none"/>
              </w:rPr>
            </w:pPr>
            <w:r>
              <w:rPr>
                <w:color w:val="auto"/>
                <w:kern w:val="0"/>
                <w:sz w:val="18"/>
                <w:szCs w:val="18"/>
                <w:highlight w:val="none"/>
              </w:rPr>
              <w:t xml:space="preserve">100≤X＜300 </w:t>
            </w:r>
          </w:p>
        </w:tc>
        <w:tc>
          <w:tcPr>
            <w:tcW w:w="1426" w:type="dxa"/>
            <w:vAlign w:val="center"/>
          </w:tcPr>
          <w:p w14:paraId="27377479">
            <w:pPr>
              <w:widowControl/>
              <w:spacing w:line="280" w:lineRule="exact"/>
              <w:jc w:val="center"/>
              <w:rPr>
                <w:color w:val="auto"/>
                <w:kern w:val="0"/>
                <w:sz w:val="18"/>
                <w:szCs w:val="18"/>
                <w:highlight w:val="none"/>
              </w:rPr>
            </w:pPr>
            <w:r>
              <w:rPr>
                <w:color w:val="auto"/>
                <w:kern w:val="0"/>
                <w:sz w:val="18"/>
                <w:szCs w:val="18"/>
                <w:highlight w:val="none"/>
              </w:rPr>
              <w:t>10≤X＜100</w:t>
            </w:r>
          </w:p>
        </w:tc>
        <w:tc>
          <w:tcPr>
            <w:tcW w:w="992" w:type="dxa"/>
            <w:vAlign w:val="center"/>
          </w:tcPr>
          <w:p w14:paraId="28E9E6AB">
            <w:pPr>
              <w:widowControl/>
              <w:spacing w:line="280" w:lineRule="exact"/>
              <w:jc w:val="center"/>
              <w:rPr>
                <w:color w:val="auto"/>
                <w:kern w:val="0"/>
                <w:sz w:val="18"/>
                <w:szCs w:val="18"/>
                <w:highlight w:val="none"/>
              </w:rPr>
            </w:pPr>
            <w:r>
              <w:rPr>
                <w:color w:val="auto"/>
                <w:kern w:val="0"/>
                <w:sz w:val="18"/>
                <w:szCs w:val="18"/>
                <w:highlight w:val="none"/>
              </w:rPr>
              <w:t>X＜10</w:t>
            </w:r>
          </w:p>
        </w:tc>
      </w:tr>
      <w:tr w14:paraId="0EED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EFBA51E">
            <w:pPr>
              <w:widowControl/>
              <w:spacing w:line="280" w:lineRule="exact"/>
              <w:jc w:val="left"/>
              <w:rPr>
                <w:color w:val="auto"/>
                <w:spacing w:val="-12"/>
                <w:kern w:val="0"/>
                <w:sz w:val="18"/>
                <w:szCs w:val="18"/>
                <w:highlight w:val="none"/>
              </w:rPr>
            </w:pPr>
          </w:p>
        </w:tc>
        <w:tc>
          <w:tcPr>
            <w:tcW w:w="1369" w:type="dxa"/>
            <w:vAlign w:val="center"/>
          </w:tcPr>
          <w:p w14:paraId="554A4273">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2BDB54E1">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21C462B5">
            <w:pPr>
              <w:widowControl/>
              <w:spacing w:line="280" w:lineRule="exact"/>
              <w:jc w:val="center"/>
              <w:rPr>
                <w:color w:val="auto"/>
                <w:kern w:val="0"/>
                <w:sz w:val="18"/>
                <w:szCs w:val="18"/>
                <w:highlight w:val="none"/>
              </w:rPr>
            </w:pPr>
            <w:r>
              <w:rPr>
                <w:color w:val="auto"/>
                <w:kern w:val="0"/>
                <w:sz w:val="18"/>
                <w:szCs w:val="18"/>
                <w:highlight w:val="none"/>
              </w:rPr>
              <w:t>Y≥10000</w:t>
            </w:r>
          </w:p>
        </w:tc>
        <w:tc>
          <w:tcPr>
            <w:tcW w:w="1701" w:type="dxa"/>
            <w:vAlign w:val="center"/>
          </w:tcPr>
          <w:p w14:paraId="3CBA9465">
            <w:pPr>
              <w:widowControl/>
              <w:spacing w:line="280" w:lineRule="exact"/>
              <w:jc w:val="center"/>
              <w:rPr>
                <w:color w:val="auto"/>
                <w:kern w:val="0"/>
                <w:sz w:val="18"/>
                <w:szCs w:val="18"/>
                <w:highlight w:val="none"/>
              </w:rPr>
            </w:pPr>
            <w:r>
              <w:rPr>
                <w:color w:val="auto"/>
                <w:kern w:val="0"/>
                <w:sz w:val="18"/>
                <w:szCs w:val="18"/>
                <w:highlight w:val="none"/>
              </w:rPr>
              <w:t>1000≤Y＜10000</w:t>
            </w:r>
          </w:p>
        </w:tc>
        <w:tc>
          <w:tcPr>
            <w:tcW w:w="1426" w:type="dxa"/>
            <w:vAlign w:val="center"/>
          </w:tcPr>
          <w:p w14:paraId="23AC8707">
            <w:pPr>
              <w:widowControl/>
              <w:spacing w:line="280" w:lineRule="exact"/>
              <w:jc w:val="center"/>
              <w:rPr>
                <w:color w:val="auto"/>
                <w:kern w:val="0"/>
                <w:sz w:val="18"/>
                <w:szCs w:val="18"/>
                <w:highlight w:val="none"/>
              </w:rPr>
            </w:pPr>
            <w:r>
              <w:rPr>
                <w:color w:val="auto"/>
                <w:kern w:val="0"/>
                <w:sz w:val="18"/>
                <w:szCs w:val="18"/>
                <w:highlight w:val="none"/>
              </w:rPr>
              <w:t>50≤Y＜1000</w:t>
            </w:r>
          </w:p>
        </w:tc>
        <w:tc>
          <w:tcPr>
            <w:tcW w:w="992" w:type="dxa"/>
            <w:vAlign w:val="center"/>
          </w:tcPr>
          <w:p w14:paraId="051ECE72">
            <w:pPr>
              <w:widowControl/>
              <w:spacing w:line="280" w:lineRule="exact"/>
              <w:jc w:val="center"/>
              <w:rPr>
                <w:color w:val="auto"/>
                <w:kern w:val="0"/>
                <w:sz w:val="18"/>
                <w:szCs w:val="18"/>
                <w:highlight w:val="none"/>
              </w:rPr>
            </w:pPr>
            <w:r>
              <w:rPr>
                <w:color w:val="auto"/>
                <w:kern w:val="0"/>
                <w:sz w:val="18"/>
                <w:szCs w:val="18"/>
                <w:highlight w:val="none"/>
              </w:rPr>
              <w:t>Y＜50</w:t>
            </w:r>
          </w:p>
        </w:tc>
      </w:tr>
      <w:tr w14:paraId="16B3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3FAA035">
            <w:pPr>
              <w:widowControl/>
              <w:spacing w:line="280" w:lineRule="exact"/>
              <w:jc w:val="left"/>
              <w:rPr>
                <w:color w:val="auto"/>
                <w:kern w:val="0"/>
                <w:sz w:val="18"/>
                <w:szCs w:val="18"/>
                <w:highlight w:val="none"/>
              </w:rPr>
            </w:pPr>
            <w:r>
              <w:rPr>
                <w:color w:val="auto"/>
                <w:kern w:val="0"/>
                <w:sz w:val="18"/>
                <w:szCs w:val="18"/>
                <w:highlight w:val="none"/>
              </w:rPr>
              <w:t>房地产开发经营</w:t>
            </w:r>
          </w:p>
        </w:tc>
        <w:tc>
          <w:tcPr>
            <w:tcW w:w="1369" w:type="dxa"/>
            <w:vAlign w:val="center"/>
          </w:tcPr>
          <w:p w14:paraId="72DD6353">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298BCA16">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5990199D">
            <w:pPr>
              <w:widowControl/>
              <w:spacing w:line="280" w:lineRule="exact"/>
              <w:jc w:val="center"/>
              <w:rPr>
                <w:color w:val="auto"/>
                <w:kern w:val="0"/>
                <w:sz w:val="18"/>
                <w:szCs w:val="18"/>
                <w:highlight w:val="none"/>
              </w:rPr>
            </w:pPr>
            <w:r>
              <w:rPr>
                <w:color w:val="auto"/>
                <w:kern w:val="0"/>
                <w:sz w:val="18"/>
                <w:szCs w:val="18"/>
                <w:highlight w:val="none"/>
              </w:rPr>
              <w:t>Y≥200000</w:t>
            </w:r>
          </w:p>
        </w:tc>
        <w:tc>
          <w:tcPr>
            <w:tcW w:w="1701" w:type="dxa"/>
            <w:vAlign w:val="center"/>
          </w:tcPr>
          <w:p w14:paraId="1EC1A1FD">
            <w:pPr>
              <w:widowControl/>
              <w:spacing w:line="280" w:lineRule="exact"/>
              <w:jc w:val="center"/>
              <w:rPr>
                <w:color w:val="auto"/>
                <w:kern w:val="0"/>
                <w:sz w:val="18"/>
                <w:szCs w:val="18"/>
                <w:highlight w:val="none"/>
              </w:rPr>
            </w:pPr>
            <w:r>
              <w:rPr>
                <w:color w:val="auto"/>
                <w:kern w:val="0"/>
                <w:sz w:val="18"/>
                <w:szCs w:val="18"/>
                <w:highlight w:val="none"/>
              </w:rPr>
              <w:t>1000≤Y＜200000</w:t>
            </w:r>
          </w:p>
        </w:tc>
        <w:tc>
          <w:tcPr>
            <w:tcW w:w="1426" w:type="dxa"/>
            <w:vAlign w:val="center"/>
          </w:tcPr>
          <w:p w14:paraId="176FB287">
            <w:pPr>
              <w:widowControl/>
              <w:spacing w:line="280" w:lineRule="exact"/>
              <w:jc w:val="center"/>
              <w:rPr>
                <w:color w:val="auto"/>
                <w:kern w:val="0"/>
                <w:sz w:val="18"/>
                <w:szCs w:val="18"/>
                <w:highlight w:val="none"/>
              </w:rPr>
            </w:pPr>
            <w:r>
              <w:rPr>
                <w:color w:val="auto"/>
                <w:kern w:val="0"/>
                <w:sz w:val="18"/>
                <w:szCs w:val="18"/>
                <w:highlight w:val="none"/>
              </w:rPr>
              <w:t>100≤Y＜1000</w:t>
            </w:r>
          </w:p>
        </w:tc>
        <w:tc>
          <w:tcPr>
            <w:tcW w:w="992" w:type="dxa"/>
            <w:vAlign w:val="center"/>
          </w:tcPr>
          <w:p w14:paraId="62EBC792">
            <w:pPr>
              <w:widowControl/>
              <w:spacing w:line="280" w:lineRule="exact"/>
              <w:jc w:val="center"/>
              <w:rPr>
                <w:color w:val="auto"/>
                <w:kern w:val="0"/>
                <w:sz w:val="18"/>
                <w:szCs w:val="18"/>
                <w:highlight w:val="none"/>
              </w:rPr>
            </w:pPr>
            <w:r>
              <w:rPr>
                <w:color w:val="auto"/>
                <w:kern w:val="0"/>
                <w:sz w:val="18"/>
                <w:szCs w:val="18"/>
                <w:highlight w:val="none"/>
              </w:rPr>
              <w:t>Y＜100</w:t>
            </w:r>
          </w:p>
        </w:tc>
      </w:tr>
      <w:tr w14:paraId="173C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945B1DB">
            <w:pPr>
              <w:widowControl/>
              <w:spacing w:line="280" w:lineRule="exact"/>
              <w:jc w:val="left"/>
              <w:rPr>
                <w:color w:val="auto"/>
                <w:kern w:val="0"/>
                <w:sz w:val="18"/>
                <w:szCs w:val="18"/>
                <w:highlight w:val="none"/>
              </w:rPr>
            </w:pPr>
          </w:p>
        </w:tc>
        <w:tc>
          <w:tcPr>
            <w:tcW w:w="1369" w:type="dxa"/>
            <w:vAlign w:val="center"/>
          </w:tcPr>
          <w:p w14:paraId="60E5C8C7">
            <w:pPr>
              <w:widowControl/>
              <w:spacing w:line="280" w:lineRule="exact"/>
              <w:jc w:val="center"/>
              <w:rPr>
                <w:color w:val="auto"/>
                <w:kern w:val="0"/>
                <w:sz w:val="18"/>
                <w:szCs w:val="18"/>
                <w:highlight w:val="none"/>
              </w:rPr>
            </w:pPr>
            <w:r>
              <w:rPr>
                <w:color w:val="auto"/>
                <w:kern w:val="0"/>
                <w:sz w:val="18"/>
                <w:szCs w:val="18"/>
                <w:highlight w:val="none"/>
              </w:rPr>
              <w:t>资产总额(Z)</w:t>
            </w:r>
          </w:p>
        </w:tc>
        <w:tc>
          <w:tcPr>
            <w:tcW w:w="709" w:type="dxa"/>
            <w:vAlign w:val="center"/>
          </w:tcPr>
          <w:p w14:paraId="40EF3FD0">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6D0427FC">
            <w:pPr>
              <w:widowControl/>
              <w:spacing w:line="280" w:lineRule="exact"/>
              <w:jc w:val="center"/>
              <w:rPr>
                <w:color w:val="auto"/>
                <w:kern w:val="0"/>
                <w:sz w:val="18"/>
                <w:szCs w:val="18"/>
                <w:highlight w:val="none"/>
              </w:rPr>
            </w:pPr>
            <w:r>
              <w:rPr>
                <w:color w:val="auto"/>
                <w:kern w:val="0"/>
                <w:sz w:val="18"/>
                <w:szCs w:val="18"/>
                <w:highlight w:val="none"/>
              </w:rPr>
              <w:t>Z≥10000</w:t>
            </w:r>
          </w:p>
        </w:tc>
        <w:tc>
          <w:tcPr>
            <w:tcW w:w="1701" w:type="dxa"/>
            <w:vAlign w:val="center"/>
          </w:tcPr>
          <w:p w14:paraId="4B3F1E0C">
            <w:pPr>
              <w:widowControl/>
              <w:spacing w:line="280" w:lineRule="exact"/>
              <w:jc w:val="center"/>
              <w:rPr>
                <w:color w:val="auto"/>
                <w:kern w:val="0"/>
                <w:sz w:val="18"/>
                <w:szCs w:val="18"/>
                <w:highlight w:val="none"/>
              </w:rPr>
            </w:pPr>
            <w:r>
              <w:rPr>
                <w:color w:val="auto"/>
                <w:kern w:val="0"/>
                <w:sz w:val="18"/>
                <w:szCs w:val="18"/>
                <w:highlight w:val="none"/>
              </w:rPr>
              <w:t>5000≤Z＜10000</w:t>
            </w:r>
          </w:p>
        </w:tc>
        <w:tc>
          <w:tcPr>
            <w:tcW w:w="1426" w:type="dxa"/>
            <w:vAlign w:val="center"/>
          </w:tcPr>
          <w:p w14:paraId="31A52C7E">
            <w:pPr>
              <w:widowControl/>
              <w:spacing w:line="280" w:lineRule="exact"/>
              <w:jc w:val="center"/>
              <w:rPr>
                <w:color w:val="auto"/>
                <w:kern w:val="0"/>
                <w:sz w:val="18"/>
                <w:szCs w:val="18"/>
                <w:highlight w:val="none"/>
              </w:rPr>
            </w:pPr>
            <w:r>
              <w:rPr>
                <w:color w:val="auto"/>
                <w:kern w:val="0"/>
                <w:sz w:val="18"/>
                <w:szCs w:val="18"/>
                <w:highlight w:val="none"/>
              </w:rPr>
              <w:t>2000≤Z＜5000</w:t>
            </w:r>
          </w:p>
        </w:tc>
        <w:tc>
          <w:tcPr>
            <w:tcW w:w="992" w:type="dxa"/>
            <w:vAlign w:val="center"/>
          </w:tcPr>
          <w:p w14:paraId="2E82F365">
            <w:pPr>
              <w:widowControl/>
              <w:spacing w:line="280" w:lineRule="exact"/>
              <w:jc w:val="center"/>
              <w:rPr>
                <w:color w:val="auto"/>
                <w:kern w:val="0"/>
                <w:sz w:val="18"/>
                <w:szCs w:val="18"/>
                <w:highlight w:val="none"/>
              </w:rPr>
            </w:pPr>
            <w:r>
              <w:rPr>
                <w:color w:val="auto"/>
                <w:kern w:val="0"/>
                <w:sz w:val="18"/>
                <w:szCs w:val="18"/>
                <w:highlight w:val="none"/>
              </w:rPr>
              <w:t>Z＜2000</w:t>
            </w:r>
          </w:p>
        </w:tc>
      </w:tr>
      <w:tr w14:paraId="5B7F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9B172C5">
            <w:pPr>
              <w:widowControl/>
              <w:spacing w:line="280" w:lineRule="exact"/>
              <w:jc w:val="left"/>
              <w:rPr>
                <w:color w:val="auto"/>
                <w:kern w:val="0"/>
                <w:sz w:val="18"/>
                <w:szCs w:val="18"/>
                <w:highlight w:val="none"/>
              </w:rPr>
            </w:pPr>
            <w:r>
              <w:rPr>
                <w:color w:val="auto"/>
                <w:kern w:val="0"/>
                <w:sz w:val="18"/>
                <w:szCs w:val="18"/>
                <w:highlight w:val="none"/>
              </w:rPr>
              <w:t>物业管理</w:t>
            </w:r>
          </w:p>
        </w:tc>
        <w:tc>
          <w:tcPr>
            <w:tcW w:w="1369" w:type="dxa"/>
            <w:vAlign w:val="center"/>
          </w:tcPr>
          <w:p w14:paraId="51742739">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7091E5E9">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7AD34AA6">
            <w:pPr>
              <w:widowControl/>
              <w:spacing w:line="280" w:lineRule="exact"/>
              <w:jc w:val="center"/>
              <w:rPr>
                <w:color w:val="auto"/>
                <w:kern w:val="0"/>
                <w:sz w:val="18"/>
                <w:szCs w:val="18"/>
                <w:highlight w:val="none"/>
              </w:rPr>
            </w:pPr>
            <w:r>
              <w:rPr>
                <w:color w:val="auto"/>
                <w:kern w:val="0"/>
                <w:sz w:val="18"/>
                <w:szCs w:val="18"/>
                <w:highlight w:val="none"/>
              </w:rPr>
              <w:t>X≥1000</w:t>
            </w:r>
          </w:p>
        </w:tc>
        <w:tc>
          <w:tcPr>
            <w:tcW w:w="1701" w:type="dxa"/>
            <w:vAlign w:val="center"/>
          </w:tcPr>
          <w:p w14:paraId="08FD01D0">
            <w:pPr>
              <w:widowControl/>
              <w:spacing w:line="280" w:lineRule="exact"/>
              <w:jc w:val="center"/>
              <w:rPr>
                <w:color w:val="auto"/>
                <w:kern w:val="0"/>
                <w:sz w:val="18"/>
                <w:szCs w:val="18"/>
                <w:highlight w:val="none"/>
              </w:rPr>
            </w:pPr>
            <w:r>
              <w:rPr>
                <w:color w:val="auto"/>
                <w:kern w:val="0"/>
                <w:sz w:val="18"/>
                <w:szCs w:val="18"/>
                <w:highlight w:val="none"/>
              </w:rPr>
              <w:t>300≤X＜1000</w:t>
            </w:r>
          </w:p>
        </w:tc>
        <w:tc>
          <w:tcPr>
            <w:tcW w:w="1426" w:type="dxa"/>
            <w:vAlign w:val="center"/>
          </w:tcPr>
          <w:p w14:paraId="681FA958">
            <w:pPr>
              <w:widowControl/>
              <w:spacing w:line="280" w:lineRule="exact"/>
              <w:jc w:val="center"/>
              <w:rPr>
                <w:color w:val="auto"/>
                <w:kern w:val="0"/>
                <w:sz w:val="18"/>
                <w:szCs w:val="18"/>
                <w:highlight w:val="none"/>
              </w:rPr>
            </w:pPr>
            <w:r>
              <w:rPr>
                <w:color w:val="auto"/>
                <w:kern w:val="0"/>
                <w:sz w:val="18"/>
                <w:szCs w:val="18"/>
                <w:highlight w:val="none"/>
              </w:rPr>
              <w:t>100≤X＜300</w:t>
            </w:r>
          </w:p>
        </w:tc>
        <w:tc>
          <w:tcPr>
            <w:tcW w:w="992" w:type="dxa"/>
            <w:vAlign w:val="center"/>
          </w:tcPr>
          <w:p w14:paraId="1AD0DC40">
            <w:pPr>
              <w:widowControl/>
              <w:spacing w:line="280" w:lineRule="exact"/>
              <w:jc w:val="center"/>
              <w:rPr>
                <w:color w:val="auto"/>
                <w:kern w:val="0"/>
                <w:sz w:val="18"/>
                <w:szCs w:val="18"/>
                <w:highlight w:val="none"/>
              </w:rPr>
            </w:pPr>
            <w:r>
              <w:rPr>
                <w:color w:val="auto"/>
                <w:kern w:val="0"/>
                <w:sz w:val="18"/>
                <w:szCs w:val="18"/>
                <w:highlight w:val="none"/>
              </w:rPr>
              <w:t>X＜100</w:t>
            </w:r>
          </w:p>
        </w:tc>
      </w:tr>
      <w:tr w14:paraId="2892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2EFBE66">
            <w:pPr>
              <w:widowControl/>
              <w:spacing w:line="280" w:lineRule="exact"/>
              <w:jc w:val="left"/>
              <w:rPr>
                <w:color w:val="auto"/>
                <w:kern w:val="0"/>
                <w:sz w:val="18"/>
                <w:szCs w:val="18"/>
                <w:highlight w:val="none"/>
              </w:rPr>
            </w:pPr>
          </w:p>
        </w:tc>
        <w:tc>
          <w:tcPr>
            <w:tcW w:w="1369" w:type="dxa"/>
            <w:vAlign w:val="center"/>
          </w:tcPr>
          <w:p w14:paraId="70A20F60">
            <w:pPr>
              <w:widowControl/>
              <w:spacing w:line="280" w:lineRule="exact"/>
              <w:jc w:val="center"/>
              <w:rPr>
                <w:color w:val="auto"/>
                <w:kern w:val="0"/>
                <w:sz w:val="18"/>
                <w:szCs w:val="18"/>
                <w:highlight w:val="none"/>
              </w:rPr>
            </w:pPr>
            <w:r>
              <w:rPr>
                <w:color w:val="auto"/>
                <w:kern w:val="0"/>
                <w:sz w:val="18"/>
                <w:szCs w:val="18"/>
                <w:highlight w:val="none"/>
              </w:rPr>
              <w:t>营业收入(Y)</w:t>
            </w:r>
          </w:p>
        </w:tc>
        <w:tc>
          <w:tcPr>
            <w:tcW w:w="709" w:type="dxa"/>
            <w:vAlign w:val="center"/>
          </w:tcPr>
          <w:p w14:paraId="2CC2FFEF">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0D62D45F">
            <w:pPr>
              <w:widowControl/>
              <w:spacing w:line="280" w:lineRule="exact"/>
              <w:jc w:val="center"/>
              <w:rPr>
                <w:color w:val="auto"/>
                <w:kern w:val="0"/>
                <w:sz w:val="18"/>
                <w:szCs w:val="18"/>
                <w:highlight w:val="none"/>
              </w:rPr>
            </w:pPr>
            <w:r>
              <w:rPr>
                <w:color w:val="auto"/>
                <w:kern w:val="0"/>
                <w:sz w:val="18"/>
                <w:szCs w:val="18"/>
                <w:highlight w:val="none"/>
              </w:rPr>
              <w:t>Y≥5000</w:t>
            </w:r>
          </w:p>
        </w:tc>
        <w:tc>
          <w:tcPr>
            <w:tcW w:w="1701" w:type="dxa"/>
            <w:vAlign w:val="center"/>
          </w:tcPr>
          <w:p w14:paraId="46D00169">
            <w:pPr>
              <w:widowControl/>
              <w:spacing w:line="280" w:lineRule="exact"/>
              <w:ind w:left="1" w:leftChars="-51" w:hanging="108" w:hangingChars="60"/>
              <w:jc w:val="center"/>
              <w:rPr>
                <w:color w:val="auto"/>
                <w:kern w:val="0"/>
                <w:sz w:val="18"/>
                <w:szCs w:val="18"/>
                <w:highlight w:val="none"/>
              </w:rPr>
            </w:pPr>
            <w:r>
              <w:rPr>
                <w:color w:val="auto"/>
                <w:kern w:val="0"/>
                <w:sz w:val="18"/>
                <w:szCs w:val="18"/>
                <w:highlight w:val="none"/>
              </w:rPr>
              <w:t>1000≤Y＜5000</w:t>
            </w:r>
          </w:p>
        </w:tc>
        <w:tc>
          <w:tcPr>
            <w:tcW w:w="1426" w:type="dxa"/>
            <w:vAlign w:val="center"/>
          </w:tcPr>
          <w:p w14:paraId="1935E2DD">
            <w:pPr>
              <w:widowControl/>
              <w:spacing w:line="280" w:lineRule="exact"/>
              <w:jc w:val="center"/>
              <w:rPr>
                <w:color w:val="auto"/>
                <w:kern w:val="0"/>
                <w:sz w:val="18"/>
                <w:szCs w:val="18"/>
                <w:highlight w:val="none"/>
              </w:rPr>
            </w:pPr>
            <w:r>
              <w:rPr>
                <w:color w:val="auto"/>
                <w:kern w:val="0"/>
                <w:sz w:val="18"/>
                <w:szCs w:val="18"/>
                <w:highlight w:val="none"/>
              </w:rPr>
              <w:t>500≤Y＜1000</w:t>
            </w:r>
          </w:p>
        </w:tc>
        <w:tc>
          <w:tcPr>
            <w:tcW w:w="992" w:type="dxa"/>
            <w:vAlign w:val="center"/>
          </w:tcPr>
          <w:p w14:paraId="2698BD7E">
            <w:pPr>
              <w:widowControl/>
              <w:spacing w:line="280" w:lineRule="exact"/>
              <w:jc w:val="center"/>
              <w:rPr>
                <w:color w:val="auto"/>
                <w:kern w:val="0"/>
                <w:sz w:val="18"/>
                <w:szCs w:val="18"/>
                <w:highlight w:val="none"/>
              </w:rPr>
            </w:pPr>
            <w:r>
              <w:rPr>
                <w:color w:val="auto"/>
                <w:kern w:val="0"/>
                <w:sz w:val="18"/>
                <w:szCs w:val="18"/>
                <w:highlight w:val="none"/>
              </w:rPr>
              <w:t>Y＜500</w:t>
            </w:r>
          </w:p>
        </w:tc>
      </w:tr>
      <w:tr w14:paraId="5246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7ED3713">
            <w:pPr>
              <w:widowControl/>
              <w:spacing w:line="280" w:lineRule="exact"/>
              <w:jc w:val="left"/>
              <w:rPr>
                <w:color w:val="auto"/>
                <w:kern w:val="0"/>
                <w:sz w:val="18"/>
                <w:szCs w:val="18"/>
                <w:highlight w:val="none"/>
              </w:rPr>
            </w:pPr>
            <w:r>
              <w:rPr>
                <w:color w:val="auto"/>
                <w:kern w:val="0"/>
                <w:sz w:val="18"/>
                <w:szCs w:val="18"/>
                <w:highlight w:val="none"/>
              </w:rPr>
              <w:t>租赁和商务服务业</w:t>
            </w:r>
          </w:p>
        </w:tc>
        <w:tc>
          <w:tcPr>
            <w:tcW w:w="1369" w:type="dxa"/>
            <w:vAlign w:val="center"/>
          </w:tcPr>
          <w:p w14:paraId="69F9583F">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620DD7CD">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3517B453">
            <w:pPr>
              <w:widowControl/>
              <w:spacing w:line="280" w:lineRule="exact"/>
              <w:jc w:val="center"/>
              <w:rPr>
                <w:color w:val="auto"/>
                <w:kern w:val="0"/>
                <w:sz w:val="18"/>
                <w:szCs w:val="18"/>
                <w:highlight w:val="none"/>
              </w:rPr>
            </w:pPr>
            <w:r>
              <w:rPr>
                <w:color w:val="auto"/>
                <w:kern w:val="0"/>
                <w:sz w:val="18"/>
                <w:szCs w:val="18"/>
                <w:highlight w:val="none"/>
              </w:rPr>
              <w:t>X≥300</w:t>
            </w:r>
          </w:p>
        </w:tc>
        <w:tc>
          <w:tcPr>
            <w:tcW w:w="1701" w:type="dxa"/>
            <w:vAlign w:val="center"/>
          </w:tcPr>
          <w:p w14:paraId="07B9C274">
            <w:pPr>
              <w:widowControl/>
              <w:spacing w:line="280" w:lineRule="exact"/>
              <w:ind w:left="1" w:leftChars="-51" w:hanging="108" w:hangingChars="60"/>
              <w:jc w:val="center"/>
              <w:rPr>
                <w:color w:val="auto"/>
                <w:kern w:val="0"/>
                <w:sz w:val="18"/>
                <w:szCs w:val="18"/>
                <w:highlight w:val="none"/>
              </w:rPr>
            </w:pPr>
            <w:r>
              <w:rPr>
                <w:color w:val="auto"/>
                <w:kern w:val="0"/>
                <w:sz w:val="18"/>
                <w:szCs w:val="18"/>
                <w:highlight w:val="none"/>
              </w:rPr>
              <w:t>100≤X＜300</w:t>
            </w:r>
          </w:p>
        </w:tc>
        <w:tc>
          <w:tcPr>
            <w:tcW w:w="1426" w:type="dxa"/>
            <w:vAlign w:val="center"/>
          </w:tcPr>
          <w:p w14:paraId="26514CAF">
            <w:pPr>
              <w:widowControl/>
              <w:spacing w:line="280" w:lineRule="exact"/>
              <w:jc w:val="center"/>
              <w:rPr>
                <w:color w:val="auto"/>
                <w:kern w:val="0"/>
                <w:sz w:val="18"/>
                <w:szCs w:val="18"/>
                <w:highlight w:val="none"/>
              </w:rPr>
            </w:pPr>
            <w:r>
              <w:rPr>
                <w:color w:val="auto"/>
                <w:kern w:val="0"/>
                <w:sz w:val="18"/>
                <w:szCs w:val="18"/>
                <w:highlight w:val="none"/>
              </w:rPr>
              <w:t>10≤X＜100</w:t>
            </w:r>
          </w:p>
        </w:tc>
        <w:tc>
          <w:tcPr>
            <w:tcW w:w="992" w:type="dxa"/>
            <w:vAlign w:val="center"/>
          </w:tcPr>
          <w:p w14:paraId="2774B069">
            <w:pPr>
              <w:widowControl/>
              <w:spacing w:line="280" w:lineRule="exact"/>
              <w:jc w:val="center"/>
              <w:rPr>
                <w:color w:val="auto"/>
                <w:kern w:val="0"/>
                <w:sz w:val="18"/>
                <w:szCs w:val="18"/>
                <w:highlight w:val="none"/>
              </w:rPr>
            </w:pPr>
            <w:r>
              <w:rPr>
                <w:color w:val="auto"/>
                <w:kern w:val="0"/>
                <w:sz w:val="18"/>
                <w:szCs w:val="18"/>
                <w:highlight w:val="none"/>
              </w:rPr>
              <w:t>X＜10</w:t>
            </w:r>
          </w:p>
        </w:tc>
      </w:tr>
      <w:tr w14:paraId="3163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82DC827">
            <w:pPr>
              <w:widowControl/>
              <w:spacing w:line="280" w:lineRule="exact"/>
              <w:jc w:val="left"/>
              <w:rPr>
                <w:color w:val="auto"/>
                <w:kern w:val="0"/>
                <w:sz w:val="18"/>
                <w:szCs w:val="18"/>
                <w:highlight w:val="none"/>
              </w:rPr>
            </w:pPr>
          </w:p>
        </w:tc>
        <w:tc>
          <w:tcPr>
            <w:tcW w:w="1369" w:type="dxa"/>
            <w:vAlign w:val="center"/>
          </w:tcPr>
          <w:p w14:paraId="3043A00C">
            <w:pPr>
              <w:widowControl/>
              <w:spacing w:line="280" w:lineRule="exact"/>
              <w:jc w:val="center"/>
              <w:rPr>
                <w:color w:val="auto"/>
                <w:kern w:val="0"/>
                <w:sz w:val="18"/>
                <w:szCs w:val="18"/>
                <w:highlight w:val="none"/>
              </w:rPr>
            </w:pPr>
            <w:r>
              <w:rPr>
                <w:color w:val="auto"/>
                <w:kern w:val="0"/>
                <w:sz w:val="18"/>
                <w:szCs w:val="18"/>
                <w:highlight w:val="none"/>
              </w:rPr>
              <w:t>资产总额(Z)</w:t>
            </w:r>
          </w:p>
        </w:tc>
        <w:tc>
          <w:tcPr>
            <w:tcW w:w="709" w:type="dxa"/>
            <w:vAlign w:val="center"/>
          </w:tcPr>
          <w:p w14:paraId="491BE8DA">
            <w:pPr>
              <w:widowControl/>
              <w:spacing w:line="280" w:lineRule="exact"/>
              <w:jc w:val="center"/>
              <w:rPr>
                <w:color w:val="auto"/>
                <w:kern w:val="0"/>
                <w:sz w:val="18"/>
                <w:szCs w:val="18"/>
                <w:highlight w:val="none"/>
              </w:rPr>
            </w:pPr>
            <w:r>
              <w:rPr>
                <w:color w:val="auto"/>
                <w:kern w:val="0"/>
                <w:sz w:val="18"/>
                <w:szCs w:val="18"/>
                <w:highlight w:val="none"/>
              </w:rPr>
              <w:t>万元</w:t>
            </w:r>
          </w:p>
        </w:tc>
        <w:tc>
          <w:tcPr>
            <w:tcW w:w="1125" w:type="dxa"/>
            <w:vAlign w:val="center"/>
          </w:tcPr>
          <w:p w14:paraId="32C69BAF">
            <w:pPr>
              <w:widowControl/>
              <w:spacing w:line="280" w:lineRule="exact"/>
              <w:jc w:val="center"/>
              <w:rPr>
                <w:color w:val="auto"/>
                <w:kern w:val="0"/>
                <w:sz w:val="18"/>
                <w:szCs w:val="18"/>
                <w:highlight w:val="none"/>
              </w:rPr>
            </w:pPr>
            <w:r>
              <w:rPr>
                <w:color w:val="auto"/>
                <w:kern w:val="0"/>
                <w:sz w:val="18"/>
                <w:szCs w:val="18"/>
                <w:highlight w:val="none"/>
              </w:rPr>
              <w:t>Z≥120000</w:t>
            </w:r>
          </w:p>
        </w:tc>
        <w:tc>
          <w:tcPr>
            <w:tcW w:w="1701" w:type="dxa"/>
            <w:vAlign w:val="center"/>
          </w:tcPr>
          <w:p w14:paraId="3D7B2B6C">
            <w:pPr>
              <w:widowControl/>
              <w:spacing w:line="280" w:lineRule="exact"/>
              <w:jc w:val="center"/>
              <w:rPr>
                <w:color w:val="auto"/>
                <w:kern w:val="0"/>
                <w:sz w:val="18"/>
                <w:szCs w:val="18"/>
                <w:highlight w:val="none"/>
              </w:rPr>
            </w:pPr>
            <w:r>
              <w:rPr>
                <w:color w:val="auto"/>
                <w:kern w:val="0"/>
                <w:sz w:val="18"/>
                <w:szCs w:val="18"/>
                <w:highlight w:val="none"/>
              </w:rPr>
              <w:t>8000≤Z＜120000</w:t>
            </w:r>
          </w:p>
        </w:tc>
        <w:tc>
          <w:tcPr>
            <w:tcW w:w="1426" w:type="dxa"/>
            <w:vAlign w:val="center"/>
          </w:tcPr>
          <w:p w14:paraId="2A235255">
            <w:pPr>
              <w:widowControl/>
              <w:spacing w:line="280" w:lineRule="exact"/>
              <w:jc w:val="center"/>
              <w:rPr>
                <w:color w:val="auto"/>
                <w:kern w:val="0"/>
                <w:sz w:val="18"/>
                <w:szCs w:val="18"/>
                <w:highlight w:val="none"/>
              </w:rPr>
            </w:pPr>
            <w:r>
              <w:rPr>
                <w:color w:val="auto"/>
                <w:kern w:val="0"/>
                <w:sz w:val="18"/>
                <w:szCs w:val="18"/>
                <w:highlight w:val="none"/>
              </w:rPr>
              <w:t>100≤Z＜8000</w:t>
            </w:r>
          </w:p>
        </w:tc>
        <w:tc>
          <w:tcPr>
            <w:tcW w:w="992" w:type="dxa"/>
            <w:vAlign w:val="center"/>
          </w:tcPr>
          <w:p w14:paraId="612FD418">
            <w:pPr>
              <w:widowControl/>
              <w:spacing w:line="280" w:lineRule="exact"/>
              <w:jc w:val="center"/>
              <w:rPr>
                <w:color w:val="auto"/>
                <w:kern w:val="0"/>
                <w:sz w:val="18"/>
                <w:szCs w:val="18"/>
                <w:highlight w:val="none"/>
              </w:rPr>
            </w:pPr>
            <w:r>
              <w:rPr>
                <w:color w:val="auto"/>
                <w:kern w:val="0"/>
                <w:sz w:val="18"/>
                <w:szCs w:val="18"/>
                <w:highlight w:val="none"/>
              </w:rPr>
              <w:t>Z＜100</w:t>
            </w:r>
          </w:p>
        </w:tc>
      </w:tr>
      <w:tr w14:paraId="2265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291D3B8">
            <w:pPr>
              <w:widowControl/>
              <w:spacing w:line="280" w:lineRule="exact"/>
              <w:jc w:val="left"/>
              <w:rPr>
                <w:color w:val="auto"/>
                <w:kern w:val="0"/>
                <w:sz w:val="18"/>
                <w:szCs w:val="18"/>
                <w:highlight w:val="none"/>
              </w:rPr>
            </w:pPr>
            <w:r>
              <w:rPr>
                <w:color w:val="auto"/>
                <w:kern w:val="0"/>
                <w:sz w:val="18"/>
                <w:szCs w:val="18"/>
                <w:highlight w:val="none"/>
              </w:rPr>
              <w:t>其他未列明行业 *</w:t>
            </w:r>
          </w:p>
        </w:tc>
        <w:tc>
          <w:tcPr>
            <w:tcW w:w="1369" w:type="dxa"/>
            <w:vAlign w:val="center"/>
          </w:tcPr>
          <w:p w14:paraId="2ACAB17B">
            <w:pPr>
              <w:widowControl/>
              <w:spacing w:line="280" w:lineRule="exact"/>
              <w:jc w:val="center"/>
              <w:rPr>
                <w:color w:val="auto"/>
                <w:kern w:val="0"/>
                <w:sz w:val="18"/>
                <w:szCs w:val="18"/>
                <w:highlight w:val="none"/>
              </w:rPr>
            </w:pPr>
            <w:r>
              <w:rPr>
                <w:color w:val="auto"/>
                <w:kern w:val="0"/>
                <w:sz w:val="18"/>
                <w:szCs w:val="18"/>
                <w:highlight w:val="none"/>
              </w:rPr>
              <w:t>从业人员(X)</w:t>
            </w:r>
          </w:p>
        </w:tc>
        <w:tc>
          <w:tcPr>
            <w:tcW w:w="709" w:type="dxa"/>
            <w:vAlign w:val="center"/>
          </w:tcPr>
          <w:p w14:paraId="52AE1313">
            <w:pPr>
              <w:widowControl/>
              <w:spacing w:line="280" w:lineRule="exact"/>
              <w:jc w:val="center"/>
              <w:rPr>
                <w:color w:val="auto"/>
                <w:kern w:val="0"/>
                <w:sz w:val="18"/>
                <w:szCs w:val="18"/>
                <w:highlight w:val="none"/>
              </w:rPr>
            </w:pPr>
            <w:r>
              <w:rPr>
                <w:color w:val="auto"/>
                <w:kern w:val="0"/>
                <w:sz w:val="18"/>
                <w:szCs w:val="18"/>
                <w:highlight w:val="none"/>
              </w:rPr>
              <w:t>人</w:t>
            </w:r>
          </w:p>
        </w:tc>
        <w:tc>
          <w:tcPr>
            <w:tcW w:w="1125" w:type="dxa"/>
            <w:vAlign w:val="center"/>
          </w:tcPr>
          <w:p w14:paraId="6755DC9A">
            <w:pPr>
              <w:widowControl/>
              <w:spacing w:line="280" w:lineRule="exact"/>
              <w:jc w:val="center"/>
              <w:rPr>
                <w:color w:val="auto"/>
                <w:kern w:val="0"/>
                <w:sz w:val="18"/>
                <w:szCs w:val="18"/>
                <w:highlight w:val="none"/>
              </w:rPr>
            </w:pPr>
            <w:r>
              <w:rPr>
                <w:color w:val="auto"/>
                <w:kern w:val="0"/>
                <w:sz w:val="18"/>
                <w:szCs w:val="18"/>
                <w:highlight w:val="none"/>
              </w:rPr>
              <w:t>X≥300</w:t>
            </w:r>
          </w:p>
        </w:tc>
        <w:tc>
          <w:tcPr>
            <w:tcW w:w="1701" w:type="dxa"/>
            <w:vAlign w:val="center"/>
          </w:tcPr>
          <w:p w14:paraId="2A0BD82E">
            <w:pPr>
              <w:widowControl/>
              <w:spacing w:line="280" w:lineRule="exact"/>
              <w:ind w:left="1" w:leftChars="-51" w:hanging="108" w:hangingChars="60"/>
              <w:jc w:val="center"/>
              <w:rPr>
                <w:color w:val="auto"/>
                <w:kern w:val="0"/>
                <w:sz w:val="18"/>
                <w:szCs w:val="18"/>
                <w:highlight w:val="none"/>
              </w:rPr>
            </w:pPr>
            <w:r>
              <w:rPr>
                <w:color w:val="auto"/>
                <w:kern w:val="0"/>
                <w:sz w:val="18"/>
                <w:szCs w:val="18"/>
                <w:highlight w:val="none"/>
              </w:rPr>
              <w:t>100≤X＜300</w:t>
            </w:r>
          </w:p>
        </w:tc>
        <w:tc>
          <w:tcPr>
            <w:tcW w:w="1426" w:type="dxa"/>
            <w:vAlign w:val="center"/>
          </w:tcPr>
          <w:p w14:paraId="049936E0">
            <w:pPr>
              <w:widowControl/>
              <w:spacing w:line="280" w:lineRule="exact"/>
              <w:jc w:val="center"/>
              <w:rPr>
                <w:color w:val="auto"/>
                <w:kern w:val="0"/>
                <w:sz w:val="18"/>
                <w:szCs w:val="18"/>
                <w:highlight w:val="none"/>
              </w:rPr>
            </w:pPr>
            <w:r>
              <w:rPr>
                <w:color w:val="auto"/>
                <w:kern w:val="0"/>
                <w:sz w:val="18"/>
                <w:szCs w:val="18"/>
                <w:highlight w:val="none"/>
              </w:rPr>
              <w:t>10≤X＜100</w:t>
            </w:r>
          </w:p>
        </w:tc>
        <w:tc>
          <w:tcPr>
            <w:tcW w:w="992" w:type="dxa"/>
            <w:vAlign w:val="center"/>
          </w:tcPr>
          <w:p w14:paraId="6F3E6312">
            <w:pPr>
              <w:widowControl/>
              <w:spacing w:line="280" w:lineRule="exact"/>
              <w:jc w:val="center"/>
              <w:rPr>
                <w:color w:val="auto"/>
                <w:kern w:val="0"/>
                <w:sz w:val="18"/>
                <w:szCs w:val="18"/>
                <w:highlight w:val="none"/>
              </w:rPr>
            </w:pPr>
            <w:r>
              <w:rPr>
                <w:color w:val="auto"/>
                <w:kern w:val="0"/>
                <w:sz w:val="18"/>
                <w:szCs w:val="18"/>
                <w:highlight w:val="none"/>
              </w:rPr>
              <w:t>X＜10</w:t>
            </w:r>
          </w:p>
        </w:tc>
      </w:tr>
    </w:tbl>
    <w:p w14:paraId="7E89EB66">
      <w:pPr>
        <w:widowControl/>
        <w:spacing w:line="280" w:lineRule="exact"/>
        <w:rPr>
          <w:color w:val="auto"/>
          <w:spacing w:val="8"/>
          <w:kern w:val="0"/>
          <w:sz w:val="24"/>
          <w:highlight w:val="none"/>
        </w:rPr>
      </w:pPr>
    </w:p>
    <w:p w14:paraId="2F4DB83E">
      <w:pPr>
        <w:widowControl/>
        <w:spacing w:line="480" w:lineRule="auto"/>
        <w:rPr>
          <w:color w:val="auto"/>
          <w:spacing w:val="8"/>
          <w:kern w:val="0"/>
          <w:szCs w:val="21"/>
          <w:highlight w:val="none"/>
        </w:rPr>
      </w:pPr>
      <w:r>
        <w:rPr>
          <w:color w:val="auto"/>
          <w:spacing w:val="8"/>
          <w:kern w:val="0"/>
          <w:szCs w:val="21"/>
          <w:highlight w:val="none"/>
        </w:rPr>
        <w:t>说明：</w:t>
      </w:r>
    </w:p>
    <w:p w14:paraId="3CFF0255">
      <w:pPr>
        <w:pStyle w:val="18"/>
        <w:adjustRightInd w:val="0"/>
        <w:spacing w:line="480" w:lineRule="auto"/>
        <w:ind w:firstLine="432" w:firstLineChars="200"/>
        <w:contextualSpacing/>
        <w:rPr>
          <w:rFonts w:ascii="Times New Roman" w:hAnsi="Times New Roman"/>
          <w:color w:val="auto"/>
          <w:spacing w:val="8"/>
          <w:highlight w:val="none"/>
        </w:rPr>
      </w:pPr>
      <w:r>
        <w:rPr>
          <w:rFonts w:ascii="Times New Roman" w:hAnsi="Times New Roman"/>
          <w:color w:val="auto"/>
          <w:spacing w:val="8"/>
          <w:highlight w:val="none"/>
        </w:rPr>
        <w:t>1.大型、中型和小型企业须同时满足所列指标的下限，否则下划一档；微型企业只须满足所列指标中的一项即可。</w:t>
      </w:r>
    </w:p>
    <w:p w14:paraId="56EEE3D2">
      <w:pPr>
        <w:pStyle w:val="18"/>
        <w:adjustRightInd w:val="0"/>
        <w:spacing w:line="480" w:lineRule="auto"/>
        <w:ind w:firstLine="432" w:firstLineChars="200"/>
        <w:contextualSpacing/>
        <w:rPr>
          <w:rFonts w:ascii="Times New Roman" w:hAnsi="Times New Roman"/>
          <w:color w:val="auto"/>
          <w:spacing w:val="8"/>
          <w:highlight w:val="none"/>
        </w:rPr>
      </w:pPr>
      <w:r>
        <w:rPr>
          <w:rFonts w:ascii="Times New Roman" w:hAnsi="Times New Roman"/>
          <w:color w:val="auto"/>
          <w:spacing w:val="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CF54CEC">
      <w:pPr>
        <w:pStyle w:val="18"/>
        <w:spacing w:line="480" w:lineRule="auto"/>
        <w:ind w:firstLine="432" w:firstLineChars="200"/>
        <w:rPr>
          <w:rFonts w:ascii="Times New Roman" w:hAnsi="Times New Roman"/>
          <w:color w:val="auto"/>
          <w:kern w:val="2"/>
          <w:sz w:val="21"/>
          <w:highlight w:val="none"/>
        </w:rPr>
      </w:pPr>
      <w:r>
        <w:rPr>
          <w:rFonts w:ascii="Times New Roman" w:hAnsi="Times New Roman"/>
          <w:color w:val="auto"/>
          <w:spacing w:val="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w:t>
      </w:r>
      <w:r>
        <w:rPr>
          <w:rFonts w:ascii="Times New Roman" w:hAnsi="Times New Roman"/>
          <w:color w:val="auto"/>
          <w:kern w:val="2"/>
          <w:sz w:val="21"/>
          <w:highlight w:val="none"/>
        </w:rPr>
        <w:t>收入代替；其他未设置主营业务收入的行业，采用营业收入指标。（3）资产总额，采用资产总计代替。</w:t>
      </w:r>
    </w:p>
    <w:p w14:paraId="6170C57C">
      <w:pPr>
        <w:spacing w:line="360" w:lineRule="auto"/>
        <w:ind w:firstLine="420" w:firstLineChars="200"/>
        <w:rPr>
          <w:color w:val="auto"/>
          <w:kern w:val="0"/>
          <w:szCs w:val="21"/>
          <w:highlight w:val="none"/>
        </w:rPr>
      </w:pPr>
      <w:bookmarkStart w:id="48" w:name="_Toc3319"/>
      <w:bookmarkStart w:id="49" w:name="_Toc80886927"/>
    </w:p>
    <w:p w14:paraId="5D6A92AA">
      <w:pPr>
        <w:spacing w:line="360" w:lineRule="auto"/>
        <w:ind w:firstLine="420" w:firstLineChars="200"/>
        <w:rPr>
          <w:color w:val="auto"/>
          <w:kern w:val="0"/>
          <w:szCs w:val="21"/>
          <w:highlight w:val="none"/>
        </w:rPr>
      </w:pPr>
    </w:p>
    <w:p w14:paraId="40DEB03F">
      <w:pPr>
        <w:spacing w:line="360" w:lineRule="auto"/>
        <w:ind w:firstLine="420" w:firstLineChars="200"/>
        <w:rPr>
          <w:color w:val="auto"/>
          <w:kern w:val="0"/>
          <w:szCs w:val="21"/>
          <w:highlight w:val="none"/>
        </w:rPr>
      </w:pPr>
    </w:p>
    <w:p w14:paraId="32AD145C">
      <w:pPr>
        <w:spacing w:line="360" w:lineRule="auto"/>
        <w:ind w:firstLine="420" w:firstLineChars="200"/>
        <w:rPr>
          <w:color w:val="auto"/>
          <w:kern w:val="0"/>
          <w:szCs w:val="21"/>
          <w:highlight w:val="none"/>
        </w:rPr>
      </w:pPr>
    </w:p>
    <w:p w14:paraId="60DC3FBB">
      <w:pPr>
        <w:pStyle w:val="2"/>
        <w:rPr>
          <w:color w:val="auto"/>
          <w:szCs w:val="21"/>
          <w:highlight w:val="none"/>
        </w:rPr>
      </w:pPr>
    </w:p>
    <w:p w14:paraId="1DF4F4C0">
      <w:pPr>
        <w:rPr>
          <w:color w:val="auto"/>
          <w:kern w:val="0"/>
          <w:szCs w:val="21"/>
          <w:highlight w:val="none"/>
        </w:rPr>
      </w:pPr>
    </w:p>
    <w:p w14:paraId="7C62E21E">
      <w:pPr>
        <w:pStyle w:val="2"/>
        <w:rPr>
          <w:color w:val="auto"/>
          <w:szCs w:val="21"/>
          <w:highlight w:val="none"/>
        </w:rPr>
      </w:pPr>
    </w:p>
    <w:p w14:paraId="118778EF">
      <w:pPr>
        <w:rPr>
          <w:color w:val="auto"/>
          <w:kern w:val="0"/>
          <w:szCs w:val="21"/>
          <w:highlight w:val="none"/>
        </w:rPr>
      </w:pPr>
    </w:p>
    <w:p w14:paraId="27722850">
      <w:pPr>
        <w:pStyle w:val="2"/>
        <w:rPr>
          <w:color w:val="auto"/>
          <w:szCs w:val="21"/>
          <w:highlight w:val="none"/>
        </w:rPr>
      </w:pPr>
    </w:p>
    <w:p w14:paraId="69D92FE5">
      <w:pPr>
        <w:rPr>
          <w:color w:val="auto"/>
          <w:kern w:val="0"/>
          <w:szCs w:val="21"/>
          <w:highlight w:val="none"/>
        </w:rPr>
      </w:pPr>
    </w:p>
    <w:p w14:paraId="0CBB1E33">
      <w:pPr>
        <w:pStyle w:val="2"/>
        <w:rPr>
          <w:color w:val="auto"/>
          <w:szCs w:val="21"/>
          <w:highlight w:val="none"/>
        </w:rPr>
      </w:pPr>
    </w:p>
    <w:p w14:paraId="57DA039B">
      <w:pPr>
        <w:rPr>
          <w:color w:val="auto"/>
          <w:kern w:val="0"/>
          <w:szCs w:val="21"/>
          <w:highlight w:val="none"/>
        </w:rPr>
      </w:pPr>
    </w:p>
    <w:p w14:paraId="6FA3DF36">
      <w:pPr>
        <w:pStyle w:val="2"/>
        <w:rPr>
          <w:color w:val="auto"/>
          <w:szCs w:val="21"/>
          <w:highlight w:val="none"/>
        </w:rPr>
      </w:pPr>
    </w:p>
    <w:p w14:paraId="4BA654D6">
      <w:pPr>
        <w:rPr>
          <w:color w:val="auto"/>
          <w:kern w:val="0"/>
          <w:szCs w:val="21"/>
          <w:highlight w:val="none"/>
        </w:rPr>
      </w:pPr>
    </w:p>
    <w:p w14:paraId="6EF56D81">
      <w:pPr>
        <w:pStyle w:val="2"/>
        <w:rPr>
          <w:color w:val="auto"/>
          <w:szCs w:val="21"/>
          <w:highlight w:val="none"/>
        </w:rPr>
      </w:pPr>
    </w:p>
    <w:p w14:paraId="173577CA">
      <w:pPr>
        <w:rPr>
          <w:color w:val="auto"/>
          <w:kern w:val="0"/>
          <w:szCs w:val="21"/>
          <w:highlight w:val="none"/>
        </w:rPr>
      </w:pPr>
    </w:p>
    <w:p w14:paraId="7DB87288">
      <w:pPr>
        <w:pStyle w:val="2"/>
        <w:rPr>
          <w:color w:val="auto"/>
          <w:szCs w:val="21"/>
          <w:highlight w:val="none"/>
        </w:rPr>
      </w:pPr>
    </w:p>
    <w:p w14:paraId="0DFD5F82">
      <w:pPr>
        <w:rPr>
          <w:color w:val="auto"/>
          <w:kern w:val="0"/>
          <w:szCs w:val="21"/>
          <w:highlight w:val="none"/>
        </w:rPr>
      </w:pPr>
    </w:p>
    <w:p w14:paraId="39937ED3">
      <w:pPr>
        <w:pStyle w:val="2"/>
        <w:rPr>
          <w:color w:val="auto"/>
          <w:szCs w:val="21"/>
          <w:highlight w:val="none"/>
        </w:rPr>
      </w:pPr>
    </w:p>
    <w:p w14:paraId="11385851">
      <w:pPr>
        <w:pStyle w:val="8"/>
        <w:rPr>
          <w:rFonts w:eastAsia="Arial Unicode MS"/>
          <w:color w:val="auto"/>
          <w:kern w:val="0"/>
          <w:sz w:val="32"/>
          <w:szCs w:val="32"/>
          <w:highlight w:val="none"/>
        </w:rPr>
      </w:pPr>
    </w:p>
    <w:p w14:paraId="04086327">
      <w:pPr>
        <w:pStyle w:val="8"/>
        <w:rPr>
          <w:rFonts w:eastAsia="Arial Unicode MS"/>
          <w:color w:val="auto"/>
          <w:kern w:val="0"/>
          <w:sz w:val="32"/>
          <w:szCs w:val="32"/>
          <w:highlight w:val="none"/>
        </w:rPr>
      </w:pPr>
    </w:p>
    <w:p w14:paraId="42530994">
      <w:pPr>
        <w:pStyle w:val="8"/>
        <w:rPr>
          <w:rFonts w:eastAsia="Arial Unicode MS"/>
          <w:color w:val="auto"/>
          <w:kern w:val="0"/>
          <w:sz w:val="32"/>
          <w:szCs w:val="32"/>
          <w:highlight w:val="none"/>
        </w:rPr>
      </w:pPr>
    </w:p>
    <w:p w14:paraId="2EDBF35C">
      <w:pPr>
        <w:pStyle w:val="8"/>
        <w:rPr>
          <w:rFonts w:eastAsia="Arial Unicode MS"/>
          <w:color w:val="auto"/>
          <w:kern w:val="0"/>
          <w:sz w:val="32"/>
          <w:szCs w:val="32"/>
          <w:highlight w:val="none"/>
        </w:rPr>
      </w:pPr>
    </w:p>
    <w:p w14:paraId="5A68A584">
      <w:pPr>
        <w:pStyle w:val="8"/>
        <w:rPr>
          <w:rFonts w:eastAsia="Arial Unicode MS"/>
          <w:color w:val="auto"/>
          <w:kern w:val="0"/>
          <w:sz w:val="32"/>
          <w:szCs w:val="32"/>
          <w:highlight w:val="none"/>
        </w:rPr>
      </w:pPr>
    </w:p>
    <w:p w14:paraId="518373D8">
      <w:pPr>
        <w:pStyle w:val="8"/>
        <w:rPr>
          <w:rFonts w:eastAsia="Arial Unicode MS"/>
          <w:color w:val="auto"/>
          <w:kern w:val="0"/>
          <w:sz w:val="32"/>
          <w:szCs w:val="32"/>
          <w:highlight w:val="none"/>
        </w:rPr>
      </w:pPr>
    </w:p>
    <w:p w14:paraId="7F7646CD">
      <w:pPr>
        <w:pStyle w:val="8"/>
        <w:rPr>
          <w:rFonts w:eastAsia="Arial Unicode MS"/>
          <w:color w:val="auto"/>
          <w:kern w:val="0"/>
          <w:sz w:val="32"/>
          <w:szCs w:val="32"/>
          <w:highlight w:val="none"/>
        </w:rPr>
      </w:pPr>
    </w:p>
    <w:p w14:paraId="5B9C50C9">
      <w:pPr>
        <w:pStyle w:val="8"/>
        <w:rPr>
          <w:rFonts w:eastAsia="Arial Unicode MS"/>
          <w:color w:val="auto"/>
          <w:kern w:val="0"/>
          <w:sz w:val="32"/>
          <w:szCs w:val="32"/>
          <w:highlight w:val="none"/>
        </w:rPr>
      </w:pPr>
      <w:r>
        <w:rPr>
          <w:rFonts w:eastAsia="Arial Unicode MS"/>
          <w:color w:val="auto"/>
          <w:kern w:val="0"/>
          <w:sz w:val="32"/>
          <w:szCs w:val="32"/>
          <w:highlight w:val="none"/>
        </w:rPr>
        <w:t>附件</w:t>
      </w:r>
      <w:r>
        <w:rPr>
          <w:rFonts w:hint="eastAsia" w:eastAsia="Arial Unicode MS"/>
          <w:color w:val="auto"/>
          <w:kern w:val="0"/>
          <w:sz w:val="32"/>
          <w:szCs w:val="32"/>
          <w:highlight w:val="none"/>
        </w:rPr>
        <w:t>2</w:t>
      </w:r>
      <w:r>
        <w:rPr>
          <w:rFonts w:eastAsia="Arial Unicode MS"/>
          <w:color w:val="auto"/>
          <w:kern w:val="0"/>
          <w:sz w:val="32"/>
          <w:szCs w:val="32"/>
          <w:highlight w:val="none"/>
        </w:rPr>
        <w:t>：</w:t>
      </w:r>
    </w:p>
    <w:p w14:paraId="61542707">
      <w:pPr>
        <w:widowControl/>
        <w:spacing w:before="120" w:beforeLines="50" w:after="120" w:afterLines="50" w:line="280" w:lineRule="exact"/>
        <w:jc w:val="center"/>
        <w:rPr>
          <w:b/>
          <w:bCs/>
          <w:color w:val="auto"/>
          <w:kern w:val="0"/>
          <w:sz w:val="30"/>
          <w:szCs w:val="30"/>
          <w:highlight w:val="none"/>
        </w:rPr>
      </w:pPr>
      <w:r>
        <w:rPr>
          <w:rFonts w:hint="eastAsia"/>
          <w:b/>
          <w:bCs/>
          <w:color w:val="auto"/>
          <w:kern w:val="0"/>
          <w:sz w:val="30"/>
          <w:szCs w:val="30"/>
          <w:highlight w:val="none"/>
        </w:rPr>
        <w:t>项目各项技术指标要求</w:t>
      </w:r>
    </w:p>
    <w:p w14:paraId="23B2FFB5">
      <w:pPr>
        <w:rPr>
          <w:color w:val="auto"/>
          <w:kern w:val="0"/>
          <w:szCs w:val="21"/>
          <w:highlight w:val="none"/>
        </w:rPr>
      </w:pPr>
    </w:p>
    <w:p w14:paraId="279D0B84">
      <w:pPr>
        <w:pStyle w:val="14"/>
        <w:spacing w:line="360" w:lineRule="auto"/>
        <w:rPr>
          <w:rFonts w:ascii="宋体" w:hAnsi="宋体" w:cs="宋体"/>
          <w:b/>
          <w:bCs/>
          <w:color w:val="auto"/>
          <w:sz w:val="24"/>
          <w:highlight w:val="none"/>
        </w:rPr>
      </w:pPr>
      <w:r>
        <w:rPr>
          <w:rFonts w:hint="eastAsia" w:ascii="宋体" w:hAnsi="宋体" w:cs="宋体"/>
          <w:b/>
          <w:bCs/>
          <w:color w:val="auto"/>
          <w:sz w:val="24"/>
          <w:highlight w:val="none"/>
        </w:rPr>
        <w:t>一、塑胶跑道参数要求：</w:t>
      </w:r>
    </w:p>
    <w:p w14:paraId="764D5CC0">
      <w:pPr>
        <w:pStyle w:val="14"/>
        <w:spacing w:line="360" w:lineRule="auto"/>
        <w:ind w:firstLine="420" w:firstLineChars="200"/>
        <w:rPr>
          <w:rFonts w:ascii="宋体" w:hAnsi="宋体" w:cs="宋体"/>
          <w:color w:val="auto"/>
          <w:highlight w:val="none"/>
        </w:rPr>
      </w:pPr>
      <w:r>
        <w:rPr>
          <w:rFonts w:hint="eastAsia" w:ascii="宋体" w:hAnsi="宋体" w:cs="宋体"/>
          <w:color w:val="auto"/>
          <w:highlight w:val="none"/>
        </w:rPr>
        <w:t>1、现浇型面层产品的有害物质限量技术指标</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2"/>
        <w:gridCol w:w="6502"/>
        <w:gridCol w:w="946"/>
      </w:tblGrid>
      <w:tr w14:paraId="1098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blHeader/>
          <w:jc w:val="center"/>
        </w:trPr>
        <w:tc>
          <w:tcPr>
            <w:tcW w:w="8054" w:type="dxa"/>
            <w:gridSpan w:val="2"/>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vAlign w:val="center"/>
          </w:tcPr>
          <w:p w14:paraId="1B442A42">
            <w:pPr>
              <w:spacing w:line="360" w:lineRule="auto"/>
              <w:jc w:val="center"/>
              <w:rPr>
                <w:rFonts w:ascii="宋体" w:hAnsi="宋体" w:cs="宋体"/>
                <w:color w:val="auto"/>
                <w:szCs w:val="21"/>
                <w:highlight w:val="none"/>
              </w:rPr>
            </w:pPr>
            <w:bookmarkStart w:id="50" w:name="_Hlk479593319"/>
            <w:bookmarkStart w:id="51" w:name="OLE_LINK70" w:colFirst="0" w:colLast="1"/>
            <w:bookmarkStart w:id="52" w:name="OLE_LINK69" w:colFirst="0" w:colLast="1"/>
            <w:r>
              <w:rPr>
                <w:rFonts w:hint="eastAsia" w:ascii="宋体" w:hAnsi="宋体" w:cs="宋体"/>
                <w:color w:val="auto"/>
                <w:szCs w:val="21"/>
                <w:highlight w:val="none"/>
              </w:rPr>
              <w:t>项目</w:t>
            </w:r>
          </w:p>
        </w:tc>
        <w:tc>
          <w:tcPr>
            <w:tcW w:w="946" w:type="dxa"/>
            <w:tcBorders>
              <w:top w:val="single" w:color="auto" w:sz="4" w:space="0"/>
              <w:left w:val="single" w:color="auto" w:sz="4" w:space="0"/>
              <w:bottom w:val="single" w:color="auto" w:sz="4" w:space="0"/>
              <w:right w:val="single" w:color="auto" w:sz="4" w:space="0"/>
            </w:tcBorders>
            <w:vAlign w:val="center"/>
          </w:tcPr>
          <w:p w14:paraId="0C80B7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指标</w:t>
            </w:r>
          </w:p>
        </w:tc>
      </w:tr>
      <w:bookmarkEnd w:id="50"/>
      <w:bookmarkEnd w:id="51"/>
      <w:bookmarkEnd w:id="52"/>
      <w:tr w14:paraId="7ECC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552" w:type="dxa"/>
            <w:vMerge w:val="restart"/>
            <w:tcBorders>
              <w:top w:val="single" w:color="auto" w:sz="4" w:space="0"/>
              <w:left w:val="single" w:color="auto" w:sz="4" w:space="0"/>
              <w:right w:val="single" w:color="auto" w:sz="4" w:space="0"/>
            </w:tcBorders>
            <w:tcMar>
              <w:top w:w="72" w:type="dxa"/>
              <w:left w:w="144" w:type="dxa"/>
              <w:bottom w:w="72" w:type="dxa"/>
              <w:right w:w="144" w:type="dxa"/>
            </w:tcMar>
            <w:vAlign w:val="center"/>
          </w:tcPr>
          <w:p w14:paraId="3DBCF4BA">
            <w:pPr>
              <w:spacing w:line="360" w:lineRule="auto"/>
              <w:jc w:val="center"/>
              <w:rPr>
                <w:rFonts w:ascii="宋体" w:hAnsi="宋体" w:cs="宋体"/>
                <w:color w:val="auto"/>
                <w:szCs w:val="21"/>
                <w:highlight w:val="none"/>
              </w:rPr>
            </w:pPr>
            <w:bookmarkStart w:id="53" w:name="OLE_LINK71"/>
            <w:r>
              <w:rPr>
                <w:rFonts w:hint="eastAsia" w:ascii="宋体" w:hAnsi="宋体" w:cs="宋体"/>
                <w:color w:val="auto"/>
                <w:szCs w:val="21"/>
                <w:highlight w:val="none"/>
              </w:rPr>
              <w:t>有害物质含量</w:t>
            </w:r>
            <w:bookmarkEnd w:id="53"/>
          </w:p>
        </w:tc>
        <w:tc>
          <w:tcPr>
            <w:tcW w:w="6502" w:type="dxa"/>
            <w:tcBorders>
              <w:top w:val="single" w:color="auto" w:sz="4" w:space="0"/>
              <w:left w:val="single" w:color="auto" w:sz="4" w:space="0"/>
              <w:bottom w:val="single" w:color="auto" w:sz="4" w:space="0"/>
              <w:right w:val="single" w:color="auto" w:sz="4" w:space="0"/>
            </w:tcBorders>
            <w:vAlign w:val="center"/>
          </w:tcPr>
          <w:p w14:paraId="2859F82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3种邻苯二甲酸酯类化合物（DBP、BBP、DEHP）总和a/（g/kg）</w:t>
            </w:r>
          </w:p>
        </w:tc>
        <w:tc>
          <w:tcPr>
            <w:tcW w:w="946" w:type="dxa"/>
            <w:tcBorders>
              <w:top w:val="single" w:color="auto" w:sz="4" w:space="0"/>
              <w:left w:val="single" w:color="auto" w:sz="4" w:space="0"/>
              <w:bottom w:val="single" w:color="auto" w:sz="4" w:space="0"/>
              <w:right w:val="single" w:color="auto" w:sz="4" w:space="0"/>
            </w:tcBorders>
            <w:vAlign w:val="center"/>
          </w:tcPr>
          <w:p w14:paraId="2A4B4F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6BEB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552" w:type="dxa"/>
            <w:vMerge w:val="continue"/>
            <w:tcBorders>
              <w:left w:val="single" w:color="auto" w:sz="4" w:space="0"/>
              <w:right w:val="single" w:color="auto" w:sz="4" w:space="0"/>
            </w:tcBorders>
            <w:tcMar>
              <w:top w:w="72" w:type="dxa"/>
              <w:left w:w="144" w:type="dxa"/>
              <w:bottom w:w="72" w:type="dxa"/>
              <w:right w:w="144" w:type="dxa"/>
            </w:tcMar>
            <w:vAlign w:val="center"/>
          </w:tcPr>
          <w:p w14:paraId="6C9C4326">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3FF1ED5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3种邻苯二甲酸酯类化合物（DNOP、DINP、DIDP）总和a/（g/kg）</w:t>
            </w:r>
          </w:p>
        </w:tc>
        <w:tc>
          <w:tcPr>
            <w:tcW w:w="946" w:type="dxa"/>
            <w:tcBorders>
              <w:top w:val="single" w:color="auto" w:sz="4" w:space="0"/>
              <w:left w:val="single" w:color="auto" w:sz="4" w:space="0"/>
              <w:bottom w:val="single" w:color="auto" w:sz="4" w:space="0"/>
              <w:right w:val="single" w:color="auto" w:sz="4" w:space="0"/>
            </w:tcBorders>
            <w:vAlign w:val="center"/>
          </w:tcPr>
          <w:p w14:paraId="679BF7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5C23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638911FA">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right w:val="single" w:color="auto" w:sz="4" w:space="0"/>
            </w:tcBorders>
            <w:vAlign w:val="center"/>
          </w:tcPr>
          <w:p w14:paraId="527BABF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18种多环芳烃总和b/（mg/kg）</w:t>
            </w:r>
          </w:p>
        </w:tc>
        <w:tc>
          <w:tcPr>
            <w:tcW w:w="946" w:type="dxa"/>
            <w:tcBorders>
              <w:top w:val="single" w:color="auto" w:sz="4" w:space="0"/>
              <w:left w:val="single" w:color="auto" w:sz="4" w:space="0"/>
              <w:right w:val="single" w:color="auto" w:sz="4" w:space="0"/>
            </w:tcBorders>
            <w:vAlign w:val="center"/>
          </w:tcPr>
          <w:p w14:paraId="609046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w:t>
            </w:r>
          </w:p>
        </w:tc>
      </w:tr>
      <w:tr w14:paraId="2E9B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6DC3C829">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638184BC">
            <w:pPr>
              <w:spacing w:line="360" w:lineRule="auto"/>
              <w:jc w:val="left"/>
              <w:rPr>
                <w:rFonts w:ascii="宋体" w:hAnsi="宋体" w:cs="宋体"/>
                <w:color w:val="auto"/>
                <w:szCs w:val="21"/>
                <w:highlight w:val="none"/>
              </w:rPr>
            </w:pPr>
            <w:bookmarkStart w:id="54" w:name="OLE_LINK83"/>
            <w:r>
              <w:rPr>
                <w:rFonts w:hint="eastAsia" w:ascii="宋体" w:hAnsi="宋体" w:cs="宋体"/>
                <w:color w:val="auto"/>
                <w:szCs w:val="21"/>
                <w:highlight w:val="none"/>
              </w:rPr>
              <w:t>苯并[a]芘</w:t>
            </w:r>
            <w:bookmarkEnd w:id="54"/>
            <w:r>
              <w:rPr>
                <w:rFonts w:hint="eastAsia" w:ascii="宋体" w:hAnsi="宋体" w:cs="宋体"/>
                <w:color w:val="auto"/>
                <w:szCs w:val="21"/>
                <w:highlight w:val="none"/>
              </w:rPr>
              <w:t>/（mg/kg）</w:t>
            </w:r>
          </w:p>
        </w:tc>
        <w:tc>
          <w:tcPr>
            <w:tcW w:w="946" w:type="dxa"/>
            <w:tcBorders>
              <w:top w:val="single" w:color="auto" w:sz="4" w:space="0"/>
              <w:left w:val="single" w:color="auto" w:sz="4" w:space="0"/>
              <w:bottom w:val="single" w:color="auto" w:sz="4" w:space="0"/>
              <w:right w:val="single" w:color="auto" w:sz="4" w:space="0"/>
            </w:tcBorders>
            <w:vAlign w:val="center"/>
          </w:tcPr>
          <w:p w14:paraId="366B69D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75C6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7DE4D68A">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6AED899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短链氯化石蜡（C10-C13）/（g/kg）</w:t>
            </w:r>
          </w:p>
        </w:tc>
        <w:tc>
          <w:tcPr>
            <w:tcW w:w="946" w:type="dxa"/>
            <w:tcBorders>
              <w:top w:val="single" w:color="auto" w:sz="4" w:space="0"/>
              <w:left w:val="single" w:color="auto" w:sz="4" w:space="0"/>
              <w:bottom w:val="single" w:color="auto" w:sz="4" w:space="0"/>
              <w:right w:val="single" w:color="auto" w:sz="4" w:space="0"/>
            </w:tcBorders>
            <w:vAlign w:val="center"/>
          </w:tcPr>
          <w:p w14:paraId="5AEB69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r>
      <w:tr w14:paraId="5C74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4E8AB0B8">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25F4B2A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4,4'-二氨基-3,3'-二氯二苯甲烷（MOCA）/（g/kg）</w:t>
            </w:r>
          </w:p>
        </w:tc>
        <w:tc>
          <w:tcPr>
            <w:tcW w:w="946" w:type="dxa"/>
            <w:tcBorders>
              <w:top w:val="single" w:color="auto" w:sz="4" w:space="0"/>
              <w:left w:val="single" w:color="auto" w:sz="4" w:space="0"/>
              <w:bottom w:val="single" w:color="auto" w:sz="4" w:space="0"/>
              <w:right w:val="single" w:color="auto" w:sz="4" w:space="0"/>
            </w:tcBorders>
            <w:vAlign w:val="center"/>
          </w:tcPr>
          <w:p w14:paraId="5B16A36C">
            <w:pPr>
              <w:spacing w:line="360" w:lineRule="auto"/>
              <w:jc w:val="center"/>
              <w:rPr>
                <w:rFonts w:ascii="宋体" w:hAnsi="宋体" w:cs="宋体"/>
                <w:color w:val="auto"/>
                <w:szCs w:val="21"/>
                <w:highlight w:val="none"/>
              </w:rPr>
            </w:pPr>
            <w:bookmarkStart w:id="55" w:name="OLE_LINK12"/>
            <w:r>
              <w:rPr>
                <w:rFonts w:hint="eastAsia" w:ascii="宋体" w:hAnsi="宋体" w:cs="宋体"/>
                <w:color w:val="auto"/>
                <w:szCs w:val="21"/>
                <w:highlight w:val="none"/>
              </w:rPr>
              <w:t>≤</w:t>
            </w:r>
            <w:bookmarkEnd w:id="55"/>
            <w:r>
              <w:rPr>
                <w:rFonts w:hint="eastAsia" w:ascii="宋体" w:hAnsi="宋体" w:cs="宋体"/>
                <w:color w:val="auto"/>
                <w:szCs w:val="21"/>
                <w:highlight w:val="none"/>
              </w:rPr>
              <w:t>1.0</w:t>
            </w:r>
          </w:p>
        </w:tc>
      </w:tr>
      <w:tr w14:paraId="0E7C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552" w:type="dxa"/>
            <w:vMerge w:val="continue"/>
            <w:tcBorders>
              <w:left w:val="single" w:color="auto" w:sz="4" w:space="0"/>
              <w:right w:val="single" w:color="auto" w:sz="4" w:space="0"/>
            </w:tcBorders>
            <w:vAlign w:val="center"/>
          </w:tcPr>
          <w:p w14:paraId="7C22B68D">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06F6E04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游离甲苯二异氰酸酯（TDI）和游离六亚甲基二异氰酸酯（HDI）总和/（g/kg）</w:t>
            </w:r>
          </w:p>
        </w:tc>
        <w:tc>
          <w:tcPr>
            <w:tcW w:w="946" w:type="dxa"/>
            <w:tcBorders>
              <w:top w:val="single" w:color="auto" w:sz="4" w:space="0"/>
              <w:left w:val="single" w:color="auto" w:sz="4" w:space="0"/>
              <w:bottom w:val="single" w:color="auto" w:sz="4" w:space="0"/>
              <w:right w:val="single" w:color="auto" w:sz="4" w:space="0"/>
            </w:tcBorders>
            <w:vAlign w:val="center"/>
          </w:tcPr>
          <w:p w14:paraId="2EC131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≤0.2</w:t>
            </w:r>
          </w:p>
        </w:tc>
      </w:tr>
      <w:tr w14:paraId="629A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6C4E7B81">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4325470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游离二苯基甲烷二异氰酸酯（MDI）/（g/kg）</w:t>
            </w:r>
          </w:p>
        </w:tc>
        <w:tc>
          <w:tcPr>
            <w:tcW w:w="946" w:type="dxa"/>
            <w:tcBorders>
              <w:top w:val="single" w:color="auto" w:sz="4" w:space="0"/>
              <w:left w:val="single" w:color="auto" w:sz="4" w:space="0"/>
              <w:bottom w:val="single" w:color="auto" w:sz="4" w:space="0"/>
              <w:right w:val="single" w:color="auto" w:sz="4" w:space="0"/>
            </w:tcBorders>
            <w:vAlign w:val="center"/>
          </w:tcPr>
          <w:p w14:paraId="0E2505A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7EC6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5C598629">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17C22D1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可溶性铅/（mg/kg）</w:t>
            </w:r>
          </w:p>
        </w:tc>
        <w:tc>
          <w:tcPr>
            <w:tcW w:w="946" w:type="dxa"/>
            <w:tcBorders>
              <w:top w:val="single" w:color="auto" w:sz="4" w:space="0"/>
              <w:left w:val="single" w:color="auto" w:sz="4" w:space="0"/>
              <w:bottom w:val="single" w:color="auto" w:sz="4" w:space="0"/>
              <w:right w:val="single" w:color="auto" w:sz="4" w:space="0"/>
            </w:tcBorders>
            <w:vAlign w:val="center"/>
          </w:tcPr>
          <w:p w14:paraId="03751D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w:t>
            </w:r>
          </w:p>
        </w:tc>
      </w:tr>
      <w:tr w14:paraId="23A3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0E4B3423">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7E558CD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可溶性镉/（mg/kg）</w:t>
            </w:r>
          </w:p>
        </w:tc>
        <w:tc>
          <w:tcPr>
            <w:tcW w:w="946" w:type="dxa"/>
            <w:tcBorders>
              <w:top w:val="single" w:color="auto" w:sz="4" w:space="0"/>
              <w:left w:val="single" w:color="auto" w:sz="4" w:space="0"/>
              <w:bottom w:val="single" w:color="auto" w:sz="4" w:space="0"/>
              <w:right w:val="single" w:color="auto" w:sz="4" w:space="0"/>
            </w:tcBorders>
            <w:vAlign w:val="center"/>
          </w:tcPr>
          <w:p w14:paraId="1E9B2A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256C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640C2598">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4DE8731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可溶性铬/（mg/kg）</w:t>
            </w:r>
          </w:p>
        </w:tc>
        <w:tc>
          <w:tcPr>
            <w:tcW w:w="946" w:type="dxa"/>
            <w:tcBorders>
              <w:top w:val="single" w:color="auto" w:sz="4" w:space="0"/>
              <w:left w:val="single" w:color="auto" w:sz="4" w:space="0"/>
              <w:bottom w:val="single" w:color="auto" w:sz="4" w:space="0"/>
              <w:right w:val="single" w:color="auto" w:sz="4" w:space="0"/>
            </w:tcBorders>
            <w:vAlign w:val="center"/>
          </w:tcPr>
          <w:p w14:paraId="596FF1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2721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49E80331">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0BB966B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可溶性汞/（mg/kg）</w:t>
            </w:r>
          </w:p>
        </w:tc>
        <w:tc>
          <w:tcPr>
            <w:tcW w:w="946" w:type="dxa"/>
            <w:tcBorders>
              <w:top w:val="single" w:color="auto" w:sz="4" w:space="0"/>
              <w:left w:val="single" w:color="auto" w:sz="4" w:space="0"/>
              <w:bottom w:val="single" w:color="auto" w:sz="4" w:space="0"/>
              <w:right w:val="single" w:color="auto" w:sz="4" w:space="0"/>
            </w:tcBorders>
            <w:vAlign w:val="center"/>
          </w:tcPr>
          <w:p w14:paraId="747B75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r>
      <w:tr w14:paraId="02BD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restart"/>
            <w:tcBorders>
              <w:top w:val="single" w:color="auto" w:sz="4" w:space="0"/>
              <w:left w:val="single" w:color="auto" w:sz="4" w:space="0"/>
              <w:right w:val="single" w:color="auto" w:sz="4" w:space="0"/>
            </w:tcBorders>
            <w:vAlign w:val="center"/>
          </w:tcPr>
          <w:p w14:paraId="206FC4C5">
            <w:pPr>
              <w:spacing w:line="360" w:lineRule="auto"/>
              <w:jc w:val="center"/>
              <w:rPr>
                <w:rFonts w:ascii="宋体" w:hAnsi="宋体" w:cs="宋体"/>
                <w:color w:val="auto"/>
                <w:szCs w:val="21"/>
                <w:highlight w:val="none"/>
              </w:rPr>
            </w:pPr>
            <w:bookmarkStart w:id="56" w:name="OLE_LINK55"/>
            <w:r>
              <w:rPr>
                <w:rFonts w:hint="eastAsia" w:ascii="宋体" w:hAnsi="宋体" w:cs="宋体"/>
                <w:color w:val="auto"/>
                <w:szCs w:val="21"/>
                <w:highlight w:val="none"/>
              </w:rPr>
              <w:t>有害物质释放量</w:t>
            </w:r>
            <w:bookmarkEnd w:id="56"/>
          </w:p>
        </w:tc>
        <w:tc>
          <w:tcPr>
            <w:tcW w:w="6502" w:type="dxa"/>
            <w:tcBorders>
              <w:top w:val="single" w:color="auto" w:sz="4" w:space="0"/>
              <w:left w:val="single" w:color="auto" w:sz="4" w:space="0"/>
              <w:bottom w:val="single" w:color="auto" w:sz="4" w:space="0"/>
              <w:right w:val="single" w:color="auto" w:sz="4" w:space="0"/>
            </w:tcBorders>
            <w:vAlign w:val="center"/>
          </w:tcPr>
          <w:p w14:paraId="5A75C39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总挥发性有机化合物（TVOC）/（mg/（m2•h））</w:t>
            </w:r>
          </w:p>
        </w:tc>
        <w:tc>
          <w:tcPr>
            <w:tcW w:w="946" w:type="dxa"/>
            <w:tcBorders>
              <w:top w:val="single" w:color="auto" w:sz="4" w:space="0"/>
              <w:left w:val="single" w:color="auto" w:sz="4" w:space="0"/>
              <w:bottom w:val="single" w:color="auto" w:sz="4" w:space="0"/>
              <w:right w:val="single" w:color="auto" w:sz="4" w:space="0"/>
            </w:tcBorders>
            <w:vAlign w:val="center"/>
          </w:tcPr>
          <w:p w14:paraId="110BA2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w:t>
            </w:r>
          </w:p>
        </w:tc>
      </w:tr>
      <w:tr w14:paraId="0DB8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5710B800">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2DDB019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甲醛/（mg/（m2•h））</w:t>
            </w:r>
          </w:p>
        </w:tc>
        <w:tc>
          <w:tcPr>
            <w:tcW w:w="946" w:type="dxa"/>
            <w:tcBorders>
              <w:top w:val="single" w:color="auto" w:sz="4" w:space="0"/>
              <w:left w:val="single" w:color="auto" w:sz="4" w:space="0"/>
              <w:bottom w:val="single" w:color="auto" w:sz="4" w:space="0"/>
              <w:right w:val="single" w:color="auto" w:sz="4" w:space="0"/>
            </w:tcBorders>
            <w:vAlign w:val="center"/>
          </w:tcPr>
          <w:p w14:paraId="6198CF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≤0.4</w:t>
            </w:r>
          </w:p>
        </w:tc>
      </w:tr>
      <w:tr w14:paraId="34F0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4F164564">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0BB8DC3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苯/（mg/（m2•h））</w:t>
            </w:r>
          </w:p>
        </w:tc>
        <w:tc>
          <w:tcPr>
            <w:tcW w:w="946" w:type="dxa"/>
            <w:tcBorders>
              <w:top w:val="single" w:color="auto" w:sz="4" w:space="0"/>
              <w:left w:val="single" w:color="auto" w:sz="4" w:space="0"/>
              <w:bottom w:val="single" w:color="auto" w:sz="4" w:space="0"/>
              <w:right w:val="single" w:color="auto" w:sz="4" w:space="0"/>
            </w:tcBorders>
            <w:vAlign w:val="center"/>
          </w:tcPr>
          <w:p w14:paraId="1662A5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≤0.1</w:t>
            </w:r>
          </w:p>
        </w:tc>
      </w:tr>
      <w:tr w14:paraId="24B4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0B2E226C">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676E5ED9">
            <w:pPr>
              <w:spacing w:line="360" w:lineRule="auto"/>
              <w:jc w:val="left"/>
              <w:rPr>
                <w:rFonts w:ascii="宋体" w:hAnsi="宋体" w:cs="宋体"/>
                <w:color w:val="auto"/>
                <w:szCs w:val="21"/>
                <w:highlight w:val="none"/>
              </w:rPr>
            </w:pPr>
            <w:bookmarkStart w:id="57" w:name="OLE_LINK56"/>
            <w:r>
              <w:rPr>
                <w:rFonts w:hint="eastAsia" w:ascii="宋体" w:hAnsi="宋体" w:cs="宋体"/>
                <w:color w:val="auto"/>
                <w:szCs w:val="21"/>
                <w:highlight w:val="none"/>
              </w:rPr>
              <w:t>甲苯、二甲苯和乙苯总和/（mg/（m2•h））</w:t>
            </w:r>
            <w:bookmarkEnd w:id="57"/>
          </w:p>
        </w:tc>
        <w:tc>
          <w:tcPr>
            <w:tcW w:w="946" w:type="dxa"/>
            <w:tcBorders>
              <w:top w:val="single" w:color="auto" w:sz="4" w:space="0"/>
              <w:left w:val="single" w:color="auto" w:sz="4" w:space="0"/>
              <w:bottom w:val="single" w:color="auto" w:sz="4" w:space="0"/>
              <w:right w:val="single" w:color="auto" w:sz="4" w:space="0"/>
            </w:tcBorders>
            <w:vAlign w:val="center"/>
          </w:tcPr>
          <w:p w14:paraId="531AC6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1D0F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bottom w:val="single" w:color="auto" w:sz="4" w:space="0"/>
              <w:right w:val="single" w:color="auto" w:sz="4" w:space="0"/>
            </w:tcBorders>
            <w:vAlign w:val="center"/>
          </w:tcPr>
          <w:p w14:paraId="1E2F2ADA">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6DCFC00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二硫化碳/（mg/（m2•h））</w:t>
            </w:r>
          </w:p>
        </w:tc>
        <w:tc>
          <w:tcPr>
            <w:tcW w:w="946" w:type="dxa"/>
            <w:tcBorders>
              <w:top w:val="single" w:color="auto" w:sz="4" w:space="0"/>
              <w:left w:val="single" w:color="auto" w:sz="4" w:space="0"/>
              <w:bottom w:val="single" w:color="auto" w:sz="4" w:space="0"/>
              <w:right w:val="single" w:color="auto" w:sz="4" w:space="0"/>
            </w:tcBorders>
            <w:vAlign w:val="center"/>
          </w:tcPr>
          <w:p w14:paraId="5C4B4F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≤7.0</w:t>
            </w:r>
          </w:p>
        </w:tc>
      </w:tr>
      <w:tr w14:paraId="64AD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552" w:type="dxa"/>
            <w:tcBorders>
              <w:left w:val="single" w:color="auto" w:sz="4" w:space="0"/>
              <w:bottom w:val="single" w:color="auto" w:sz="4" w:space="0"/>
              <w:right w:val="single" w:color="auto" w:sz="4" w:space="0"/>
            </w:tcBorders>
            <w:vAlign w:val="center"/>
          </w:tcPr>
          <w:p w14:paraId="1039B0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气味</w:t>
            </w:r>
          </w:p>
        </w:tc>
        <w:tc>
          <w:tcPr>
            <w:tcW w:w="6502" w:type="dxa"/>
            <w:tcBorders>
              <w:top w:val="single" w:color="auto" w:sz="4" w:space="0"/>
              <w:left w:val="single" w:color="auto" w:sz="4" w:space="0"/>
              <w:bottom w:val="single" w:color="auto" w:sz="4" w:space="0"/>
              <w:right w:val="single" w:color="auto" w:sz="4" w:space="0"/>
            </w:tcBorders>
            <w:vAlign w:val="center"/>
          </w:tcPr>
          <w:p w14:paraId="44722BB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气味等级/级</w:t>
            </w:r>
          </w:p>
        </w:tc>
        <w:tc>
          <w:tcPr>
            <w:tcW w:w="946" w:type="dxa"/>
            <w:tcBorders>
              <w:top w:val="single" w:color="auto" w:sz="4" w:space="0"/>
              <w:left w:val="single" w:color="auto" w:sz="4" w:space="0"/>
              <w:bottom w:val="single" w:color="auto" w:sz="4" w:space="0"/>
              <w:right w:val="single" w:color="auto" w:sz="4" w:space="0"/>
            </w:tcBorders>
            <w:vAlign w:val="center"/>
          </w:tcPr>
          <w:p w14:paraId="7D326F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r>
    </w:tbl>
    <w:p w14:paraId="6E9C2DFB">
      <w:pPr>
        <w:pStyle w:val="14"/>
        <w:spacing w:line="360" w:lineRule="auto"/>
        <w:ind w:firstLine="420" w:firstLineChars="200"/>
        <w:rPr>
          <w:rFonts w:ascii="宋体" w:hAnsi="宋体" w:cs="宋体"/>
          <w:color w:val="auto"/>
          <w:highlight w:val="none"/>
        </w:rPr>
      </w:pPr>
      <w:r>
        <w:rPr>
          <w:rFonts w:hint="eastAsia" w:ascii="宋体" w:hAnsi="宋体" w:cs="宋体"/>
          <w:color w:val="auto"/>
          <w:highlight w:val="none"/>
        </w:rPr>
        <w:t>2、现浇型面层产品的物理性能技术指标</w:t>
      </w:r>
    </w:p>
    <w:tbl>
      <w:tblPr>
        <w:tblStyle w:val="2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99"/>
        <w:gridCol w:w="387"/>
        <w:gridCol w:w="3175"/>
        <w:gridCol w:w="1535"/>
        <w:gridCol w:w="1304"/>
      </w:tblGrid>
      <w:tr w14:paraId="1335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8" w:hRule="atLeast"/>
          <w:jc w:val="center"/>
        </w:trPr>
        <w:tc>
          <w:tcPr>
            <w:tcW w:w="6161" w:type="dxa"/>
            <w:gridSpan w:val="3"/>
            <w:vAlign w:val="center"/>
          </w:tcPr>
          <w:p w14:paraId="19514A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839" w:type="dxa"/>
            <w:gridSpan w:val="2"/>
            <w:vAlign w:val="center"/>
          </w:tcPr>
          <w:p w14:paraId="136473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要求</w:t>
            </w:r>
          </w:p>
        </w:tc>
      </w:tr>
      <w:tr w14:paraId="0A3D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jc w:val="center"/>
        </w:trPr>
        <w:tc>
          <w:tcPr>
            <w:tcW w:w="2599" w:type="dxa"/>
            <w:vAlign w:val="center"/>
          </w:tcPr>
          <w:p w14:paraId="299826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冲击吸收/(%)</w:t>
            </w:r>
          </w:p>
        </w:tc>
        <w:tc>
          <w:tcPr>
            <w:tcW w:w="3562" w:type="dxa"/>
            <w:gridSpan w:val="2"/>
            <w:vAlign w:val="center"/>
          </w:tcPr>
          <w:p w14:paraId="178DBF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田径场地</w:t>
            </w:r>
          </w:p>
        </w:tc>
        <w:tc>
          <w:tcPr>
            <w:tcW w:w="2839" w:type="dxa"/>
            <w:gridSpan w:val="2"/>
            <w:vAlign w:val="center"/>
          </w:tcPr>
          <w:p w14:paraId="72EB3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35-50</w:t>
            </w:r>
          </w:p>
        </w:tc>
      </w:tr>
      <w:tr w14:paraId="55C4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 w:hRule="atLeast"/>
          <w:jc w:val="center"/>
        </w:trPr>
        <w:tc>
          <w:tcPr>
            <w:tcW w:w="6161" w:type="dxa"/>
            <w:gridSpan w:val="3"/>
            <w:vAlign w:val="center"/>
          </w:tcPr>
          <w:p w14:paraId="282EC1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垂直变形/（mm）</w:t>
            </w:r>
          </w:p>
        </w:tc>
        <w:tc>
          <w:tcPr>
            <w:tcW w:w="2839" w:type="dxa"/>
            <w:gridSpan w:val="2"/>
            <w:vAlign w:val="center"/>
          </w:tcPr>
          <w:p w14:paraId="54848D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0.6-3.0</w:t>
            </w:r>
          </w:p>
        </w:tc>
      </w:tr>
      <w:tr w14:paraId="613D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 w:hRule="atLeast"/>
          <w:jc w:val="center"/>
        </w:trPr>
        <w:tc>
          <w:tcPr>
            <w:tcW w:w="2599" w:type="dxa"/>
            <w:vAlign w:val="center"/>
          </w:tcPr>
          <w:p w14:paraId="6A9FB8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抗滑值/（BPN,20℃）</w:t>
            </w:r>
          </w:p>
        </w:tc>
        <w:tc>
          <w:tcPr>
            <w:tcW w:w="3562" w:type="dxa"/>
            <w:gridSpan w:val="2"/>
            <w:vAlign w:val="center"/>
          </w:tcPr>
          <w:p w14:paraId="268CBF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田径场地</w:t>
            </w:r>
          </w:p>
        </w:tc>
        <w:tc>
          <w:tcPr>
            <w:tcW w:w="2839" w:type="dxa"/>
            <w:gridSpan w:val="2"/>
            <w:vAlign w:val="center"/>
          </w:tcPr>
          <w:p w14:paraId="43E9DC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≥47（湿测）</w:t>
            </w:r>
          </w:p>
        </w:tc>
      </w:tr>
      <w:tr w14:paraId="5916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0" w:hRule="atLeast"/>
          <w:jc w:val="center"/>
        </w:trPr>
        <w:tc>
          <w:tcPr>
            <w:tcW w:w="2599" w:type="dxa"/>
            <w:vMerge w:val="restart"/>
            <w:vAlign w:val="center"/>
          </w:tcPr>
          <w:p w14:paraId="7BE538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拉伸强度/(Mpa)</w:t>
            </w:r>
          </w:p>
        </w:tc>
        <w:tc>
          <w:tcPr>
            <w:tcW w:w="3562" w:type="dxa"/>
            <w:gridSpan w:val="2"/>
            <w:vAlign w:val="center"/>
          </w:tcPr>
          <w:p w14:paraId="7A953E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非渗水性面层</w:t>
            </w:r>
          </w:p>
        </w:tc>
        <w:tc>
          <w:tcPr>
            <w:tcW w:w="2839" w:type="dxa"/>
            <w:gridSpan w:val="2"/>
            <w:vAlign w:val="center"/>
          </w:tcPr>
          <w:p w14:paraId="2DDCF9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≥0.5</w:t>
            </w:r>
          </w:p>
        </w:tc>
      </w:tr>
      <w:tr w14:paraId="5D17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0" w:hRule="atLeast"/>
          <w:jc w:val="center"/>
        </w:trPr>
        <w:tc>
          <w:tcPr>
            <w:tcW w:w="2599" w:type="dxa"/>
            <w:vMerge w:val="continue"/>
            <w:vAlign w:val="center"/>
          </w:tcPr>
          <w:p w14:paraId="52DB42BE">
            <w:pPr>
              <w:spacing w:line="360" w:lineRule="auto"/>
              <w:jc w:val="center"/>
              <w:rPr>
                <w:rFonts w:ascii="宋体" w:hAnsi="宋体" w:cs="宋体"/>
                <w:color w:val="auto"/>
                <w:szCs w:val="21"/>
                <w:highlight w:val="none"/>
              </w:rPr>
            </w:pPr>
          </w:p>
        </w:tc>
        <w:tc>
          <w:tcPr>
            <w:tcW w:w="3562" w:type="dxa"/>
            <w:gridSpan w:val="2"/>
            <w:vAlign w:val="center"/>
          </w:tcPr>
          <w:p w14:paraId="59BDBF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渗水型面层</w:t>
            </w:r>
          </w:p>
        </w:tc>
        <w:tc>
          <w:tcPr>
            <w:tcW w:w="2839" w:type="dxa"/>
            <w:gridSpan w:val="2"/>
            <w:vAlign w:val="center"/>
          </w:tcPr>
          <w:p w14:paraId="152B9E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≥0.4</w:t>
            </w:r>
          </w:p>
        </w:tc>
      </w:tr>
      <w:tr w14:paraId="11F2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5" w:hRule="atLeast"/>
          <w:jc w:val="center"/>
        </w:trPr>
        <w:tc>
          <w:tcPr>
            <w:tcW w:w="6161" w:type="dxa"/>
            <w:gridSpan w:val="3"/>
            <w:vAlign w:val="center"/>
          </w:tcPr>
          <w:p w14:paraId="0DAA82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拉断伸长率/（%）</w:t>
            </w:r>
          </w:p>
        </w:tc>
        <w:tc>
          <w:tcPr>
            <w:tcW w:w="2839" w:type="dxa"/>
            <w:gridSpan w:val="2"/>
            <w:vAlign w:val="center"/>
          </w:tcPr>
          <w:p w14:paraId="588F51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w:t>
            </w:r>
          </w:p>
        </w:tc>
      </w:tr>
      <w:tr w14:paraId="57F9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161" w:type="dxa"/>
            <w:gridSpan w:val="3"/>
            <w:vAlign w:val="center"/>
          </w:tcPr>
          <w:p w14:paraId="143BE3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阻燃性能/(级）</w:t>
            </w:r>
          </w:p>
        </w:tc>
        <w:tc>
          <w:tcPr>
            <w:tcW w:w="2839" w:type="dxa"/>
            <w:gridSpan w:val="2"/>
            <w:vAlign w:val="center"/>
          </w:tcPr>
          <w:p w14:paraId="3669A2E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I</w:t>
            </w:r>
          </w:p>
        </w:tc>
      </w:tr>
      <w:tr w14:paraId="4AC8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6161" w:type="dxa"/>
            <w:gridSpan w:val="3"/>
            <w:vAlign w:val="center"/>
          </w:tcPr>
          <w:p w14:paraId="2824371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无机填料含量</w:t>
            </w:r>
          </w:p>
        </w:tc>
        <w:tc>
          <w:tcPr>
            <w:tcW w:w="2839" w:type="dxa"/>
            <w:gridSpan w:val="2"/>
            <w:vAlign w:val="center"/>
          </w:tcPr>
          <w:p w14:paraId="0B464A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≤65%</w:t>
            </w:r>
          </w:p>
        </w:tc>
      </w:tr>
      <w:tr w14:paraId="23CF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2986" w:type="dxa"/>
            <w:gridSpan w:val="2"/>
            <w:vMerge w:val="restart"/>
            <w:vAlign w:val="center"/>
          </w:tcPr>
          <w:p w14:paraId="66F6D4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耐人工气候老化500小时</w:t>
            </w:r>
          </w:p>
        </w:tc>
        <w:tc>
          <w:tcPr>
            <w:tcW w:w="3175" w:type="dxa"/>
            <w:vMerge w:val="restart"/>
            <w:vAlign w:val="center"/>
          </w:tcPr>
          <w:p w14:paraId="307AD6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拉伸强度/(Mpa)  </w:t>
            </w:r>
          </w:p>
        </w:tc>
        <w:tc>
          <w:tcPr>
            <w:tcW w:w="1535" w:type="dxa"/>
            <w:vAlign w:val="center"/>
          </w:tcPr>
          <w:p w14:paraId="4DADFC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非渗水性面层</w:t>
            </w:r>
          </w:p>
        </w:tc>
        <w:tc>
          <w:tcPr>
            <w:tcW w:w="1304" w:type="dxa"/>
            <w:vAlign w:val="center"/>
          </w:tcPr>
          <w:p w14:paraId="126F5F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≥0.5</w:t>
            </w:r>
          </w:p>
        </w:tc>
      </w:tr>
      <w:tr w14:paraId="08C3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2986" w:type="dxa"/>
            <w:gridSpan w:val="2"/>
            <w:vMerge w:val="continue"/>
            <w:vAlign w:val="center"/>
          </w:tcPr>
          <w:p w14:paraId="41D8FAD6">
            <w:pPr>
              <w:spacing w:line="360" w:lineRule="auto"/>
              <w:jc w:val="center"/>
              <w:rPr>
                <w:rFonts w:ascii="宋体" w:hAnsi="宋体" w:cs="宋体"/>
                <w:color w:val="auto"/>
                <w:szCs w:val="21"/>
                <w:highlight w:val="none"/>
              </w:rPr>
            </w:pPr>
          </w:p>
        </w:tc>
        <w:tc>
          <w:tcPr>
            <w:tcW w:w="3175" w:type="dxa"/>
            <w:vMerge w:val="continue"/>
            <w:vAlign w:val="center"/>
          </w:tcPr>
          <w:p w14:paraId="673271AC">
            <w:pPr>
              <w:spacing w:line="360" w:lineRule="auto"/>
              <w:jc w:val="center"/>
              <w:rPr>
                <w:rFonts w:ascii="宋体" w:hAnsi="宋体" w:cs="宋体"/>
                <w:color w:val="auto"/>
                <w:szCs w:val="21"/>
                <w:highlight w:val="none"/>
              </w:rPr>
            </w:pPr>
          </w:p>
        </w:tc>
        <w:tc>
          <w:tcPr>
            <w:tcW w:w="1535" w:type="dxa"/>
            <w:vAlign w:val="center"/>
          </w:tcPr>
          <w:p w14:paraId="260408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渗水型面层</w:t>
            </w:r>
          </w:p>
        </w:tc>
        <w:tc>
          <w:tcPr>
            <w:tcW w:w="1304" w:type="dxa"/>
            <w:vAlign w:val="center"/>
          </w:tcPr>
          <w:p w14:paraId="00E5D0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≥0.4</w:t>
            </w:r>
          </w:p>
        </w:tc>
      </w:tr>
      <w:tr w14:paraId="6C72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2986" w:type="dxa"/>
            <w:gridSpan w:val="2"/>
            <w:vMerge w:val="continue"/>
            <w:vAlign w:val="center"/>
          </w:tcPr>
          <w:p w14:paraId="2D410FA4">
            <w:pPr>
              <w:spacing w:line="360" w:lineRule="auto"/>
              <w:jc w:val="center"/>
              <w:rPr>
                <w:rFonts w:ascii="宋体" w:hAnsi="宋体" w:cs="宋体"/>
                <w:color w:val="auto"/>
                <w:szCs w:val="21"/>
                <w:highlight w:val="none"/>
              </w:rPr>
            </w:pPr>
          </w:p>
        </w:tc>
        <w:tc>
          <w:tcPr>
            <w:tcW w:w="3175" w:type="dxa"/>
            <w:vAlign w:val="center"/>
          </w:tcPr>
          <w:p w14:paraId="215269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拉断伸长率/（%）</w:t>
            </w:r>
          </w:p>
        </w:tc>
        <w:tc>
          <w:tcPr>
            <w:tcW w:w="2839" w:type="dxa"/>
            <w:gridSpan w:val="2"/>
            <w:vAlign w:val="center"/>
          </w:tcPr>
          <w:p w14:paraId="326976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w:t>
            </w:r>
          </w:p>
        </w:tc>
      </w:tr>
    </w:tbl>
    <w:p w14:paraId="0B0598F5">
      <w:pPr>
        <w:pStyle w:val="14"/>
        <w:spacing w:line="360" w:lineRule="auto"/>
        <w:ind w:firstLine="420" w:firstLineChars="200"/>
        <w:rPr>
          <w:rFonts w:ascii="宋体" w:hAnsi="宋体" w:cs="宋体"/>
          <w:color w:val="auto"/>
          <w:highlight w:val="none"/>
        </w:rPr>
      </w:pPr>
      <w:r>
        <w:rPr>
          <w:rFonts w:hint="eastAsia" w:ascii="宋体" w:hAnsi="宋体" w:cs="宋体"/>
          <w:color w:val="auto"/>
          <w:highlight w:val="none"/>
        </w:rPr>
        <w:t>3、固体原材料中有害物质限量要求</w:t>
      </w:r>
    </w:p>
    <w:tbl>
      <w:tblPr>
        <w:tblStyle w:val="2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2"/>
        <w:gridCol w:w="6502"/>
        <w:gridCol w:w="946"/>
      </w:tblGrid>
      <w:tr w14:paraId="216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blHeader/>
          <w:jc w:val="center"/>
        </w:trPr>
        <w:tc>
          <w:tcPr>
            <w:tcW w:w="8054" w:type="dxa"/>
            <w:gridSpan w:val="2"/>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vAlign w:val="center"/>
          </w:tcPr>
          <w:p w14:paraId="1CFE72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946" w:type="dxa"/>
            <w:tcBorders>
              <w:top w:val="single" w:color="auto" w:sz="4" w:space="0"/>
              <w:left w:val="single" w:color="auto" w:sz="4" w:space="0"/>
              <w:bottom w:val="single" w:color="auto" w:sz="4" w:space="0"/>
              <w:right w:val="single" w:color="auto" w:sz="4" w:space="0"/>
            </w:tcBorders>
            <w:vAlign w:val="center"/>
          </w:tcPr>
          <w:p w14:paraId="5BDA72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指标</w:t>
            </w:r>
          </w:p>
        </w:tc>
      </w:tr>
      <w:tr w14:paraId="26F5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restart"/>
            <w:tcBorders>
              <w:left w:val="single" w:color="auto" w:sz="4" w:space="0"/>
              <w:right w:val="single" w:color="auto" w:sz="4" w:space="0"/>
            </w:tcBorders>
            <w:vAlign w:val="center"/>
          </w:tcPr>
          <w:p w14:paraId="51DB0A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有害物质含量</w:t>
            </w:r>
          </w:p>
        </w:tc>
        <w:tc>
          <w:tcPr>
            <w:tcW w:w="6502" w:type="dxa"/>
            <w:tcBorders>
              <w:top w:val="single" w:color="auto" w:sz="4" w:space="0"/>
              <w:left w:val="single" w:color="auto" w:sz="4" w:space="0"/>
              <w:right w:val="single" w:color="auto" w:sz="4" w:space="0"/>
            </w:tcBorders>
            <w:vAlign w:val="center"/>
          </w:tcPr>
          <w:p w14:paraId="2F7420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18种多环芳烃总和/（mg/kg）</w:t>
            </w:r>
          </w:p>
        </w:tc>
        <w:tc>
          <w:tcPr>
            <w:tcW w:w="946" w:type="dxa"/>
            <w:tcBorders>
              <w:top w:val="single" w:color="auto" w:sz="4" w:space="0"/>
              <w:left w:val="single" w:color="auto" w:sz="4" w:space="0"/>
              <w:right w:val="single" w:color="auto" w:sz="4" w:space="0"/>
            </w:tcBorders>
            <w:vAlign w:val="center"/>
          </w:tcPr>
          <w:p w14:paraId="611A31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w:t>
            </w:r>
          </w:p>
        </w:tc>
      </w:tr>
      <w:tr w14:paraId="6D44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10ADDA91">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31E976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苯并[a]芘/（mg/kg）</w:t>
            </w:r>
          </w:p>
        </w:tc>
        <w:tc>
          <w:tcPr>
            <w:tcW w:w="946" w:type="dxa"/>
            <w:tcBorders>
              <w:top w:val="single" w:color="auto" w:sz="4" w:space="0"/>
              <w:left w:val="single" w:color="auto" w:sz="4" w:space="0"/>
              <w:bottom w:val="single" w:color="auto" w:sz="4" w:space="0"/>
              <w:right w:val="single" w:color="auto" w:sz="4" w:space="0"/>
            </w:tcBorders>
            <w:vAlign w:val="center"/>
          </w:tcPr>
          <w:p w14:paraId="43AD0BC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0C1C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57BB4440">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3962FA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可溶性铅/（mg/kg）</w:t>
            </w:r>
          </w:p>
        </w:tc>
        <w:tc>
          <w:tcPr>
            <w:tcW w:w="946" w:type="dxa"/>
            <w:tcBorders>
              <w:top w:val="single" w:color="auto" w:sz="4" w:space="0"/>
              <w:left w:val="single" w:color="auto" w:sz="4" w:space="0"/>
              <w:bottom w:val="single" w:color="auto" w:sz="4" w:space="0"/>
              <w:right w:val="single" w:color="auto" w:sz="4" w:space="0"/>
            </w:tcBorders>
            <w:vAlign w:val="center"/>
          </w:tcPr>
          <w:p w14:paraId="45A0AC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w:t>
            </w:r>
          </w:p>
        </w:tc>
      </w:tr>
      <w:tr w14:paraId="113A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3BCFE604">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080238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可溶性镉/（mg/kg）</w:t>
            </w:r>
          </w:p>
        </w:tc>
        <w:tc>
          <w:tcPr>
            <w:tcW w:w="946" w:type="dxa"/>
            <w:tcBorders>
              <w:top w:val="single" w:color="auto" w:sz="4" w:space="0"/>
              <w:left w:val="single" w:color="auto" w:sz="4" w:space="0"/>
              <w:bottom w:val="single" w:color="auto" w:sz="4" w:space="0"/>
              <w:right w:val="single" w:color="auto" w:sz="4" w:space="0"/>
            </w:tcBorders>
            <w:vAlign w:val="center"/>
          </w:tcPr>
          <w:p w14:paraId="641058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74A5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2C8F4D8C">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4E1B79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可溶性铬/（mg/kg）</w:t>
            </w:r>
          </w:p>
        </w:tc>
        <w:tc>
          <w:tcPr>
            <w:tcW w:w="946" w:type="dxa"/>
            <w:tcBorders>
              <w:top w:val="single" w:color="auto" w:sz="4" w:space="0"/>
              <w:left w:val="single" w:color="auto" w:sz="4" w:space="0"/>
              <w:bottom w:val="single" w:color="auto" w:sz="4" w:space="0"/>
              <w:right w:val="single" w:color="auto" w:sz="4" w:space="0"/>
            </w:tcBorders>
            <w:vAlign w:val="center"/>
          </w:tcPr>
          <w:p w14:paraId="513AEF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6CC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382A9D76">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3CAC31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可溶性汞/（mg/kg）</w:t>
            </w:r>
          </w:p>
        </w:tc>
        <w:tc>
          <w:tcPr>
            <w:tcW w:w="946" w:type="dxa"/>
            <w:tcBorders>
              <w:top w:val="single" w:color="auto" w:sz="4" w:space="0"/>
              <w:left w:val="single" w:color="auto" w:sz="4" w:space="0"/>
              <w:bottom w:val="single" w:color="auto" w:sz="4" w:space="0"/>
              <w:right w:val="single" w:color="auto" w:sz="4" w:space="0"/>
            </w:tcBorders>
            <w:vAlign w:val="center"/>
          </w:tcPr>
          <w:p w14:paraId="69EE65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r>
      <w:tr w14:paraId="7F27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552" w:type="dxa"/>
            <w:vMerge w:val="continue"/>
            <w:tcBorders>
              <w:left w:val="single" w:color="auto" w:sz="4" w:space="0"/>
              <w:right w:val="single" w:color="auto" w:sz="4" w:space="0"/>
            </w:tcBorders>
            <w:vAlign w:val="center"/>
          </w:tcPr>
          <w:p w14:paraId="7768B581">
            <w:pPr>
              <w:spacing w:line="360" w:lineRule="auto"/>
              <w:jc w:val="center"/>
              <w:rPr>
                <w:rFonts w:ascii="宋体" w:hAnsi="宋体" w:cs="宋体"/>
                <w:color w:val="auto"/>
                <w:szCs w:val="21"/>
                <w:highlight w:val="none"/>
              </w:rPr>
            </w:pPr>
          </w:p>
        </w:tc>
        <w:tc>
          <w:tcPr>
            <w:tcW w:w="6502" w:type="dxa"/>
            <w:tcBorders>
              <w:top w:val="single" w:color="auto" w:sz="4" w:space="0"/>
              <w:left w:val="single" w:color="auto" w:sz="4" w:space="0"/>
              <w:bottom w:val="single" w:color="auto" w:sz="4" w:space="0"/>
              <w:right w:val="single" w:color="auto" w:sz="4" w:space="0"/>
            </w:tcBorders>
            <w:vAlign w:val="center"/>
          </w:tcPr>
          <w:p w14:paraId="40FF70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高聚物含量/%</w:t>
            </w:r>
          </w:p>
        </w:tc>
        <w:tc>
          <w:tcPr>
            <w:tcW w:w="946" w:type="dxa"/>
            <w:tcBorders>
              <w:top w:val="single" w:color="auto" w:sz="4" w:space="0"/>
              <w:left w:val="single" w:color="auto" w:sz="4" w:space="0"/>
              <w:bottom w:val="single" w:color="auto" w:sz="4" w:space="0"/>
              <w:right w:val="single" w:color="auto" w:sz="4" w:space="0"/>
            </w:tcBorders>
            <w:vAlign w:val="center"/>
          </w:tcPr>
          <w:p w14:paraId="7A247E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w:t>
            </w:r>
          </w:p>
        </w:tc>
      </w:tr>
    </w:tbl>
    <w:p w14:paraId="6609642C">
      <w:pPr>
        <w:pStyle w:val="14"/>
        <w:spacing w:line="360" w:lineRule="auto"/>
        <w:ind w:firstLine="420" w:firstLineChars="200"/>
        <w:rPr>
          <w:rFonts w:ascii="宋体" w:hAnsi="宋体" w:cs="宋体"/>
          <w:color w:val="auto"/>
          <w:highlight w:val="none"/>
        </w:rPr>
      </w:pPr>
      <w:r>
        <w:rPr>
          <w:rFonts w:hint="eastAsia" w:ascii="宋体" w:hAnsi="宋体" w:cs="宋体"/>
          <w:color w:val="auto"/>
          <w:highlight w:val="none"/>
        </w:rPr>
        <w:t>4、非固体原料中有害物质限量要求</w:t>
      </w:r>
    </w:p>
    <w:tbl>
      <w:tblPr>
        <w:tblStyle w:val="2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3"/>
        <w:gridCol w:w="6711"/>
        <w:gridCol w:w="946"/>
      </w:tblGrid>
      <w:tr w14:paraId="7FDA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tblHeader/>
          <w:jc w:val="center"/>
        </w:trPr>
        <w:tc>
          <w:tcPr>
            <w:tcW w:w="8054" w:type="dxa"/>
            <w:gridSpan w:val="2"/>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vAlign w:val="center"/>
          </w:tcPr>
          <w:p w14:paraId="6B8F2F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946" w:type="dxa"/>
            <w:tcBorders>
              <w:top w:val="single" w:color="auto" w:sz="4" w:space="0"/>
              <w:left w:val="single" w:color="auto" w:sz="4" w:space="0"/>
              <w:bottom w:val="single" w:color="auto" w:sz="4" w:space="0"/>
              <w:right w:val="single" w:color="auto" w:sz="4" w:space="0"/>
            </w:tcBorders>
            <w:vAlign w:val="center"/>
          </w:tcPr>
          <w:p w14:paraId="580CCF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指标</w:t>
            </w:r>
          </w:p>
        </w:tc>
      </w:tr>
      <w:tr w14:paraId="4FB9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343" w:type="dxa"/>
            <w:vMerge w:val="restart"/>
            <w:tcBorders>
              <w:top w:val="single" w:color="auto" w:sz="4" w:space="0"/>
              <w:left w:val="single" w:color="auto" w:sz="4" w:space="0"/>
              <w:right w:val="single" w:color="auto" w:sz="4" w:space="0"/>
            </w:tcBorders>
            <w:tcMar>
              <w:top w:w="72" w:type="dxa"/>
              <w:left w:w="144" w:type="dxa"/>
              <w:bottom w:w="72" w:type="dxa"/>
              <w:right w:w="144" w:type="dxa"/>
            </w:tcMar>
            <w:vAlign w:val="center"/>
          </w:tcPr>
          <w:p w14:paraId="0D4BC9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有害物质含量</w:t>
            </w:r>
          </w:p>
        </w:tc>
        <w:tc>
          <w:tcPr>
            <w:tcW w:w="6711" w:type="dxa"/>
            <w:tcBorders>
              <w:top w:val="single" w:color="auto" w:sz="4" w:space="0"/>
              <w:left w:val="single" w:color="auto" w:sz="4" w:space="0"/>
              <w:bottom w:val="single" w:color="auto" w:sz="4" w:space="0"/>
              <w:right w:val="single" w:color="auto" w:sz="4" w:space="0"/>
            </w:tcBorders>
            <w:vAlign w:val="center"/>
          </w:tcPr>
          <w:p w14:paraId="48567FC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3种邻苯二甲酸酯类化合物（DBP、BBP、DEHP）总和a/（g/kg）</w:t>
            </w:r>
          </w:p>
        </w:tc>
        <w:tc>
          <w:tcPr>
            <w:tcW w:w="946" w:type="dxa"/>
            <w:tcBorders>
              <w:top w:val="single" w:color="auto" w:sz="4" w:space="0"/>
              <w:left w:val="single" w:color="auto" w:sz="4" w:space="0"/>
              <w:bottom w:val="single" w:color="auto" w:sz="4" w:space="0"/>
              <w:right w:val="single" w:color="auto" w:sz="4" w:space="0"/>
            </w:tcBorders>
            <w:vAlign w:val="center"/>
          </w:tcPr>
          <w:p w14:paraId="02CA08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0490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343" w:type="dxa"/>
            <w:vMerge w:val="continue"/>
            <w:tcBorders>
              <w:left w:val="single" w:color="auto" w:sz="4" w:space="0"/>
              <w:right w:val="single" w:color="auto" w:sz="4" w:space="0"/>
            </w:tcBorders>
            <w:tcMar>
              <w:top w:w="72" w:type="dxa"/>
              <w:left w:w="144" w:type="dxa"/>
              <w:bottom w:w="72" w:type="dxa"/>
              <w:right w:w="144" w:type="dxa"/>
            </w:tcMar>
            <w:vAlign w:val="center"/>
          </w:tcPr>
          <w:p w14:paraId="73499C4F">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1108900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3种邻苯二甲酸酯类化合物（DNOP、DINP、DIDP）总和a/（g/kg）</w:t>
            </w:r>
          </w:p>
        </w:tc>
        <w:tc>
          <w:tcPr>
            <w:tcW w:w="946" w:type="dxa"/>
            <w:tcBorders>
              <w:top w:val="single" w:color="auto" w:sz="4" w:space="0"/>
              <w:left w:val="single" w:color="auto" w:sz="4" w:space="0"/>
              <w:bottom w:val="single" w:color="auto" w:sz="4" w:space="0"/>
              <w:right w:val="single" w:color="auto" w:sz="4" w:space="0"/>
            </w:tcBorders>
            <w:vAlign w:val="center"/>
          </w:tcPr>
          <w:p w14:paraId="671BBE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7C60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08ED9413">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right w:val="single" w:color="auto" w:sz="4" w:space="0"/>
            </w:tcBorders>
            <w:vAlign w:val="center"/>
          </w:tcPr>
          <w:p w14:paraId="30141E9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短链氯化石蜡（C10-C13）/（g/kg）</w:t>
            </w:r>
          </w:p>
        </w:tc>
        <w:tc>
          <w:tcPr>
            <w:tcW w:w="946" w:type="dxa"/>
            <w:tcBorders>
              <w:top w:val="single" w:color="auto" w:sz="4" w:space="0"/>
              <w:left w:val="single" w:color="auto" w:sz="4" w:space="0"/>
              <w:right w:val="single" w:color="auto" w:sz="4" w:space="0"/>
            </w:tcBorders>
            <w:vAlign w:val="center"/>
          </w:tcPr>
          <w:p w14:paraId="39C66F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r>
      <w:tr w14:paraId="4519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0944A9A1">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1566E2C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游离甲苯二异氰酸酯（TDI）和游离六亚甲基二异氰酸酯（HDI）总和/（g/kg）</w:t>
            </w:r>
          </w:p>
        </w:tc>
        <w:tc>
          <w:tcPr>
            <w:tcW w:w="946" w:type="dxa"/>
            <w:tcBorders>
              <w:top w:val="single" w:color="auto" w:sz="4" w:space="0"/>
              <w:left w:val="single" w:color="auto" w:sz="4" w:space="0"/>
              <w:bottom w:val="single" w:color="auto" w:sz="4" w:space="0"/>
              <w:right w:val="single" w:color="auto" w:sz="4" w:space="0"/>
            </w:tcBorders>
            <w:vAlign w:val="center"/>
          </w:tcPr>
          <w:p w14:paraId="1E179BE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7ABB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60AEF3AD">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30CEDDB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挥发性有机化合物/(g/L)</w:t>
            </w:r>
          </w:p>
        </w:tc>
        <w:tc>
          <w:tcPr>
            <w:tcW w:w="946" w:type="dxa"/>
            <w:tcBorders>
              <w:top w:val="single" w:color="auto" w:sz="4" w:space="0"/>
              <w:left w:val="single" w:color="auto" w:sz="4" w:space="0"/>
              <w:bottom w:val="single" w:color="auto" w:sz="4" w:space="0"/>
              <w:right w:val="single" w:color="auto" w:sz="4" w:space="0"/>
            </w:tcBorders>
            <w:vAlign w:val="center"/>
          </w:tcPr>
          <w:p w14:paraId="486411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w:t>
            </w:r>
          </w:p>
        </w:tc>
      </w:tr>
      <w:tr w14:paraId="35CD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27DA3587">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11BA823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游离甲醛/（g/kg）</w:t>
            </w:r>
          </w:p>
        </w:tc>
        <w:tc>
          <w:tcPr>
            <w:tcW w:w="946" w:type="dxa"/>
            <w:tcBorders>
              <w:top w:val="single" w:color="auto" w:sz="4" w:space="0"/>
              <w:left w:val="single" w:color="auto" w:sz="4" w:space="0"/>
              <w:bottom w:val="single" w:color="auto" w:sz="4" w:space="0"/>
              <w:right w:val="single" w:color="auto" w:sz="4" w:space="0"/>
            </w:tcBorders>
            <w:vAlign w:val="center"/>
          </w:tcPr>
          <w:p w14:paraId="62EA44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≤0.50</w:t>
            </w:r>
          </w:p>
        </w:tc>
      </w:tr>
      <w:tr w14:paraId="2C70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1343" w:type="dxa"/>
            <w:vMerge w:val="continue"/>
            <w:tcBorders>
              <w:left w:val="single" w:color="auto" w:sz="4" w:space="0"/>
              <w:right w:val="single" w:color="auto" w:sz="4" w:space="0"/>
            </w:tcBorders>
            <w:vAlign w:val="center"/>
          </w:tcPr>
          <w:p w14:paraId="0DDB5BE3">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2E5B41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苯/（g/kg）</w:t>
            </w:r>
          </w:p>
        </w:tc>
        <w:tc>
          <w:tcPr>
            <w:tcW w:w="946" w:type="dxa"/>
            <w:tcBorders>
              <w:top w:val="single" w:color="auto" w:sz="4" w:space="0"/>
              <w:left w:val="single" w:color="auto" w:sz="4" w:space="0"/>
              <w:bottom w:val="single" w:color="auto" w:sz="4" w:space="0"/>
              <w:right w:val="single" w:color="auto" w:sz="4" w:space="0"/>
            </w:tcBorders>
            <w:vAlign w:val="center"/>
          </w:tcPr>
          <w:p w14:paraId="3F9BD9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r>
      <w:tr w14:paraId="3288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513D07DD">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61E8A99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甲苯、二甲苯和乙苯总和/（g/kg）</w:t>
            </w:r>
          </w:p>
        </w:tc>
        <w:tc>
          <w:tcPr>
            <w:tcW w:w="946" w:type="dxa"/>
            <w:tcBorders>
              <w:top w:val="single" w:color="auto" w:sz="4" w:space="0"/>
              <w:left w:val="single" w:color="auto" w:sz="4" w:space="0"/>
              <w:bottom w:val="single" w:color="auto" w:sz="4" w:space="0"/>
              <w:right w:val="single" w:color="auto" w:sz="4" w:space="0"/>
            </w:tcBorders>
            <w:vAlign w:val="center"/>
          </w:tcPr>
          <w:p w14:paraId="516A26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29F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59E16E35">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117EA3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可溶性铅/（mg/kg）</w:t>
            </w:r>
          </w:p>
        </w:tc>
        <w:tc>
          <w:tcPr>
            <w:tcW w:w="946" w:type="dxa"/>
            <w:tcBorders>
              <w:top w:val="single" w:color="auto" w:sz="4" w:space="0"/>
              <w:left w:val="single" w:color="auto" w:sz="4" w:space="0"/>
              <w:bottom w:val="single" w:color="auto" w:sz="4" w:space="0"/>
              <w:right w:val="single" w:color="auto" w:sz="4" w:space="0"/>
            </w:tcBorders>
            <w:vAlign w:val="center"/>
          </w:tcPr>
          <w:p w14:paraId="244BA0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w:t>
            </w:r>
          </w:p>
        </w:tc>
      </w:tr>
      <w:tr w14:paraId="5009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41DC3195">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227CEF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可溶性镉/（mg/kg）</w:t>
            </w:r>
          </w:p>
        </w:tc>
        <w:tc>
          <w:tcPr>
            <w:tcW w:w="946" w:type="dxa"/>
            <w:tcBorders>
              <w:top w:val="single" w:color="auto" w:sz="4" w:space="0"/>
              <w:left w:val="single" w:color="auto" w:sz="4" w:space="0"/>
              <w:bottom w:val="single" w:color="auto" w:sz="4" w:space="0"/>
              <w:right w:val="single" w:color="auto" w:sz="4" w:space="0"/>
            </w:tcBorders>
            <w:vAlign w:val="center"/>
          </w:tcPr>
          <w:p w14:paraId="7DDD3C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6531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45E93B2F">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0DA9FC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可溶性铬/（mg/kg）</w:t>
            </w:r>
          </w:p>
        </w:tc>
        <w:tc>
          <w:tcPr>
            <w:tcW w:w="946" w:type="dxa"/>
            <w:tcBorders>
              <w:top w:val="single" w:color="auto" w:sz="4" w:space="0"/>
              <w:left w:val="single" w:color="auto" w:sz="4" w:space="0"/>
              <w:bottom w:val="single" w:color="auto" w:sz="4" w:space="0"/>
              <w:right w:val="single" w:color="auto" w:sz="4" w:space="0"/>
            </w:tcBorders>
            <w:vAlign w:val="center"/>
          </w:tcPr>
          <w:p w14:paraId="2CFD69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r>
      <w:tr w14:paraId="5EA3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1343" w:type="dxa"/>
            <w:vMerge w:val="continue"/>
            <w:tcBorders>
              <w:left w:val="single" w:color="auto" w:sz="4" w:space="0"/>
              <w:right w:val="single" w:color="auto" w:sz="4" w:space="0"/>
            </w:tcBorders>
            <w:vAlign w:val="center"/>
          </w:tcPr>
          <w:p w14:paraId="76C1EA50">
            <w:pPr>
              <w:spacing w:line="360" w:lineRule="auto"/>
              <w:jc w:val="center"/>
              <w:rPr>
                <w:rFonts w:ascii="宋体" w:hAnsi="宋体" w:cs="宋体"/>
                <w:color w:val="auto"/>
                <w:szCs w:val="21"/>
                <w:highlight w:val="none"/>
              </w:rPr>
            </w:pPr>
          </w:p>
        </w:tc>
        <w:tc>
          <w:tcPr>
            <w:tcW w:w="6711" w:type="dxa"/>
            <w:tcBorders>
              <w:top w:val="single" w:color="auto" w:sz="4" w:space="0"/>
              <w:left w:val="single" w:color="auto" w:sz="4" w:space="0"/>
              <w:bottom w:val="single" w:color="auto" w:sz="4" w:space="0"/>
              <w:right w:val="single" w:color="auto" w:sz="4" w:space="0"/>
            </w:tcBorders>
            <w:vAlign w:val="center"/>
          </w:tcPr>
          <w:p w14:paraId="0F016C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可溶性汞/（mg/kg）</w:t>
            </w:r>
          </w:p>
        </w:tc>
        <w:tc>
          <w:tcPr>
            <w:tcW w:w="946" w:type="dxa"/>
            <w:tcBorders>
              <w:top w:val="single" w:color="auto" w:sz="4" w:space="0"/>
              <w:left w:val="single" w:color="auto" w:sz="4" w:space="0"/>
              <w:bottom w:val="single" w:color="auto" w:sz="4" w:space="0"/>
              <w:right w:val="single" w:color="auto" w:sz="4" w:space="0"/>
            </w:tcBorders>
            <w:vAlign w:val="center"/>
          </w:tcPr>
          <w:p w14:paraId="1332D7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r>
    </w:tbl>
    <w:p w14:paraId="6A8A3E43">
      <w:pPr>
        <w:pStyle w:val="14"/>
        <w:spacing w:line="360" w:lineRule="auto"/>
        <w:rPr>
          <w:rFonts w:ascii="宋体" w:hAnsi="宋体" w:cs="宋体"/>
          <w:b/>
          <w:bCs/>
          <w:color w:val="auto"/>
          <w:sz w:val="24"/>
          <w:highlight w:val="none"/>
        </w:rPr>
      </w:pPr>
      <w:r>
        <w:rPr>
          <w:rFonts w:hint="eastAsia" w:ascii="宋体" w:hAnsi="宋体" w:cs="宋体"/>
          <w:b/>
          <w:bCs/>
          <w:color w:val="auto"/>
          <w:sz w:val="24"/>
          <w:highlight w:val="none"/>
        </w:rPr>
        <w:t>二、产品技术要求</w:t>
      </w:r>
    </w:p>
    <w:p w14:paraId="686FDDC8">
      <w:pPr>
        <w:numPr>
          <w:ilvl w:val="0"/>
          <w:numId w:val="2"/>
        </w:numPr>
        <w:spacing w:line="480" w:lineRule="auto"/>
        <w:jc w:val="left"/>
        <w:rPr>
          <w:rFonts w:ascii="宋体" w:hAnsi="宋体" w:cs="宋体"/>
          <w:color w:val="auto"/>
          <w:kern w:val="0"/>
          <w:highlight w:val="none"/>
        </w:rPr>
      </w:pPr>
      <w:r>
        <w:rPr>
          <w:rFonts w:hint="eastAsia" w:ascii="宋体" w:hAnsi="宋体" w:cs="宋体"/>
          <w:color w:val="auto"/>
          <w:kern w:val="0"/>
          <w:highlight w:val="none"/>
        </w:rPr>
        <w:t>产品技术性能</w:t>
      </w:r>
    </w:p>
    <w:p w14:paraId="4F5AFDDC">
      <w:pPr>
        <w:spacing w:line="480" w:lineRule="auto"/>
        <w:jc w:val="left"/>
        <w:rPr>
          <w:rFonts w:ascii="宋体" w:hAnsi="宋体" w:cs="宋体"/>
          <w:b/>
          <w:bCs/>
          <w:color w:val="auto"/>
          <w:kern w:val="0"/>
          <w:highlight w:val="none"/>
        </w:rPr>
      </w:pPr>
      <w:r>
        <w:rPr>
          <w:rFonts w:hint="eastAsia" w:ascii="宋体" w:hAnsi="宋体" w:cs="宋体"/>
          <w:color w:val="auto"/>
          <w:kern w:val="0"/>
          <w:highlight w:val="none"/>
        </w:rPr>
        <w:t>（1）为体现产品的安全，提供的塑胶跑道材料在温度60℃测试条件下进行18种</w:t>
      </w:r>
      <w:bookmarkStart w:id="58" w:name="OLE_LINK4"/>
      <w:r>
        <w:rPr>
          <w:rFonts w:hint="eastAsia" w:ascii="宋体" w:hAnsi="宋体" w:cs="宋体"/>
          <w:color w:val="auto"/>
          <w:kern w:val="0"/>
          <w:highlight w:val="none"/>
        </w:rPr>
        <w:t>邻苯二甲酸增塑剂检测</w:t>
      </w:r>
      <w:bookmarkEnd w:id="58"/>
      <w:r>
        <w:rPr>
          <w:rFonts w:hint="eastAsia" w:ascii="宋体" w:hAnsi="宋体" w:cs="宋体"/>
          <w:color w:val="auto"/>
          <w:kern w:val="0"/>
          <w:highlight w:val="none"/>
        </w:rPr>
        <w:t>，</w:t>
      </w:r>
      <w:bookmarkStart w:id="59" w:name="OLE_LINK5"/>
      <w:r>
        <w:rPr>
          <w:rFonts w:hint="eastAsia" w:ascii="宋体" w:hAnsi="宋体" w:cs="宋体"/>
          <w:color w:val="auto"/>
          <w:kern w:val="0"/>
          <w:highlight w:val="none"/>
        </w:rPr>
        <w:t>符合</w:t>
      </w:r>
      <w:bookmarkStart w:id="60" w:name="OLE_LINK3"/>
      <w:r>
        <w:rPr>
          <w:rFonts w:hint="eastAsia" w:ascii="宋体" w:hAnsi="宋体" w:cs="宋体"/>
          <w:color w:val="auto"/>
          <w:kern w:val="0"/>
          <w:highlight w:val="none"/>
        </w:rPr>
        <w:t>GB/T36793-2018</w:t>
      </w:r>
      <w:bookmarkEnd w:id="59"/>
      <w:bookmarkEnd w:id="60"/>
      <w:r>
        <w:rPr>
          <w:rFonts w:hint="eastAsia" w:ascii="宋体" w:hAnsi="宋体" w:cs="宋体"/>
          <w:color w:val="auto"/>
          <w:kern w:val="0"/>
          <w:highlight w:val="none"/>
        </w:rPr>
        <w:t>要求全部检测为“未检出”。</w:t>
      </w:r>
      <w:r>
        <w:rPr>
          <w:rFonts w:hint="eastAsia" w:ascii="宋体" w:hAnsi="宋体" w:cs="宋体"/>
          <w:b/>
          <w:bCs/>
          <w:color w:val="auto"/>
          <w:kern w:val="0"/>
          <w:highlight w:val="none"/>
        </w:rPr>
        <w:t>供货时提供具有资质的第三方检测机构出具的检测报告复印件加盖供应商公章；</w:t>
      </w:r>
    </w:p>
    <w:p w14:paraId="65797B2F">
      <w:pPr>
        <w:spacing w:line="480" w:lineRule="auto"/>
        <w:jc w:val="left"/>
        <w:rPr>
          <w:rFonts w:ascii="宋体" w:hAnsi="宋体" w:cs="宋体"/>
          <w:b/>
          <w:bCs/>
          <w:color w:val="auto"/>
          <w:kern w:val="0"/>
          <w:highlight w:val="none"/>
        </w:rPr>
      </w:pPr>
      <w:r>
        <w:rPr>
          <w:rFonts w:hint="eastAsia" w:ascii="宋体" w:hAnsi="宋体" w:cs="宋体"/>
          <w:color w:val="auto"/>
          <w:kern w:val="0"/>
          <w:highlight w:val="none"/>
        </w:rPr>
        <w:t>（2）为充分体现产品的稳定性能，模拟</w:t>
      </w:r>
      <w:bookmarkStart w:id="61" w:name="OLE_LINK6"/>
      <w:r>
        <w:rPr>
          <w:rFonts w:hint="eastAsia" w:ascii="宋体" w:hAnsi="宋体" w:cs="宋体"/>
          <w:color w:val="auto"/>
          <w:kern w:val="0"/>
          <w:highlight w:val="none"/>
        </w:rPr>
        <w:t>塑胶跑道</w:t>
      </w:r>
      <w:bookmarkEnd w:id="61"/>
      <w:r>
        <w:rPr>
          <w:rFonts w:hint="eastAsia" w:ascii="宋体" w:hAnsi="宋体" w:cs="宋体"/>
          <w:color w:val="auto"/>
          <w:kern w:val="0"/>
          <w:highlight w:val="none"/>
        </w:rPr>
        <w:t>经过1年的室外自然环境下，依据</w:t>
      </w:r>
      <w:bookmarkStart w:id="62" w:name="OLE_LINK7"/>
      <w:r>
        <w:rPr>
          <w:rFonts w:hint="eastAsia" w:ascii="宋体" w:hAnsi="宋体" w:cs="宋体"/>
          <w:color w:val="auto"/>
          <w:kern w:val="0"/>
          <w:highlight w:val="none"/>
        </w:rPr>
        <w:t>GB36246-2018标准</w:t>
      </w:r>
      <w:bookmarkEnd w:id="62"/>
      <w:r>
        <w:rPr>
          <w:rFonts w:hint="eastAsia" w:ascii="宋体" w:hAnsi="宋体" w:cs="宋体"/>
          <w:color w:val="auto"/>
          <w:kern w:val="0"/>
          <w:highlight w:val="none"/>
        </w:rPr>
        <w:t>，其在使用1年前和使用1年后进行物理机械性能测试对比，同时各项指标保留率均达到≥95%。</w:t>
      </w:r>
      <w:r>
        <w:rPr>
          <w:rFonts w:hint="eastAsia" w:ascii="宋体" w:hAnsi="宋体" w:cs="宋体"/>
          <w:b/>
          <w:bCs/>
          <w:color w:val="auto"/>
          <w:kern w:val="0"/>
          <w:highlight w:val="none"/>
        </w:rPr>
        <w:t>供货时提供具有资质的第三方检测机构出具的检测报告复印件加盖供应商公章；</w:t>
      </w:r>
    </w:p>
    <w:p w14:paraId="36574E50">
      <w:pPr>
        <w:spacing w:line="480" w:lineRule="auto"/>
        <w:jc w:val="left"/>
        <w:rPr>
          <w:rFonts w:ascii="宋体" w:hAnsi="宋体" w:cs="宋体"/>
          <w:b/>
          <w:bCs/>
          <w:color w:val="auto"/>
          <w:kern w:val="0"/>
          <w:highlight w:val="none"/>
        </w:rPr>
      </w:pPr>
      <w:r>
        <w:rPr>
          <w:rFonts w:hint="eastAsia" w:ascii="宋体" w:hAnsi="宋体" w:cs="宋体"/>
          <w:color w:val="auto"/>
          <w:kern w:val="0"/>
          <w:highlight w:val="none"/>
        </w:rPr>
        <w:t>（3）结合自然环境，模拟塑胶跑道在潮湿环境下放置60天后的，满足GB36246-2018物理机械性能标准要求，同时在潮湿环境下跑道表面未出现长青苔。</w:t>
      </w:r>
      <w:r>
        <w:rPr>
          <w:rFonts w:hint="eastAsia" w:ascii="宋体" w:hAnsi="宋体" w:cs="宋体"/>
          <w:b/>
          <w:bCs/>
          <w:color w:val="auto"/>
          <w:kern w:val="0"/>
          <w:highlight w:val="none"/>
        </w:rPr>
        <w:t>供货时提供具有资质的第三方检测机构出具的检测报告复印件加盖供应商公章；</w:t>
      </w:r>
    </w:p>
    <w:p w14:paraId="69A2852B">
      <w:pPr>
        <w:spacing w:line="480" w:lineRule="auto"/>
        <w:jc w:val="left"/>
        <w:rPr>
          <w:rFonts w:ascii="宋体" w:hAnsi="宋体" w:cs="宋体"/>
          <w:b/>
          <w:bCs/>
          <w:color w:val="auto"/>
          <w:kern w:val="0"/>
          <w:highlight w:val="none"/>
        </w:rPr>
      </w:pPr>
      <w:r>
        <w:rPr>
          <w:rFonts w:hint="eastAsia" w:ascii="宋体" w:hAnsi="宋体" w:cs="宋体"/>
          <w:color w:val="auto"/>
          <w:kern w:val="0"/>
          <w:highlight w:val="none"/>
        </w:rPr>
        <w:t>（4）提供的塑胶跑道材料符合</w:t>
      </w:r>
      <w:bookmarkStart w:id="63" w:name="OLE_LINK8"/>
      <w:r>
        <w:rPr>
          <w:rFonts w:hint="eastAsia" w:ascii="宋体" w:hAnsi="宋体" w:cs="宋体"/>
          <w:color w:val="auto"/>
          <w:kern w:val="0"/>
          <w:highlight w:val="none"/>
        </w:rPr>
        <w:t>GB/T6753.3-1986</w:t>
      </w:r>
      <w:bookmarkEnd w:id="63"/>
      <w:r>
        <w:rPr>
          <w:rFonts w:hint="eastAsia" w:ascii="宋体" w:hAnsi="宋体" w:cs="宋体"/>
          <w:color w:val="auto"/>
          <w:kern w:val="0"/>
          <w:highlight w:val="none"/>
        </w:rPr>
        <w:t>要求，经过60天的贮存后材料“符合”或“通过”如结皮、压力、腐蚀、腐败味、沉降程度等表见现象体现涂料稳定性，</w:t>
      </w:r>
      <w:r>
        <w:rPr>
          <w:rFonts w:hint="eastAsia" w:ascii="宋体" w:hAnsi="宋体" w:cs="宋体"/>
          <w:b/>
          <w:bCs/>
          <w:color w:val="auto"/>
          <w:kern w:val="0"/>
          <w:highlight w:val="none"/>
        </w:rPr>
        <w:t>供货时提供具有资质的第三方检测机构出具的检测报告复印件加盖供应商公章；</w:t>
      </w:r>
    </w:p>
    <w:p w14:paraId="53C4FF2F">
      <w:pPr>
        <w:spacing w:line="480" w:lineRule="auto"/>
        <w:jc w:val="left"/>
        <w:rPr>
          <w:rFonts w:ascii="宋体" w:hAnsi="宋体" w:cs="宋体"/>
          <w:b/>
          <w:bCs/>
          <w:color w:val="auto"/>
          <w:kern w:val="0"/>
          <w:highlight w:val="none"/>
        </w:rPr>
      </w:pPr>
      <w:r>
        <w:rPr>
          <w:rFonts w:hint="eastAsia" w:ascii="宋体" w:hAnsi="宋体" w:cs="宋体"/>
          <w:color w:val="auto"/>
          <w:kern w:val="0"/>
          <w:highlight w:val="none"/>
        </w:rPr>
        <w:t>（5）提供的</w:t>
      </w:r>
      <w:bookmarkStart w:id="64" w:name="OLE_LINK10"/>
      <w:r>
        <w:rPr>
          <w:rFonts w:hint="eastAsia" w:ascii="宋体" w:hAnsi="宋体" w:cs="宋体"/>
          <w:color w:val="auto"/>
          <w:kern w:val="0"/>
          <w:highlight w:val="none"/>
        </w:rPr>
        <w:t>塑胶跑道材料符合</w:t>
      </w:r>
      <w:bookmarkStart w:id="65" w:name="OLE_LINK9"/>
      <w:r>
        <w:rPr>
          <w:rFonts w:hint="eastAsia" w:ascii="宋体" w:hAnsi="宋体" w:cs="宋体"/>
          <w:color w:val="auto"/>
          <w:kern w:val="0"/>
          <w:highlight w:val="none"/>
        </w:rPr>
        <w:t>CEC 074-2023</w:t>
      </w:r>
      <w:bookmarkEnd w:id="65"/>
      <w:r>
        <w:rPr>
          <w:rFonts w:hint="eastAsia" w:ascii="宋体" w:hAnsi="宋体" w:cs="宋体"/>
          <w:color w:val="auto"/>
          <w:kern w:val="0"/>
          <w:highlight w:val="none"/>
        </w:rPr>
        <w:t xml:space="preserve"> 重点管控新污染物限用（RoECs）认证技术规范</w:t>
      </w:r>
      <w:bookmarkEnd w:id="64"/>
      <w:r>
        <w:rPr>
          <w:rFonts w:hint="eastAsia" w:ascii="宋体" w:hAnsi="宋体" w:cs="宋体"/>
          <w:color w:val="auto"/>
          <w:kern w:val="0"/>
          <w:highlight w:val="none"/>
        </w:rPr>
        <w:t>，提供有效的重点管控新污染物限用（RoECs）认证证书。</w:t>
      </w:r>
      <w:r>
        <w:rPr>
          <w:rFonts w:hint="eastAsia" w:ascii="宋体" w:hAnsi="宋体" w:cs="宋体"/>
          <w:b/>
          <w:bCs/>
          <w:color w:val="auto"/>
          <w:kern w:val="0"/>
          <w:highlight w:val="none"/>
        </w:rPr>
        <w:t>供货时提供证书复印件及在国家认监委网站查询截图并加盖供应商公章。</w:t>
      </w:r>
    </w:p>
    <w:p w14:paraId="4FA8ECBD">
      <w:pPr>
        <w:spacing w:line="480" w:lineRule="auto"/>
        <w:jc w:val="left"/>
        <w:rPr>
          <w:rFonts w:ascii="宋体" w:hAnsi="宋体" w:cs="宋体"/>
          <w:b/>
          <w:bCs/>
          <w:color w:val="auto"/>
          <w:kern w:val="0"/>
          <w:highlight w:val="none"/>
        </w:rPr>
      </w:pPr>
    </w:p>
    <w:p w14:paraId="1A46B9A2">
      <w:pPr>
        <w:spacing w:line="480" w:lineRule="auto"/>
        <w:jc w:val="left"/>
        <w:rPr>
          <w:rFonts w:ascii="宋体" w:hAnsi="宋体" w:cs="宋体"/>
          <w:b/>
          <w:bCs/>
          <w:color w:val="auto"/>
          <w:kern w:val="0"/>
          <w:highlight w:val="none"/>
        </w:rPr>
      </w:pPr>
    </w:p>
    <w:p w14:paraId="0240BFB2">
      <w:pPr>
        <w:spacing w:line="480" w:lineRule="auto"/>
        <w:jc w:val="left"/>
        <w:rPr>
          <w:rFonts w:ascii="宋体" w:hAnsi="宋体" w:cs="宋体"/>
          <w:b/>
          <w:bCs/>
          <w:color w:val="auto"/>
          <w:kern w:val="0"/>
          <w:highlight w:val="none"/>
        </w:rPr>
      </w:pPr>
    </w:p>
    <w:p w14:paraId="250EF614">
      <w:pPr>
        <w:pStyle w:val="3"/>
        <w:spacing w:before="0" w:after="0" w:line="360" w:lineRule="auto"/>
        <w:jc w:val="center"/>
        <w:rPr>
          <w:rFonts w:ascii="Calibri" w:hAnsi="Calibri"/>
          <w:color w:val="auto"/>
          <w:highlight w:val="none"/>
        </w:rPr>
      </w:pPr>
      <w:bookmarkStart w:id="66" w:name="_Toc16791"/>
      <w:bookmarkStart w:id="67" w:name="_Toc24174"/>
      <w:bookmarkStart w:id="68" w:name="_Toc21050"/>
      <w:bookmarkStart w:id="69" w:name="_Toc7704"/>
      <w:bookmarkStart w:id="70" w:name="_Toc13614"/>
      <w:bookmarkStart w:id="71" w:name="_Toc9239"/>
      <w:r>
        <w:rPr>
          <w:rFonts w:hint="eastAsia" w:ascii="Cambria" w:hAnsi="Cambria"/>
          <w:bCs w:val="0"/>
          <w:color w:val="auto"/>
          <w:sz w:val="32"/>
          <w:szCs w:val="32"/>
          <w:highlight w:val="none"/>
        </w:rPr>
        <w:t>第三章 供应商须知</w:t>
      </w:r>
      <w:bookmarkEnd w:id="48"/>
      <w:bookmarkEnd w:id="49"/>
      <w:bookmarkEnd w:id="66"/>
      <w:bookmarkEnd w:id="67"/>
      <w:bookmarkEnd w:id="68"/>
      <w:bookmarkEnd w:id="69"/>
      <w:bookmarkEnd w:id="70"/>
      <w:bookmarkEnd w:id="71"/>
    </w:p>
    <w:p w14:paraId="120E9DEB">
      <w:pPr>
        <w:pStyle w:val="4"/>
        <w:spacing w:before="0" w:after="0" w:line="360" w:lineRule="auto"/>
        <w:jc w:val="center"/>
        <w:rPr>
          <w:rFonts w:ascii="宋体" w:hAnsi="宋体"/>
          <w:b w:val="0"/>
          <w:color w:val="auto"/>
          <w:highlight w:val="none"/>
        </w:rPr>
      </w:pPr>
      <w:bookmarkStart w:id="72" w:name="_Toc80886928"/>
      <w:bookmarkStart w:id="73" w:name="_Toc9482"/>
      <w:bookmarkStart w:id="74" w:name="_Toc30660"/>
      <w:r>
        <w:rPr>
          <w:rFonts w:hint="eastAsia" w:ascii="宋体" w:hAnsi="宋体"/>
          <w:b w:val="0"/>
          <w:color w:val="auto"/>
          <w:highlight w:val="none"/>
        </w:rPr>
        <w:t>第一节 供应商须知前附表</w:t>
      </w:r>
      <w:bookmarkEnd w:id="72"/>
      <w:bookmarkEnd w:id="73"/>
      <w:bookmarkEnd w:id="74"/>
    </w:p>
    <w:p w14:paraId="76609283">
      <w:pPr>
        <w:spacing w:line="400" w:lineRule="exact"/>
        <w:jc w:val="center"/>
        <w:rPr>
          <w:b/>
          <w:color w:val="auto"/>
          <w:sz w:val="32"/>
          <w:szCs w:val="32"/>
          <w:highlight w:val="none"/>
        </w:rPr>
      </w:pPr>
    </w:p>
    <w:tbl>
      <w:tblPr>
        <w:tblStyle w:val="28"/>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21"/>
        <w:gridCol w:w="7080"/>
      </w:tblGrid>
      <w:tr w14:paraId="69E09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3493F4A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21" w:type="dxa"/>
            <w:vAlign w:val="center"/>
          </w:tcPr>
          <w:p w14:paraId="291595A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7080" w:type="dxa"/>
          </w:tcPr>
          <w:p w14:paraId="58CE624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1E9F3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BE2BDA6">
            <w:pPr>
              <w:spacing w:line="360" w:lineRule="auto"/>
              <w:jc w:val="center"/>
              <w:rPr>
                <w:color w:val="auto"/>
                <w:szCs w:val="21"/>
                <w:highlight w:val="none"/>
              </w:rPr>
            </w:pPr>
            <w:r>
              <w:rPr>
                <w:color w:val="auto"/>
                <w:szCs w:val="21"/>
                <w:highlight w:val="none"/>
              </w:rPr>
              <w:t>3.1</w:t>
            </w:r>
          </w:p>
        </w:tc>
        <w:tc>
          <w:tcPr>
            <w:tcW w:w="2321" w:type="dxa"/>
            <w:vAlign w:val="center"/>
          </w:tcPr>
          <w:p w14:paraId="2334C9E8">
            <w:pPr>
              <w:spacing w:line="360" w:lineRule="auto"/>
              <w:jc w:val="center"/>
              <w:rPr>
                <w:color w:val="auto"/>
                <w:szCs w:val="21"/>
                <w:highlight w:val="none"/>
              </w:rPr>
            </w:pPr>
            <w:r>
              <w:rPr>
                <w:color w:val="auto"/>
                <w:szCs w:val="21"/>
                <w:highlight w:val="none"/>
              </w:rPr>
              <w:t>供应商资格条件</w:t>
            </w:r>
          </w:p>
        </w:tc>
        <w:tc>
          <w:tcPr>
            <w:tcW w:w="7080" w:type="dxa"/>
          </w:tcPr>
          <w:p w14:paraId="45E19041">
            <w:pPr>
              <w:spacing w:line="360" w:lineRule="auto"/>
              <w:rPr>
                <w:color w:val="auto"/>
                <w:szCs w:val="21"/>
                <w:highlight w:val="none"/>
              </w:rPr>
            </w:pPr>
            <w:r>
              <w:rPr>
                <w:color w:val="auto"/>
                <w:szCs w:val="21"/>
                <w:highlight w:val="none"/>
              </w:rPr>
              <w:t>详见竞争性磋商公告。</w:t>
            </w:r>
          </w:p>
        </w:tc>
      </w:tr>
      <w:tr w14:paraId="4C3D6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F06E4C4">
            <w:pPr>
              <w:spacing w:line="360" w:lineRule="auto"/>
              <w:jc w:val="center"/>
              <w:rPr>
                <w:color w:val="auto"/>
                <w:szCs w:val="21"/>
                <w:highlight w:val="none"/>
              </w:rPr>
            </w:pPr>
            <w:r>
              <w:rPr>
                <w:color w:val="auto"/>
                <w:szCs w:val="21"/>
                <w:highlight w:val="none"/>
              </w:rPr>
              <w:t>5.1</w:t>
            </w:r>
          </w:p>
        </w:tc>
        <w:tc>
          <w:tcPr>
            <w:tcW w:w="2321" w:type="dxa"/>
            <w:vAlign w:val="center"/>
          </w:tcPr>
          <w:p w14:paraId="64A56595">
            <w:pPr>
              <w:spacing w:line="360" w:lineRule="auto"/>
              <w:jc w:val="center"/>
              <w:rPr>
                <w:color w:val="auto"/>
                <w:szCs w:val="21"/>
                <w:highlight w:val="none"/>
              </w:rPr>
            </w:pPr>
            <w:r>
              <w:rPr>
                <w:color w:val="auto"/>
                <w:szCs w:val="21"/>
                <w:highlight w:val="none"/>
              </w:rPr>
              <w:t>是否接受联合体竞标</w:t>
            </w:r>
          </w:p>
        </w:tc>
        <w:tc>
          <w:tcPr>
            <w:tcW w:w="7080" w:type="dxa"/>
            <w:vAlign w:val="center"/>
          </w:tcPr>
          <w:p w14:paraId="5696E0B5">
            <w:pPr>
              <w:spacing w:line="360" w:lineRule="auto"/>
              <w:rPr>
                <w:color w:val="auto"/>
                <w:szCs w:val="21"/>
                <w:highlight w:val="none"/>
              </w:rPr>
            </w:pPr>
            <w:bookmarkStart w:id="75" w:name="PO_3000001868_PM007"/>
            <w:r>
              <w:rPr>
                <w:color w:val="auto"/>
                <w:szCs w:val="21"/>
                <w:highlight w:val="none"/>
              </w:rPr>
              <w:t>详见竞争性磋商公告</w:t>
            </w:r>
            <w:bookmarkEnd w:id="75"/>
          </w:p>
        </w:tc>
      </w:tr>
      <w:tr w14:paraId="37B7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F07ED4A">
            <w:pPr>
              <w:spacing w:line="360" w:lineRule="auto"/>
              <w:jc w:val="center"/>
              <w:rPr>
                <w:color w:val="auto"/>
                <w:szCs w:val="21"/>
                <w:highlight w:val="none"/>
              </w:rPr>
            </w:pPr>
            <w:r>
              <w:rPr>
                <w:color w:val="auto"/>
                <w:szCs w:val="21"/>
                <w:highlight w:val="none"/>
              </w:rPr>
              <w:t>5.2</w:t>
            </w:r>
          </w:p>
        </w:tc>
        <w:tc>
          <w:tcPr>
            <w:tcW w:w="2321" w:type="dxa"/>
            <w:vAlign w:val="center"/>
          </w:tcPr>
          <w:p w14:paraId="382EB928">
            <w:pPr>
              <w:spacing w:line="360" w:lineRule="auto"/>
              <w:jc w:val="center"/>
              <w:rPr>
                <w:color w:val="auto"/>
                <w:szCs w:val="21"/>
                <w:highlight w:val="none"/>
              </w:rPr>
            </w:pPr>
            <w:r>
              <w:rPr>
                <w:color w:val="auto"/>
                <w:szCs w:val="21"/>
                <w:highlight w:val="none"/>
              </w:rPr>
              <w:t>联合体竞标要求</w:t>
            </w:r>
          </w:p>
        </w:tc>
        <w:tc>
          <w:tcPr>
            <w:tcW w:w="7080" w:type="dxa"/>
            <w:vAlign w:val="center"/>
          </w:tcPr>
          <w:p w14:paraId="09835432">
            <w:pPr>
              <w:spacing w:line="360" w:lineRule="auto"/>
              <w:rPr>
                <w:color w:val="auto"/>
                <w:szCs w:val="21"/>
                <w:highlight w:val="none"/>
              </w:rPr>
            </w:pPr>
            <w:r>
              <w:rPr>
                <w:rFonts w:hint="eastAsia"/>
                <w:color w:val="auto"/>
                <w:szCs w:val="21"/>
                <w:highlight w:val="none"/>
              </w:rPr>
              <w:t>无</w:t>
            </w:r>
          </w:p>
        </w:tc>
      </w:tr>
      <w:tr w14:paraId="5AA9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B1512DD">
            <w:pPr>
              <w:spacing w:line="360" w:lineRule="auto"/>
              <w:jc w:val="center"/>
              <w:rPr>
                <w:color w:val="auto"/>
                <w:szCs w:val="21"/>
                <w:highlight w:val="none"/>
              </w:rPr>
            </w:pPr>
            <w:r>
              <w:rPr>
                <w:color w:val="auto"/>
                <w:szCs w:val="21"/>
                <w:highlight w:val="none"/>
              </w:rPr>
              <w:t>6.1</w:t>
            </w:r>
          </w:p>
        </w:tc>
        <w:tc>
          <w:tcPr>
            <w:tcW w:w="2321" w:type="dxa"/>
            <w:vAlign w:val="center"/>
          </w:tcPr>
          <w:p w14:paraId="759B88B9">
            <w:pPr>
              <w:spacing w:line="360" w:lineRule="auto"/>
              <w:jc w:val="center"/>
              <w:rPr>
                <w:color w:val="auto"/>
                <w:szCs w:val="21"/>
                <w:highlight w:val="none"/>
              </w:rPr>
            </w:pPr>
            <w:r>
              <w:rPr>
                <w:color w:val="auto"/>
                <w:szCs w:val="21"/>
                <w:highlight w:val="none"/>
              </w:rPr>
              <w:t>是否允许分包</w:t>
            </w:r>
          </w:p>
        </w:tc>
        <w:tc>
          <w:tcPr>
            <w:tcW w:w="7080" w:type="dxa"/>
            <w:vAlign w:val="center"/>
          </w:tcPr>
          <w:p w14:paraId="0C205A1D">
            <w:pPr>
              <w:pStyle w:val="12"/>
              <w:spacing w:line="360" w:lineRule="auto"/>
              <w:jc w:val="both"/>
              <w:rPr>
                <w:color w:val="auto"/>
                <w:szCs w:val="21"/>
                <w:highlight w:val="none"/>
              </w:rPr>
            </w:pPr>
            <w:r>
              <w:rPr>
                <w:rFonts w:hint="eastAsia" w:ascii="宋体" w:hAnsi="宋体" w:cs="宋体"/>
                <w:color w:val="auto"/>
                <w:szCs w:val="21"/>
                <w:highlight w:val="none"/>
              </w:rPr>
              <w:t>☑</w:t>
            </w:r>
            <w:r>
              <w:rPr>
                <w:color w:val="auto"/>
                <w:szCs w:val="21"/>
                <w:highlight w:val="none"/>
              </w:rPr>
              <w:t>不允许分包</w:t>
            </w:r>
          </w:p>
          <w:p w14:paraId="0FDB12F8">
            <w:pPr>
              <w:pStyle w:val="12"/>
              <w:spacing w:line="360" w:lineRule="auto"/>
              <w:jc w:val="both"/>
              <w:rPr>
                <w:color w:val="auto"/>
                <w:szCs w:val="21"/>
                <w:highlight w:val="none"/>
              </w:rPr>
            </w:pPr>
            <w:r>
              <w:rPr>
                <w:rFonts w:hint="eastAsia" w:ascii="宋体" w:hAnsi="宋体" w:cs="宋体"/>
                <w:color w:val="auto"/>
                <w:szCs w:val="21"/>
                <w:highlight w:val="none"/>
              </w:rPr>
              <w:t>□</w:t>
            </w:r>
            <w:r>
              <w:rPr>
                <w:color w:val="auto"/>
                <w:szCs w:val="21"/>
                <w:highlight w:val="none"/>
              </w:rPr>
              <w:t>允许分包</w:t>
            </w:r>
          </w:p>
          <w:p w14:paraId="1A8F3025">
            <w:pPr>
              <w:pStyle w:val="12"/>
              <w:spacing w:line="360" w:lineRule="auto"/>
              <w:jc w:val="both"/>
              <w:rPr>
                <w:color w:val="auto"/>
                <w:szCs w:val="21"/>
                <w:highlight w:val="none"/>
                <w:u w:val="single"/>
              </w:rPr>
            </w:pPr>
            <w:r>
              <w:rPr>
                <w:color w:val="auto"/>
                <w:szCs w:val="21"/>
                <w:highlight w:val="none"/>
              </w:rPr>
              <w:t>分包内容：</w:t>
            </w:r>
            <w:r>
              <w:rPr>
                <w:color w:val="auto"/>
                <w:szCs w:val="21"/>
                <w:highlight w:val="none"/>
                <w:u w:val="single"/>
              </w:rPr>
              <w:t xml:space="preserve">                                     。</w:t>
            </w:r>
          </w:p>
          <w:p w14:paraId="62DDCE43">
            <w:pPr>
              <w:pStyle w:val="12"/>
              <w:spacing w:line="360" w:lineRule="auto"/>
              <w:jc w:val="both"/>
              <w:rPr>
                <w:color w:val="auto"/>
                <w:szCs w:val="21"/>
                <w:highlight w:val="none"/>
              </w:rPr>
            </w:pPr>
            <w:r>
              <w:rPr>
                <w:color w:val="auto"/>
                <w:szCs w:val="21"/>
                <w:highlight w:val="none"/>
              </w:rPr>
              <w:t>分包金额或者比例：</w:t>
            </w:r>
            <w:r>
              <w:rPr>
                <w:color w:val="auto"/>
                <w:szCs w:val="21"/>
                <w:highlight w:val="none"/>
                <w:u w:val="single"/>
              </w:rPr>
              <w:t xml:space="preserve">                                     。</w:t>
            </w:r>
          </w:p>
        </w:tc>
      </w:tr>
      <w:tr w14:paraId="6A9F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40400C9">
            <w:pPr>
              <w:spacing w:line="360" w:lineRule="auto"/>
              <w:jc w:val="center"/>
              <w:rPr>
                <w:color w:val="auto"/>
                <w:szCs w:val="21"/>
                <w:highlight w:val="none"/>
              </w:rPr>
            </w:pPr>
            <w:r>
              <w:rPr>
                <w:color w:val="auto"/>
                <w:szCs w:val="21"/>
                <w:highlight w:val="none"/>
              </w:rPr>
              <w:t>12.1.1</w:t>
            </w:r>
          </w:p>
        </w:tc>
        <w:tc>
          <w:tcPr>
            <w:tcW w:w="2321" w:type="dxa"/>
            <w:vAlign w:val="center"/>
          </w:tcPr>
          <w:p w14:paraId="66F2DD44">
            <w:pPr>
              <w:snapToGrid w:val="0"/>
              <w:spacing w:line="360" w:lineRule="auto"/>
              <w:jc w:val="center"/>
              <w:rPr>
                <w:color w:val="auto"/>
                <w:szCs w:val="21"/>
                <w:highlight w:val="none"/>
              </w:rPr>
            </w:pPr>
            <w:r>
              <w:rPr>
                <w:b/>
                <w:color w:val="auto"/>
                <w:szCs w:val="21"/>
                <w:highlight w:val="none"/>
              </w:rPr>
              <w:t>资格证明文件组成</w:t>
            </w:r>
          </w:p>
        </w:tc>
        <w:tc>
          <w:tcPr>
            <w:tcW w:w="7080" w:type="dxa"/>
            <w:vAlign w:val="center"/>
          </w:tcPr>
          <w:p w14:paraId="1DE7713D">
            <w:pPr>
              <w:pStyle w:val="12"/>
              <w:spacing w:line="360" w:lineRule="auto"/>
              <w:rPr>
                <w:color w:val="auto"/>
                <w:szCs w:val="21"/>
                <w:highlight w:val="none"/>
              </w:rPr>
            </w:pPr>
            <w:r>
              <w:rPr>
                <w:rFonts w:hint="eastAsia"/>
                <w:color w:val="auto"/>
                <w:szCs w:val="21"/>
                <w:highlight w:val="none"/>
              </w:rPr>
              <w:t>1.</w:t>
            </w:r>
            <w:r>
              <w:rPr>
                <w:color w:val="auto"/>
                <w:szCs w:val="21"/>
                <w:highlight w:val="none"/>
              </w:rPr>
              <w:t>供应商法人或者其他组织的提供其营业执照等证明文件复印件（如营业执照或者事业单位法人证书或者执业许可证等），供应商为自然人的提供其有效身份证正反面复印件；（</w:t>
            </w:r>
            <w:r>
              <w:rPr>
                <w:b/>
                <w:color w:val="auto"/>
                <w:szCs w:val="21"/>
                <w:highlight w:val="none"/>
              </w:rPr>
              <w:t>必须提供，否则响应文件按无效响应处理</w:t>
            </w:r>
            <w:r>
              <w:rPr>
                <w:color w:val="auto"/>
                <w:szCs w:val="21"/>
                <w:highlight w:val="none"/>
              </w:rPr>
              <w:t>）</w:t>
            </w:r>
          </w:p>
          <w:p w14:paraId="389AA113">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供应商依法缴纳税收的相关材料（</w:t>
            </w:r>
            <w:r>
              <w:rPr>
                <w:rFonts w:hint="eastAsia" w:ascii="宋体" w:hAnsi="宋体" w:cs="宋体"/>
                <w:color w:val="auto"/>
                <w:szCs w:val="21"/>
                <w:highlight w:val="none"/>
              </w:rPr>
              <w:t>提供税款所属时期为</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4</w:t>
            </w:r>
            <w:r>
              <w:rPr>
                <w:rFonts w:hint="eastAsia" w:ascii="宋体" w:hAnsi="宋体" w:cs="宋体"/>
                <w:color w:val="auto"/>
                <w:szCs w:val="21"/>
                <w:highlight w:val="none"/>
              </w:rPr>
              <w:t>月至首次响应文件提交截止时间止的任意</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color w:val="auto"/>
                <w:szCs w:val="21"/>
                <w:highlight w:val="none"/>
              </w:rPr>
              <w:t>）；（</w:t>
            </w:r>
            <w:r>
              <w:rPr>
                <w:b/>
                <w:color w:val="auto"/>
                <w:szCs w:val="21"/>
                <w:highlight w:val="none"/>
              </w:rPr>
              <w:t>必须提供，否则响应文件按无效响应处理</w:t>
            </w:r>
            <w:r>
              <w:rPr>
                <w:color w:val="auto"/>
                <w:szCs w:val="21"/>
                <w:highlight w:val="none"/>
              </w:rPr>
              <w:t>）</w:t>
            </w:r>
          </w:p>
          <w:p w14:paraId="2B8E5D91">
            <w:pPr>
              <w:snapToGrid w:val="0"/>
              <w:spacing w:line="360" w:lineRule="auto"/>
              <w:jc w:val="left"/>
              <w:rPr>
                <w:color w:val="auto"/>
                <w:szCs w:val="21"/>
                <w:highlight w:val="none"/>
              </w:rPr>
            </w:pPr>
            <w:r>
              <w:rPr>
                <w:color w:val="auto"/>
                <w:szCs w:val="21"/>
                <w:highlight w:val="none"/>
              </w:rPr>
              <w:t>3.供应商依法缴纳社会保障资金的相关材料（</w:t>
            </w:r>
            <w:r>
              <w:rPr>
                <w:rFonts w:hint="eastAsia" w:ascii="宋体" w:hAnsi="宋体" w:cs="宋体"/>
                <w:color w:val="auto"/>
                <w:szCs w:val="21"/>
                <w:highlight w:val="none"/>
              </w:rPr>
              <w:t>提供税款所属时期或缴费起始时间为</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4</w:t>
            </w:r>
            <w:r>
              <w:rPr>
                <w:rFonts w:hint="eastAsia" w:ascii="宋体" w:hAnsi="宋体" w:cs="宋体"/>
                <w:color w:val="auto"/>
                <w:szCs w:val="21"/>
                <w:highlight w:val="none"/>
              </w:rPr>
              <w:t>月至首次响应文件提交截止时间止的任意</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color w:val="auto"/>
                <w:szCs w:val="21"/>
                <w:highlight w:val="none"/>
              </w:rPr>
              <w:t>）；（</w:t>
            </w:r>
            <w:r>
              <w:rPr>
                <w:b/>
                <w:color w:val="auto"/>
                <w:szCs w:val="21"/>
                <w:highlight w:val="none"/>
              </w:rPr>
              <w:t>必须提供，否则响应文件按无效响应处理</w:t>
            </w:r>
            <w:r>
              <w:rPr>
                <w:color w:val="auto"/>
                <w:szCs w:val="21"/>
                <w:highlight w:val="none"/>
              </w:rPr>
              <w:t>）</w:t>
            </w:r>
          </w:p>
          <w:p w14:paraId="6FCD4EE2">
            <w:pPr>
              <w:snapToGrid w:val="0"/>
              <w:spacing w:line="360" w:lineRule="auto"/>
              <w:jc w:val="left"/>
              <w:rPr>
                <w:b/>
                <w:color w:val="auto"/>
                <w:szCs w:val="21"/>
                <w:highlight w:val="none"/>
              </w:rPr>
            </w:pPr>
            <w:r>
              <w:rPr>
                <w:color w:val="auto"/>
                <w:szCs w:val="21"/>
                <w:highlight w:val="none"/>
              </w:rPr>
              <w:t>4.供应商财务状况报告（提供</w:t>
            </w:r>
            <w:r>
              <w:rPr>
                <w:rFonts w:hint="eastAsia"/>
                <w:color w:val="auto"/>
                <w:szCs w:val="21"/>
                <w:highlight w:val="none"/>
                <w:u w:val="single"/>
              </w:rPr>
              <w:t>2024年度</w:t>
            </w:r>
            <w:r>
              <w:rPr>
                <w:color w:val="auto"/>
                <w:szCs w:val="21"/>
                <w:highlight w:val="none"/>
              </w:rPr>
              <w:t>经审计的财务报告复印件或者截标时间前半年内至少一个月能反映财务状况的报表或者供应商自拟的截标时间前半年内至少一个月的财务情况说明）；</w:t>
            </w:r>
            <w:r>
              <w:rPr>
                <w:bCs/>
                <w:color w:val="auto"/>
                <w:szCs w:val="21"/>
                <w:highlight w:val="none"/>
              </w:rPr>
              <w:t>（</w:t>
            </w:r>
            <w:r>
              <w:rPr>
                <w:b/>
                <w:color w:val="auto"/>
                <w:szCs w:val="21"/>
                <w:highlight w:val="none"/>
              </w:rPr>
              <w:t>必须提供，否则响应文件按无效响应处理</w:t>
            </w:r>
            <w:r>
              <w:rPr>
                <w:bCs/>
                <w:color w:val="auto"/>
                <w:szCs w:val="21"/>
                <w:highlight w:val="none"/>
              </w:rPr>
              <w:t>）</w:t>
            </w:r>
          </w:p>
          <w:p w14:paraId="5E8D5A29">
            <w:pPr>
              <w:snapToGrid w:val="0"/>
              <w:spacing w:line="360" w:lineRule="auto"/>
              <w:jc w:val="left"/>
              <w:rPr>
                <w:color w:val="auto"/>
                <w:szCs w:val="21"/>
                <w:highlight w:val="none"/>
              </w:rPr>
            </w:pPr>
            <w:r>
              <w:rPr>
                <w:color w:val="auto"/>
                <w:szCs w:val="21"/>
                <w:highlight w:val="none"/>
              </w:rPr>
              <w:t>5.本项目的特定资格要求</w:t>
            </w:r>
            <w:r>
              <w:rPr>
                <w:rFonts w:hint="eastAsia" w:ascii="宋体" w:hAnsi="宋体"/>
                <w:color w:val="auto"/>
                <w:szCs w:val="21"/>
                <w:highlight w:val="none"/>
              </w:rPr>
              <w:t>设置供应商提供的资格证明材料</w:t>
            </w:r>
            <w:r>
              <w:rPr>
                <w:rFonts w:hint="eastAsia"/>
                <w:color w:val="auto"/>
                <w:szCs w:val="21"/>
                <w:highlight w:val="none"/>
              </w:rPr>
              <w:t>：</w:t>
            </w:r>
            <w:r>
              <w:rPr>
                <w:rFonts w:hint="eastAsia" w:ascii="宋体" w:hAnsi="宋体" w:cs="宋体"/>
                <w:color w:val="auto"/>
                <w:szCs w:val="21"/>
                <w:highlight w:val="none"/>
              </w:rPr>
              <w:t>具备建筑工程施工总承包三级（含）以上资质，具备有效的安全生产许可证，并在人员、设备、资金等方面具备相应的施工能力。其中，供应商拟派项目经理须具备建筑工程专业二级（含）以上注册建造师执业资格，具备有效的安全生产考核合格证书（B类）；本项目不接受有在建、已中标未开工或已列为其他项目中标候选人第一名的建造师作为项目经理（符合《广西壮族自治区建筑市场诚信卡管理暂行办法》第十六条第一款除外）</w:t>
            </w:r>
            <w:r>
              <w:rPr>
                <w:color w:val="auto"/>
                <w:szCs w:val="21"/>
                <w:highlight w:val="none"/>
              </w:rPr>
              <w:t>；（</w:t>
            </w:r>
            <w:r>
              <w:rPr>
                <w:b/>
                <w:color w:val="auto"/>
                <w:szCs w:val="21"/>
                <w:highlight w:val="none"/>
              </w:rPr>
              <w:t>必须提供，否则响应文件按无效响应处理</w:t>
            </w:r>
            <w:r>
              <w:rPr>
                <w:color w:val="auto"/>
                <w:szCs w:val="21"/>
                <w:highlight w:val="none"/>
              </w:rPr>
              <w:t>）</w:t>
            </w:r>
          </w:p>
          <w:p w14:paraId="052F1CE1">
            <w:pPr>
              <w:snapToGrid w:val="0"/>
              <w:spacing w:line="360" w:lineRule="auto"/>
              <w:jc w:val="left"/>
              <w:rPr>
                <w:color w:val="auto"/>
                <w:szCs w:val="21"/>
                <w:highlight w:val="none"/>
              </w:rPr>
            </w:pPr>
            <w:r>
              <w:rPr>
                <w:color w:val="auto"/>
                <w:szCs w:val="21"/>
                <w:highlight w:val="none"/>
              </w:rPr>
              <w:t>6.</w:t>
            </w:r>
            <w:r>
              <w:rPr>
                <w:rFonts w:hint="eastAsia"/>
                <w:color w:val="auto"/>
                <w:szCs w:val="21"/>
                <w:highlight w:val="none"/>
              </w:rPr>
              <w:t>声明函</w:t>
            </w:r>
            <w:r>
              <w:rPr>
                <w:color w:val="auto"/>
                <w:szCs w:val="21"/>
                <w:highlight w:val="none"/>
              </w:rPr>
              <w:t>（格式后附）；（</w:t>
            </w:r>
            <w:r>
              <w:rPr>
                <w:b/>
                <w:color w:val="auto"/>
                <w:szCs w:val="21"/>
                <w:highlight w:val="none"/>
              </w:rPr>
              <w:t>必须提供，否则响应文件按无效响应处理</w:t>
            </w:r>
            <w:r>
              <w:rPr>
                <w:color w:val="auto"/>
                <w:szCs w:val="21"/>
                <w:highlight w:val="none"/>
              </w:rPr>
              <w:t>）</w:t>
            </w:r>
          </w:p>
          <w:p w14:paraId="1835D98B">
            <w:pPr>
              <w:snapToGrid w:val="0"/>
              <w:spacing w:line="360" w:lineRule="auto"/>
              <w:jc w:val="left"/>
              <w:rPr>
                <w:color w:val="auto"/>
                <w:szCs w:val="21"/>
                <w:highlight w:val="none"/>
              </w:rPr>
            </w:pPr>
            <w:r>
              <w:rPr>
                <w:rFonts w:hint="eastAsia"/>
                <w:color w:val="auto"/>
                <w:szCs w:val="21"/>
                <w:highlight w:val="none"/>
              </w:rPr>
              <w:t>7</w:t>
            </w:r>
            <w:r>
              <w:rPr>
                <w:color w:val="auto"/>
                <w:szCs w:val="21"/>
                <w:highlight w:val="none"/>
              </w:rPr>
              <w:t>.联合体竞标协议书（格式后附）；（联合体竞标时必须提供，否则响应文件按无效响应处理）</w:t>
            </w:r>
          </w:p>
          <w:p w14:paraId="49164680">
            <w:pPr>
              <w:snapToGrid w:val="0"/>
              <w:spacing w:line="360" w:lineRule="auto"/>
              <w:jc w:val="left"/>
              <w:rPr>
                <w:color w:val="auto"/>
                <w:szCs w:val="21"/>
                <w:highlight w:val="none"/>
              </w:rPr>
            </w:pPr>
            <w:r>
              <w:rPr>
                <w:rFonts w:hint="eastAsia"/>
                <w:color w:val="auto"/>
                <w:szCs w:val="21"/>
                <w:highlight w:val="none"/>
              </w:rPr>
              <w:t>8</w:t>
            </w:r>
            <w:r>
              <w:rPr>
                <w:color w:val="auto"/>
                <w:szCs w:val="21"/>
                <w:highlight w:val="none"/>
              </w:rPr>
              <w:t>.除竞争性磋商文件规定必须提供以外，供应商认为需要提供的其他证明材料（格式自拟）</w:t>
            </w:r>
            <w:r>
              <w:rPr>
                <w:rFonts w:hint="eastAsia"/>
                <w:color w:val="auto"/>
                <w:szCs w:val="21"/>
                <w:highlight w:val="none"/>
              </w:rPr>
              <w:t>。</w:t>
            </w:r>
          </w:p>
          <w:p w14:paraId="33986253">
            <w:pPr>
              <w:pStyle w:val="12"/>
              <w:spacing w:line="360" w:lineRule="auto"/>
              <w:rPr>
                <w:b/>
                <w:color w:val="auto"/>
                <w:szCs w:val="21"/>
                <w:highlight w:val="none"/>
              </w:rPr>
            </w:pPr>
            <w:r>
              <w:rPr>
                <w:b/>
                <w:color w:val="auto"/>
                <w:szCs w:val="21"/>
                <w:highlight w:val="none"/>
              </w:rPr>
              <w:t>注：</w:t>
            </w:r>
          </w:p>
          <w:p w14:paraId="181769DF">
            <w:pPr>
              <w:pStyle w:val="12"/>
              <w:spacing w:line="360" w:lineRule="auto"/>
              <w:rPr>
                <w:b/>
                <w:color w:val="auto"/>
                <w:szCs w:val="21"/>
                <w:highlight w:val="none"/>
              </w:rPr>
            </w:pPr>
            <w:r>
              <w:rPr>
                <w:b/>
                <w:color w:val="auto"/>
                <w:szCs w:val="21"/>
                <w:highlight w:val="none"/>
              </w:rPr>
              <w:t>　　1.以上标明“必须提供”的材料属于复印件的，必须加盖</w:t>
            </w:r>
            <w:r>
              <w:rPr>
                <w:rFonts w:hint="eastAsia"/>
                <w:b/>
                <w:color w:val="auto"/>
                <w:szCs w:val="21"/>
                <w:highlight w:val="none"/>
              </w:rPr>
              <w:t>供应商公章</w:t>
            </w:r>
            <w:r>
              <w:rPr>
                <w:b/>
                <w:color w:val="auto"/>
                <w:szCs w:val="21"/>
                <w:highlight w:val="none"/>
              </w:rPr>
              <w:t>，否则响应文件按无效响应处理。</w:t>
            </w:r>
          </w:p>
          <w:p w14:paraId="13929731">
            <w:pPr>
              <w:pStyle w:val="12"/>
              <w:spacing w:line="360" w:lineRule="auto"/>
              <w:ind w:firstLine="422" w:firstLineChars="200"/>
              <w:rPr>
                <w:b/>
                <w:color w:val="auto"/>
                <w:szCs w:val="21"/>
                <w:highlight w:val="none"/>
              </w:rPr>
            </w:pPr>
            <w:r>
              <w:rPr>
                <w:b/>
                <w:color w:val="auto"/>
                <w:szCs w:val="21"/>
                <w:highlight w:val="none"/>
              </w:rPr>
              <w:t>2.联合体竞标时，第1-5项资格证明文件联合体各方均必须分别提供，联合体各方分别盖章，否则响应文件按无效响应处理。</w:t>
            </w:r>
          </w:p>
        </w:tc>
      </w:tr>
      <w:tr w14:paraId="6D09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778ECE47">
            <w:pPr>
              <w:spacing w:line="360" w:lineRule="auto"/>
              <w:jc w:val="center"/>
              <w:rPr>
                <w:color w:val="auto"/>
                <w:szCs w:val="21"/>
                <w:highlight w:val="none"/>
              </w:rPr>
            </w:pPr>
            <w:r>
              <w:rPr>
                <w:color w:val="auto"/>
                <w:szCs w:val="21"/>
                <w:highlight w:val="none"/>
              </w:rPr>
              <w:t>12.1.2</w:t>
            </w:r>
          </w:p>
        </w:tc>
        <w:tc>
          <w:tcPr>
            <w:tcW w:w="2321" w:type="dxa"/>
            <w:vAlign w:val="center"/>
          </w:tcPr>
          <w:p w14:paraId="640A221C">
            <w:pPr>
              <w:spacing w:line="360" w:lineRule="auto"/>
              <w:jc w:val="center"/>
              <w:rPr>
                <w:b/>
                <w:bCs/>
                <w:color w:val="auto"/>
                <w:szCs w:val="21"/>
                <w:highlight w:val="none"/>
              </w:rPr>
            </w:pPr>
            <w:r>
              <w:rPr>
                <w:b/>
                <w:bCs/>
                <w:color w:val="auto"/>
                <w:szCs w:val="21"/>
                <w:highlight w:val="none"/>
              </w:rPr>
              <w:t>商务文件组成</w:t>
            </w:r>
          </w:p>
        </w:tc>
        <w:tc>
          <w:tcPr>
            <w:tcW w:w="7080" w:type="dxa"/>
            <w:vAlign w:val="center"/>
          </w:tcPr>
          <w:p w14:paraId="2DB3E03A">
            <w:pPr>
              <w:spacing w:line="360" w:lineRule="auto"/>
              <w:rPr>
                <w:color w:val="auto"/>
                <w:szCs w:val="21"/>
                <w:highlight w:val="none"/>
              </w:rPr>
            </w:pPr>
            <w:r>
              <w:rPr>
                <w:color w:val="auto"/>
                <w:szCs w:val="21"/>
                <w:highlight w:val="none"/>
              </w:rPr>
              <w:t>1.无串通竞标行为的承诺函（格式后附）；（</w:t>
            </w:r>
            <w:r>
              <w:rPr>
                <w:b/>
                <w:color w:val="auto"/>
                <w:szCs w:val="21"/>
                <w:highlight w:val="none"/>
              </w:rPr>
              <w:t>必须提供，否则响应文件按无效响应处理</w:t>
            </w:r>
            <w:r>
              <w:rPr>
                <w:color w:val="auto"/>
                <w:szCs w:val="21"/>
                <w:highlight w:val="none"/>
              </w:rPr>
              <w:t>）</w:t>
            </w:r>
          </w:p>
          <w:p w14:paraId="5D316B9C">
            <w:pPr>
              <w:snapToGrid w:val="0"/>
              <w:spacing w:line="360" w:lineRule="auto"/>
              <w:jc w:val="left"/>
              <w:rPr>
                <w:color w:val="auto"/>
                <w:szCs w:val="21"/>
                <w:highlight w:val="none"/>
              </w:rPr>
            </w:pPr>
            <w:r>
              <w:rPr>
                <w:color w:val="auto"/>
                <w:szCs w:val="21"/>
                <w:highlight w:val="none"/>
              </w:rPr>
              <w:t>2.法定代表人身份证明及法定代表人有效身份证正反面复印件（格式后附）；（</w:t>
            </w:r>
            <w:r>
              <w:rPr>
                <w:b/>
                <w:bCs/>
                <w:color w:val="auto"/>
                <w:szCs w:val="21"/>
                <w:highlight w:val="none"/>
              </w:rPr>
              <w:t>除自然人竞标外</w:t>
            </w:r>
            <w:r>
              <w:rPr>
                <w:b/>
                <w:color w:val="auto"/>
                <w:szCs w:val="21"/>
                <w:highlight w:val="none"/>
              </w:rPr>
              <w:t>必须提供，否则响应文件按无效响应处理</w:t>
            </w:r>
            <w:r>
              <w:rPr>
                <w:color w:val="auto"/>
                <w:szCs w:val="21"/>
                <w:highlight w:val="none"/>
              </w:rPr>
              <w:t>）</w:t>
            </w:r>
          </w:p>
          <w:p w14:paraId="6E935E75">
            <w:pPr>
              <w:spacing w:line="360" w:lineRule="auto"/>
              <w:rPr>
                <w:color w:val="auto"/>
                <w:szCs w:val="21"/>
                <w:highlight w:val="none"/>
              </w:rPr>
            </w:pPr>
            <w:r>
              <w:rPr>
                <w:color w:val="auto"/>
                <w:szCs w:val="21"/>
                <w:highlight w:val="none"/>
              </w:rPr>
              <w:t>3.法定代表人授权委托书及委托代理人有效身份证正反面复印件（格式后附）；（</w:t>
            </w:r>
            <w:r>
              <w:rPr>
                <w:b/>
                <w:color w:val="auto"/>
                <w:szCs w:val="21"/>
                <w:highlight w:val="none"/>
              </w:rPr>
              <w:t>委托时必须提供，否则响应文件按无效响应处理</w:t>
            </w:r>
            <w:r>
              <w:rPr>
                <w:color w:val="auto"/>
                <w:szCs w:val="21"/>
                <w:highlight w:val="none"/>
              </w:rPr>
              <w:t>）</w:t>
            </w:r>
          </w:p>
          <w:p w14:paraId="7278207F">
            <w:pPr>
              <w:spacing w:line="360" w:lineRule="auto"/>
              <w:rPr>
                <w:color w:val="auto"/>
                <w:szCs w:val="21"/>
                <w:highlight w:val="none"/>
              </w:rPr>
            </w:pPr>
            <w:r>
              <w:rPr>
                <w:color w:val="auto"/>
                <w:szCs w:val="21"/>
                <w:highlight w:val="none"/>
              </w:rPr>
              <w:t>4.磋商保证金提交凭证；（</w:t>
            </w:r>
            <w:r>
              <w:rPr>
                <w:b/>
                <w:color w:val="auto"/>
                <w:szCs w:val="21"/>
                <w:highlight w:val="none"/>
              </w:rPr>
              <w:t>必须提供，否则响应文件按无效响应处理</w:t>
            </w:r>
            <w:r>
              <w:rPr>
                <w:color w:val="auto"/>
                <w:szCs w:val="21"/>
                <w:highlight w:val="none"/>
              </w:rPr>
              <w:t>）</w:t>
            </w:r>
          </w:p>
          <w:p w14:paraId="42E7FB78">
            <w:pPr>
              <w:spacing w:line="360" w:lineRule="auto"/>
              <w:rPr>
                <w:color w:val="auto"/>
                <w:szCs w:val="21"/>
                <w:highlight w:val="none"/>
              </w:rPr>
            </w:pPr>
            <w:r>
              <w:rPr>
                <w:color w:val="auto"/>
                <w:szCs w:val="21"/>
                <w:highlight w:val="none"/>
              </w:rPr>
              <w:t>5.商务条款偏离表（格式后附）；（</w:t>
            </w:r>
            <w:r>
              <w:rPr>
                <w:b/>
                <w:color w:val="auto"/>
                <w:szCs w:val="21"/>
                <w:highlight w:val="none"/>
              </w:rPr>
              <w:t>必须提供，否则响应文件按无效响应处理</w:t>
            </w:r>
            <w:r>
              <w:rPr>
                <w:color w:val="auto"/>
                <w:szCs w:val="21"/>
                <w:highlight w:val="none"/>
              </w:rPr>
              <w:t>）</w:t>
            </w:r>
          </w:p>
          <w:p w14:paraId="1528204D">
            <w:pPr>
              <w:spacing w:line="360" w:lineRule="auto"/>
              <w:rPr>
                <w:color w:val="auto"/>
                <w:szCs w:val="21"/>
                <w:highlight w:val="none"/>
              </w:rPr>
            </w:pPr>
            <w:r>
              <w:rPr>
                <w:color w:val="auto"/>
                <w:szCs w:val="21"/>
                <w:highlight w:val="none"/>
              </w:rPr>
              <w:t>6.建设工程项目管理承诺书（格式后附）；（</w:t>
            </w:r>
            <w:r>
              <w:rPr>
                <w:b/>
                <w:color w:val="auto"/>
                <w:szCs w:val="21"/>
                <w:highlight w:val="none"/>
              </w:rPr>
              <w:t>必须提供，否则响应文件按无效响应处理</w:t>
            </w:r>
            <w:r>
              <w:rPr>
                <w:color w:val="auto"/>
                <w:szCs w:val="21"/>
                <w:highlight w:val="none"/>
              </w:rPr>
              <w:t>）</w:t>
            </w:r>
          </w:p>
          <w:p w14:paraId="3DAD68BA">
            <w:pPr>
              <w:spacing w:line="360" w:lineRule="auto"/>
              <w:rPr>
                <w:color w:val="auto"/>
                <w:szCs w:val="21"/>
                <w:highlight w:val="none"/>
              </w:rPr>
            </w:pPr>
            <w:r>
              <w:rPr>
                <w:color w:val="auto"/>
                <w:szCs w:val="21"/>
                <w:highlight w:val="none"/>
              </w:rPr>
              <w:t>7.供应商情况介绍（格式自拟）；</w:t>
            </w:r>
          </w:p>
          <w:p w14:paraId="71F2A251">
            <w:pPr>
              <w:spacing w:line="360" w:lineRule="auto"/>
              <w:rPr>
                <w:color w:val="auto"/>
                <w:szCs w:val="21"/>
                <w:highlight w:val="none"/>
              </w:rPr>
            </w:pPr>
            <w:r>
              <w:rPr>
                <w:color w:val="auto"/>
                <w:szCs w:val="21"/>
                <w:highlight w:val="none"/>
              </w:rPr>
              <w:t>8.对应采购需求的商务条款提供的其他文件资料（格式自拟）；</w:t>
            </w:r>
          </w:p>
          <w:p w14:paraId="717D9792">
            <w:pPr>
              <w:spacing w:line="360" w:lineRule="auto"/>
              <w:rPr>
                <w:color w:val="auto"/>
                <w:szCs w:val="21"/>
                <w:highlight w:val="none"/>
              </w:rPr>
            </w:pPr>
            <w:r>
              <w:rPr>
                <w:color w:val="auto"/>
                <w:szCs w:val="21"/>
                <w:highlight w:val="none"/>
              </w:rPr>
              <w:t>9.供应商认为需要提供的其他有关资料（格式自拟）。</w:t>
            </w:r>
          </w:p>
          <w:p w14:paraId="765215B8">
            <w:pPr>
              <w:snapToGrid w:val="0"/>
              <w:spacing w:line="360" w:lineRule="auto"/>
              <w:jc w:val="left"/>
              <w:rPr>
                <w:b/>
                <w:color w:val="auto"/>
                <w:szCs w:val="21"/>
                <w:highlight w:val="none"/>
              </w:rPr>
            </w:pPr>
            <w:r>
              <w:rPr>
                <w:b/>
                <w:color w:val="auto"/>
                <w:szCs w:val="21"/>
                <w:highlight w:val="none"/>
              </w:rPr>
              <w:t xml:space="preserve">注： </w:t>
            </w:r>
          </w:p>
          <w:p w14:paraId="327D2B97">
            <w:pPr>
              <w:snapToGrid w:val="0"/>
              <w:spacing w:line="360" w:lineRule="auto"/>
              <w:ind w:firstLine="413" w:firstLineChars="196"/>
              <w:jc w:val="left"/>
              <w:rPr>
                <w:b/>
                <w:color w:val="auto"/>
                <w:szCs w:val="21"/>
                <w:highlight w:val="none"/>
              </w:rPr>
            </w:pPr>
            <w:r>
              <w:rPr>
                <w:b/>
                <w:color w:val="auto"/>
                <w:szCs w:val="21"/>
                <w:highlight w:val="none"/>
              </w:rPr>
              <w:t>1.法定代表人授权委托书必须由法定代表人及其委托代理人签字，并加盖供应商公章，否则响应文件按无效响应处理。</w:t>
            </w:r>
          </w:p>
          <w:p w14:paraId="06024F2C">
            <w:pPr>
              <w:spacing w:line="360" w:lineRule="auto"/>
              <w:ind w:firstLine="413" w:firstLineChars="196"/>
              <w:rPr>
                <w:b/>
                <w:color w:val="auto"/>
                <w:szCs w:val="21"/>
                <w:highlight w:val="none"/>
              </w:rPr>
            </w:pPr>
            <w:r>
              <w:rPr>
                <w:b/>
                <w:color w:val="auto"/>
                <w:szCs w:val="21"/>
                <w:highlight w:val="none"/>
              </w:rPr>
              <w:t>2.以上标明“必须提供”的材料属于复印件的，必须加盖</w:t>
            </w:r>
            <w:r>
              <w:rPr>
                <w:rFonts w:hint="eastAsia"/>
                <w:b/>
                <w:color w:val="auto"/>
                <w:szCs w:val="21"/>
                <w:highlight w:val="none"/>
              </w:rPr>
              <w:t>供应商公章</w:t>
            </w:r>
            <w:r>
              <w:rPr>
                <w:b/>
                <w:color w:val="auto"/>
                <w:szCs w:val="21"/>
                <w:highlight w:val="none"/>
              </w:rPr>
              <w:t>，否则响应文件按无效响应处理。</w:t>
            </w:r>
          </w:p>
        </w:tc>
      </w:tr>
      <w:tr w14:paraId="14C78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963" w:type="dxa"/>
            <w:vMerge w:val="continue"/>
            <w:vAlign w:val="center"/>
          </w:tcPr>
          <w:p w14:paraId="14C93F5D">
            <w:pPr>
              <w:spacing w:line="360" w:lineRule="auto"/>
              <w:jc w:val="center"/>
              <w:rPr>
                <w:color w:val="auto"/>
                <w:szCs w:val="21"/>
                <w:highlight w:val="none"/>
              </w:rPr>
            </w:pPr>
          </w:p>
        </w:tc>
        <w:tc>
          <w:tcPr>
            <w:tcW w:w="2321" w:type="dxa"/>
            <w:vAlign w:val="center"/>
          </w:tcPr>
          <w:p w14:paraId="4CAF018B">
            <w:pPr>
              <w:spacing w:line="360" w:lineRule="auto"/>
              <w:jc w:val="center"/>
              <w:rPr>
                <w:b/>
                <w:bCs/>
                <w:color w:val="auto"/>
                <w:szCs w:val="21"/>
                <w:highlight w:val="none"/>
              </w:rPr>
            </w:pPr>
            <w:r>
              <w:rPr>
                <w:b/>
                <w:bCs/>
                <w:color w:val="auto"/>
                <w:szCs w:val="21"/>
                <w:highlight w:val="none"/>
              </w:rPr>
              <w:t>技术文件组成</w:t>
            </w:r>
          </w:p>
        </w:tc>
        <w:tc>
          <w:tcPr>
            <w:tcW w:w="7080" w:type="dxa"/>
            <w:vAlign w:val="center"/>
          </w:tcPr>
          <w:p w14:paraId="640BED81">
            <w:pPr>
              <w:spacing w:line="360" w:lineRule="auto"/>
              <w:rPr>
                <w:color w:val="auto"/>
                <w:szCs w:val="21"/>
                <w:highlight w:val="none"/>
              </w:rPr>
            </w:pPr>
            <w:r>
              <w:rPr>
                <w:color w:val="auto"/>
                <w:szCs w:val="21"/>
                <w:highlight w:val="none"/>
              </w:rPr>
              <w:t>1.</w:t>
            </w:r>
            <w:r>
              <w:rPr>
                <w:rFonts w:hint="eastAsia" w:ascii="宋体" w:hAnsi="宋体" w:cs="宋体"/>
                <w:color w:val="auto"/>
                <w:szCs w:val="21"/>
                <w:highlight w:val="none"/>
              </w:rPr>
              <w:t>技术</w:t>
            </w:r>
            <w:r>
              <w:rPr>
                <w:color w:val="auto"/>
                <w:szCs w:val="21"/>
                <w:highlight w:val="none"/>
              </w:rPr>
              <w:t>需求偏离表（格式后附）；（</w:t>
            </w:r>
            <w:r>
              <w:rPr>
                <w:b/>
                <w:color w:val="auto"/>
                <w:szCs w:val="21"/>
                <w:highlight w:val="none"/>
              </w:rPr>
              <w:t>必须提供，否则响应文件按无效响应处理</w:t>
            </w:r>
            <w:r>
              <w:rPr>
                <w:color w:val="auto"/>
                <w:szCs w:val="21"/>
                <w:highlight w:val="none"/>
              </w:rPr>
              <w:t>）</w:t>
            </w:r>
          </w:p>
          <w:p w14:paraId="4F98C81D">
            <w:pPr>
              <w:spacing w:line="360" w:lineRule="auto"/>
              <w:rPr>
                <w:color w:val="auto"/>
                <w:szCs w:val="21"/>
                <w:highlight w:val="none"/>
              </w:rPr>
            </w:pPr>
            <w:r>
              <w:rPr>
                <w:color w:val="auto"/>
                <w:szCs w:val="21"/>
                <w:highlight w:val="none"/>
              </w:rPr>
              <w:t>2.</w:t>
            </w:r>
            <w:r>
              <w:rPr>
                <w:rFonts w:hint="eastAsia"/>
                <w:color w:val="auto"/>
                <w:szCs w:val="21"/>
                <w:highlight w:val="none"/>
              </w:rPr>
              <w:t>施工组织设计</w:t>
            </w:r>
            <w:r>
              <w:rPr>
                <w:rFonts w:hint="eastAsia" w:ascii="宋体" w:hAnsi="宋体" w:cs="宋体"/>
                <w:color w:val="auto"/>
                <w:szCs w:val="21"/>
                <w:highlight w:val="none"/>
              </w:rPr>
              <w:t>（格式自拟）</w:t>
            </w:r>
            <w:r>
              <w:rPr>
                <w:color w:val="auto"/>
                <w:szCs w:val="21"/>
                <w:highlight w:val="none"/>
              </w:rPr>
              <w:t>；</w:t>
            </w:r>
          </w:p>
          <w:p w14:paraId="7B3AEB33">
            <w:pPr>
              <w:spacing w:line="360" w:lineRule="auto"/>
              <w:rPr>
                <w:color w:val="auto"/>
                <w:szCs w:val="21"/>
                <w:highlight w:val="none"/>
              </w:rPr>
            </w:pPr>
            <w:r>
              <w:rPr>
                <w:color w:val="auto"/>
                <w:highlight w:val="none"/>
              </w:rPr>
              <w:t>3.</w:t>
            </w:r>
            <w:r>
              <w:rPr>
                <w:color w:val="auto"/>
                <w:szCs w:val="21"/>
                <w:highlight w:val="none"/>
              </w:rPr>
              <w:t xml:space="preserve">项目实施人员一览表（格式后附）； </w:t>
            </w:r>
          </w:p>
          <w:p w14:paraId="030D3371">
            <w:pPr>
              <w:spacing w:line="360" w:lineRule="auto"/>
              <w:rPr>
                <w:color w:val="auto"/>
                <w:szCs w:val="21"/>
                <w:highlight w:val="none"/>
              </w:rPr>
            </w:pPr>
            <w:r>
              <w:rPr>
                <w:rFonts w:hint="eastAsia"/>
                <w:color w:val="auto"/>
                <w:szCs w:val="21"/>
                <w:highlight w:val="none"/>
              </w:rPr>
              <w:t>4</w:t>
            </w:r>
            <w:r>
              <w:rPr>
                <w:color w:val="auto"/>
                <w:szCs w:val="21"/>
                <w:highlight w:val="none"/>
              </w:rPr>
              <w:t>.对应采购需求的服务需求提供的其他文件资料（格式自拟）；</w:t>
            </w:r>
          </w:p>
          <w:p w14:paraId="7D76CE9D">
            <w:pPr>
              <w:spacing w:line="360" w:lineRule="auto"/>
              <w:rPr>
                <w:color w:val="auto"/>
                <w:szCs w:val="21"/>
                <w:highlight w:val="none"/>
              </w:rPr>
            </w:pPr>
            <w:r>
              <w:rPr>
                <w:rFonts w:hint="eastAsia"/>
                <w:color w:val="auto"/>
                <w:szCs w:val="21"/>
                <w:highlight w:val="none"/>
              </w:rPr>
              <w:t>5</w:t>
            </w:r>
            <w:r>
              <w:rPr>
                <w:color w:val="auto"/>
                <w:szCs w:val="21"/>
                <w:highlight w:val="none"/>
              </w:rPr>
              <w:t>.供应商认为需要提供的其他有关资料（格式自拟）。</w:t>
            </w:r>
          </w:p>
          <w:p w14:paraId="4A3657D9">
            <w:pPr>
              <w:spacing w:line="360" w:lineRule="auto"/>
              <w:rPr>
                <w:b/>
                <w:color w:val="auto"/>
                <w:szCs w:val="21"/>
                <w:highlight w:val="none"/>
              </w:rPr>
            </w:pPr>
            <w:r>
              <w:rPr>
                <w:b/>
                <w:color w:val="auto"/>
                <w:szCs w:val="21"/>
                <w:highlight w:val="none"/>
              </w:rPr>
              <w:t>注：以上标明“必须提供”的材料属于复印件的，必须加盖供应商公章，否则响应文件按无效响应处理。</w:t>
            </w:r>
          </w:p>
        </w:tc>
      </w:tr>
      <w:tr w14:paraId="65000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9C153E5">
            <w:pPr>
              <w:spacing w:line="360" w:lineRule="auto"/>
              <w:jc w:val="center"/>
              <w:rPr>
                <w:color w:val="auto"/>
                <w:szCs w:val="21"/>
                <w:highlight w:val="none"/>
              </w:rPr>
            </w:pPr>
            <w:r>
              <w:rPr>
                <w:color w:val="auto"/>
                <w:szCs w:val="21"/>
                <w:highlight w:val="none"/>
              </w:rPr>
              <w:t>12.1.</w:t>
            </w:r>
            <w:r>
              <w:rPr>
                <w:rFonts w:hint="eastAsia"/>
                <w:color w:val="auto"/>
                <w:szCs w:val="21"/>
                <w:highlight w:val="none"/>
              </w:rPr>
              <w:t>3</w:t>
            </w:r>
          </w:p>
        </w:tc>
        <w:tc>
          <w:tcPr>
            <w:tcW w:w="2321" w:type="dxa"/>
            <w:vAlign w:val="center"/>
          </w:tcPr>
          <w:p w14:paraId="16EFDE25">
            <w:pPr>
              <w:spacing w:line="360" w:lineRule="auto"/>
              <w:jc w:val="center"/>
              <w:rPr>
                <w:color w:val="auto"/>
                <w:szCs w:val="21"/>
                <w:highlight w:val="none"/>
              </w:rPr>
            </w:pPr>
            <w:r>
              <w:rPr>
                <w:b/>
                <w:bCs/>
                <w:color w:val="auto"/>
                <w:szCs w:val="21"/>
                <w:highlight w:val="none"/>
              </w:rPr>
              <w:t>报价文件组成</w:t>
            </w:r>
          </w:p>
        </w:tc>
        <w:tc>
          <w:tcPr>
            <w:tcW w:w="7080" w:type="dxa"/>
            <w:vAlign w:val="center"/>
          </w:tcPr>
          <w:p w14:paraId="3D9CF855">
            <w:pPr>
              <w:spacing w:line="360" w:lineRule="auto"/>
              <w:jc w:val="left"/>
              <w:rPr>
                <w:color w:val="auto"/>
                <w:highlight w:val="none"/>
              </w:rPr>
            </w:pPr>
            <w:r>
              <w:rPr>
                <w:color w:val="auto"/>
                <w:highlight w:val="none"/>
              </w:rPr>
              <w:t>1.响应函（格式后附）；（</w:t>
            </w:r>
            <w:r>
              <w:rPr>
                <w:b/>
                <w:bCs/>
                <w:color w:val="auto"/>
                <w:highlight w:val="none"/>
              </w:rPr>
              <w:t>必须提供</w:t>
            </w:r>
            <w:r>
              <w:rPr>
                <w:rFonts w:hint="eastAsia"/>
                <w:b/>
                <w:bCs/>
                <w:color w:val="auto"/>
                <w:highlight w:val="none"/>
              </w:rPr>
              <w:t>并加盖供应商公章</w:t>
            </w:r>
            <w:r>
              <w:rPr>
                <w:b/>
                <w:bCs/>
                <w:color w:val="auto"/>
                <w:highlight w:val="none"/>
              </w:rPr>
              <w:t>，否则响应文件按无效响应处理</w:t>
            </w:r>
            <w:r>
              <w:rPr>
                <w:color w:val="auto"/>
                <w:highlight w:val="none"/>
              </w:rPr>
              <w:t>）</w:t>
            </w:r>
          </w:p>
          <w:p w14:paraId="0EECCBCB">
            <w:pPr>
              <w:spacing w:line="360" w:lineRule="auto"/>
              <w:rPr>
                <w:color w:val="auto"/>
                <w:highlight w:val="none"/>
              </w:rPr>
            </w:pPr>
            <w:r>
              <w:rPr>
                <w:color w:val="auto"/>
                <w:highlight w:val="none"/>
              </w:rPr>
              <w:t>2.响应报价表（格式后附）；（</w:t>
            </w:r>
            <w:r>
              <w:rPr>
                <w:b/>
                <w:bCs/>
                <w:color w:val="auto"/>
                <w:highlight w:val="none"/>
              </w:rPr>
              <w:t>必须提供</w:t>
            </w:r>
            <w:r>
              <w:rPr>
                <w:rFonts w:hint="eastAsia"/>
                <w:b/>
                <w:bCs/>
                <w:color w:val="auto"/>
                <w:highlight w:val="none"/>
              </w:rPr>
              <w:t>并加盖供应商公章</w:t>
            </w:r>
            <w:r>
              <w:rPr>
                <w:b/>
                <w:bCs/>
                <w:color w:val="auto"/>
                <w:highlight w:val="none"/>
              </w:rPr>
              <w:t>，否则响应文件按无效响应处理</w:t>
            </w:r>
            <w:r>
              <w:rPr>
                <w:color w:val="auto"/>
                <w:highlight w:val="none"/>
              </w:rPr>
              <w:t>）</w:t>
            </w:r>
          </w:p>
          <w:p w14:paraId="1F3B9756">
            <w:pPr>
              <w:spacing w:line="360" w:lineRule="auto"/>
              <w:rPr>
                <w:color w:val="auto"/>
                <w:highlight w:val="none"/>
              </w:rPr>
            </w:pPr>
            <w:r>
              <w:rPr>
                <w:color w:val="auto"/>
                <w:highlight w:val="none"/>
              </w:rPr>
              <w:t>3.已标价工程量清单；（</w:t>
            </w:r>
            <w:r>
              <w:rPr>
                <w:b/>
                <w:bCs/>
                <w:color w:val="auto"/>
                <w:highlight w:val="none"/>
              </w:rPr>
              <w:t>必须提供</w:t>
            </w:r>
            <w:r>
              <w:rPr>
                <w:rFonts w:hint="eastAsia"/>
                <w:b/>
                <w:bCs/>
                <w:color w:val="auto"/>
                <w:highlight w:val="none"/>
              </w:rPr>
              <w:t>并加盖供应商公章</w:t>
            </w:r>
            <w:r>
              <w:rPr>
                <w:b/>
                <w:bCs/>
                <w:color w:val="auto"/>
                <w:highlight w:val="none"/>
              </w:rPr>
              <w:t>，否则响应文件按无效响应处理</w:t>
            </w:r>
            <w:r>
              <w:rPr>
                <w:color w:val="auto"/>
                <w:highlight w:val="none"/>
              </w:rPr>
              <w:t>）</w:t>
            </w:r>
          </w:p>
          <w:p w14:paraId="4B844D9B">
            <w:pPr>
              <w:snapToGrid w:val="0"/>
              <w:spacing w:line="360" w:lineRule="auto"/>
              <w:jc w:val="left"/>
              <w:rPr>
                <w:color w:val="auto"/>
                <w:szCs w:val="21"/>
                <w:highlight w:val="none"/>
              </w:rPr>
            </w:pPr>
            <w:r>
              <w:rPr>
                <w:rFonts w:hint="eastAsia"/>
                <w:color w:val="auto"/>
                <w:szCs w:val="21"/>
                <w:highlight w:val="none"/>
              </w:rPr>
              <w:t>4.</w:t>
            </w:r>
            <w:r>
              <w:rPr>
                <w:color w:val="auto"/>
                <w:szCs w:val="21"/>
                <w:highlight w:val="none"/>
              </w:rPr>
              <w:t>中小企业声明函或者残疾人福利性单位声明函或者供应商属于监狱企业的证明材料（格式后附）</w:t>
            </w:r>
            <w:r>
              <w:rPr>
                <w:rFonts w:hint="eastAsia"/>
                <w:color w:val="auto"/>
                <w:szCs w:val="21"/>
                <w:highlight w:val="none"/>
              </w:rPr>
              <w:t>；</w:t>
            </w:r>
            <w:r>
              <w:rPr>
                <w:color w:val="auto"/>
                <w:szCs w:val="21"/>
                <w:highlight w:val="none"/>
              </w:rPr>
              <w:t>（</w:t>
            </w:r>
            <w:r>
              <w:rPr>
                <w:rFonts w:hint="eastAsia" w:ascii="宋体" w:hAnsi="宋体" w:cs="宋体"/>
                <w:b/>
                <w:bCs/>
                <w:color w:val="auto"/>
                <w:szCs w:val="21"/>
                <w:highlight w:val="none"/>
              </w:rPr>
              <w:t>如有请</w:t>
            </w:r>
            <w:r>
              <w:rPr>
                <w:b/>
                <w:color w:val="auto"/>
                <w:szCs w:val="21"/>
                <w:highlight w:val="none"/>
              </w:rPr>
              <w:t>提供</w:t>
            </w:r>
            <w:r>
              <w:rPr>
                <w:color w:val="auto"/>
                <w:szCs w:val="21"/>
                <w:highlight w:val="none"/>
              </w:rPr>
              <w:t>）</w:t>
            </w:r>
          </w:p>
          <w:p w14:paraId="76325D06">
            <w:pPr>
              <w:pStyle w:val="37"/>
              <w:rPr>
                <w:color w:val="auto"/>
                <w:highlight w:val="none"/>
              </w:rPr>
            </w:pPr>
          </w:p>
        </w:tc>
      </w:tr>
      <w:tr w14:paraId="487BD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452B353">
            <w:pPr>
              <w:spacing w:line="360" w:lineRule="auto"/>
              <w:jc w:val="center"/>
              <w:rPr>
                <w:color w:val="auto"/>
                <w:szCs w:val="21"/>
                <w:highlight w:val="none"/>
              </w:rPr>
            </w:pPr>
            <w:r>
              <w:rPr>
                <w:color w:val="auto"/>
                <w:szCs w:val="21"/>
                <w:highlight w:val="none"/>
              </w:rPr>
              <w:t>12.2</w:t>
            </w:r>
          </w:p>
        </w:tc>
        <w:tc>
          <w:tcPr>
            <w:tcW w:w="2321" w:type="dxa"/>
            <w:vAlign w:val="center"/>
          </w:tcPr>
          <w:p w14:paraId="40399700">
            <w:pPr>
              <w:spacing w:line="360" w:lineRule="auto"/>
              <w:jc w:val="center"/>
              <w:rPr>
                <w:color w:val="auto"/>
                <w:szCs w:val="21"/>
                <w:highlight w:val="none"/>
              </w:rPr>
            </w:pPr>
            <w:r>
              <w:rPr>
                <w:color w:val="auto"/>
                <w:szCs w:val="21"/>
                <w:highlight w:val="none"/>
              </w:rPr>
              <w:t>响应文件电子版要求</w:t>
            </w:r>
          </w:p>
        </w:tc>
        <w:tc>
          <w:tcPr>
            <w:tcW w:w="7080" w:type="dxa"/>
            <w:vAlign w:val="center"/>
          </w:tcPr>
          <w:p w14:paraId="7B79D076">
            <w:pPr>
              <w:snapToGrid w:val="0"/>
              <w:spacing w:line="360" w:lineRule="auto"/>
              <w:jc w:val="left"/>
              <w:rPr>
                <w:color w:val="auto"/>
                <w:szCs w:val="21"/>
                <w:highlight w:val="none"/>
              </w:rPr>
            </w:pPr>
            <w:r>
              <w:rPr>
                <w:color w:val="auto"/>
                <w:szCs w:val="21"/>
                <w:highlight w:val="none"/>
              </w:rPr>
              <w:t>1.响应文件电子版要求：按照本采购文件“第五章 响应文件格式”编写（第五章未附格式的，由供应商自行拟定），并在规定加盖公章处加盖公章，</w:t>
            </w:r>
            <w:r>
              <w:rPr>
                <w:b/>
                <w:color w:val="auto"/>
                <w:szCs w:val="21"/>
                <w:highlight w:val="none"/>
              </w:rPr>
              <w:t>否则响应文件按无效响应处理</w:t>
            </w:r>
            <w:r>
              <w:rPr>
                <w:color w:val="auto"/>
                <w:szCs w:val="21"/>
                <w:highlight w:val="none"/>
              </w:rPr>
              <w:t>。</w:t>
            </w:r>
          </w:p>
          <w:p w14:paraId="3192E425">
            <w:pPr>
              <w:snapToGrid w:val="0"/>
              <w:spacing w:line="360" w:lineRule="auto"/>
              <w:jc w:val="left"/>
              <w:rPr>
                <w:color w:val="auto"/>
                <w:szCs w:val="21"/>
                <w:highlight w:val="none"/>
              </w:rPr>
            </w:pPr>
            <w:r>
              <w:rPr>
                <w:color w:val="auto"/>
                <w:szCs w:val="21"/>
                <w:highlight w:val="none"/>
              </w:rPr>
              <w:t>2.</w:t>
            </w:r>
            <w:r>
              <w:rPr>
                <w:rFonts w:hint="eastAsia" w:ascii="宋体" w:hAnsi="宋体" w:cs="宋体"/>
                <w:color w:val="auto"/>
                <w:szCs w:val="21"/>
                <w:highlight w:val="none"/>
              </w:rPr>
              <w:t>响应文件电子版密封方式：电子响应文件通过平台有效CA加密后在广西政府采购云平台投送</w:t>
            </w:r>
            <w:r>
              <w:rPr>
                <w:color w:val="auto"/>
                <w:szCs w:val="21"/>
                <w:highlight w:val="none"/>
              </w:rPr>
              <w:t>。</w:t>
            </w:r>
          </w:p>
        </w:tc>
      </w:tr>
      <w:tr w14:paraId="0FED2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D3DEBC7">
            <w:pPr>
              <w:spacing w:line="360" w:lineRule="auto"/>
              <w:jc w:val="center"/>
              <w:rPr>
                <w:color w:val="auto"/>
                <w:szCs w:val="21"/>
                <w:highlight w:val="none"/>
              </w:rPr>
            </w:pPr>
            <w:r>
              <w:rPr>
                <w:rFonts w:hint="eastAsia"/>
                <w:color w:val="auto"/>
                <w:szCs w:val="21"/>
                <w:highlight w:val="none"/>
              </w:rPr>
              <w:t>15.2</w:t>
            </w:r>
          </w:p>
        </w:tc>
        <w:tc>
          <w:tcPr>
            <w:tcW w:w="2321" w:type="dxa"/>
            <w:vAlign w:val="center"/>
          </w:tcPr>
          <w:p w14:paraId="51568985">
            <w:pPr>
              <w:spacing w:line="360" w:lineRule="auto"/>
              <w:jc w:val="center"/>
              <w:rPr>
                <w:color w:val="auto"/>
                <w:szCs w:val="21"/>
                <w:highlight w:val="none"/>
              </w:rPr>
            </w:pPr>
            <w:r>
              <w:rPr>
                <w:color w:val="auto"/>
                <w:szCs w:val="21"/>
                <w:highlight w:val="none"/>
              </w:rPr>
              <w:t>响应报价的价格构成</w:t>
            </w:r>
          </w:p>
        </w:tc>
        <w:tc>
          <w:tcPr>
            <w:tcW w:w="7080" w:type="dxa"/>
            <w:vAlign w:val="center"/>
          </w:tcPr>
          <w:p w14:paraId="236742FF">
            <w:pPr>
              <w:snapToGrid w:val="0"/>
              <w:spacing w:line="360" w:lineRule="auto"/>
              <w:jc w:val="left"/>
              <w:rPr>
                <w:color w:val="auto"/>
                <w:szCs w:val="21"/>
                <w:highlight w:val="none"/>
              </w:rPr>
            </w:pPr>
            <w:r>
              <w:rPr>
                <w:color w:val="auto"/>
                <w:highlight w:val="none"/>
              </w:rPr>
              <w:t>响应报价必须包含</w:t>
            </w:r>
            <w:r>
              <w:rPr>
                <w:rFonts w:hint="eastAsia"/>
                <w:color w:val="auto"/>
                <w:highlight w:val="none"/>
              </w:rPr>
              <w:t>完成该工程项目的成本、利润、增值税、技术措施费、设备费、风险费、政策性文件规</w:t>
            </w:r>
            <w:r>
              <w:rPr>
                <w:rFonts w:hint="eastAsia"/>
                <w:color w:val="auto"/>
                <w:szCs w:val="21"/>
                <w:highlight w:val="none"/>
              </w:rPr>
              <w:t>定费用等所有费用。</w:t>
            </w:r>
          </w:p>
          <w:p w14:paraId="46C01AB3">
            <w:pPr>
              <w:snapToGrid w:val="0"/>
              <w:spacing w:line="360" w:lineRule="auto"/>
              <w:jc w:val="left"/>
              <w:rPr>
                <w:b/>
                <w:bCs/>
                <w:color w:val="auto"/>
                <w:szCs w:val="21"/>
                <w:highlight w:val="none"/>
              </w:rPr>
            </w:pPr>
            <w:r>
              <w:rPr>
                <w:rFonts w:hint="eastAsia"/>
                <w:b/>
                <w:bCs/>
                <w:color w:val="auto"/>
                <w:szCs w:val="21"/>
                <w:highlight w:val="none"/>
              </w:rPr>
              <w:t>□</w:t>
            </w:r>
            <w:r>
              <w:rPr>
                <w:b/>
                <w:bCs/>
                <w:color w:val="auto"/>
                <w:szCs w:val="21"/>
                <w:highlight w:val="none"/>
              </w:rPr>
              <w:t>响应报价包含验收费用</w:t>
            </w:r>
          </w:p>
          <w:p w14:paraId="40C4FC3A">
            <w:pPr>
              <w:snapToGrid w:val="0"/>
              <w:spacing w:line="360" w:lineRule="auto"/>
              <w:jc w:val="left"/>
              <w:rPr>
                <w:color w:val="auto"/>
                <w:highlight w:val="none"/>
              </w:rPr>
            </w:pPr>
            <w:r>
              <w:rPr>
                <w:rFonts w:hint="eastAsia"/>
                <w:b/>
                <w:bCs/>
                <w:color w:val="auto"/>
                <w:szCs w:val="21"/>
                <w:highlight w:val="none"/>
              </w:rPr>
              <w:t>☑</w:t>
            </w:r>
            <w:r>
              <w:rPr>
                <w:b/>
                <w:bCs/>
                <w:color w:val="auto"/>
                <w:szCs w:val="21"/>
                <w:highlight w:val="none"/>
              </w:rPr>
              <w:t>响应报价不包含验收费用</w:t>
            </w:r>
          </w:p>
        </w:tc>
      </w:tr>
      <w:tr w14:paraId="7B83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7DA7706">
            <w:pPr>
              <w:spacing w:line="360" w:lineRule="auto"/>
              <w:jc w:val="center"/>
              <w:rPr>
                <w:color w:val="auto"/>
                <w:szCs w:val="21"/>
                <w:highlight w:val="none"/>
              </w:rPr>
            </w:pPr>
            <w:r>
              <w:rPr>
                <w:color w:val="auto"/>
                <w:szCs w:val="21"/>
                <w:highlight w:val="none"/>
              </w:rPr>
              <w:t>15.</w:t>
            </w:r>
            <w:r>
              <w:rPr>
                <w:rFonts w:hint="eastAsia"/>
                <w:color w:val="auto"/>
                <w:szCs w:val="21"/>
                <w:highlight w:val="none"/>
              </w:rPr>
              <w:t>3.1</w:t>
            </w:r>
          </w:p>
        </w:tc>
        <w:tc>
          <w:tcPr>
            <w:tcW w:w="2321" w:type="dxa"/>
            <w:vAlign w:val="center"/>
          </w:tcPr>
          <w:p w14:paraId="52EEA7B4">
            <w:pPr>
              <w:spacing w:line="360" w:lineRule="auto"/>
              <w:jc w:val="center"/>
              <w:rPr>
                <w:color w:val="auto"/>
                <w:szCs w:val="21"/>
                <w:highlight w:val="none"/>
              </w:rPr>
            </w:pPr>
            <w:r>
              <w:rPr>
                <w:rFonts w:hint="eastAsia"/>
                <w:color w:val="auto"/>
                <w:szCs w:val="21"/>
                <w:highlight w:val="none"/>
              </w:rPr>
              <w:t>供应商的</w:t>
            </w:r>
            <w:r>
              <w:rPr>
                <w:color w:val="auto"/>
                <w:szCs w:val="21"/>
                <w:highlight w:val="none"/>
              </w:rPr>
              <w:t>响应报价要求</w:t>
            </w:r>
          </w:p>
        </w:tc>
        <w:tc>
          <w:tcPr>
            <w:tcW w:w="7080" w:type="dxa"/>
            <w:vAlign w:val="center"/>
          </w:tcPr>
          <w:p w14:paraId="3B2546B1">
            <w:pPr>
              <w:snapToGrid w:val="0"/>
              <w:spacing w:line="360" w:lineRule="auto"/>
              <w:jc w:val="left"/>
              <w:rPr>
                <w:color w:val="auto"/>
                <w:highlight w:val="none"/>
              </w:rPr>
            </w:pPr>
            <w:r>
              <w:rPr>
                <w:rFonts w:hint="eastAsia"/>
                <w:color w:val="auto"/>
                <w:highlight w:val="none"/>
              </w:rPr>
              <w:t>1.本项目增值税计税方法：☑一般计税法</w:t>
            </w:r>
            <w:r>
              <w:rPr>
                <w:color w:val="auto"/>
                <w:highlight w:val="none"/>
              </w:rPr>
              <w:t xml:space="preserve">         </w:t>
            </w:r>
            <w:r>
              <w:rPr>
                <w:rFonts w:hint="eastAsia"/>
                <w:color w:val="auto"/>
                <w:highlight w:val="none"/>
              </w:rPr>
              <w:t>□简易计税法</w:t>
            </w:r>
          </w:p>
          <w:p w14:paraId="4574EE0B">
            <w:pPr>
              <w:snapToGrid w:val="0"/>
              <w:spacing w:line="360" w:lineRule="auto"/>
              <w:jc w:val="left"/>
              <w:rPr>
                <w:color w:val="auto"/>
                <w:highlight w:val="none"/>
              </w:rPr>
            </w:pPr>
            <w:r>
              <w:rPr>
                <w:rFonts w:hint="eastAsia"/>
                <w:color w:val="auto"/>
                <w:highlight w:val="none"/>
              </w:rPr>
              <w:t>【备注：根据《关于全面推开营业税改征增值税试点的通知》（财税〔2016〕36号）、《关于建筑服务等营改增试点政策的通知》（财税〔2017〕58号）文件规定选择】</w:t>
            </w:r>
          </w:p>
          <w:p w14:paraId="347A47F3">
            <w:pPr>
              <w:snapToGrid w:val="0"/>
              <w:spacing w:line="360" w:lineRule="auto"/>
              <w:jc w:val="left"/>
              <w:rPr>
                <w:color w:val="auto"/>
                <w:highlight w:val="none"/>
              </w:rPr>
            </w:pPr>
            <w:r>
              <w:rPr>
                <w:rFonts w:hint="eastAsia"/>
                <w:color w:val="auto"/>
                <w:highlight w:val="none"/>
              </w:rPr>
              <w:t>2.本项目采用工程量清单报价方式，供应商应依据竞争</w:t>
            </w:r>
            <w:r>
              <w:rPr>
                <w:rFonts w:hint="eastAsia" w:ascii="宋体" w:hAnsi="宋体" w:cs="宋体"/>
                <w:color w:val="auto"/>
                <w:highlight w:val="none"/>
              </w:rPr>
              <w:t>性磋商文件、采购人提供的工程量清单（以下简称“工程量清单”）以及</w:t>
            </w:r>
            <w:r>
              <w:rPr>
                <w:rFonts w:hint="eastAsia"/>
                <w:color w:val="auto"/>
                <w:highlight w:val="none"/>
              </w:rPr>
              <w:t>《建设工程工程量清单计价规范（GB5050-2013）》及其广西实施细则</w:t>
            </w:r>
            <w:r>
              <w:rPr>
                <w:rFonts w:hint="eastAsia" w:ascii="宋体" w:hAnsi="宋体" w:cs="宋体"/>
                <w:color w:val="auto"/>
                <w:highlight w:val="none"/>
              </w:rPr>
              <w:t>、</w:t>
            </w:r>
            <w:r>
              <w:rPr>
                <w:rFonts w:hint="eastAsia"/>
                <w:color w:val="auto"/>
                <w:highlight w:val="none"/>
              </w:rPr>
              <w:t>《建设工程工程量清单计算规范（</w:t>
            </w:r>
            <w:r>
              <w:rPr>
                <w:color w:val="auto"/>
                <w:highlight w:val="none"/>
              </w:rPr>
              <w:t>GB5854~50862-2013）》及其广西实施细则（修订本）自主报价，自主报价不得违反计价规范强制性条文规定。供应商不得采用总价让利或以百分比让利等形式进行报价，任何优惠（或降价、让利）均应反映在相应</w:t>
            </w:r>
            <w:r>
              <w:rPr>
                <w:color w:val="auto"/>
                <w:szCs w:val="21"/>
                <w:highlight w:val="none"/>
              </w:rPr>
              <w:t>清单项目的综合单价中。供应商在首次响应文件提交截止时间前修改响应报价表中磋商</w:t>
            </w:r>
            <w:r>
              <w:rPr>
                <w:color w:val="auto"/>
                <w:highlight w:val="none"/>
              </w:rPr>
              <w:t>总报价的，应同时修改已标价工程量清单中的相应报价。</w:t>
            </w:r>
          </w:p>
          <w:p w14:paraId="234F61BA">
            <w:pPr>
              <w:snapToGrid w:val="0"/>
              <w:spacing w:line="360" w:lineRule="auto"/>
              <w:jc w:val="left"/>
              <w:rPr>
                <w:color w:val="auto"/>
                <w:highlight w:val="none"/>
              </w:rPr>
            </w:pPr>
            <w:r>
              <w:rPr>
                <w:rFonts w:hint="eastAsia"/>
                <w:color w:val="auto"/>
                <w:highlight w:val="none"/>
              </w:rPr>
              <w:t>3</w:t>
            </w:r>
            <w:r>
              <w:rPr>
                <w:color w:val="auto"/>
                <w:highlight w:val="none"/>
              </w:rPr>
              <w:t>.</w:t>
            </w:r>
            <w:r>
              <w:rPr>
                <w:b/>
                <w:bCs/>
                <w:color w:val="auto"/>
                <w:highlight w:val="none"/>
              </w:rPr>
              <w:t>供应商应按工程量清单填报价格。供应商已标价工程量清单中的项目编码（12位）、计量单位、工程量必须与工程量清单一致，供应商不得对工程量清单项目进行增减调整，否则响应文件按无效响应处理</w:t>
            </w:r>
            <w:r>
              <w:rPr>
                <w:rFonts w:hint="eastAsia"/>
                <w:b/>
                <w:bCs/>
                <w:color w:val="auto"/>
                <w:highlight w:val="none"/>
              </w:rPr>
              <w:t>。</w:t>
            </w:r>
          </w:p>
          <w:p w14:paraId="1410EFC2">
            <w:pPr>
              <w:snapToGrid w:val="0"/>
              <w:spacing w:line="360" w:lineRule="auto"/>
              <w:jc w:val="left"/>
              <w:rPr>
                <w:color w:val="auto"/>
                <w:highlight w:val="none"/>
              </w:rPr>
            </w:pPr>
            <w:r>
              <w:rPr>
                <w:rFonts w:hint="eastAsia"/>
                <w:color w:val="auto"/>
                <w:highlight w:val="none"/>
              </w:rPr>
              <w:t>4.</w:t>
            </w:r>
            <w:r>
              <w:rPr>
                <w:color w:val="auto"/>
                <w:highlight w:val="none"/>
              </w:rPr>
              <w:t>供应商应</w:t>
            </w:r>
            <w:r>
              <w:rPr>
                <w:rFonts w:hint="eastAsia"/>
                <w:color w:val="auto"/>
                <w:highlight w:val="none"/>
              </w:rPr>
              <w:t>按</w:t>
            </w:r>
            <w:r>
              <w:rPr>
                <w:color w:val="auto"/>
                <w:highlight w:val="none"/>
              </w:rPr>
              <w:t>工程量清单中列出的</w:t>
            </w:r>
            <w:r>
              <w:rPr>
                <w:rFonts w:hint="eastAsia"/>
                <w:color w:val="auto"/>
                <w:highlight w:val="none"/>
              </w:rPr>
              <w:t>分部分项</w:t>
            </w:r>
            <w:r>
              <w:rPr>
                <w:color w:val="auto"/>
                <w:highlight w:val="none"/>
              </w:rPr>
              <w:t>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E2BF95A">
            <w:pPr>
              <w:snapToGrid w:val="0"/>
              <w:spacing w:line="360" w:lineRule="auto"/>
              <w:jc w:val="left"/>
              <w:rPr>
                <w:color w:val="auto"/>
                <w:highlight w:val="none"/>
              </w:rPr>
            </w:pPr>
            <w:r>
              <w:rPr>
                <w:rFonts w:hint="eastAsia"/>
                <w:color w:val="auto"/>
                <w:highlight w:val="none"/>
              </w:rPr>
              <w:t>5</w:t>
            </w:r>
            <w:r>
              <w:rPr>
                <w:color w:val="auto"/>
                <w:highlight w:val="none"/>
              </w:rPr>
              <w:t>.综合单价中应包含竞争性磋商文件中划分的应由供应商承担的风险范围及其费用。</w:t>
            </w:r>
          </w:p>
          <w:p w14:paraId="71A621D5">
            <w:pPr>
              <w:snapToGrid w:val="0"/>
              <w:spacing w:line="360" w:lineRule="auto"/>
              <w:jc w:val="left"/>
              <w:rPr>
                <w:b/>
                <w:bCs/>
                <w:color w:val="auto"/>
                <w:szCs w:val="21"/>
                <w:highlight w:val="none"/>
              </w:rPr>
            </w:pPr>
            <w:r>
              <w:rPr>
                <w:rFonts w:hint="eastAsia"/>
                <w:color w:val="auto"/>
                <w:szCs w:val="21"/>
                <w:highlight w:val="none"/>
              </w:rPr>
              <w:t>6</w:t>
            </w:r>
            <w:r>
              <w:rPr>
                <w:color w:val="auto"/>
                <w:szCs w:val="21"/>
                <w:highlight w:val="none"/>
              </w:rPr>
              <w:t>.</w:t>
            </w:r>
            <w:r>
              <w:rPr>
                <w:color w:val="auto"/>
                <w:highlight w:val="none"/>
              </w:rPr>
              <w:t>分部分项工程项目和单价措施项</w:t>
            </w:r>
            <w:r>
              <w:rPr>
                <w:rFonts w:hint="eastAsia" w:ascii="宋体" w:hAnsi="宋体" w:cs="宋体"/>
                <w:color w:val="auto"/>
                <w:highlight w:val="none"/>
              </w:rPr>
              <w:t>目，应根据竞争性磋商文件和工程量清单项目中的特征描述确定综合单价计算。</w:t>
            </w:r>
          </w:p>
          <w:p w14:paraId="49C1304A">
            <w:pPr>
              <w:snapToGrid w:val="0"/>
              <w:spacing w:line="360" w:lineRule="auto"/>
              <w:jc w:val="left"/>
              <w:rPr>
                <w:color w:val="auto"/>
                <w:szCs w:val="21"/>
                <w:highlight w:val="none"/>
              </w:rPr>
            </w:pPr>
            <w:r>
              <w:rPr>
                <w:rFonts w:hint="eastAsia"/>
                <w:color w:val="auto"/>
                <w:szCs w:val="21"/>
                <w:highlight w:val="none"/>
              </w:rPr>
              <w:t>7.</w:t>
            </w:r>
            <w:r>
              <w:rPr>
                <w:rFonts w:hint="eastAsia" w:ascii="宋体" w:hAnsi="宋体" w:cs="宋体"/>
                <w:color w:val="auto"/>
                <w:highlight w:val="none"/>
              </w:rPr>
              <w:t>总价措施项目的金额应根据竞争性磋商文件及磋商时拟定的施工组织设计或施工方案，按计价规范的规定自主确定。但安全文明施工费按国家、省级或</w:t>
            </w:r>
            <w:r>
              <w:rPr>
                <w:rFonts w:hint="eastAsia"/>
                <w:color w:val="auto"/>
                <w:szCs w:val="21"/>
                <w:highlight w:val="none"/>
              </w:rPr>
              <w:t>行业建设主管部门的有关规定执行，作为不可竞争费用单列。</w:t>
            </w:r>
          </w:p>
          <w:p w14:paraId="46683443">
            <w:pPr>
              <w:snapToGrid w:val="0"/>
              <w:spacing w:line="360" w:lineRule="auto"/>
              <w:jc w:val="left"/>
              <w:rPr>
                <w:color w:val="auto"/>
                <w:szCs w:val="21"/>
                <w:highlight w:val="none"/>
              </w:rPr>
            </w:pPr>
            <w:r>
              <w:rPr>
                <w:rFonts w:hint="eastAsia"/>
                <w:color w:val="auto"/>
                <w:szCs w:val="21"/>
                <w:highlight w:val="none"/>
              </w:rPr>
              <w:t>8.其他项目费应按下列规定报价：</w:t>
            </w:r>
          </w:p>
          <w:p w14:paraId="087BE190">
            <w:pPr>
              <w:snapToGrid w:val="0"/>
              <w:spacing w:line="360" w:lineRule="auto"/>
              <w:jc w:val="left"/>
              <w:rPr>
                <w:color w:val="auto"/>
                <w:szCs w:val="21"/>
                <w:highlight w:val="none"/>
              </w:rPr>
            </w:pPr>
            <w:r>
              <w:rPr>
                <w:rFonts w:hint="eastAsia"/>
                <w:color w:val="auto"/>
                <w:szCs w:val="21"/>
                <w:highlight w:val="none"/>
              </w:rPr>
              <w:t>（1）</w:t>
            </w:r>
            <w:r>
              <w:rPr>
                <w:rFonts w:hint="eastAsia"/>
                <w:b/>
                <w:bCs/>
                <w:color w:val="auto"/>
                <w:szCs w:val="21"/>
                <w:highlight w:val="none"/>
              </w:rPr>
              <w:t>暂列金额应按工程量清单中列出的金额填写，</w:t>
            </w:r>
            <w:r>
              <w:rPr>
                <w:b/>
                <w:bCs/>
                <w:color w:val="auto"/>
                <w:highlight w:val="none"/>
              </w:rPr>
              <w:t>否则响应文件按无效响应处理</w:t>
            </w:r>
            <w:r>
              <w:rPr>
                <w:rFonts w:hint="eastAsia"/>
                <w:color w:val="auto"/>
                <w:szCs w:val="21"/>
                <w:highlight w:val="none"/>
              </w:rPr>
              <w:t>；</w:t>
            </w:r>
          </w:p>
          <w:p w14:paraId="1278D85A">
            <w:pPr>
              <w:snapToGrid w:val="0"/>
              <w:spacing w:line="360" w:lineRule="auto"/>
              <w:jc w:val="left"/>
              <w:rPr>
                <w:color w:val="auto"/>
                <w:szCs w:val="21"/>
                <w:highlight w:val="none"/>
              </w:rPr>
            </w:pPr>
            <w:r>
              <w:rPr>
                <w:rFonts w:hint="eastAsia"/>
                <w:color w:val="auto"/>
                <w:szCs w:val="21"/>
                <w:highlight w:val="none"/>
              </w:rPr>
              <w:t>（2）材料、工程设备暂估价应按工程量清单中列出的单价计入综合单价；</w:t>
            </w:r>
          </w:p>
          <w:p w14:paraId="1F3722B0">
            <w:pPr>
              <w:snapToGrid w:val="0"/>
              <w:spacing w:line="360" w:lineRule="auto"/>
              <w:jc w:val="left"/>
              <w:rPr>
                <w:color w:val="auto"/>
                <w:szCs w:val="21"/>
                <w:highlight w:val="none"/>
              </w:rPr>
            </w:pPr>
            <w:r>
              <w:rPr>
                <w:rFonts w:hint="eastAsia"/>
                <w:color w:val="auto"/>
                <w:szCs w:val="21"/>
                <w:highlight w:val="none"/>
              </w:rPr>
              <w:t>（3）</w:t>
            </w:r>
            <w:r>
              <w:rPr>
                <w:rFonts w:hint="eastAsia"/>
                <w:b/>
                <w:bCs/>
                <w:color w:val="auto"/>
                <w:szCs w:val="21"/>
                <w:highlight w:val="none"/>
              </w:rPr>
              <w:t>专业工程暂估价应按工程量清单中列出的金额填写，</w:t>
            </w:r>
            <w:r>
              <w:rPr>
                <w:rFonts w:hint="eastAsia" w:cs="宋体"/>
                <w:b/>
                <w:bCs/>
                <w:color w:val="auto"/>
                <w:highlight w:val="none"/>
              </w:rPr>
              <w:t>安全生产责任保险费暂估价应按工程量清单中列出的金额填写，</w:t>
            </w:r>
            <w:r>
              <w:rPr>
                <w:b/>
                <w:bCs/>
                <w:color w:val="auto"/>
                <w:highlight w:val="none"/>
              </w:rPr>
              <w:t>否则响应文件按无效响应处理</w:t>
            </w:r>
            <w:r>
              <w:rPr>
                <w:rFonts w:hint="eastAsia"/>
                <w:color w:val="auto"/>
                <w:szCs w:val="21"/>
                <w:highlight w:val="none"/>
              </w:rPr>
              <w:t>；</w:t>
            </w:r>
          </w:p>
          <w:p w14:paraId="0B7C978D">
            <w:pPr>
              <w:snapToGrid w:val="0"/>
              <w:spacing w:line="360" w:lineRule="auto"/>
              <w:jc w:val="left"/>
              <w:rPr>
                <w:color w:val="auto"/>
                <w:szCs w:val="21"/>
                <w:highlight w:val="none"/>
              </w:rPr>
            </w:pPr>
            <w:r>
              <w:rPr>
                <w:rFonts w:hint="eastAsia"/>
                <w:color w:val="auto"/>
                <w:szCs w:val="21"/>
                <w:highlight w:val="none"/>
              </w:rPr>
              <w:t>（4）计日工应按工程量清单中列出的项目和估算数量，自主确定综合单价并计算计日工总额；计日工单价均不含规费和税金；</w:t>
            </w:r>
          </w:p>
          <w:p w14:paraId="1EB251F2">
            <w:pPr>
              <w:snapToGrid w:val="0"/>
              <w:spacing w:line="360" w:lineRule="auto"/>
              <w:jc w:val="left"/>
              <w:rPr>
                <w:color w:val="auto"/>
                <w:szCs w:val="21"/>
                <w:highlight w:val="none"/>
              </w:rPr>
            </w:pPr>
            <w:r>
              <w:rPr>
                <w:rFonts w:hint="eastAsia"/>
                <w:color w:val="auto"/>
                <w:szCs w:val="21"/>
                <w:highlight w:val="none"/>
              </w:rPr>
              <w:t>（5）总承包服务费应根据工程量清单中列出的内容和供应材料、设备情况，按照采购人提出的协调、配合与服务要求和施工现场管理需要自主确定。</w:t>
            </w:r>
          </w:p>
          <w:p w14:paraId="376ED2C7">
            <w:pPr>
              <w:snapToGrid w:val="0"/>
              <w:spacing w:line="360" w:lineRule="auto"/>
              <w:rPr>
                <w:b/>
                <w:bCs/>
                <w:color w:val="auto"/>
                <w:szCs w:val="21"/>
                <w:highlight w:val="none"/>
              </w:rPr>
            </w:pPr>
            <w:r>
              <w:rPr>
                <w:rFonts w:hint="eastAsia"/>
                <w:b/>
                <w:bCs/>
                <w:color w:val="auto"/>
                <w:szCs w:val="21"/>
                <w:highlight w:val="none"/>
              </w:rPr>
              <w:t>（6）安全文明施工费和规费、增值税按我区费用定额及造价管理相关文件规定报价（园林绿化及仿古建筑工程除外），否则响应文件按无效响应处理。</w:t>
            </w:r>
          </w:p>
          <w:p w14:paraId="7B0FB7B4">
            <w:pPr>
              <w:snapToGrid w:val="0"/>
              <w:spacing w:line="360" w:lineRule="auto"/>
              <w:jc w:val="left"/>
              <w:rPr>
                <w:color w:val="auto"/>
                <w:szCs w:val="21"/>
                <w:highlight w:val="none"/>
              </w:rPr>
            </w:pPr>
            <w:r>
              <w:rPr>
                <w:rFonts w:hint="eastAsia"/>
                <w:color w:val="auto"/>
                <w:szCs w:val="21"/>
                <w:highlight w:val="none"/>
              </w:rPr>
              <w:t>9.规费和增值税应按规定确定，增值税采用一般计税法，作为不可竞争费用。</w:t>
            </w:r>
          </w:p>
          <w:p w14:paraId="70D53E8A">
            <w:pPr>
              <w:snapToGrid w:val="0"/>
              <w:spacing w:line="360" w:lineRule="auto"/>
              <w:jc w:val="left"/>
              <w:rPr>
                <w:color w:val="auto"/>
                <w:highlight w:val="none"/>
              </w:rPr>
            </w:pPr>
            <w:r>
              <w:rPr>
                <w:rFonts w:hint="eastAsia"/>
                <w:color w:val="auto"/>
                <w:szCs w:val="21"/>
                <w:highlight w:val="none"/>
              </w:rPr>
              <w:t>10.工程量清单与计价表中列明的所有需要填写的单价和合价的项目，供应</w:t>
            </w:r>
            <w:r>
              <w:rPr>
                <w:rFonts w:hint="eastAsia" w:ascii="宋体" w:hAnsi="宋体" w:cs="宋体"/>
                <w:color w:val="auto"/>
                <w:highlight w:val="none"/>
              </w:rPr>
              <w:t>商均应填写且只允许有一个报价。未填写单价和合价的项目，视为此项费用已包含在已标价工程量清单中其他项目的单价和合价之中。竣工结算时，此项</w:t>
            </w:r>
            <w:r>
              <w:rPr>
                <w:color w:val="auto"/>
                <w:highlight w:val="none"/>
              </w:rPr>
              <w:t>目不得重新组价予以调整。</w:t>
            </w:r>
          </w:p>
          <w:p w14:paraId="16F28442">
            <w:pPr>
              <w:snapToGrid w:val="0"/>
              <w:spacing w:line="360" w:lineRule="auto"/>
              <w:jc w:val="left"/>
              <w:rPr>
                <w:color w:val="auto"/>
                <w:highlight w:val="none"/>
              </w:rPr>
            </w:pPr>
            <w:r>
              <w:rPr>
                <w:rFonts w:hint="eastAsia"/>
                <w:color w:val="auto"/>
                <w:highlight w:val="none"/>
              </w:rPr>
              <w:t>11</w:t>
            </w:r>
            <w:r>
              <w:rPr>
                <w:color w:val="auto"/>
                <w:highlight w:val="none"/>
              </w:rPr>
              <w:t>.磋商总报价应当与分部分项工程费、措施项目费、其他项目费和规费、增值税的合计金额一致。</w:t>
            </w:r>
          </w:p>
          <w:p w14:paraId="740D4CF7">
            <w:pPr>
              <w:snapToGrid w:val="0"/>
              <w:spacing w:line="360" w:lineRule="auto"/>
              <w:jc w:val="left"/>
              <w:rPr>
                <w:color w:val="auto"/>
                <w:highlight w:val="none"/>
              </w:rPr>
            </w:pPr>
            <w:r>
              <w:rPr>
                <w:rFonts w:hint="eastAsia"/>
                <w:color w:val="auto"/>
                <w:highlight w:val="none"/>
              </w:rPr>
              <w:t>12</w:t>
            </w:r>
            <w:r>
              <w:rPr>
                <w:color w:val="auto"/>
                <w:highlight w:val="none"/>
              </w:rPr>
              <w:t>.供应商应按《允许调整主要材料和工程设备一览表》的内容填报，不得擅自调整材料和设备名称型号</w:t>
            </w:r>
            <w:r>
              <w:rPr>
                <w:rFonts w:hint="eastAsia"/>
                <w:color w:val="auto"/>
                <w:highlight w:val="none"/>
              </w:rPr>
              <w:t>+</w:t>
            </w:r>
            <w:r>
              <w:rPr>
                <w:color w:val="auto"/>
                <w:highlight w:val="none"/>
              </w:rPr>
              <w:t>规格、单位、风险系数、基准单价。</w:t>
            </w:r>
          </w:p>
          <w:p w14:paraId="6F38691F">
            <w:pPr>
              <w:pStyle w:val="12"/>
              <w:spacing w:line="360" w:lineRule="auto"/>
              <w:rPr>
                <w:rFonts w:cs="宋体"/>
                <w:color w:val="auto"/>
                <w:highlight w:val="none"/>
              </w:rPr>
            </w:pPr>
            <w:r>
              <w:rPr>
                <w:rFonts w:hint="eastAsia"/>
                <w:color w:val="auto"/>
                <w:highlight w:val="none"/>
              </w:rPr>
              <w:t>13.</w:t>
            </w:r>
            <w:r>
              <w:rPr>
                <w:rFonts w:hint="eastAsia" w:cs="宋体"/>
                <w:color w:val="auto"/>
                <w:highlight w:val="none"/>
              </w:rPr>
              <w:t>供应商已标价工程量清单的项目名称或项目特征与招标工程量清单不一致，磋商小组要求澄清、说明或补正，但供应商拒绝澄清、说明或补正的，响应文件按无效响应处理。</w:t>
            </w:r>
          </w:p>
          <w:p w14:paraId="38F64BBC">
            <w:pPr>
              <w:pStyle w:val="12"/>
              <w:spacing w:line="360" w:lineRule="auto"/>
              <w:rPr>
                <w:rFonts w:cs="宋体"/>
                <w:color w:val="auto"/>
                <w:highlight w:val="none"/>
              </w:rPr>
            </w:pPr>
            <w:r>
              <w:rPr>
                <w:rFonts w:hint="eastAsia" w:cs="宋体"/>
                <w:color w:val="auto"/>
                <w:highlight w:val="none"/>
              </w:rPr>
              <w:t>14.响应报价表中的报价与已标价的工程量清单汇总表不一致的，响应文件按无效响应处理。</w:t>
            </w:r>
          </w:p>
          <w:p w14:paraId="2E62E299">
            <w:pPr>
              <w:pStyle w:val="12"/>
              <w:spacing w:line="360" w:lineRule="auto"/>
              <w:rPr>
                <w:rFonts w:cs="宋体"/>
                <w:color w:val="auto"/>
                <w:highlight w:val="none"/>
              </w:rPr>
            </w:pPr>
            <w:r>
              <w:rPr>
                <w:rFonts w:hint="eastAsia" w:cs="宋体"/>
                <w:color w:val="auto"/>
                <w:highlight w:val="none"/>
              </w:rPr>
              <w:t>15.在单价合同工程中供应商采用总价优惠或以总价百分比优惠的方式进行竞标报价的，响应文件按无效响应处理。</w:t>
            </w:r>
          </w:p>
          <w:p w14:paraId="454E1E1D">
            <w:pPr>
              <w:snapToGrid w:val="0"/>
              <w:spacing w:line="360" w:lineRule="auto"/>
              <w:jc w:val="left"/>
              <w:rPr>
                <w:color w:val="auto"/>
                <w:highlight w:val="none"/>
              </w:rPr>
            </w:pPr>
            <w:r>
              <w:rPr>
                <w:color w:val="auto"/>
                <w:highlight w:val="none"/>
              </w:rPr>
              <w:t>1</w:t>
            </w:r>
            <w:r>
              <w:rPr>
                <w:rFonts w:hint="eastAsia"/>
                <w:color w:val="auto"/>
                <w:highlight w:val="none"/>
              </w:rPr>
              <w:t>6</w:t>
            </w:r>
            <w:r>
              <w:rPr>
                <w:color w:val="auto"/>
                <w:highlight w:val="none"/>
              </w:rPr>
              <w:t>.未尽事宜详见本项目工程量清单、招标控制价编制说明以及现行《计价规范》等有关规定执行。</w:t>
            </w:r>
          </w:p>
          <w:p w14:paraId="5926D8CF">
            <w:pPr>
              <w:snapToGrid w:val="0"/>
              <w:spacing w:line="360" w:lineRule="auto"/>
              <w:jc w:val="left"/>
              <w:rPr>
                <w:b/>
                <w:bCs/>
                <w:color w:val="auto"/>
                <w:highlight w:val="none"/>
              </w:rPr>
            </w:pPr>
            <w:r>
              <w:rPr>
                <w:rFonts w:hint="eastAsia"/>
                <w:color w:val="auto"/>
                <w:highlight w:val="none"/>
              </w:rPr>
              <w:t>17.</w:t>
            </w:r>
            <w:r>
              <w:rPr>
                <w:rFonts w:hint="eastAsia"/>
                <w:b/>
                <w:bCs/>
                <w:color w:val="auto"/>
                <w:highlight w:val="none"/>
              </w:rPr>
              <w:t>最后报价须提供最后报价表，否则视同放弃报价权利退出磋商</w:t>
            </w:r>
            <w:r>
              <w:rPr>
                <w:b/>
                <w:bCs/>
                <w:color w:val="auto"/>
                <w:highlight w:val="none"/>
              </w:rPr>
              <w:t>，</w:t>
            </w:r>
            <w:r>
              <w:rPr>
                <w:rFonts w:hint="eastAsia"/>
                <w:b/>
                <w:bCs/>
                <w:color w:val="auto"/>
                <w:highlight w:val="none"/>
              </w:rPr>
              <w:t>最后报价</w:t>
            </w:r>
            <w:r>
              <w:rPr>
                <w:rFonts w:hint="eastAsia" w:ascii="宋体" w:hAnsi="宋体" w:cs="宋体"/>
                <w:b/>
                <w:bCs/>
                <w:color w:val="auto"/>
                <w:szCs w:val="21"/>
                <w:highlight w:val="none"/>
              </w:rPr>
              <w:t>不得以总价下浮的方式做最后报价，</w:t>
            </w:r>
            <w:r>
              <w:rPr>
                <w:b/>
                <w:bCs/>
                <w:color w:val="auto"/>
                <w:highlight w:val="none"/>
              </w:rPr>
              <w:t>否则</w:t>
            </w:r>
            <w:r>
              <w:rPr>
                <w:rFonts w:hint="eastAsia"/>
                <w:b/>
                <w:bCs/>
                <w:color w:val="auto"/>
                <w:highlight w:val="none"/>
              </w:rPr>
              <w:t>响应文件</w:t>
            </w:r>
            <w:r>
              <w:rPr>
                <w:b/>
                <w:bCs/>
                <w:color w:val="auto"/>
                <w:highlight w:val="none"/>
              </w:rPr>
              <w:t>按无效响应处理</w:t>
            </w:r>
            <w:r>
              <w:rPr>
                <w:rFonts w:hint="eastAsia"/>
                <w:b/>
                <w:bCs/>
                <w:color w:val="auto"/>
                <w:highlight w:val="none"/>
              </w:rPr>
              <w:t>。</w:t>
            </w:r>
          </w:p>
          <w:p w14:paraId="60CF5A96">
            <w:pPr>
              <w:snapToGrid w:val="0"/>
              <w:spacing w:line="360" w:lineRule="auto"/>
              <w:jc w:val="left"/>
              <w:rPr>
                <w:rFonts w:ascii="宋体" w:hAnsi="宋体" w:cs="宋体"/>
                <w:b/>
                <w:bCs/>
                <w:color w:val="auto"/>
                <w:highlight w:val="none"/>
                <w:lang w:val="zh-CN"/>
              </w:rPr>
            </w:pPr>
            <w:r>
              <w:rPr>
                <w:rFonts w:hint="eastAsia"/>
                <w:b/>
                <w:bCs/>
                <w:color w:val="auto"/>
                <w:highlight w:val="none"/>
              </w:rPr>
              <w:t>重要提示：</w:t>
            </w:r>
            <w:r>
              <w:rPr>
                <w:rFonts w:hint="eastAsia"/>
                <w:b/>
                <w:bCs/>
                <w:color w:val="auto"/>
                <w:szCs w:val="21"/>
                <w:highlight w:val="none"/>
              </w:rPr>
              <w:t>最后报价有时间限制，供应商可按竞争性磋商文件“第五章 响应文件格式”内容提前准备</w:t>
            </w:r>
            <w:r>
              <w:rPr>
                <w:rFonts w:hint="eastAsia"/>
                <w:b/>
                <w:bCs/>
                <w:color w:val="auto"/>
                <w:highlight w:val="none"/>
              </w:rPr>
              <w:t>最后报价表（</w:t>
            </w:r>
            <w:r>
              <w:rPr>
                <w:rFonts w:hint="eastAsia"/>
                <w:b/>
                <w:bCs/>
                <w:color w:val="auto"/>
                <w:szCs w:val="21"/>
                <w:highlight w:val="none"/>
              </w:rPr>
              <w:t>如最后报价与首次报价不一致的，需提供已标价工程量清单</w:t>
            </w:r>
            <w:r>
              <w:rPr>
                <w:rFonts w:hint="eastAsia"/>
                <w:b/>
                <w:bCs/>
                <w:color w:val="auto"/>
                <w:highlight w:val="none"/>
              </w:rPr>
              <w:t>）</w:t>
            </w:r>
            <w:r>
              <w:rPr>
                <w:rFonts w:hint="eastAsia"/>
                <w:b/>
                <w:bCs/>
                <w:color w:val="auto"/>
                <w:szCs w:val="21"/>
                <w:highlight w:val="none"/>
              </w:rPr>
              <w:t>并按时提交</w:t>
            </w:r>
            <w:r>
              <w:rPr>
                <w:rFonts w:hint="eastAsia" w:ascii="宋体" w:hAnsi="宋体" w:cs="宋体"/>
                <w:b/>
                <w:bCs/>
                <w:color w:val="auto"/>
                <w:highlight w:val="none"/>
              </w:rPr>
              <w:t>，以免耽误最后报价</w:t>
            </w:r>
            <w:r>
              <w:rPr>
                <w:rFonts w:hint="eastAsia" w:ascii="宋体" w:hAnsi="宋体" w:cs="宋体"/>
                <w:b/>
                <w:bCs/>
                <w:color w:val="auto"/>
                <w:highlight w:val="none"/>
                <w:lang w:val="zh-CN"/>
              </w:rPr>
              <w:t>。</w:t>
            </w:r>
          </w:p>
        </w:tc>
      </w:tr>
      <w:tr w14:paraId="7BC5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6E45BF3">
            <w:pPr>
              <w:spacing w:line="360" w:lineRule="auto"/>
              <w:jc w:val="center"/>
              <w:rPr>
                <w:color w:val="auto"/>
                <w:szCs w:val="21"/>
                <w:highlight w:val="none"/>
              </w:rPr>
            </w:pPr>
            <w:r>
              <w:rPr>
                <w:color w:val="auto"/>
                <w:szCs w:val="21"/>
                <w:highlight w:val="none"/>
              </w:rPr>
              <w:t>16.2</w:t>
            </w:r>
          </w:p>
        </w:tc>
        <w:tc>
          <w:tcPr>
            <w:tcW w:w="2321" w:type="dxa"/>
            <w:vAlign w:val="center"/>
          </w:tcPr>
          <w:p w14:paraId="30D57E62">
            <w:pPr>
              <w:spacing w:line="360" w:lineRule="auto"/>
              <w:jc w:val="center"/>
              <w:rPr>
                <w:color w:val="auto"/>
                <w:szCs w:val="21"/>
                <w:highlight w:val="none"/>
              </w:rPr>
            </w:pPr>
            <w:r>
              <w:rPr>
                <w:color w:val="auto"/>
                <w:szCs w:val="21"/>
                <w:highlight w:val="none"/>
              </w:rPr>
              <w:t>竞标有效期</w:t>
            </w:r>
          </w:p>
        </w:tc>
        <w:tc>
          <w:tcPr>
            <w:tcW w:w="7080" w:type="dxa"/>
            <w:vAlign w:val="center"/>
          </w:tcPr>
          <w:p w14:paraId="5E59CEA3">
            <w:pPr>
              <w:pStyle w:val="11"/>
              <w:widowControl w:val="0"/>
              <w:tabs>
                <w:tab w:val="clear" w:pos="454"/>
              </w:tabs>
              <w:snapToGrid w:val="0"/>
              <w:spacing w:afterLines="0" w:line="360" w:lineRule="auto"/>
              <w:ind w:left="283" w:hanging="283" w:hangingChars="135"/>
              <w:rPr>
                <w:color w:val="auto"/>
                <w:kern w:val="2"/>
                <w:sz w:val="21"/>
                <w:szCs w:val="21"/>
                <w:highlight w:val="none"/>
              </w:rPr>
            </w:pPr>
            <w:r>
              <w:rPr>
                <w:color w:val="auto"/>
                <w:kern w:val="2"/>
                <w:sz w:val="21"/>
                <w:szCs w:val="21"/>
                <w:highlight w:val="none"/>
              </w:rPr>
              <w:t>自首次响应文件提交截止之日起</w:t>
            </w:r>
            <w:r>
              <w:rPr>
                <w:color w:val="auto"/>
                <w:kern w:val="2"/>
                <w:sz w:val="21"/>
                <w:szCs w:val="21"/>
                <w:highlight w:val="none"/>
                <w:u w:val="single"/>
              </w:rPr>
              <w:t xml:space="preserve"> </w:t>
            </w:r>
            <w:r>
              <w:rPr>
                <w:rFonts w:hint="eastAsia"/>
                <w:color w:val="auto"/>
                <w:kern w:val="2"/>
                <w:sz w:val="21"/>
                <w:szCs w:val="21"/>
                <w:highlight w:val="none"/>
                <w:u w:val="single"/>
              </w:rPr>
              <w:t>60</w:t>
            </w:r>
            <w:r>
              <w:rPr>
                <w:color w:val="auto"/>
                <w:kern w:val="2"/>
                <w:sz w:val="21"/>
                <w:szCs w:val="21"/>
                <w:highlight w:val="none"/>
                <w:u w:val="single"/>
              </w:rPr>
              <w:t xml:space="preserve"> </w:t>
            </w:r>
            <w:r>
              <w:rPr>
                <w:color w:val="auto"/>
                <w:kern w:val="2"/>
                <w:sz w:val="21"/>
                <w:szCs w:val="21"/>
                <w:highlight w:val="none"/>
              </w:rPr>
              <w:t>日。</w:t>
            </w:r>
          </w:p>
        </w:tc>
      </w:tr>
      <w:tr w14:paraId="0A76B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7EAB2B3">
            <w:pPr>
              <w:spacing w:line="360" w:lineRule="auto"/>
              <w:jc w:val="center"/>
              <w:rPr>
                <w:color w:val="auto"/>
                <w:szCs w:val="21"/>
                <w:highlight w:val="none"/>
              </w:rPr>
            </w:pPr>
            <w:r>
              <w:rPr>
                <w:color w:val="auto"/>
                <w:szCs w:val="21"/>
                <w:highlight w:val="none"/>
              </w:rPr>
              <w:t>17.1</w:t>
            </w:r>
          </w:p>
        </w:tc>
        <w:tc>
          <w:tcPr>
            <w:tcW w:w="2321" w:type="dxa"/>
            <w:vAlign w:val="center"/>
          </w:tcPr>
          <w:p w14:paraId="33353A5C">
            <w:pPr>
              <w:spacing w:line="360" w:lineRule="auto"/>
              <w:jc w:val="center"/>
              <w:rPr>
                <w:color w:val="auto"/>
                <w:szCs w:val="21"/>
                <w:highlight w:val="none"/>
              </w:rPr>
            </w:pPr>
            <w:r>
              <w:rPr>
                <w:color w:val="auto"/>
                <w:szCs w:val="21"/>
                <w:highlight w:val="none"/>
              </w:rPr>
              <w:t>磋商保证金</w:t>
            </w:r>
          </w:p>
        </w:tc>
        <w:tc>
          <w:tcPr>
            <w:tcW w:w="7080" w:type="dxa"/>
            <w:vAlign w:val="center"/>
          </w:tcPr>
          <w:p w14:paraId="31351F28">
            <w:pPr>
              <w:spacing w:line="360" w:lineRule="auto"/>
              <w:rPr>
                <w:b/>
                <w:bCs/>
                <w:color w:val="auto"/>
                <w:szCs w:val="21"/>
                <w:highlight w:val="none"/>
              </w:rPr>
            </w:pPr>
            <w:r>
              <w:rPr>
                <w:rFonts w:hint="eastAsia" w:ascii="宋体" w:hAnsi="宋体" w:cs="宋体"/>
                <w:b/>
                <w:bCs/>
                <w:color w:val="auto"/>
                <w:szCs w:val="21"/>
                <w:highlight w:val="none"/>
              </w:rPr>
              <w:t>□</w:t>
            </w:r>
            <w:r>
              <w:rPr>
                <w:b/>
                <w:bCs/>
                <w:color w:val="auto"/>
                <w:szCs w:val="21"/>
                <w:highlight w:val="none"/>
              </w:rPr>
              <w:t xml:space="preserve"> 本项目不需要缴</w:t>
            </w:r>
            <w:r>
              <w:rPr>
                <w:b/>
                <w:bCs/>
                <w:color w:val="auto"/>
                <w:kern w:val="0"/>
                <w:szCs w:val="21"/>
                <w:highlight w:val="none"/>
              </w:rPr>
              <w:t>纳</w:t>
            </w:r>
            <w:r>
              <w:rPr>
                <w:b/>
                <w:bCs/>
                <w:color w:val="auto"/>
                <w:szCs w:val="21"/>
                <w:highlight w:val="none"/>
              </w:rPr>
              <w:t>磋商保证金。</w:t>
            </w:r>
          </w:p>
          <w:p w14:paraId="246E67E7">
            <w:pPr>
              <w:snapToGrid w:val="0"/>
              <w:spacing w:line="360" w:lineRule="auto"/>
              <w:rPr>
                <w:b/>
                <w:bCs/>
                <w:color w:val="auto"/>
                <w:szCs w:val="21"/>
                <w:highlight w:val="none"/>
              </w:rPr>
            </w:pPr>
            <w:r>
              <w:rPr>
                <w:rFonts w:hint="eastAsia" w:ascii="宋体" w:hAnsi="宋体" w:cs="宋体"/>
                <w:b/>
                <w:bCs/>
                <w:color w:val="auto"/>
                <w:szCs w:val="21"/>
                <w:highlight w:val="none"/>
              </w:rPr>
              <w:t xml:space="preserve">☑ </w:t>
            </w:r>
            <w:r>
              <w:rPr>
                <w:b/>
                <w:bCs/>
                <w:color w:val="auto"/>
                <w:szCs w:val="21"/>
                <w:highlight w:val="none"/>
              </w:rPr>
              <w:t>本项目需要缴</w:t>
            </w:r>
            <w:r>
              <w:rPr>
                <w:b/>
                <w:bCs/>
                <w:color w:val="auto"/>
                <w:kern w:val="0"/>
                <w:szCs w:val="21"/>
                <w:highlight w:val="none"/>
              </w:rPr>
              <w:t>纳</w:t>
            </w:r>
            <w:r>
              <w:rPr>
                <w:b/>
                <w:bCs/>
                <w:color w:val="auto"/>
                <w:szCs w:val="21"/>
                <w:highlight w:val="none"/>
              </w:rPr>
              <w:t>磋商保证金，相关要求如下：</w:t>
            </w:r>
          </w:p>
          <w:p w14:paraId="1A473B3F">
            <w:pPr>
              <w:snapToGrid w:val="0"/>
              <w:spacing w:line="360" w:lineRule="auto"/>
              <w:rPr>
                <w:color w:val="auto"/>
                <w:szCs w:val="21"/>
                <w:highlight w:val="none"/>
              </w:rPr>
            </w:pPr>
            <w:r>
              <w:rPr>
                <w:color w:val="auto"/>
                <w:szCs w:val="21"/>
                <w:highlight w:val="none"/>
              </w:rPr>
              <w:t>1.磋商保证金的缴纳方式：详见竞争性磋商公告。</w:t>
            </w:r>
          </w:p>
          <w:p w14:paraId="26DCAEE2">
            <w:pPr>
              <w:snapToGrid w:val="0"/>
              <w:spacing w:line="360" w:lineRule="auto"/>
              <w:rPr>
                <w:color w:val="auto"/>
                <w:szCs w:val="21"/>
                <w:highlight w:val="none"/>
              </w:rPr>
            </w:pPr>
            <w:r>
              <w:rPr>
                <w:color w:val="auto"/>
                <w:szCs w:val="21"/>
                <w:highlight w:val="none"/>
              </w:rPr>
              <w:t>2.磋商保证金的金额：详见竞争性磋商公告。</w:t>
            </w:r>
          </w:p>
          <w:p w14:paraId="3CE6555C">
            <w:pPr>
              <w:snapToGrid w:val="0"/>
              <w:spacing w:line="360" w:lineRule="auto"/>
              <w:rPr>
                <w:color w:val="auto"/>
                <w:szCs w:val="21"/>
                <w:highlight w:val="none"/>
              </w:rPr>
            </w:pPr>
            <w:r>
              <w:rPr>
                <w:color w:val="auto"/>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b/>
                <w:color w:val="auto"/>
                <w:szCs w:val="21"/>
                <w:highlight w:val="none"/>
              </w:rPr>
              <w:t>否则响应文件按无效响应处理</w:t>
            </w:r>
            <w:r>
              <w:rPr>
                <w:color w:val="auto"/>
                <w:szCs w:val="21"/>
                <w:highlight w:val="none"/>
              </w:rPr>
              <w:t>。</w:t>
            </w:r>
          </w:p>
          <w:p w14:paraId="605A7F2E">
            <w:pPr>
              <w:snapToGrid w:val="0"/>
              <w:spacing w:line="360" w:lineRule="auto"/>
              <w:rPr>
                <w:color w:val="auto"/>
                <w:szCs w:val="21"/>
                <w:highlight w:val="none"/>
              </w:rPr>
            </w:pPr>
            <w:r>
              <w:rPr>
                <w:color w:val="auto"/>
                <w:szCs w:val="21"/>
                <w:highlight w:val="none"/>
              </w:rPr>
              <w:t>4.</w:t>
            </w:r>
            <w:r>
              <w:rPr>
                <w:rFonts w:hint="eastAsia" w:ascii="宋体" w:hAnsi="宋体" w:cs="宋体"/>
                <w:color w:val="auto"/>
                <w:szCs w:val="21"/>
                <w:highlight w:val="none"/>
              </w:rPr>
              <w:t>磋商保证金采用支票、汇票、本票或者金融机构、担保机构出具的保函等缴纳方式的，供应商应将支票、汇票、本票或者金融机构、担保机构出具的保函等的复印件或者金融机构、担保机构出具的</w:t>
            </w:r>
            <w:r>
              <w:rPr>
                <w:rFonts w:hint="eastAsia" w:ascii="宋体" w:hAnsi="宋体" w:cs="宋体"/>
                <w:color w:val="auto"/>
                <w:kern w:val="0"/>
                <w:szCs w:val="21"/>
                <w:highlight w:val="none"/>
              </w:rPr>
              <w:t>电子保函</w:t>
            </w:r>
            <w:r>
              <w:rPr>
                <w:rFonts w:hint="eastAsia" w:ascii="宋体" w:hAnsi="宋体" w:cs="宋体"/>
                <w:color w:val="auto"/>
                <w:szCs w:val="21"/>
                <w:highlight w:val="none"/>
              </w:rPr>
              <w:t>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。供应商必须在</w:t>
            </w:r>
            <w:r>
              <w:rPr>
                <w:rFonts w:hint="eastAsia" w:ascii="宋体" w:hAnsi="宋体" w:cs="宋体"/>
                <w:color w:val="auto"/>
                <w:kern w:val="0"/>
                <w:szCs w:val="21"/>
                <w:highlight w:val="none"/>
              </w:rPr>
              <w:t>首次响应文件提交截止时间前</w:t>
            </w:r>
            <w:r>
              <w:rPr>
                <w:rFonts w:hint="eastAsia" w:ascii="宋体" w:hAnsi="宋体" w:cs="宋体"/>
                <w:color w:val="auto"/>
                <w:szCs w:val="21"/>
                <w:highlight w:val="none"/>
              </w:rPr>
              <w:t>将支票、汇票、本票或者金融机构、担保机构出具的保函（</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）等原件提交给采购代理机构，由采购代理机构向供应商出具回执，并妥善保管</w:t>
            </w:r>
            <w:r>
              <w:rPr>
                <w:color w:val="auto"/>
                <w:szCs w:val="21"/>
                <w:highlight w:val="none"/>
              </w:rPr>
              <w:t>。</w:t>
            </w:r>
          </w:p>
          <w:p w14:paraId="56861507">
            <w:pPr>
              <w:snapToGrid w:val="0"/>
              <w:spacing w:line="360" w:lineRule="auto"/>
              <w:rPr>
                <w:color w:val="auto"/>
                <w:szCs w:val="21"/>
                <w:highlight w:val="none"/>
              </w:rPr>
            </w:pPr>
            <w:r>
              <w:rPr>
                <w:color w:val="auto"/>
                <w:szCs w:val="21"/>
                <w:highlight w:val="none"/>
              </w:rPr>
              <w:t>5.磋商保证金指定账户：详见竞争性磋商公告。</w:t>
            </w:r>
          </w:p>
          <w:p w14:paraId="07EFE20C">
            <w:pPr>
              <w:snapToGrid w:val="0"/>
              <w:spacing w:line="360" w:lineRule="auto"/>
              <w:rPr>
                <w:b/>
                <w:color w:val="auto"/>
                <w:szCs w:val="21"/>
                <w:highlight w:val="none"/>
              </w:rPr>
            </w:pPr>
            <w:r>
              <w:rPr>
                <w:color w:val="auto"/>
                <w:szCs w:val="21"/>
                <w:highlight w:val="none"/>
              </w:rPr>
              <w:t>6.供应商为联合体的，可以由联合体中的一方或者多方共同缴纳磋商保证金，其缴纳的磋商保证金对联合体各方均具有约束力。</w:t>
            </w:r>
          </w:p>
          <w:p w14:paraId="7A46E25C">
            <w:pPr>
              <w:snapToGrid w:val="0"/>
              <w:spacing w:line="360" w:lineRule="auto"/>
              <w:rPr>
                <w:b/>
                <w:color w:val="auto"/>
                <w:szCs w:val="21"/>
                <w:highlight w:val="none"/>
              </w:rPr>
            </w:pPr>
            <w:r>
              <w:rPr>
                <w:b/>
                <w:color w:val="auto"/>
                <w:szCs w:val="21"/>
                <w:highlight w:val="none"/>
              </w:rPr>
              <w:t xml:space="preserve">备注： </w:t>
            </w:r>
          </w:p>
          <w:p w14:paraId="72752793">
            <w:pPr>
              <w:snapToGrid w:val="0"/>
              <w:spacing w:line="360" w:lineRule="auto"/>
              <w:rPr>
                <w:b/>
                <w:color w:val="auto"/>
                <w:szCs w:val="21"/>
                <w:highlight w:val="none"/>
              </w:rPr>
            </w:pPr>
            <w:r>
              <w:rPr>
                <w:b/>
                <w:color w:val="auto"/>
                <w:szCs w:val="21"/>
                <w:highlight w:val="none"/>
              </w:rPr>
              <w:t>1.磋商保证金在首次响应文件提交截止时间后提交的，或者不按规定缴纳方式缴纳的，或者未足额缴纳的（包含保函额度不足的），视为无效磋商保证金。</w:t>
            </w:r>
          </w:p>
          <w:p w14:paraId="76F6E526">
            <w:pPr>
              <w:snapToGrid w:val="0"/>
              <w:spacing w:line="360" w:lineRule="auto"/>
              <w:rPr>
                <w:b/>
                <w:color w:val="auto"/>
                <w:szCs w:val="21"/>
                <w:highlight w:val="none"/>
              </w:rPr>
            </w:pPr>
            <w:r>
              <w:rPr>
                <w:b/>
                <w:color w:val="auto"/>
                <w:szCs w:val="21"/>
                <w:highlight w:val="none"/>
              </w:rPr>
              <w:t>2.供应商采用现金方式或者从个人账户（自然人竞标除外）转出的磋商保证金，视为无效磋商保证金。</w:t>
            </w:r>
          </w:p>
          <w:p w14:paraId="7BBB8E6F">
            <w:pPr>
              <w:snapToGrid w:val="0"/>
              <w:spacing w:line="360" w:lineRule="auto"/>
              <w:rPr>
                <w:b/>
                <w:color w:val="auto"/>
                <w:szCs w:val="21"/>
                <w:highlight w:val="none"/>
              </w:rPr>
            </w:pPr>
            <w:r>
              <w:rPr>
                <w:b/>
                <w:color w:val="auto"/>
                <w:szCs w:val="21"/>
                <w:highlight w:val="none"/>
              </w:rPr>
              <w:t>3.支票、汇票或者本票出现无效或者背书情形的，视为无效磋商保证金。</w:t>
            </w:r>
          </w:p>
          <w:p w14:paraId="11F96C5F">
            <w:pPr>
              <w:snapToGrid w:val="0"/>
              <w:spacing w:line="360" w:lineRule="auto"/>
              <w:rPr>
                <w:b/>
                <w:color w:val="auto"/>
                <w:szCs w:val="21"/>
                <w:highlight w:val="none"/>
              </w:rPr>
            </w:pPr>
            <w:r>
              <w:rPr>
                <w:b/>
                <w:color w:val="auto"/>
                <w:szCs w:val="21"/>
                <w:highlight w:val="none"/>
              </w:rPr>
              <w:t>4.保函有效期低于竞标有效期的，视为无效磋商保证金。</w:t>
            </w:r>
          </w:p>
          <w:p w14:paraId="22E079B2">
            <w:pPr>
              <w:autoSpaceDE w:val="0"/>
              <w:autoSpaceDN w:val="0"/>
              <w:snapToGrid w:val="0"/>
              <w:spacing w:line="360" w:lineRule="auto"/>
              <w:textAlignment w:val="bottom"/>
              <w:rPr>
                <w:color w:val="auto"/>
                <w:szCs w:val="21"/>
                <w:highlight w:val="none"/>
              </w:rPr>
            </w:pPr>
            <w:r>
              <w:rPr>
                <w:b/>
                <w:color w:val="auto"/>
                <w:szCs w:val="21"/>
                <w:highlight w:val="none"/>
              </w:rPr>
              <w:t>5.采用金融、担保机构出具保函的，必须为无条件保函，否则视为无效磋商保证金。</w:t>
            </w:r>
          </w:p>
        </w:tc>
      </w:tr>
      <w:tr w14:paraId="1AF29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210BD743">
            <w:pPr>
              <w:spacing w:line="360" w:lineRule="auto"/>
              <w:jc w:val="center"/>
              <w:rPr>
                <w:color w:val="auto"/>
                <w:szCs w:val="21"/>
                <w:highlight w:val="none"/>
              </w:rPr>
            </w:pPr>
            <w:r>
              <w:rPr>
                <w:color w:val="auto"/>
                <w:szCs w:val="21"/>
                <w:highlight w:val="none"/>
              </w:rPr>
              <w:t>20.1</w:t>
            </w:r>
          </w:p>
        </w:tc>
        <w:tc>
          <w:tcPr>
            <w:tcW w:w="2321" w:type="dxa"/>
            <w:vAlign w:val="center"/>
          </w:tcPr>
          <w:p w14:paraId="3135247E">
            <w:pPr>
              <w:spacing w:line="360" w:lineRule="auto"/>
              <w:jc w:val="center"/>
              <w:rPr>
                <w:color w:val="auto"/>
                <w:szCs w:val="21"/>
                <w:highlight w:val="none"/>
              </w:rPr>
            </w:pPr>
            <w:r>
              <w:rPr>
                <w:color w:val="auto"/>
                <w:szCs w:val="21"/>
                <w:highlight w:val="none"/>
              </w:rPr>
              <w:t>首次响应文件</w:t>
            </w:r>
          </w:p>
          <w:p w14:paraId="3CFE1F26">
            <w:pPr>
              <w:spacing w:line="360" w:lineRule="auto"/>
              <w:jc w:val="center"/>
              <w:rPr>
                <w:color w:val="auto"/>
                <w:szCs w:val="21"/>
                <w:highlight w:val="none"/>
              </w:rPr>
            </w:pPr>
            <w:r>
              <w:rPr>
                <w:color w:val="auto"/>
                <w:szCs w:val="21"/>
                <w:highlight w:val="none"/>
              </w:rPr>
              <w:t>提交截止时间</w:t>
            </w:r>
          </w:p>
        </w:tc>
        <w:tc>
          <w:tcPr>
            <w:tcW w:w="7080" w:type="dxa"/>
            <w:vAlign w:val="center"/>
          </w:tcPr>
          <w:p w14:paraId="15A71106">
            <w:pPr>
              <w:snapToGrid w:val="0"/>
              <w:spacing w:line="360" w:lineRule="auto"/>
              <w:jc w:val="left"/>
              <w:rPr>
                <w:color w:val="auto"/>
                <w:szCs w:val="21"/>
                <w:highlight w:val="none"/>
                <w:u w:val="single"/>
              </w:rPr>
            </w:pPr>
            <w:r>
              <w:rPr>
                <w:color w:val="auto"/>
                <w:szCs w:val="21"/>
                <w:highlight w:val="none"/>
              </w:rPr>
              <w:t>详见竞争性磋商公告。</w:t>
            </w:r>
          </w:p>
        </w:tc>
      </w:tr>
      <w:tr w14:paraId="1C10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5BC3EF80">
            <w:pPr>
              <w:spacing w:line="360" w:lineRule="auto"/>
              <w:jc w:val="center"/>
              <w:rPr>
                <w:color w:val="auto"/>
                <w:szCs w:val="21"/>
                <w:highlight w:val="none"/>
              </w:rPr>
            </w:pPr>
          </w:p>
        </w:tc>
        <w:tc>
          <w:tcPr>
            <w:tcW w:w="2321" w:type="dxa"/>
            <w:vAlign w:val="center"/>
          </w:tcPr>
          <w:p w14:paraId="56D9714F">
            <w:pPr>
              <w:spacing w:line="360" w:lineRule="auto"/>
              <w:jc w:val="center"/>
              <w:rPr>
                <w:color w:val="auto"/>
                <w:szCs w:val="21"/>
                <w:highlight w:val="none"/>
              </w:rPr>
            </w:pPr>
            <w:r>
              <w:rPr>
                <w:color w:val="auto"/>
                <w:szCs w:val="21"/>
                <w:highlight w:val="none"/>
              </w:rPr>
              <w:t>首次响应文件</w:t>
            </w:r>
          </w:p>
          <w:p w14:paraId="3B57A4AF">
            <w:pPr>
              <w:spacing w:line="360" w:lineRule="auto"/>
              <w:jc w:val="center"/>
              <w:rPr>
                <w:color w:val="auto"/>
                <w:szCs w:val="21"/>
                <w:highlight w:val="none"/>
              </w:rPr>
            </w:pPr>
            <w:r>
              <w:rPr>
                <w:color w:val="auto"/>
                <w:szCs w:val="21"/>
                <w:highlight w:val="none"/>
              </w:rPr>
              <w:t>开启时间</w:t>
            </w:r>
          </w:p>
        </w:tc>
        <w:tc>
          <w:tcPr>
            <w:tcW w:w="7080" w:type="dxa"/>
            <w:vAlign w:val="center"/>
          </w:tcPr>
          <w:p w14:paraId="5A39B79D">
            <w:pPr>
              <w:snapToGrid w:val="0"/>
              <w:spacing w:line="360" w:lineRule="auto"/>
              <w:jc w:val="left"/>
              <w:rPr>
                <w:color w:val="auto"/>
                <w:szCs w:val="21"/>
                <w:highlight w:val="none"/>
              </w:rPr>
            </w:pPr>
            <w:r>
              <w:rPr>
                <w:color w:val="auto"/>
                <w:szCs w:val="21"/>
                <w:highlight w:val="none"/>
              </w:rPr>
              <w:t>详见竞争性磋商公告。</w:t>
            </w:r>
          </w:p>
        </w:tc>
      </w:tr>
      <w:tr w14:paraId="27ADF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7C73423E">
            <w:pPr>
              <w:spacing w:line="360" w:lineRule="auto"/>
              <w:jc w:val="center"/>
              <w:rPr>
                <w:color w:val="auto"/>
                <w:szCs w:val="21"/>
                <w:highlight w:val="none"/>
              </w:rPr>
            </w:pPr>
          </w:p>
        </w:tc>
        <w:tc>
          <w:tcPr>
            <w:tcW w:w="2321" w:type="dxa"/>
            <w:vAlign w:val="center"/>
          </w:tcPr>
          <w:p w14:paraId="26CC2A71">
            <w:pPr>
              <w:spacing w:line="360" w:lineRule="auto"/>
              <w:jc w:val="center"/>
              <w:rPr>
                <w:color w:val="auto"/>
                <w:szCs w:val="21"/>
                <w:highlight w:val="none"/>
              </w:rPr>
            </w:pPr>
            <w:r>
              <w:rPr>
                <w:color w:val="auto"/>
                <w:szCs w:val="21"/>
                <w:highlight w:val="none"/>
              </w:rPr>
              <w:t>首次响应文件提交地点</w:t>
            </w:r>
          </w:p>
        </w:tc>
        <w:tc>
          <w:tcPr>
            <w:tcW w:w="7080" w:type="dxa"/>
            <w:vAlign w:val="center"/>
          </w:tcPr>
          <w:p w14:paraId="12CD0D96">
            <w:pPr>
              <w:snapToGrid w:val="0"/>
              <w:spacing w:line="360" w:lineRule="auto"/>
              <w:jc w:val="left"/>
              <w:rPr>
                <w:color w:val="auto"/>
                <w:szCs w:val="21"/>
                <w:highlight w:val="none"/>
                <w:u w:val="single"/>
              </w:rPr>
            </w:pPr>
            <w:r>
              <w:rPr>
                <w:color w:val="auto"/>
                <w:szCs w:val="21"/>
                <w:highlight w:val="none"/>
              </w:rPr>
              <w:t>详见竞争性磋商公告。</w:t>
            </w:r>
          </w:p>
        </w:tc>
      </w:tr>
      <w:tr w14:paraId="5A6F9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3AC3CB0F">
            <w:pPr>
              <w:spacing w:line="360" w:lineRule="auto"/>
              <w:jc w:val="center"/>
              <w:rPr>
                <w:color w:val="auto"/>
                <w:szCs w:val="21"/>
                <w:highlight w:val="none"/>
              </w:rPr>
            </w:pPr>
            <w:r>
              <w:rPr>
                <w:color w:val="auto"/>
                <w:szCs w:val="21"/>
                <w:highlight w:val="none"/>
              </w:rPr>
              <w:t>20.6</w:t>
            </w:r>
          </w:p>
        </w:tc>
        <w:tc>
          <w:tcPr>
            <w:tcW w:w="2321" w:type="dxa"/>
            <w:vAlign w:val="center"/>
          </w:tcPr>
          <w:p w14:paraId="116C31D1">
            <w:pPr>
              <w:spacing w:line="360" w:lineRule="auto"/>
              <w:jc w:val="center"/>
              <w:rPr>
                <w:color w:val="auto"/>
                <w:szCs w:val="21"/>
                <w:highlight w:val="none"/>
              </w:rPr>
            </w:pPr>
            <w:r>
              <w:rPr>
                <w:color w:val="auto"/>
                <w:szCs w:val="21"/>
                <w:highlight w:val="none"/>
              </w:rPr>
              <w:t>备份响应文件</w:t>
            </w:r>
          </w:p>
        </w:tc>
        <w:tc>
          <w:tcPr>
            <w:tcW w:w="7080" w:type="dxa"/>
            <w:vAlign w:val="center"/>
          </w:tcPr>
          <w:p w14:paraId="15A9F70B">
            <w:pPr>
              <w:snapToGrid w:val="0"/>
              <w:spacing w:line="360" w:lineRule="auto"/>
              <w:jc w:val="left"/>
              <w:rPr>
                <w:color w:val="auto"/>
                <w:szCs w:val="21"/>
                <w:highlight w:val="none"/>
              </w:rPr>
            </w:pPr>
            <w:r>
              <w:rPr>
                <w:color w:val="auto"/>
                <w:szCs w:val="21"/>
                <w:highlight w:val="none"/>
              </w:rPr>
              <w:t>本项目不接受备份响应文件。</w:t>
            </w:r>
          </w:p>
        </w:tc>
      </w:tr>
      <w:tr w14:paraId="09A5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00184032">
            <w:pPr>
              <w:spacing w:line="360" w:lineRule="auto"/>
              <w:jc w:val="center"/>
              <w:rPr>
                <w:color w:val="auto"/>
                <w:szCs w:val="21"/>
                <w:highlight w:val="none"/>
              </w:rPr>
            </w:pPr>
            <w:r>
              <w:rPr>
                <w:rFonts w:hint="eastAsia"/>
                <w:color w:val="auto"/>
                <w:szCs w:val="21"/>
                <w:highlight w:val="none"/>
              </w:rPr>
              <w:t>21</w:t>
            </w:r>
          </w:p>
        </w:tc>
        <w:tc>
          <w:tcPr>
            <w:tcW w:w="2321" w:type="dxa"/>
            <w:vAlign w:val="center"/>
          </w:tcPr>
          <w:p w14:paraId="461120E5">
            <w:pPr>
              <w:spacing w:line="360" w:lineRule="auto"/>
              <w:jc w:val="center"/>
              <w:rPr>
                <w:color w:val="auto"/>
                <w:szCs w:val="21"/>
                <w:highlight w:val="none"/>
              </w:rPr>
            </w:pPr>
            <w:r>
              <w:rPr>
                <w:rFonts w:hint="eastAsia" w:ascii="宋体" w:hAnsi="宋体" w:cs="宋体"/>
                <w:color w:val="auto"/>
                <w:szCs w:val="21"/>
                <w:highlight w:val="none"/>
              </w:rPr>
              <w:t>首次响应文件的补充、修改与撤回</w:t>
            </w:r>
          </w:p>
        </w:tc>
        <w:tc>
          <w:tcPr>
            <w:tcW w:w="7080" w:type="dxa"/>
            <w:vAlign w:val="center"/>
          </w:tcPr>
          <w:p w14:paraId="6BD857C1">
            <w:pPr>
              <w:snapToGrid w:val="0"/>
              <w:spacing w:line="360" w:lineRule="auto"/>
              <w:jc w:val="left"/>
              <w:rPr>
                <w:color w:val="auto"/>
                <w:szCs w:val="21"/>
                <w:highlight w:val="none"/>
              </w:rPr>
            </w:pPr>
            <w:r>
              <w:rPr>
                <w:rFonts w:hint="eastAsia" w:ascii="宋体" w:hAnsi="宋体" w:cs="宋体"/>
                <w:color w:val="auto"/>
                <w:szCs w:val="21"/>
                <w:highlight w:val="none"/>
              </w:rPr>
              <w:t>详见</w:t>
            </w:r>
            <w:r>
              <w:rPr>
                <w:rFonts w:hint="eastAsia" w:ascii="宋体" w:hAnsi="宋体"/>
                <w:bCs/>
                <w:color w:val="auto"/>
                <w:highlight w:val="none"/>
              </w:rPr>
              <w:t>供应商须知正文</w:t>
            </w:r>
            <w:r>
              <w:rPr>
                <w:rFonts w:hint="eastAsia" w:ascii="宋体" w:hAnsi="宋体" w:cs="宋体"/>
                <w:color w:val="auto"/>
                <w:szCs w:val="21"/>
                <w:highlight w:val="none"/>
              </w:rPr>
              <w:t>。</w:t>
            </w:r>
          </w:p>
        </w:tc>
      </w:tr>
      <w:tr w14:paraId="3835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restart"/>
            <w:vAlign w:val="center"/>
          </w:tcPr>
          <w:p w14:paraId="3E79DACB">
            <w:pPr>
              <w:spacing w:line="360" w:lineRule="auto"/>
              <w:jc w:val="center"/>
              <w:rPr>
                <w:color w:val="auto"/>
                <w:szCs w:val="21"/>
                <w:highlight w:val="none"/>
              </w:rPr>
            </w:pPr>
            <w:r>
              <w:rPr>
                <w:rFonts w:hint="eastAsia"/>
                <w:color w:val="auto"/>
                <w:szCs w:val="21"/>
                <w:highlight w:val="none"/>
              </w:rPr>
              <w:t>25</w:t>
            </w:r>
          </w:p>
        </w:tc>
        <w:tc>
          <w:tcPr>
            <w:tcW w:w="2321" w:type="dxa"/>
            <w:vAlign w:val="center"/>
          </w:tcPr>
          <w:p w14:paraId="2AC2D3A3">
            <w:pPr>
              <w:spacing w:line="360" w:lineRule="auto"/>
              <w:jc w:val="center"/>
              <w:rPr>
                <w:color w:val="auto"/>
                <w:szCs w:val="21"/>
                <w:highlight w:val="none"/>
              </w:rPr>
            </w:pPr>
            <w:r>
              <w:rPr>
                <w:rFonts w:hint="eastAsia" w:ascii="宋体" w:hAnsi="宋体" w:cs="宋体"/>
                <w:color w:val="auto"/>
                <w:szCs w:val="21"/>
                <w:highlight w:val="none"/>
              </w:rPr>
              <w:t>负偏离要求</w:t>
            </w:r>
          </w:p>
        </w:tc>
        <w:tc>
          <w:tcPr>
            <w:tcW w:w="7080" w:type="dxa"/>
            <w:vAlign w:val="center"/>
          </w:tcPr>
          <w:p w14:paraId="7C82528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044139DA">
            <w:pPr>
              <w:snapToGrid w:val="0"/>
              <w:spacing w:line="360" w:lineRule="auto"/>
              <w:rPr>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3975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06FCCA7E">
            <w:pPr>
              <w:spacing w:line="360" w:lineRule="auto"/>
              <w:jc w:val="center"/>
              <w:rPr>
                <w:color w:val="auto"/>
                <w:szCs w:val="21"/>
                <w:highlight w:val="none"/>
              </w:rPr>
            </w:pPr>
          </w:p>
        </w:tc>
        <w:tc>
          <w:tcPr>
            <w:tcW w:w="2321" w:type="dxa"/>
            <w:vAlign w:val="center"/>
          </w:tcPr>
          <w:p w14:paraId="2FB8301B">
            <w:pPr>
              <w:snapToGrid w:val="0"/>
              <w:spacing w:line="360" w:lineRule="auto"/>
              <w:jc w:val="center"/>
              <w:rPr>
                <w:color w:val="auto"/>
                <w:szCs w:val="21"/>
                <w:highlight w:val="none"/>
              </w:rPr>
            </w:pPr>
            <w:r>
              <w:rPr>
                <w:rFonts w:hint="eastAsia" w:ascii="宋体" w:hAnsi="宋体" w:cs="宋体"/>
                <w:color w:val="auto"/>
                <w:szCs w:val="21"/>
                <w:highlight w:val="none"/>
              </w:rPr>
              <w:t>评审方法</w:t>
            </w:r>
          </w:p>
        </w:tc>
        <w:tc>
          <w:tcPr>
            <w:tcW w:w="7080" w:type="dxa"/>
            <w:vAlign w:val="center"/>
          </w:tcPr>
          <w:p w14:paraId="569126D5">
            <w:pPr>
              <w:pStyle w:val="12"/>
              <w:spacing w:line="360" w:lineRule="auto"/>
              <w:rPr>
                <w:color w:val="auto"/>
                <w:szCs w:val="21"/>
                <w:highlight w:val="none"/>
              </w:rPr>
            </w:pPr>
            <w:r>
              <w:rPr>
                <w:rFonts w:hint="eastAsia"/>
                <w:color w:val="auto"/>
                <w:highlight w:val="none"/>
              </w:rPr>
              <w:t>本项目采用综合评分法。综合评分法是指响应文件满足竞争性磋商文件全部实质性要求且按评审因素的量化指标评审得分最高的供应商为成交候选供应商的评审方法。</w:t>
            </w:r>
          </w:p>
        </w:tc>
      </w:tr>
      <w:tr w14:paraId="1ED13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3819CFAF">
            <w:pPr>
              <w:spacing w:line="360" w:lineRule="auto"/>
              <w:jc w:val="center"/>
              <w:rPr>
                <w:color w:val="auto"/>
                <w:szCs w:val="21"/>
                <w:highlight w:val="none"/>
              </w:rPr>
            </w:pPr>
          </w:p>
        </w:tc>
        <w:tc>
          <w:tcPr>
            <w:tcW w:w="2321" w:type="dxa"/>
            <w:vAlign w:val="center"/>
          </w:tcPr>
          <w:p w14:paraId="01E7AD4E">
            <w:pPr>
              <w:snapToGrid w:val="0"/>
              <w:spacing w:line="360" w:lineRule="auto"/>
              <w:jc w:val="center"/>
              <w:rPr>
                <w:color w:val="auto"/>
                <w:szCs w:val="21"/>
                <w:highlight w:val="none"/>
              </w:rPr>
            </w:pPr>
            <w:r>
              <w:rPr>
                <w:rFonts w:hint="eastAsia" w:ascii="宋体" w:hAnsi="宋体" w:cs="宋体"/>
                <w:color w:val="auto"/>
                <w:szCs w:val="21"/>
                <w:highlight w:val="none"/>
              </w:rPr>
              <w:t>磋商的顺序</w:t>
            </w:r>
          </w:p>
        </w:tc>
        <w:tc>
          <w:tcPr>
            <w:tcW w:w="7080" w:type="dxa"/>
            <w:vAlign w:val="center"/>
          </w:tcPr>
          <w:p w14:paraId="267FA5FF">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38FD7D0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6F35F94C">
            <w:pPr>
              <w:pStyle w:val="12"/>
              <w:spacing w:line="360" w:lineRule="auto"/>
              <w:rPr>
                <w:color w:val="auto"/>
                <w:szCs w:val="21"/>
                <w:highlight w:val="none"/>
              </w:rPr>
            </w:pPr>
            <w:r>
              <w:rPr>
                <w:rFonts w:hint="eastAsia" w:ascii="宋体" w:hAnsi="宋体" w:cs="宋体"/>
                <w:b/>
                <w:color w:val="auto"/>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34F4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E26DE9D">
            <w:pPr>
              <w:spacing w:line="360" w:lineRule="auto"/>
              <w:jc w:val="center"/>
              <w:rPr>
                <w:color w:val="auto"/>
                <w:szCs w:val="21"/>
                <w:highlight w:val="none"/>
              </w:rPr>
            </w:pPr>
            <w:r>
              <w:rPr>
                <w:rFonts w:hint="eastAsia"/>
                <w:color w:val="auto"/>
                <w:szCs w:val="21"/>
                <w:highlight w:val="none"/>
              </w:rPr>
              <w:t>27</w:t>
            </w:r>
          </w:p>
        </w:tc>
        <w:tc>
          <w:tcPr>
            <w:tcW w:w="2321" w:type="dxa"/>
            <w:vAlign w:val="center"/>
          </w:tcPr>
          <w:p w14:paraId="5B70F567">
            <w:pPr>
              <w:spacing w:line="360" w:lineRule="auto"/>
              <w:jc w:val="center"/>
              <w:rPr>
                <w:color w:val="auto"/>
                <w:szCs w:val="21"/>
                <w:highlight w:val="none"/>
              </w:rPr>
            </w:pPr>
            <w:r>
              <w:rPr>
                <w:color w:val="auto"/>
                <w:szCs w:val="21"/>
                <w:highlight w:val="none"/>
              </w:rPr>
              <w:t>履约保证金</w:t>
            </w:r>
          </w:p>
        </w:tc>
        <w:tc>
          <w:tcPr>
            <w:tcW w:w="7080" w:type="dxa"/>
            <w:vAlign w:val="center"/>
          </w:tcPr>
          <w:p w14:paraId="74712D1F">
            <w:pPr>
              <w:spacing w:line="360" w:lineRule="auto"/>
              <w:rPr>
                <w:b/>
                <w:bCs/>
                <w:color w:val="auto"/>
                <w:szCs w:val="21"/>
                <w:highlight w:val="none"/>
              </w:rPr>
            </w:pPr>
            <w:r>
              <w:rPr>
                <w:rFonts w:hint="eastAsia" w:ascii="宋体" w:hAnsi="宋体" w:cs="宋体"/>
                <w:b/>
                <w:bCs/>
                <w:color w:val="auto"/>
                <w:szCs w:val="21"/>
                <w:highlight w:val="none"/>
              </w:rPr>
              <w:t xml:space="preserve">□ </w:t>
            </w:r>
            <w:r>
              <w:rPr>
                <w:b/>
                <w:bCs/>
                <w:color w:val="auto"/>
                <w:szCs w:val="21"/>
                <w:highlight w:val="none"/>
              </w:rPr>
              <w:t>本项目不需要缴</w:t>
            </w:r>
            <w:r>
              <w:rPr>
                <w:b/>
                <w:bCs/>
                <w:color w:val="auto"/>
                <w:kern w:val="0"/>
                <w:szCs w:val="21"/>
                <w:highlight w:val="none"/>
              </w:rPr>
              <w:t>纳</w:t>
            </w:r>
            <w:r>
              <w:rPr>
                <w:b/>
                <w:bCs/>
                <w:color w:val="auto"/>
                <w:szCs w:val="21"/>
                <w:highlight w:val="none"/>
              </w:rPr>
              <w:t>履约保证金。</w:t>
            </w:r>
          </w:p>
          <w:p w14:paraId="3DDB9706">
            <w:pPr>
              <w:spacing w:line="360" w:lineRule="auto"/>
              <w:rPr>
                <w:b/>
                <w:bCs/>
                <w:color w:val="auto"/>
                <w:szCs w:val="21"/>
                <w:highlight w:val="none"/>
              </w:rPr>
            </w:pPr>
            <w:r>
              <w:rPr>
                <w:rFonts w:hint="eastAsia" w:ascii="宋体" w:hAnsi="宋体" w:cs="宋体"/>
                <w:b/>
                <w:bCs/>
                <w:color w:val="auto"/>
                <w:szCs w:val="21"/>
                <w:highlight w:val="none"/>
              </w:rPr>
              <w:t xml:space="preserve">☑ </w:t>
            </w:r>
            <w:r>
              <w:rPr>
                <w:b/>
                <w:bCs/>
                <w:color w:val="auto"/>
                <w:szCs w:val="21"/>
                <w:highlight w:val="none"/>
              </w:rPr>
              <w:t>本项目需要缴</w:t>
            </w:r>
            <w:r>
              <w:rPr>
                <w:b/>
                <w:bCs/>
                <w:color w:val="auto"/>
                <w:kern w:val="0"/>
                <w:szCs w:val="21"/>
                <w:highlight w:val="none"/>
              </w:rPr>
              <w:t>纳</w:t>
            </w:r>
            <w:r>
              <w:rPr>
                <w:b/>
                <w:bCs/>
                <w:color w:val="auto"/>
                <w:szCs w:val="21"/>
                <w:highlight w:val="none"/>
              </w:rPr>
              <w:t>履约保证金，相关要求如下：</w:t>
            </w:r>
          </w:p>
          <w:p w14:paraId="4DA15CC0">
            <w:pPr>
              <w:spacing w:line="360" w:lineRule="auto"/>
              <w:rPr>
                <w:color w:val="auto"/>
                <w:szCs w:val="21"/>
                <w:highlight w:val="none"/>
              </w:rPr>
            </w:pPr>
            <w:r>
              <w:rPr>
                <w:color w:val="auto"/>
                <w:szCs w:val="21"/>
                <w:highlight w:val="none"/>
              </w:rPr>
              <w:t>1.履约保证金金额：成交供应商</w:t>
            </w:r>
            <w:r>
              <w:rPr>
                <w:rFonts w:hint="eastAsia"/>
                <w:color w:val="auto"/>
                <w:szCs w:val="21"/>
                <w:highlight w:val="none"/>
              </w:rPr>
              <w:t>在收到成交通知书后，须在20日内向采购人提交成交金额的2%的履约担保</w:t>
            </w:r>
            <w:r>
              <w:rPr>
                <w:color w:val="auto"/>
                <w:szCs w:val="21"/>
                <w:highlight w:val="none"/>
              </w:rPr>
              <w:t>。</w:t>
            </w:r>
          </w:p>
          <w:p w14:paraId="5BF6C8AE">
            <w:pPr>
              <w:spacing w:line="360" w:lineRule="auto"/>
              <w:rPr>
                <w:color w:val="auto"/>
                <w:szCs w:val="21"/>
                <w:highlight w:val="none"/>
              </w:rPr>
            </w:pPr>
            <w:r>
              <w:rPr>
                <w:color w:val="auto"/>
                <w:szCs w:val="21"/>
                <w:highlight w:val="none"/>
              </w:rPr>
              <w:t>2.履约保证金提交方式：成交供应商在</w:t>
            </w:r>
            <w:r>
              <w:rPr>
                <w:color w:val="auto"/>
                <w:kern w:val="0"/>
                <w:szCs w:val="21"/>
                <w:highlight w:val="none"/>
              </w:rPr>
              <w:t>签订合同</w:t>
            </w:r>
            <w:r>
              <w:rPr>
                <w:color w:val="auto"/>
                <w:szCs w:val="21"/>
                <w:highlight w:val="none"/>
              </w:rPr>
              <w:t>前以银行转账、支票、汇票、本票或者金融机构、担保机构出具的保函等非现金方式向采购人提交。</w:t>
            </w:r>
          </w:p>
          <w:p w14:paraId="4906A32D">
            <w:pPr>
              <w:pStyle w:val="84"/>
              <w:spacing w:line="360" w:lineRule="auto"/>
              <w:rPr>
                <w:color w:val="auto"/>
                <w:szCs w:val="21"/>
                <w:highlight w:val="none"/>
              </w:rPr>
            </w:pPr>
            <w:r>
              <w:rPr>
                <w:color w:val="auto"/>
                <w:szCs w:val="21"/>
                <w:highlight w:val="none"/>
              </w:rPr>
              <w:t>3.履约保证金退付方式、时间及条件：</w:t>
            </w:r>
          </w:p>
          <w:p w14:paraId="427C8E5F">
            <w:pPr>
              <w:pStyle w:val="84"/>
              <w:spacing w:line="360" w:lineRule="auto"/>
              <w:rPr>
                <w:color w:val="auto"/>
                <w:szCs w:val="21"/>
                <w:highlight w:val="none"/>
              </w:rPr>
            </w:pPr>
            <w:r>
              <w:rPr>
                <w:rFonts w:hint="eastAsia"/>
                <w:color w:val="auto"/>
                <w:szCs w:val="21"/>
                <w:highlight w:val="none"/>
              </w:rPr>
              <w:t>（1）采用银行转账方式缴纳履约保证金的，工程竣工验收合格并对验收发现的问题完成整改后的5个工作日内，发包人支付履约保证金的50%；承包人向发包人完成（施工）竣工资料移交手续后，可向发包人申请退还剩余履约保证金，发包人应在收到申请之日起28个日历天内扣减承包人赔偿金和其他应从承包人扣回的款项后，在5个工作日内将履约保证金的余额退还给承包人（无息）。</w:t>
            </w:r>
          </w:p>
          <w:p w14:paraId="0640F97B">
            <w:pPr>
              <w:spacing w:line="360" w:lineRule="auto"/>
              <w:rPr>
                <w:color w:val="auto"/>
                <w:szCs w:val="21"/>
                <w:highlight w:val="none"/>
              </w:rPr>
            </w:pPr>
            <w:r>
              <w:rPr>
                <w:rFonts w:hint="eastAsia"/>
                <w:color w:val="auto"/>
                <w:szCs w:val="21"/>
                <w:highlight w:val="none"/>
              </w:rPr>
              <w:t>（2）承包人提供履约担保的，承包人向发包人完成（施工）竣工资料移交手续后，可向发包人申请退还履约保函或申请解除工程担保，发包人应在收到申请之日起5个工作日内将履约保函退还给承包人或同意解除担保</w:t>
            </w:r>
            <w:r>
              <w:rPr>
                <w:color w:val="auto"/>
                <w:szCs w:val="21"/>
                <w:highlight w:val="none"/>
              </w:rPr>
              <w:t>。</w:t>
            </w:r>
          </w:p>
          <w:p w14:paraId="6308B7FE">
            <w:pPr>
              <w:spacing w:line="360" w:lineRule="auto"/>
              <w:rPr>
                <w:color w:val="auto"/>
                <w:szCs w:val="21"/>
                <w:highlight w:val="none"/>
              </w:rPr>
            </w:pPr>
            <w:r>
              <w:rPr>
                <w:color w:val="auto"/>
                <w:szCs w:val="21"/>
                <w:highlight w:val="none"/>
              </w:rPr>
              <w:t>4.缴纳履约保证金指定账户的信息：</w:t>
            </w:r>
            <w:r>
              <w:rPr>
                <w:rFonts w:hint="eastAsia" w:ascii="宋体" w:hAnsi="宋体"/>
                <w:color w:val="auto"/>
                <w:szCs w:val="21"/>
                <w:highlight w:val="none"/>
                <w:u w:val="single"/>
              </w:rPr>
              <w:t>采购人指定账户。</w:t>
            </w:r>
          </w:p>
          <w:p w14:paraId="62B72AC9">
            <w:pPr>
              <w:spacing w:line="360" w:lineRule="auto"/>
              <w:rPr>
                <w:color w:val="auto"/>
                <w:szCs w:val="21"/>
                <w:highlight w:val="none"/>
              </w:rPr>
            </w:pPr>
            <w:r>
              <w:rPr>
                <w:color w:val="auto"/>
                <w:szCs w:val="21"/>
                <w:highlight w:val="none"/>
              </w:rPr>
              <w:t>备注：</w:t>
            </w:r>
          </w:p>
          <w:p w14:paraId="12A1307C">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1. </w:t>
            </w:r>
            <w:bookmarkStart w:id="76" w:name="_Hlk54170335"/>
            <w:r>
              <w:rPr>
                <w:rFonts w:hint="eastAsia" w:ascii="宋体" w:hAnsi="宋体" w:cs="宋体"/>
                <w:b/>
                <w:color w:val="auto"/>
                <w:szCs w:val="21"/>
                <w:highlight w:val="none"/>
              </w:rPr>
              <w:t>根据</w:t>
            </w:r>
            <w:r>
              <w:rPr>
                <w:rFonts w:hint="eastAsia" w:ascii="宋体" w:hAnsi="宋体"/>
                <w:b/>
                <w:color w:val="auto"/>
                <w:szCs w:val="21"/>
                <w:highlight w:val="none"/>
              </w:rPr>
              <w:t>《广西壮族自治区财政厅关于贯彻落实政府采购优化营商环境百日攻坚行动方案的通知》（桂财采〔2020〕49号）和</w:t>
            </w:r>
            <w:r>
              <w:rPr>
                <w:rFonts w:hint="eastAsia" w:ascii="宋体" w:hAnsi="宋体" w:cs="宋体"/>
                <w:b/>
                <w:color w:val="auto"/>
                <w:szCs w:val="21"/>
                <w:highlight w:val="none"/>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76"/>
          </w:p>
          <w:p w14:paraId="760627E0">
            <w:pPr>
              <w:spacing w:line="360" w:lineRule="auto"/>
              <w:rPr>
                <w:rFonts w:ascii="宋体" w:hAnsi="宋体" w:cs="宋体"/>
                <w:b/>
                <w:color w:val="auto"/>
                <w:szCs w:val="21"/>
                <w:highlight w:val="none"/>
              </w:rPr>
            </w:pPr>
            <w:r>
              <w:rPr>
                <w:rFonts w:hint="eastAsia" w:ascii="宋体" w:hAnsi="宋体" w:cs="宋体"/>
                <w:b/>
                <w:color w:val="auto"/>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07FF02E6">
            <w:pPr>
              <w:spacing w:line="360" w:lineRule="auto"/>
              <w:rPr>
                <w:rFonts w:ascii="宋体" w:hAnsi="宋体" w:cs="宋体"/>
                <w:b/>
                <w:color w:val="auto"/>
                <w:szCs w:val="21"/>
                <w:highlight w:val="none"/>
              </w:rPr>
            </w:pPr>
            <w:r>
              <w:rPr>
                <w:rFonts w:hint="eastAsia" w:ascii="宋体" w:hAnsi="宋体" w:cs="宋体"/>
                <w:b/>
                <w:color w:val="auto"/>
                <w:szCs w:val="21"/>
                <w:highlight w:val="none"/>
              </w:rPr>
              <w:t>3.采用金融、担保机构出具保函的，必须为无条件保函，否则视为未按规定提交履约保证金。</w:t>
            </w:r>
          </w:p>
          <w:p w14:paraId="2013565E">
            <w:pPr>
              <w:spacing w:line="360" w:lineRule="auto"/>
              <w:rPr>
                <w:color w:val="auto"/>
                <w:szCs w:val="21"/>
                <w:highlight w:val="none"/>
              </w:rPr>
            </w:pPr>
            <w:r>
              <w:rPr>
                <w:rFonts w:hint="eastAsia" w:ascii="宋体" w:hAnsi="宋体" w:cs="宋体"/>
                <w:b/>
                <w:color w:val="auto"/>
                <w:szCs w:val="21"/>
                <w:highlight w:val="none"/>
              </w:rPr>
              <w:t>4.供应商为联合体的，可由联合体任意一方或者联合体各方共同提交的履约保证金，视为有效履约保证金。</w:t>
            </w:r>
            <w:r>
              <w:rPr>
                <w:rFonts w:hint="eastAsia" w:ascii="宋体" w:hAnsi="宋体" w:cs="宋体"/>
                <w:color w:val="auto"/>
                <w:szCs w:val="21"/>
                <w:highlight w:val="none"/>
              </w:rPr>
              <w:t xml:space="preserve"> </w:t>
            </w:r>
            <w:r>
              <w:rPr>
                <w:color w:val="auto"/>
                <w:szCs w:val="21"/>
                <w:highlight w:val="none"/>
              </w:rPr>
              <w:t xml:space="preserve"> </w:t>
            </w:r>
          </w:p>
        </w:tc>
      </w:tr>
      <w:tr w14:paraId="52B2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5133840">
            <w:pPr>
              <w:spacing w:line="360" w:lineRule="auto"/>
              <w:jc w:val="center"/>
              <w:rPr>
                <w:color w:val="auto"/>
                <w:szCs w:val="21"/>
                <w:highlight w:val="none"/>
              </w:rPr>
            </w:pPr>
            <w:r>
              <w:rPr>
                <w:color w:val="auto"/>
                <w:szCs w:val="21"/>
                <w:highlight w:val="none"/>
              </w:rPr>
              <w:t>2</w:t>
            </w:r>
            <w:r>
              <w:rPr>
                <w:rFonts w:hint="eastAsia"/>
                <w:color w:val="auto"/>
                <w:szCs w:val="21"/>
                <w:highlight w:val="none"/>
              </w:rPr>
              <w:t>8</w:t>
            </w:r>
            <w:r>
              <w:rPr>
                <w:color w:val="auto"/>
                <w:szCs w:val="21"/>
                <w:highlight w:val="none"/>
              </w:rPr>
              <w:t>.5</w:t>
            </w:r>
          </w:p>
        </w:tc>
        <w:tc>
          <w:tcPr>
            <w:tcW w:w="2321" w:type="dxa"/>
            <w:vAlign w:val="center"/>
          </w:tcPr>
          <w:p w14:paraId="07C86335">
            <w:pPr>
              <w:spacing w:line="360" w:lineRule="auto"/>
              <w:jc w:val="center"/>
              <w:rPr>
                <w:color w:val="auto"/>
                <w:szCs w:val="21"/>
                <w:highlight w:val="none"/>
              </w:rPr>
            </w:pPr>
            <w:r>
              <w:rPr>
                <w:color w:val="auto"/>
                <w:szCs w:val="21"/>
                <w:highlight w:val="none"/>
              </w:rPr>
              <w:t>签订合同携带的材料</w:t>
            </w:r>
          </w:p>
        </w:tc>
        <w:tc>
          <w:tcPr>
            <w:tcW w:w="7080" w:type="dxa"/>
            <w:vAlign w:val="center"/>
          </w:tcPr>
          <w:p w14:paraId="3BCCA54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32F568FB">
            <w:pPr>
              <w:autoSpaceDE w:val="0"/>
              <w:autoSpaceDN w:val="0"/>
              <w:snapToGrid w:val="0"/>
              <w:spacing w:line="360" w:lineRule="auto"/>
              <w:textAlignment w:val="bottom"/>
              <w:rPr>
                <w:b/>
                <w:bCs/>
                <w:i/>
                <w:iCs/>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5C272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7C52A083">
            <w:pPr>
              <w:spacing w:line="360" w:lineRule="auto"/>
              <w:jc w:val="center"/>
              <w:rPr>
                <w:color w:val="auto"/>
                <w:szCs w:val="21"/>
                <w:highlight w:val="none"/>
              </w:rPr>
            </w:pPr>
            <w:r>
              <w:rPr>
                <w:color w:val="auto"/>
                <w:szCs w:val="21"/>
                <w:highlight w:val="none"/>
              </w:rPr>
              <w:t>3</w:t>
            </w:r>
            <w:r>
              <w:rPr>
                <w:rFonts w:hint="eastAsia"/>
                <w:color w:val="auto"/>
                <w:szCs w:val="21"/>
                <w:highlight w:val="none"/>
              </w:rPr>
              <w:t>0</w:t>
            </w:r>
            <w:r>
              <w:rPr>
                <w:color w:val="auto"/>
                <w:szCs w:val="21"/>
                <w:highlight w:val="none"/>
              </w:rPr>
              <w:t>.2</w:t>
            </w:r>
          </w:p>
        </w:tc>
        <w:tc>
          <w:tcPr>
            <w:tcW w:w="2321" w:type="dxa"/>
            <w:vAlign w:val="center"/>
          </w:tcPr>
          <w:p w14:paraId="15DACAB7">
            <w:pPr>
              <w:spacing w:line="380" w:lineRule="exact"/>
              <w:jc w:val="center"/>
              <w:rPr>
                <w:color w:val="auto"/>
                <w:szCs w:val="21"/>
                <w:highlight w:val="none"/>
              </w:rPr>
            </w:pPr>
            <w:r>
              <w:rPr>
                <w:color w:val="auto"/>
                <w:szCs w:val="21"/>
                <w:highlight w:val="none"/>
              </w:rPr>
              <w:t>接收质疑函方式</w:t>
            </w:r>
          </w:p>
        </w:tc>
        <w:tc>
          <w:tcPr>
            <w:tcW w:w="7080" w:type="dxa"/>
            <w:vAlign w:val="center"/>
          </w:tcPr>
          <w:p w14:paraId="6123DF70">
            <w:pPr>
              <w:snapToGrid w:val="0"/>
              <w:spacing w:line="380" w:lineRule="exact"/>
              <w:rPr>
                <w:color w:val="auto"/>
                <w:szCs w:val="21"/>
                <w:highlight w:val="none"/>
              </w:rPr>
            </w:pPr>
            <w:r>
              <w:rPr>
                <w:color w:val="auto"/>
                <w:szCs w:val="21"/>
                <w:highlight w:val="none"/>
              </w:rPr>
              <w:t>以书面形式</w:t>
            </w:r>
          </w:p>
        </w:tc>
      </w:tr>
      <w:tr w14:paraId="6354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046E6912">
            <w:pPr>
              <w:spacing w:line="360" w:lineRule="auto"/>
              <w:jc w:val="center"/>
              <w:rPr>
                <w:color w:val="auto"/>
                <w:szCs w:val="21"/>
                <w:highlight w:val="none"/>
              </w:rPr>
            </w:pPr>
          </w:p>
        </w:tc>
        <w:tc>
          <w:tcPr>
            <w:tcW w:w="2321" w:type="dxa"/>
            <w:vAlign w:val="center"/>
          </w:tcPr>
          <w:p w14:paraId="3E028459">
            <w:pPr>
              <w:spacing w:line="380" w:lineRule="exact"/>
              <w:jc w:val="center"/>
              <w:rPr>
                <w:color w:val="auto"/>
                <w:szCs w:val="21"/>
                <w:highlight w:val="none"/>
              </w:rPr>
            </w:pPr>
            <w:r>
              <w:rPr>
                <w:color w:val="auto"/>
                <w:szCs w:val="21"/>
                <w:highlight w:val="none"/>
              </w:rPr>
              <w:t>质疑联系部门及联系</w:t>
            </w:r>
          </w:p>
          <w:p w14:paraId="0A441718">
            <w:pPr>
              <w:spacing w:line="380" w:lineRule="exact"/>
              <w:jc w:val="center"/>
              <w:rPr>
                <w:color w:val="auto"/>
                <w:szCs w:val="21"/>
                <w:highlight w:val="none"/>
              </w:rPr>
            </w:pPr>
            <w:r>
              <w:rPr>
                <w:color w:val="auto"/>
                <w:szCs w:val="21"/>
                <w:highlight w:val="none"/>
              </w:rPr>
              <w:t>方式</w:t>
            </w:r>
          </w:p>
        </w:tc>
        <w:tc>
          <w:tcPr>
            <w:tcW w:w="7080" w:type="dxa"/>
            <w:vAlign w:val="center"/>
          </w:tcPr>
          <w:p w14:paraId="2AB51AD8">
            <w:pPr>
              <w:snapToGrid w:val="0"/>
              <w:spacing w:line="380" w:lineRule="exact"/>
              <w:rPr>
                <w:color w:val="auto"/>
                <w:szCs w:val="21"/>
                <w:highlight w:val="none"/>
              </w:rPr>
            </w:pPr>
            <w:r>
              <w:rPr>
                <w:color w:val="auto"/>
                <w:szCs w:val="21"/>
                <w:highlight w:val="none"/>
              </w:rPr>
              <w:t>（1）</w:t>
            </w:r>
            <w:bookmarkStart w:id="77" w:name="PO_3000001868_PM031_3"/>
            <w:r>
              <w:rPr>
                <w:color w:val="auto"/>
                <w:szCs w:val="21"/>
                <w:highlight w:val="none"/>
              </w:rPr>
              <w:t>名称：</w:t>
            </w:r>
            <w:bookmarkEnd w:id="77"/>
            <w:r>
              <w:rPr>
                <w:rFonts w:hint="eastAsia"/>
                <w:color w:val="auto"/>
                <w:szCs w:val="21"/>
                <w:highlight w:val="none"/>
              </w:rPr>
              <w:t>广西民族大学</w:t>
            </w:r>
          </w:p>
          <w:p w14:paraId="28784CC2">
            <w:pPr>
              <w:snapToGrid w:val="0"/>
              <w:spacing w:line="380" w:lineRule="exact"/>
              <w:rPr>
                <w:color w:val="auto"/>
                <w:szCs w:val="21"/>
                <w:highlight w:val="none"/>
              </w:rPr>
            </w:pPr>
            <w:r>
              <w:rPr>
                <w:color w:val="auto"/>
                <w:szCs w:val="21"/>
                <w:highlight w:val="none"/>
              </w:rPr>
              <w:t>联系电话：</w:t>
            </w:r>
            <w:bookmarkStart w:id="78" w:name="EBf36626878d6e42cc99fe79c2a83dc80f"/>
            <w:r>
              <w:rPr>
                <w:rFonts w:hint="eastAsia"/>
                <w:color w:val="auto"/>
                <w:szCs w:val="21"/>
                <w:highlight w:val="none"/>
              </w:rPr>
              <w:t>0771-</w:t>
            </w:r>
            <w:bookmarkEnd w:id="78"/>
            <w:r>
              <w:rPr>
                <w:rFonts w:hint="eastAsia"/>
                <w:color w:val="auto"/>
                <w:szCs w:val="21"/>
                <w:highlight w:val="none"/>
              </w:rPr>
              <w:t>3265219</w:t>
            </w:r>
          </w:p>
          <w:p w14:paraId="10860BEC">
            <w:pPr>
              <w:snapToGrid w:val="0"/>
              <w:spacing w:line="380" w:lineRule="exact"/>
              <w:rPr>
                <w:color w:val="auto"/>
                <w:szCs w:val="21"/>
                <w:highlight w:val="none"/>
              </w:rPr>
            </w:pPr>
            <w:r>
              <w:rPr>
                <w:rFonts w:hint="eastAsia"/>
                <w:color w:val="auto"/>
                <w:szCs w:val="21"/>
                <w:highlight w:val="none"/>
              </w:rPr>
              <w:t xml:space="preserve">通讯地址：广西南宁市大学东路188号 </w:t>
            </w:r>
          </w:p>
          <w:p w14:paraId="3C490FBA">
            <w:pPr>
              <w:snapToGrid w:val="0"/>
              <w:spacing w:line="380" w:lineRule="exact"/>
              <w:rPr>
                <w:color w:val="auto"/>
                <w:szCs w:val="21"/>
                <w:highlight w:val="none"/>
              </w:rPr>
            </w:pPr>
            <w:r>
              <w:rPr>
                <w:color w:val="auto"/>
                <w:szCs w:val="21"/>
                <w:highlight w:val="none"/>
              </w:rPr>
              <w:t>（2）名称：</w:t>
            </w:r>
            <w:r>
              <w:rPr>
                <w:rFonts w:hint="eastAsia"/>
                <w:color w:val="auto"/>
                <w:szCs w:val="21"/>
                <w:highlight w:val="none"/>
              </w:rPr>
              <w:t>广西科联招标中心有限公司</w:t>
            </w:r>
          </w:p>
          <w:p w14:paraId="6ADDDEDF">
            <w:pPr>
              <w:snapToGrid w:val="0"/>
              <w:spacing w:line="380" w:lineRule="exact"/>
              <w:rPr>
                <w:color w:val="auto"/>
                <w:szCs w:val="21"/>
                <w:highlight w:val="none"/>
              </w:rPr>
            </w:pPr>
            <w:r>
              <w:rPr>
                <w:color w:val="auto"/>
                <w:szCs w:val="21"/>
                <w:highlight w:val="none"/>
              </w:rPr>
              <w:t>联系电话：0771-3486228</w:t>
            </w:r>
          </w:p>
          <w:p w14:paraId="51F6B686">
            <w:pPr>
              <w:snapToGrid w:val="0"/>
              <w:spacing w:line="380" w:lineRule="exact"/>
              <w:rPr>
                <w:color w:val="auto"/>
                <w:szCs w:val="21"/>
                <w:highlight w:val="none"/>
              </w:rPr>
            </w:pPr>
            <w:r>
              <w:rPr>
                <w:color w:val="auto"/>
                <w:szCs w:val="21"/>
                <w:highlight w:val="none"/>
              </w:rPr>
              <w:t>通讯地址：广西科联招标中心有限公司</w:t>
            </w:r>
            <w:r>
              <w:rPr>
                <w:rFonts w:hint="eastAsia"/>
                <w:color w:val="auto"/>
                <w:szCs w:val="21"/>
                <w:highlight w:val="none"/>
              </w:rPr>
              <w:t>一楼103</w:t>
            </w:r>
            <w:r>
              <w:rPr>
                <w:color w:val="auto"/>
                <w:szCs w:val="21"/>
                <w:highlight w:val="none"/>
              </w:rPr>
              <w:t>室（广西南宁市大学东路170号广西</w:t>
            </w:r>
            <w:r>
              <w:rPr>
                <w:rFonts w:hint="eastAsia"/>
                <w:color w:val="auto"/>
                <w:szCs w:val="21"/>
                <w:highlight w:val="none"/>
              </w:rPr>
              <w:t>农业机械</w:t>
            </w:r>
            <w:r>
              <w:rPr>
                <w:color w:val="auto"/>
                <w:szCs w:val="21"/>
                <w:highlight w:val="none"/>
              </w:rPr>
              <w:t>研究院</w:t>
            </w:r>
            <w:r>
              <w:rPr>
                <w:rFonts w:hint="eastAsia"/>
                <w:color w:val="auto"/>
                <w:szCs w:val="21"/>
                <w:highlight w:val="none"/>
              </w:rPr>
              <w:t>有限公司</w:t>
            </w:r>
            <w:r>
              <w:rPr>
                <w:color w:val="auto"/>
                <w:szCs w:val="21"/>
                <w:highlight w:val="none"/>
              </w:rPr>
              <w:t>内）</w:t>
            </w:r>
          </w:p>
        </w:tc>
      </w:tr>
      <w:tr w14:paraId="4EBC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0F011045">
            <w:pPr>
              <w:spacing w:line="360" w:lineRule="auto"/>
              <w:jc w:val="center"/>
              <w:rPr>
                <w:color w:val="auto"/>
                <w:szCs w:val="21"/>
                <w:highlight w:val="none"/>
              </w:rPr>
            </w:pPr>
          </w:p>
        </w:tc>
        <w:tc>
          <w:tcPr>
            <w:tcW w:w="2321" w:type="dxa"/>
            <w:vAlign w:val="center"/>
          </w:tcPr>
          <w:p w14:paraId="078D1E86">
            <w:pPr>
              <w:spacing w:line="380" w:lineRule="exact"/>
              <w:jc w:val="center"/>
              <w:rPr>
                <w:color w:val="auto"/>
                <w:highlight w:val="none"/>
              </w:rPr>
            </w:pPr>
            <w:r>
              <w:rPr>
                <w:color w:val="auto"/>
                <w:highlight w:val="none"/>
              </w:rPr>
              <w:t>现场提交质疑办理业务</w:t>
            </w:r>
          </w:p>
          <w:p w14:paraId="556101EC">
            <w:pPr>
              <w:spacing w:line="380" w:lineRule="exact"/>
              <w:jc w:val="center"/>
              <w:rPr>
                <w:color w:val="auto"/>
                <w:szCs w:val="21"/>
                <w:highlight w:val="none"/>
              </w:rPr>
            </w:pPr>
            <w:r>
              <w:rPr>
                <w:color w:val="auto"/>
                <w:highlight w:val="none"/>
              </w:rPr>
              <w:t>时间</w:t>
            </w:r>
          </w:p>
        </w:tc>
        <w:tc>
          <w:tcPr>
            <w:tcW w:w="7080" w:type="dxa"/>
            <w:vAlign w:val="center"/>
          </w:tcPr>
          <w:p w14:paraId="3B385BB2">
            <w:pPr>
              <w:snapToGrid w:val="0"/>
              <w:spacing w:line="380" w:lineRule="exact"/>
              <w:rPr>
                <w:color w:val="auto"/>
                <w:szCs w:val="21"/>
                <w:highlight w:val="none"/>
              </w:rPr>
            </w:pPr>
            <w:r>
              <w:rPr>
                <w:color w:val="auto"/>
                <w:highlight w:val="none"/>
              </w:rPr>
              <w:t>质疑期内每个工作日（北京时间）上午</w:t>
            </w:r>
            <w:r>
              <w:rPr>
                <w:color w:val="auto"/>
                <w:highlight w:val="none"/>
                <w:u w:val="single"/>
              </w:rPr>
              <w:t>8</w:t>
            </w:r>
            <w:r>
              <w:rPr>
                <w:color w:val="auto"/>
                <w:highlight w:val="none"/>
              </w:rPr>
              <w:t>时</w:t>
            </w:r>
            <w:r>
              <w:rPr>
                <w:color w:val="auto"/>
                <w:highlight w:val="none"/>
                <w:u w:val="single"/>
              </w:rPr>
              <w:t>00</w:t>
            </w:r>
            <w:r>
              <w:rPr>
                <w:color w:val="auto"/>
                <w:highlight w:val="none"/>
              </w:rPr>
              <w:t>分到</w:t>
            </w:r>
            <w:r>
              <w:rPr>
                <w:color w:val="auto"/>
                <w:highlight w:val="none"/>
                <w:u w:val="single"/>
              </w:rPr>
              <w:t>12</w:t>
            </w:r>
            <w:r>
              <w:rPr>
                <w:color w:val="auto"/>
                <w:highlight w:val="none"/>
              </w:rPr>
              <w:t>时</w:t>
            </w:r>
            <w:r>
              <w:rPr>
                <w:color w:val="auto"/>
                <w:highlight w:val="none"/>
                <w:u w:val="single"/>
              </w:rPr>
              <w:t>00</w:t>
            </w:r>
            <w:r>
              <w:rPr>
                <w:color w:val="auto"/>
                <w:highlight w:val="none"/>
              </w:rPr>
              <w:t>分，下午</w:t>
            </w:r>
            <w:r>
              <w:rPr>
                <w:color w:val="auto"/>
                <w:highlight w:val="none"/>
                <w:u w:val="single"/>
              </w:rPr>
              <w:t>15</w:t>
            </w:r>
            <w:r>
              <w:rPr>
                <w:color w:val="auto"/>
                <w:highlight w:val="none"/>
              </w:rPr>
              <w:t>时</w:t>
            </w:r>
            <w:r>
              <w:rPr>
                <w:color w:val="auto"/>
                <w:highlight w:val="none"/>
                <w:u w:val="single"/>
              </w:rPr>
              <w:t>00</w:t>
            </w:r>
            <w:r>
              <w:rPr>
                <w:color w:val="auto"/>
                <w:highlight w:val="none"/>
              </w:rPr>
              <w:t>分到</w:t>
            </w:r>
            <w:r>
              <w:rPr>
                <w:color w:val="auto"/>
                <w:highlight w:val="none"/>
                <w:u w:val="single"/>
              </w:rPr>
              <w:t>18</w:t>
            </w:r>
            <w:r>
              <w:rPr>
                <w:color w:val="auto"/>
                <w:highlight w:val="none"/>
              </w:rPr>
              <w:t>时</w:t>
            </w:r>
            <w:r>
              <w:rPr>
                <w:color w:val="auto"/>
                <w:highlight w:val="none"/>
                <w:u w:val="single"/>
              </w:rPr>
              <w:t>00</w:t>
            </w:r>
            <w:r>
              <w:rPr>
                <w:color w:val="auto"/>
                <w:highlight w:val="none"/>
              </w:rPr>
              <w:t>分。</w:t>
            </w:r>
          </w:p>
        </w:tc>
      </w:tr>
      <w:tr w14:paraId="5E4E3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26A7744">
            <w:pPr>
              <w:spacing w:line="360" w:lineRule="auto"/>
              <w:jc w:val="center"/>
              <w:rPr>
                <w:color w:val="auto"/>
                <w:szCs w:val="21"/>
                <w:highlight w:val="none"/>
              </w:rPr>
            </w:pPr>
            <w:r>
              <w:rPr>
                <w:color w:val="auto"/>
                <w:szCs w:val="21"/>
                <w:highlight w:val="none"/>
              </w:rPr>
              <w:t>3</w:t>
            </w:r>
            <w:r>
              <w:rPr>
                <w:rFonts w:hint="eastAsia"/>
                <w:color w:val="auto"/>
                <w:szCs w:val="21"/>
                <w:highlight w:val="none"/>
              </w:rPr>
              <w:t>0</w:t>
            </w:r>
            <w:r>
              <w:rPr>
                <w:color w:val="auto"/>
                <w:szCs w:val="21"/>
                <w:highlight w:val="none"/>
              </w:rPr>
              <w:t>.6</w:t>
            </w:r>
          </w:p>
        </w:tc>
        <w:tc>
          <w:tcPr>
            <w:tcW w:w="2321" w:type="dxa"/>
            <w:vAlign w:val="center"/>
          </w:tcPr>
          <w:p w14:paraId="65E4CBC9">
            <w:pPr>
              <w:spacing w:line="360" w:lineRule="auto"/>
              <w:jc w:val="center"/>
              <w:rPr>
                <w:color w:val="auto"/>
                <w:szCs w:val="21"/>
                <w:highlight w:val="none"/>
              </w:rPr>
            </w:pPr>
            <w:r>
              <w:rPr>
                <w:color w:val="auto"/>
                <w:szCs w:val="21"/>
                <w:highlight w:val="none"/>
              </w:rPr>
              <w:t>受理投诉方式</w:t>
            </w:r>
          </w:p>
        </w:tc>
        <w:tc>
          <w:tcPr>
            <w:tcW w:w="7080" w:type="dxa"/>
            <w:vAlign w:val="center"/>
          </w:tcPr>
          <w:p w14:paraId="0FD989C8">
            <w:pPr>
              <w:snapToGrid w:val="0"/>
              <w:spacing w:line="380" w:lineRule="exact"/>
              <w:rPr>
                <w:color w:val="auto"/>
                <w:highlight w:val="none"/>
              </w:rPr>
            </w:pPr>
            <w:r>
              <w:rPr>
                <w:color w:val="auto"/>
                <w:highlight w:val="none"/>
              </w:rPr>
              <w:t>1、受理方式：纸质方式受理，投诉书正、副本（经过质疑的事项才可投诉）。</w:t>
            </w:r>
          </w:p>
          <w:p w14:paraId="10FEB6B1">
            <w:pPr>
              <w:snapToGrid w:val="0"/>
              <w:spacing w:line="380" w:lineRule="exact"/>
              <w:rPr>
                <w:color w:val="auto"/>
                <w:highlight w:val="none"/>
              </w:rPr>
            </w:pPr>
            <w:r>
              <w:rPr>
                <w:color w:val="auto"/>
                <w:highlight w:val="none"/>
              </w:rPr>
              <w:t>2、通讯方式</w:t>
            </w:r>
          </w:p>
          <w:p w14:paraId="4896F340">
            <w:pPr>
              <w:snapToGrid w:val="0"/>
              <w:spacing w:line="380" w:lineRule="exact"/>
              <w:rPr>
                <w:color w:val="auto"/>
                <w:highlight w:val="none"/>
              </w:rPr>
            </w:pPr>
            <w:r>
              <w:rPr>
                <w:color w:val="auto"/>
                <w:highlight w:val="none"/>
              </w:rPr>
              <w:t>名称：</w:t>
            </w:r>
            <w:r>
              <w:rPr>
                <w:rFonts w:hint="eastAsia"/>
                <w:color w:val="auto"/>
                <w:highlight w:val="none"/>
              </w:rPr>
              <w:t>广西壮族自治区财政厅政府采购监督管理处</w:t>
            </w:r>
          </w:p>
          <w:p w14:paraId="3F8124EA">
            <w:pPr>
              <w:snapToGrid w:val="0"/>
              <w:spacing w:line="380" w:lineRule="exact"/>
              <w:rPr>
                <w:color w:val="auto"/>
                <w:highlight w:val="none"/>
              </w:rPr>
            </w:pPr>
            <w:r>
              <w:rPr>
                <w:color w:val="auto"/>
                <w:highlight w:val="none"/>
              </w:rPr>
              <w:t>地址：</w:t>
            </w:r>
            <w:r>
              <w:rPr>
                <w:rFonts w:hint="eastAsia"/>
                <w:color w:val="auto"/>
                <w:highlight w:val="none"/>
              </w:rPr>
              <w:t>南宁市桃源路</w:t>
            </w:r>
            <w:r>
              <w:rPr>
                <w:rFonts w:hint="eastAsia" w:ascii="宋体" w:hAnsi="宋体" w:cs="宋体"/>
                <w:color w:val="auto"/>
                <w:highlight w:val="none"/>
              </w:rPr>
              <w:t>69号</w:t>
            </w:r>
          </w:p>
          <w:p w14:paraId="3546BB50">
            <w:pPr>
              <w:snapToGrid w:val="0"/>
              <w:spacing w:line="380" w:lineRule="exact"/>
              <w:rPr>
                <w:color w:val="auto"/>
                <w:highlight w:val="none"/>
              </w:rPr>
            </w:pPr>
            <w:r>
              <w:rPr>
                <w:color w:val="auto"/>
                <w:highlight w:val="none"/>
              </w:rPr>
              <w:t>联系电话：</w:t>
            </w:r>
            <w:r>
              <w:rPr>
                <w:rFonts w:hint="eastAsia" w:ascii="宋体" w:hAnsi="宋体" w:cs="宋体"/>
                <w:color w:val="auto"/>
                <w:szCs w:val="21"/>
                <w:highlight w:val="none"/>
              </w:rPr>
              <w:t>0771-5331539、5331544</w:t>
            </w:r>
          </w:p>
        </w:tc>
      </w:tr>
      <w:tr w14:paraId="412C1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1E3A9B5">
            <w:pPr>
              <w:spacing w:line="360" w:lineRule="auto"/>
              <w:jc w:val="center"/>
              <w:rPr>
                <w:color w:val="auto"/>
                <w:szCs w:val="21"/>
                <w:highlight w:val="none"/>
              </w:rPr>
            </w:pPr>
            <w:r>
              <w:rPr>
                <w:color w:val="auto"/>
                <w:szCs w:val="21"/>
                <w:highlight w:val="none"/>
              </w:rPr>
              <w:t>3</w:t>
            </w:r>
            <w:r>
              <w:rPr>
                <w:rFonts w:hint="eastAsia"/>
                <w:color w:val="auto"/>
                <w:szCs w:val="21"/>
                <w:highlight w:val="none"/>
              </w:rPr>
              <w:t>2</w:t>
            </w:r>
          </w:p>
        </w:tc>
        <w:tc>
          <w:tcPr>
            <w:tcW w:w="2321" w:type="dxa"/>
            <w:vAlign w:val="center"/>
          </w:tcPr>
          <w:p w14:paraId="02734010">
            <w:pPr>
              <w:spacing w:line="360" w:lineRule="auto"/>
              <w:jc w:val="center"/>
              <w:rPr>
                <w:color w:val="auto"/>
                <w:szCs w:val="21"/>
                <w:highlight w:val="none"/>
              </w:rPr>
            </w:pPr>
            <w:r>
              <w:rPr>
                <w:color w:val="auto"/>
                <w:szCs w:val="21"/>
                <w:highlight w:val="none"/>
              </w:rPr>
              <w:t>采购代理服务费</w:t>
            </w:r>
          </w:p>
        </w:tc>
        <w:tc>
          <w:tcPr>
            <w:tcW w:w="7080" w:type="dxa"/>
            <w:vAlign w:val="center"/>
          </w:tcPr>
          <w:p w14:paraId="22E5E9DA">
            <w:pPr>
              <w:snapToGrid w:val="0"/>
              <w:spacing w:line="360" w:lineRule="auto"/>
              <w:rPr>
                <w:color w:val="auto"/>
                <w:kern w:val="0"/>
                <w:szCs w:val="21"/>
                <w:highlight w:val="none"/>
              </w:rPr>
            </w:pPr>
            <w:r>
              <w:rPr>
                <w:rFonts w:hint="eastAsia"/>
                <w:color w:val="auto"/>
                <w:kern w:val="0"/>
                <w:szCs w:val="21"/>
                <w:highlight w:val="none"/>
              </w:rPr>
              <w:t>1.</w:t>
            </w:r>
            <w:r>
              <w:rPr>
                <w:color w:val="auto"/>
                <w:kern w:val="0"/>
                <w:szCs w:val="21"/>
                <w:highlight w:val="none"/>
              </w:rPr>
              <w:t>是否收取采购代</w:t>
            </w:r>
            <w:r>
              <w:rPr>
                <w:rFonts w:hint="eastAsia"/>
                <w:color w:val="auto"/>
                <w:kern w:val="0"/>
                <w:szCs w:val="21"/>
                <w:highlight w:val="none"/>
              </w:rPr>
              <w:t>理</w:t>
            </w:r>
            <w:r>
              <w:rPr>
                <w:color w:val="auto"/>
                <w:kern w:val="0"/>
                <w:szCs w:val="21"/>
                <w:highlight w:val="none"/>
              </w:rPr>
              <w:t xml:space="preserve">服务费：是 </w:t>
            </w:r>
          </w:p>
          <w:p w14:paraId="379778F9">
            <w:pPr>
              <w:snapToGrid w:val="0"/>
              <w:spacing w:line="360" w:lineRule="auto"/>
              <w:rPr>
                <w:color w:val="auto"/>
                <w:kern w:val="0"/>
                <w:szCs w:val="21"/>
                <w:highlight w:val="none"/>
              </w:rPr>
            </w:pPr>
            <w:r>
              <w:rPr>
                <w:color w:val="auto"/>
                <w:kern w:val="0"/>
                <w:szCs w:val="21"/>
                <w:highlight w:val="none"/>
              </w:rPr>
              <w:t>2.采购代理服务费支付方式：</w:t>
            </w:r>
          </w:p>
          <w:p w14:paraId="4E0D0E0D">
            <w:pPr>
              <w:snapToGrid w:val="0"/>
              <w:spacing w:line="360" w:lineRule="auto"/>
              <w:rPr>
                <w:color w:val="auto"/>
                <w:kern w:val="0"/>
                <w:szCs w:val="21"/>
                <w:highlight w:val="none"/>
              </w:rPr>
            </w:pPr>
            <w:r>
              <w:rPr>
                <w:color w:val="auto"/>
                <w:kern w:val="0"/>
                <w:szCs w:val="21"/>
                <w:highlight w:val="none"/>
              </w:rPr>
              <w:t>本项目采购代理服务费由成交供应商在签订合同前，</w:t>
            </w:r>
            <w:r>
              <w:rPr>
                <w:color w:val="auto"/>
                <w:highlight w:val="none"/>
              </w:rPr>
              <w:t>以银行转账、电汇等方式</w:t>
            </w:r>
            <w:r>
              <w:rPr>
                <w:color w:val="auto"/>
                <w:kern w:val="0"/>
                <w:szCs w:val="21"/>
                <w:highlight w:val="none"/>
              </w:rPr>
              <w:t>一次性向采购代理机构支付。</w:t>
            </w:r>
          </w:p>
          <w:p w14:paraId="7698CAA0">
            <w:pPr>
              <w:snapToGrid w:val="0"/>
              <w:spacing w:line="360" w:lineRule="auto"/>
              <w:rPr>
                <w:color w:val="auto"/>
                <w:kern w:val="0"/>
                <w:szCs w:val="21"/>
                <w:highlight w:val="none"/>
              </w:rPr>
            </w:pPr>
            <w:r>
              <w:rPr>
                <w:color w:val="auto"/>
                <w:kern w:val="0"/>
                <w:szCs w:val="21"/>
                <w:highlight w:val="none"/>
              </w:rPr>
              <w:t>3.采购代理服务费收取标准：</w:t>
            </w:r>
          </w:p>
          <w:p w14:paraId="0BFF4605">
            <w:pPr>
              <w:snapToGrid w:val="0"/>
              <w:spacing w:line="360" w:lineRule="auto"/>
              <w:rPr>
                <w:color w:val="auto"/>
                <w:kern w:val="0"/>
                <w:szCs w:val="21"/>
                <w:highlight w:val="none"/>
              </w:rPr>
            </w:pPr>
            <w:r>
              <w:rPr>
                <w:rFonts w:hint="eastAsia" w:ascii="宋体" w:hAnsi="宋体" w:cs="宋体"/>
                <w:color w:val="auto"/>
                <w:kern w:val="0"/>
                <w:szCs w:val="21"/>
                <w:highlight w:val="none"/>
              </w:rPr>
              <w:t>☑</w:t>
            </w:r>
            <w:r>
              <w:rPr>
                <w:color w:val="auto"/>
                <w:kern w:val="0"/>
                <w:szCs w:val="21"/>
                <w:highlight w:val="none"/>
              </w:rPr>
              <w:t>以项目（</w:t>
            </w:r>
            <w:r>
              <w:rPr>
                <w:rFonts w:hint="eastAsia" w:ascii="宋体" w:hAnsi="宋体" w:cs="宋体"/>
                <w:color w:val="auto"/>
                <w:kern w:val="0"/>
                <w:szCs w:val="21"/>
                <w:highlight w:val="none"/>
              </w:rPr>
              <w:t>☑</w:t>
            </w:r>
            <w:r>
              <w:rPr>
                <w:color w:val="auto"/>
                <w:kern w:val="0"/>
                <w:szCs w:val="21"/>
                <w:highlight w:val="none"/>
              </w:rPr>
              <w:t>成交总金额/</w:t>
            </w:r>
            <w:r>
              <w:rPr>
                <w:rFonts w:hint="eastAsia" w:ascii="宋体" w:hAnsi="宋体" w:cs="宋体"/>
                <w:color w:val="auto"/>
                <w:kern w:val="0"/>
                <w:szCs w:val="21"/>
                <w:highlight w:val="none"/>
              </w:rPr>
              <w:t>□</w:t>
            </w:r>
            <w:r>
              <w:rPr>
                <w:color w:val="auto"/>
                <w:kern w:val="0"/>
                <w:szCs w:val="21"/>
                <w:highlight w:val="none"/>
              </w:rPr>
              <w:t>采购预算/</w:t>
            </w:r>
            <w:r>
              <w:rPr>
                <w:rFonts w:hint="eastAsia" w:ascii="宋体" w:hAnsi="宋体" w:cs="宋体"/>
                <w:color w:val="auto"/>
                <w:kern w:val="0"/>
                <w:szCs w:val="21"/>
                <w:highlight w:val="none"/>
              </w:rPr>
              <w:t>□</w:t>
            </w:r>
            <w:r>
              <w:rPr>
                <w:color w:val="auto"/>
                <w:kern w:val="0"/>
                <w:szCs w:val="21"/>
                <w:highlight w:val="none"/>
              </w:rPr>
              <w:t>暂定成交金额/</w:t>
            </w:r>
            <w:r>
              <w:rPr>
                <w:rFonts w:hint="eastAsia" w:ascii="宋体" w:hAnsi="宋体" w:cs="宋体"/>
                <w:color w:val="auto"/>
                <w:kern w:val="0"/>
                <w:szCs w:val="21"/>
                <w:highlight w:val="none"/>
              </w:rPr>
              <w:t>□</w:t>
            </w:r>
            <w:r>
              <w:rPr>
                <w:color w:val="auto"/>
                <w:kern w:val="0"/>
                <w:szCs w:val="21"/>
                <w:highlight w:val="none"/>
              </w:rPr>
              <w:t>其他</w:t>
            </w:r>
            <w:r>
              <w:rPr>
                <w:color w:val="auto"/>
                <w:kern w:val="0"/>
                <w:szCs w:val="21"/>
                <w:highlight w:val="none"/>
                <w:u w:val="single"/>
              </w:rPr>
              <w:t xml:space="preserve">   </w:t>
            </w:r>
            <w:r>
              <w:rPr>
                <w:color w:val="auto"/>
                <w:kern w:val="0"/>
                <w:szCs w:val="21"/>
                <w:highlight w:val="none"/>
              </w:rPr>
              <w:t>）为计费额，按</w:t>
            </w:r>
            <w:r>
              <w:rPr>
                <w:color w:val="auto"/>
                <w:highlight w:val="none"/>
              </w:rPr>
              <w:t>本须知正文第3</w:t>
            </w:r>
            <w:r>
              <w:rPr>
                <w:rFonts w:hint="eastAsia"/>
                <w:color w:val="auto"/>
                <w:highlight w:val="none"/>
              </w:rPr>
              <w:t>2</w:t>
            </w:r>
            <w:r>
              <w:rPr>
                <w:color w:val="auto"/>
                <w:highlight w:val="none"/>
              </w:rPr>
              <w:t>.2条规定的收费计算标准（</w:t>
            </w:r>
            <w:r>
              <w:rPr>
                <w:rFonts w:hint="eastAsia"/>
                <w:b/>
                <w:bCs/>
                <w:color w:val="auto"/>
                <w:kern w:val="0"/>
                <w:szCs w:val="21"/>
                <w:highlight w:val="none"/>
                <w:u w:val="single"/>
              </w:rPr>
              <w:t>工程</w:t>
            </w:r>
            <w:r>
              <w:rPr>
                <w:b/>
                <w:bCs/>
                <w:color w:val="auto"/>
                <w:kern w:val="0"/>
                <w:szCs w:val="21"/>
                <w:highlight w:val="none"/>
                <w:u w:val="single"/>
              </w:rPr>
              <w:t>类</w:t>
            </w:r>
            <w:r>
              <w:rPr>
                <w:color w:val="auto"/>
                <w:highlight w:val="none"/>
              </w:rPr>
              <w:t>）</w:t>
            </w:r>
            <w:r>
              <w:rPr>
                <w:color w:val="auto"/>
                <w:kern w:val="0"/>
                <w:szCs w:val="21"/>
                <w:highlight w:val="none"/>
              </w:rPr>
              <w:t>采用差额定率累进法计算出收费基准价格，采购代理机构收费以（</w:t>
            </w:r>
            <w:r>
              <w:rPr>
                <w:rFonts w:hint="eastAsia" w:ascii="宋体" w:hAnsi="宋体" w:cs="宋体"/>
                <w:color w:val="auto"/>
                <w:kern w:val="0"/>
                <w:szCs w:val="21"/>
                <w:highlight w:val="none"/>
              </w:rPr>
              <w:t>□</w:t>
            </w:r>
            <w:r>
              <w:rPr>
                <w:color w:val="auto"/>
                <w:kern w:val="0"/>
                <w:szCs w:val="21"/>
                <w:highlight w:val="none"/>
              </w:rPr>
              <w:t>收费基准价格/</w:t>
            </w:r>
            <w:r>
              <w:rPr>
                <w:rFonts w:hint="eastAsia" w:ascii="宋体" w:hAnsi="宋体" w:cs="宋体"/>
                <w:color w:val="auto"/>
                <w:kern w:val="0"/>
                <w:szCs w:val="21"/>
                <w:highlight w:val="none"/>
              </w:rPr>
              <w:t>☑</w:t>
            </w:r>
            <w:r>
              <w:rPr>
                <w:color w:val="auto"/>
                <w:kern w:val="0"/>
                <w:szCs w:val="21"/>
                <w:highlight w:val="none"/>
              </w:rPr>
              <w:t>收费基准价格下浮</w:t>
            </w:r>
            <w:r>
              <w:rPr>
                <w:rFonts w:hint="eastAsia"/>
                <w:color w:val="auto"/>
                <w:kern w:val="0"/>
                <w:szCs w:val="21"/>
                <w:highlight w:val="none"/>
                <w:u w:val="single"/>
              </w:rPr>
              <w:t>20</w:t>
            </w:r>
            <w:r>
              <w:rPr>
                <w:color w:val="auto"/>
                <w:kern w:val="0"/>
                <w:szCs w:val="21"/>
                <w:highlight w:val="none"/>
                <w:u w:val="single"/>
              </w:rPr>
              <w:t>%</w:t>
            </w:r>
            <w:r>
              <w:rPr>
                <w:color w:val="auto"/>
                <w:kern w:val="0"/>
                <w:szCs w:val="21"/>
                <w:highlight w:val="none"/>
              </w:rPr>
              <w:t>/</w:t>
            </w:r>
            <w:r>
              <w:rPr>
                <w:rFonts w:hint="eastAsia" w:ascii="宋体" w:hAnsi="宋体" w:cs="宋体"/>
                <w:color w:val="auto"/>
                <w:kern w:val="0"/>
                <w:szCs w:val="21"/>
                <w:highlight w:val="none"/>
              </w:rPr>
              <w:t>□</w:t>
            </w:r>
            <w:r>
              <w:rPr>
                <w:color w:val="auto"/>
                <w:kern w:val="0"/>
                <w:szCs w:val="21"/>
                <w:highlight w:val="none"/>
              </w:rPr>
              <w:t>收费基准价格上浮</w:t>
            </w:r>
            <w:r>
              <w:rPr>
                <w:color w:val="auto"/>
                <w:kern w:val="0"/>
                <w:szCs w:val="21"/>
                <w:highlight w:val="none"/>
                <w:u w:val="single"/>
              </w:rPr>
              <w:t xml:space="preserve">   %</w:t>
            </w:r>
            <w:r>
              <w:rPr>
                <w:color w:val="auto"/>
                <w:kern w:val="0"/>
                <w:szCs w:val="21"/>
                <w:highlight w:val="none"/>
              </w:rPr>
              <w:t>）收取。</w:t>
            </w:r>
          </w:p>
          <w:p w14:paraId="7055A515">
            <w:pPr>
              <w:snapToGrid w:val="0"/>
              <w:spacing w:line="360" w:lineRule="auto"/>
              <w:rPr>
                <w:color w:val="auto"/>
                <w:kern w:val="0"/>
                <w:szCs w:val="21"/>
                <w:highlight w:val="none"/>
              </w:rPr>
            </w:pPr>
            <w:r>
              <w:rPr>
                <w:color w:val="auto"/>
                <w:kern w:val="0"/>
                <w:szCs w:val="21"/>
                <w:highlight w:val="none"/>
              </w:rPr>
              <w:t>4. 采购代理服务费收取银行账户的信息</w:t>
            </w:r>
          </w:p>
          <w:p w14:paraId="7B23226D">
            <w:pPr>
              <w:snapToGrid w:val="0"/>
              <w:spacing w:line="360" w:lineRule="auto"/>
              <w:rPr>
                <w:color w:val="auto"/>
                <w:kern w:val="0"/>
                <w:szCs w:val="21"/>
                <w:highlight w:val="none"/>
              </w:rPr>
            </w:pPr>
            <w:r>
              <w:rPr>
                <w:color w:val="auto"/>
                <w:kern w:val="0"/>
                <w:szCs w:val="21"/>
                <w:highlight w:val="none"/>
              </w:rPr>
              <w:t>开户名称：</w:t>
            </w:r>
            <w:r>
              <w:rPr>
                <w:rFonts w:hint="eastAsia" w:hAnsi="宋体" w:cs="宋体"/>
                <w:color w:val="auto"/>
                <w:szCs w:val="21"/>
                <w:highlight w:val="none"/>
              </w:rPr>
              <w:t>广西科联招标中心有限公司</w:t>
            </w:r>
          </w:p>
          <w:p w14:paraId="79B22AE4">
            <w:pPr>
              <w:snapToGrid w:val="0"/>
              <w:spacing w:line="360" w:lineRule="auto"/>
              <w:rPr>
                <w:color w:val="auto"/>
                <w:kern w:val="0"/>
                <w:szCs w:val="21"/>
                <w:highlight w:val="none"/>
              </w:rPr>
            </w:pPr>
            <w:r>
              <w:rPr>
                <w:color w:val="auto"/>
                <w:kern w:val="0"/>
                <w:szCs w:val="21"/>
                <w:highlight w:val="none"/>
              </w:rPr>
              <w:t>开户银行：</w:t>
            </w:r>
            <w:r>
              <w:rPr>
                <w:color w:val="auto"/>
                <w:szCs w:val="21"/>
                <w:highlight w:val="none"/>
              </w:rPr>
              <w:t>中国工商银行南宁市高新科技支行</w:t>
            </w:r>
          </w:p>
          <w:p w14:paraId="3162034F">
            <w:pPr>
              <w:snapToGrid w:val="0"/>
              <w:spacing w:line="360" w:lineRule="auto"/>
              <w:rPr>
                <w:color w:val="auto"/>
                <w:kern w:val="0"/>
                <w:szCs w:val="21"/>
                <w:highlight w:val="none"/>
              </w:rPr>
            </w:pPr>
            <w:r>
              <w:rPr>
                <w:color w:val="auto"/>
                <w:kern w:val="0"/>
                <w:szCs w:val="21"/>
                <w:highlight w:val="none"/>
              </w:rPr>
              <w:t>银行账号：</w:t>
            </w:r>
            <w:r>
              <w:rPr>
                <w:color w:val="auto"/>
                <w:szCs w:val="21"/>
                <w:highlight w:val="none"/>
              </w:rPr>
              <w:t>2102111229300032105</w:t>
            </w:r>
          </w:p>
        </w:tc>
      </w:tr>
      <w:tr w14:paraId="114FB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B3B4733">
            <w:pPr>
              <w:spacing w:line="360" w:lineRule="auto"/>
              <w:jc w:val="center"/>
              <w:rPr>
                <w:color w:val="auto"/>
                <w:szCs w:val="21"/>
                <w:highlight w:val="none"/>
              </w:rPr>
            </w:pPr>
            <w:r>
              <w:rPr>
                <w:color w:val="auto"/>
                <w:szCs w:val="21"/>
                <w:highlight w:val="none"/>
              </w:rPr>
              <w:t>3</w:t>
            </w:r>
            <w:r>
              <w:rPr>
                <w:rFonts w:hint="eastAsia"/>
                <w:color w:val="auto"/>
                <w:szCs w:val="21"/>
                <w:highlight w:val="none"/>
              </w:rPr>
              <w:t>3</w:t>
            </w:r>
            <w:r>
              <w:rPr>
                <w:color w:val="auto"/>
                <w:szCs w:val="21"/>
                <w:highlight w:val="none"/>
              </w:rPr>
              <w:t>.1</w:t>
            </w:r>
          </w:p>
        </w:tc>
        <w:tc>
          <w:tcPr>
            <w:tcW w:w="2321" w:type="dxa"/>
            <w:vAlign w:val="center"/>
          </w:tcPr>
          <w:p w14:paraId="69208870">
            <w:pPr>
              <w:spacing w:line="360" w:lineRule="auto"/>
              <w:jc w:val="center"/>
              <w:rPr>
                <w:color w:val="auto"/>
                <w:szCs w:val="21"/>
                <w:highlight w:val="none"/>
              </w:rPr>
            </w:pPr>
            <w:r>
              <w:rPr>
                <w:color w:val="auto"/>
                <w:highlight w:val="none"/>
              </w:rPr>
              <w:t>解释</w:t>
            </w:r>
          </w:p>
        </w:tc>
        <w:tc>
          <w:tcPr>
            <w:tcW w:w="7080" w:type="dxa"/>
            <w:vAlign w:val="center"/>
          </w:tcPr>
          <w:p w14:paraId="613688B4">
            <w:pPr>
              <w:snapToGrid w:val="0"/>
              <w:spacing w:line="360" w:lineRule="auto"/>
              <w:rPr>
                <w:b/>
                <w:color w:val="auto"/>
                <w:kern w:val="0"/>
                <w:szCs w:val="21"/>
                <w:highlight w:val="none"/>
              </w:rPr>
            </w:pPr>
            <w:r>
              <w:rPr>
                <w:b/>
                <w:color w:val="auto"/>
                <w:kern w:val="0"/>
                <w:szCs w:val="21"/>
                <w:highlight w:val="none"/>
              </w:rPr>
              <w:t>解释：</w:t>
            </w:r>
            <w:r>
              <w:rPr>
                <w:color w:val="auto"/>
                <w:kern w:val="0"/>
                <w:szCs w:val="21"/>
                <w:highlight w:val="none"/>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b/>
                <w:color w:val="auto"/>
                <w:kern w:val="0"/>
                <w:szCs w:val="21"/>
                <w:highlight w:val="none"/>
              </w:rPr>
              <w:t>由采购人或者采购代理机构负责解释。</w:t>
            </w:r>
          </w:p>
          <w:p w14:paraId="52CA5B05">
            <w:pPr>
              <w:snapToGrid w:val="0"/>
              <w:spacing w:line="360" w:lineRule="auto"/>
              <w:rPr>
                <w:b/>
                <w:color w:val="auto"/>
                <w:kern w:val="0"/>
                <w:szCs w:val="21"/>
                <w:highlight w:val="none"/>
              </w:rPr>
            </w:pPr>
            <w:r>
              <w:rPr>
                <w:b/>
                <w:color w:val="auto"/>
                <w:kern w:val="0"/>
                <w:szCs w:val="21"/>
                <w:highlight w:val="none"/>
              </w:rPr>
              <w:t>法律责任：</w:t>
            </w:r>
          </w:p>
          <w:p w14:paraId="5C07B460">
            <w:pPr>
              <w:snapToGrid w:val="0"/>
              <w:spacing w:line="360" w:lineRule="auto"/>
              <w:rPr>
                <w:color w:val="auto"/>
                <w:kern w:val="0"/>
                <w:szCs w:val="21"/>
                <w:highlight w:val="none"/>
              </w:rPr>
            </w:pPr>
            <w:r>
              <w:rPr>
                <w:color w:val="auto"/>
                <w:kern w:val="0"/>
                <w:szCs w:val="21"/>
                <w:highlight w:val="none"/>
              </w:rPr>
              <w:t>本采购文件根据《中华人民共和国政府采购法》、《中华人民共和国民法典》</w:t>
            </w:r>
            <w:r>
              <w:rPr>
                <w:rFonts w:hint="eastAsia"/>
                <w:color w:val="auto"/>
                <w:kern w:val="0"/>
                <w:szCs w:val="21"/>
                <w:highlight w:val="none"/>
              </w:rPr>
              <w:t>、</w:t>
            </w:r>
            <w:r>
              <w:rPr>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7F8C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4EA1AA6">
            <w:pPr>
              <w:spacing w:line="360" w:lineRule="auto"/>
              <w:jc w:val="center"/>
              <w:rPr>
                <w:color w:val="auto"/>
                <w:szCs w:val="21"/>
                <w:highlight w:val="none"/>
              </w:rPr>
            </w:pPr>
            <w:r>
              <w:rPr>
                <w:color w:val="auto"/>
                <w:szCs w:val="21"/>
                <w:highlight w:val="none"/>
              </w:rPr>
              <w:t>3</w:t>
            </w:r>
            <w:r>
              <w:rPr>
                <w:rFonts w:hint="eastAsia"/>
                <w:color w:val="auto"/>
                <w:szCs w:val="21"/>
                <w:highlight w:val="none"/>
              </w:rPr>
              <w:t>3</w:t>
            </w:r>
            <w:r>
              <w:rPr>
                <w:color w:val="auto"/>
                <w:szCs w:val="21"/>
                <w:highlight w:val="none"/>
              </w:rPr>
              <w:t>.2</w:t>
            </w:r>
          </w:p>
        </w:tc>
        <w:tc>
          <w:tcPr>
            <w:tcW w:w="2321" w:type="dxa"/>
            <w:vAlign w:val="center"/>
          </w:tcPr>
          <w:p w14:paraId="26F06F62">
            <w:pPr>
              <w:spacing w:line="360" w:lineRule="auto"/>
              <w:jc w:val="center"/>
              <w:rPr>
                <w:color w:val="auto"/>
                <w:szCs w:val="21"/>
                <w:highlight w:val="none"/>
              </w:rPr>
            </w:pPr>
            <w:r>
              <w:rPr>
                <w:color w:val="auto"/>
                <w:szCs w:val="21"/>
                <w:highlight w:val="none"/>
              </w:rPr>
              <w:t>其他</w:t>
            </w:r>
          </w:p>
        </w:tc>
        <w:tc>
          <w:tcPr>
            <w:tcW w:w="7080" w:type="dxa"/>
            <w:vAlign w:val="center"/>
          </w:tcPr>
          <w:p w14:paraId="75085B17">
            <w:pPr>
              <w:pStyle w:val="12"/>
              <w:spacing w:line="360" w:lineRule="auto"/>
              <w:ind w:firstLine="420" w:firstLineChars="200"/>
              <w:rPr>
                <w:color w:val="auto"/>
                <w:szCs w:val="21"/>
                <w:highlight w:val="none"/>
              </w:rPr>
            </w:pPr>
            <w:r>
              <w:rPr>
                <w:color w:val="auto"/>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投标专用章、业务专用章及银行的转账章、现金收讫章、现金付讫章等其他形式印章均不能代替公章。</w:t>
            </w:r>
          </w:p>
          <w:p w14:paraId="697BF0EE">
            <w:pPr>
              <w:pStyle w:val="12"/>
              <w:spacing w:line="360" w:lineRule="auto"/>
              <w:ind w:firstLine="420" w:firstLineChars="200"/>
              <w:rPr>
                <w:color w:val="auto"/>
                <w:szCs w:val="21"/>
                <w:highlight w:val="none"/>
              </w:rPr>
            </w:pPr>
            <w:r>
              <w:rPr>
                <w:color w:val="auto"/>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14:paraId="6A3C090D">
            <w:pPr>
              <w:pStyle w:val="12"/>
              <w:tabs>
                <w:tab w:val="center" w:pos="4153"/>
                <w:tab w:val="right" w:pos="8306"/>
              </w:tabs>
              <w:spacing w:line="360" w:lineRule="auto"/>
              <w:ind w:firstLine="420" w:firstLineChars="200"/>
              <w:rPr>
                <w:color w:val="auto"/>
                <w:szCs w:val="21"/>
                <w:highlight w:val="none"/>
              </w:rPr>
            </w:pPr>
            <w:r>
              <w:rPr>
                <w:color w:val="auto"/>
                <w:szCs w:val="21"/>
                <w:highlight w:val="none"/>
              </w:rPr>
              <w:t>3.</w:t>
            </w:r>
            <w:r>
              <w:rPr>
                <w:rFonts w:hint="eastAsia" w:ascii="宋体" w:hAnsi="宋体" w:cs="宋体"/>
                <w:color w:val="auto"/>
                <w:szCs w:val="21"/>
                <w:highlight w:val="none"/>
              </w:rPr>
              <w:t>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r>
              <w:rPr>
                <w:color w:val="auto"/>
                <w:szCs w:val="21"/>
                <w:highlight w:val="none"/>
              </w:rPr>
              <w:t>。</w:t>
            </w:r>
          </w:p>
          <w:p w14:paraId="735E375E">
            <w:pPr>
              <w:pStyle w:val="12"/>
              <w:spacing w:line="360" w:lineRule="auto"/>
              <w:ind w:firstLine="420" w:firstLineChars="200"/>
              <w:rPr>
                <w:color w:val="auto"/>
                <w:szCs w:val="21"/>
                <w:highlight w:val="none"/>
              </w:rPr>
            </w:pPr>
            <w:r>
              <w:rPr>
                <w:color w:val="auto"/>
                <w:szCs w:val="21"/>
                <w:highlight w:val="none"/>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077F218D">
            <w:pPr>
              <w:pStyle w:val="12"/>
              <w:spacing w:line="360" w:lineRule="auto"/>
              <w:ind w:firstLine="420" w:firstLineChars="200"/>
              <w:rPr>
                <w:color w:val="auto"/>
                <w:szCs w:val="21"/>
                <w:highlight w:val="none"/>
              </w:rPr>
            </w:pPr>
            <w:r>
              <w:rPr>
                <w:color w:val="auto"/>
                <w:szCs w:val="21"/>
                <w:highlight w:val="none"/>
              </w:rPr>
              <w:t>5.自然人竞标的，竞争性磋商文件规定盖公章处由自然人摁手指指印。</w:t>
            </w:r>
          </w:p>
          <w:p w14:paraId="0178A156">
            <w:pPr>
              <w:pStyle w:val="12"/>
              <w:spacing w:line="360" w:lineRule="auto"/>
              <w:ind w:firstLine="420" w:firstLineChars="200"/>
              <w:rPr>
                <w:color w:val="auto"/>
                <w:szCs w:val="21"/>
                <w:highlight w:val="none"/>
              </w:rPr>
            </w:pPr>
            <w:r>
              <w:rPr>
                <w:rFonts w:hint="eastAsia"/>
                <w:color w:val="auto"/>
                <w:szCs w:val="21"/>
                <w:highlight w:val="none"/>
              </w:rPr>
              <w:t>6.同义词语：</w:t>
            </w:r>
            <w:r>
              <w:rPr>
                <w:rFonts w:hint="eastAsia" w:cs="宋体"/>
                <w:color w:val="auto"/>
                <w:highlight w:val="none"/>
              </w:rPr>
              <w:t>构成竞争性磋商采购文件组成部分的</w:t>
            </w:r>
            <w:r>
              <w:rPr>
                <w:color w:val="auto"/>
                <w:highlight w:val="none"/>
              </w:rPr>
              <w:t>“</w:t>
            </w:r>
            <w:r>
              <w:rPr>
                <w:rFonts w:hint="eastAsia" w:cs="宋体"/>
                <w:color w:val="auto"/>
                <w:highlight w:val="none"/>
              </w:rPr>
              <w:t>通用合同条款</w:t>
            </w:r>
            <w:r>
              <w:rPr>
                <w:color w:val="auto"/>
                <w:highlight w:val="none"/>
              </w:rPr>
              <w:t>”</w:t>
            </w:r>
            <w:r>
              <w:rPr>
                <w:rFonts w:hint="eastAsia" w:cs="宋体"/>
                <w:color w:val="auto"/>
                <w:highlight w:val="none"/>
              </w:rPr>
              <w:t>、</w:t>
            </w:r>
            <w:r>
              <w:rPr>
                <w:color w:val="auto"/>
                <w:highlight w:val="none"/>
              </w:rPr>
              <w:t>“</w:t>
            </w:r>
            <w:r>
              <w:rPr>
                <w:rFonts w:hint="eastAsia" w:cs="宋体"/>
                <w:color w:val="auto"/>
                <w:highlight w:val="none"/>
              </w:rPr>
              <w:t>专用合同条款</w:t>
            </w:r>
            <w:r>
              <w:rPr>
                <w:color w:val="auto"/>
                <w:highlight w:val="none"/>
              </w:rPr>
              <w:t>”</w:t>
            </w:r>
            <w:r>
              <w:rPr>
                <w:rFonts w:hint="eastAsia" w:cs="宋体"/>
                <w:color w:val="auto"/>
                <w:highlight w:val="none"/>
              </w:rPr>
              <w:t>、</w:t>
            </w:r>
            <w:r>
              <w:rPr>
                <w:color w:val="auto"/>
                <w:highlight w:val="none"/>
              </w:rPr>
              <w:t>“</w:t>
            </w:r>
            <w:r>
              <w:rPr>
                <w:rFonts w:hint="eastAsia" w:cs="宋体"/>
                <w:color w:val="auto"/>
                <w:highlight w:val="none"/>
              </w:rPr>
              <w:t>技术标准和要求</w:t>
            </w:r>
            <w:r>
              <w:rPr>
                <w:color w:val="auto"/>
                <w:highlight w:val="none"/>
              </w:rPr>
              <w:t>”</w:t>
            </w:r>
            <w:r>
              <w:rPr>
                <w:rFonts w:hint="eastAsia" w:cs="宋体"/>
                <w:color w:val="auto"/>
                <w:highlight w:val="none"/>
              </w:rPr>
              <w:t>和</w:t>
            </w:r>
            <w:r>
              <w:rPr>
                <w:color w:val="auto"/>
                <w:highlight w:val="none"/>
              </w:rPr>
              <w:t>“</w:t>
            </w:r>
            <w:r>
              <w:rPr>
                <w:rFonts w:hint="eastAsia" w:cs="宋体"/>
                <w:color w:val="auto"/>
                <w:highlight w:val="none"/>
              </w:rPr>
              <w:t>工程量清单</w:t>
            </w:r>
            <w:r>
              <w:rPr>
                <w:color w:val="auto"/>
                <w:highlight w:val="none"/>
              </w:rPr>
              <w:t>”</w:t>
            </w:r>
            <w:r>
              <w:rPr>
                <w:rFonts w:hint="eastAsia" w:cs="宋体"/>
                <w:color w:val="auto"/>
                <w:highlight w:val="none"/>
              </w:rPr>
              <w:t>等章节中出现的措辞</w:t>
            </w:r>
            <w:r>
              <w:rPr>
                <w:color w:val="auto"/>
                <w:highlight w:val="none"/>
              </w:rPr>
              <w:t>“</w:t>
            </w:r>
            <w:r>
              <w:rPr>
                <w:rFonts w:hint="eastAsia" w:cs="宋体"/>
                <w:color w:val="auto"/>
                <w:highlight w:val="none"/>
              </w:rPr>
              <w:t>发包人</w:t>
            </w:r>
            <w:r>
              <w:rPr>
                <w:color w:val="auto"/>
                <w:highlight w:val="none"/>
              </w:rPr>
              <w:t>”</w:t>
            </w:r>
            <w:r>
              <w:rPr>
                <w:rFonts w:hint="eastAsia" w:cs="宋体"/>
                <w:color w:val="auto"/>
                <w:highlight w:val="none"/>
              </w:rPr>
              <w:t>和</w:t>
            </w:r>
            <w:r>
              <w:rPr>
                <w:color w:val="auto"/>
                <w:highlight w:val="none"/>
              </w:rPr>
              <w:t>“</w:t>
            </w:r>
            <w:r>
              <w:rPr>
                <w:rFonts w:hint="eastAsia" w:cs="宋体"/>
                <w:color w:val="auto"/>
                <w:highlight w:val="none"/>
              </w:rPr>
              <w:t>承包人</w:t>
            </w:r>
            <w:r>
              <w:rPr>
                <w:color w:val="auto"/>
                <w:highlight w:val="none"/>
              </w:rPr>
              <w:t>”</w:t>
            </w:r>
            <w:r>
              <w:rPr>
                <w:rFonts w:hint="eastAsia" w:cs="宋体"/>
                <w:color w:val="auto"/>
                <w:highlight w:val="none"/>
              </w:rPr>
              <w:t>，在采购阶段应当分别按</w:t>
            </w:r>
            <w:r>
              <w:rPr>
                <w:color w:val="auto"/>
                <w:highlight w:val="none"/>
              </w:rPr>
              <w:t>“</w:t>
            </w:r>
            <w:r>
              <w:rPr>
                <w:rFonts w:hint="eastAsia" w:cs="宋体"/>
                <w:color w:val="auto"/>
                <w:highlight w:val="none"/>
              </w:rPr>
              <w:t>采购人</w:t>
            </w:r>
            <w:r>
              <w:rPr>
                <w:color w:val="auto"/>
                <w:highlight w:val="none"/>
              </w:rPr>
              <w:t>”</w:t>
            </w:r>
            <w:r>
              <w:rPr>
                <w:rFonts w:hint="eastAsia" w:cs="宋体"/>
                <w:color w:val="auto"/>
                <w:highlight w:val="none"/>
              </w:rPr>
              <w:t>和</w:t>
            </w:r>
            <w:r>
              <w:rPr>
                <w:color w:val="auto"/>
                <w:highlight w:val="none"/>
              </w:rPr>
              <w:t>“</w:t>
            </w:r>
            <w:r>
              <w:rPr>
                <w:rFonts w:hint="eastAsia"/>
                <w:color w:val="auto"/>
                <w:highlight w:val="none"/>
              </w:rPr>
              <w:t>供应商</w:t>
            </w:r>
            <w:r>
              <w:rPr>
                <w:color w:val="auto"/>
                <w:highlight w:val="none"/>
              </w:rPr>
              <w:t>”</w:t>
            </w:r>
            <w:r>
              <w:rPr>
                <w:rFonts w:hint="eastAsia" w:cs="宋体"/>
                <w:color w:val="auto"/>
                <w:highlight w:val="none"/>
              </w:rPr>
              <w:t>进行理解。</w:t>
            </w:r>
          </w:p>
          <w:p w14:paraId="0BCAA6B8">
            <w:pPr>
              <w:snapToGrid w:val="0"/>
              <w:spacing w:line="360" w:lineRule="auto"/>
              <w:rPr>
                <w:color w:val="auto"/>
                <w:kern w:val="0"/>
                <w:szCs w:val="21"/>
                <w:highlight w:val="none"/>
              </w:rPr>
            </w:pPr>
            <w:r>
              <w:rPr>
                <w:color w:val="auto"/>
                <w:szCs w:val="21"/>
                <w:highlight w:val="none"/>
              </w:rPr>
              <w:t xml:space="preserve">    </w:t>
            </w:r>
            <w:r>
              <w:rPr>
                <w:rFonts w:hint="eastAsia"/>
                <w:color w:val="auto"/>
                <w:szCs w:val="21"/>
                <w:highlight w:val="none"/>
              </w:rPr>
              <w:t>7</w:t>
            </w:r>
            <w:r>
              <w:rPr>
                <w:color w:val="auto"/>
                <w:szCs w:val="21"/>
                <w:highlight w:val="none"/>
              </w:rPr>
              <w:t>.本竞争性磋商文件所称的“以上”“以下”“以内”“届满”，包括本数；所称的“不满”“超过”“以外”，不包括本数。</w:t>
            </w:r>
          </w:p>
        </w:tc>
      </w:tr>
    </w:tbl>
    <w:p w14:paraId="31F72B73">
      <w:pPr>
        <w:pStyle w:val="4"/>
        <w:spacing w:line="420" w:lineRule="exact"/>
        <w:jc w:val="center"/>
        <w:rPr>
          <w:rFonts w:ascii="Times New Roman" w:hAnsi="Times New Roman"/>
          <w:b w:val="0"/>
          <w:color w:val="auto"/>
          <w:highlight w:val="none"/>
        </w:rPr>
      </w:pPr>
      <w:r>
        <w:rPr>
          <w:rFonts w:ascii="Times New Roman" w:hAnsi="Times New Roman"/>
          <w:b w:val="0"/>
          <w:color w:val="auto"/>
          <w:highlight w:val="none"/>
        </w:rPr>
        <w:br w:type="page"/>
      </w:r>
      <w:bookmarkStart w:id="79" w:name="_Toc80886929"/>
      <w:bookmarkStart w:id="80" w:name="_Toc27094"/>
      <w:bookmarkStart w:id="81" w:name="_Toc30957"/>
      <w:r>
        <w:rPr>
          <w:rFonts w:ascii="Times New Roman" w:hAnsi="Times New Roman"/>
          <w:bCs w:val="0"/>
          <w:color w:val="auto"/>
          <w:highlight w:val="none"/>
        </w:rPr>
        <w:t>第二节 供应商须知正文</w:t>
      </w:r>
      <w:bookmarkEnd w:id="79"/>
      <w:bookmarkEnd w:id="80"/>
      <w:bookmarkEnd w:id="81"/>
    </w:p>
    <w:p w14:paraId="5B5B3135">
      <w:pPr>
        <w:pStyle w:val="5"/>
        <w:spacing w:before="0" w:after="0" w:line="360" w:lineRule="auto"/>
        <w:ind w:firstLine="562" w:firstLineChars="200"/>
        <w:rPr>
          <w:bCs w:val="0"/>
          <w:color w:val="auto"/>
          <w:sz w:val="28"/>
          <w:szCs w:val="28"/>
          <w:highlight w:val="none"/>
        </w:rPr>
      </w:pPr>
      <w:bookmarkStart w:id="82" w:name="_Toc80886930"/>
      <w:bookmarkStart w:id="83" w:name="_Toc26166"/>
      <w:bookmarkStart w:id="84" w:name="_Toc6457"/>
      <w:r>
        <w:rPr>
          <w:bCs w:val="0"/>
          <w:color w:val="auto"/>
          <w:sz w:val="28"/>
          <w:szCs w:val="28"/>
          <w:highlight w:val="none"/>
        </w:rPr>
        <w:t>一、总则</w:t>
      </w:r>
      <w:bookmarkEnd w:id="82"/>
      <w:bookmarkEnd w:id="83"/>
      <w:bookmarkEnd w:id="84"/>
    </w:p>
    <w:p w14:paraId="2E687289">
      <w:pPr>
        <w:spacing w:line="360" w:lineRule="auto"/>
        <w:ind w:firstLine="482" w:firstLineChars="200"/>
        <w:rPr>
          <w:rFonts w:eastAsia="黑体"/>
          <w:b/>
          <w:bCs/>
          <w:color w:val="auto"/>
          <w:sz w:val="24"/>
          <w:highlight w:val="none"/>
        </w:rPr>
      </w:pPr>
      <w:r>
        <w:rPr>
          <w:rFonts w:eastAsia="黑体"/>
          <w:b/>
          <w:bCs/>
          <w:color w:val="auto"/>
          <w:sz w:val="24"/>
          <w:highlight w:val="none"/>
        </w:rPr>
        <w:t>1.适用范围</w:t>
      </w:r>
    </w:p>
    <w:p w14:paraId="2325CA07">
      <w:pPr>
        <w:spacing w:line="360" w:lineRule="auto"/>
        <w:ind w:firstLine="420" w:firstLineChars="200"/>
        <w:rPr>
          <w:color w:val="auto"/>
          <w:szCs w:val="21"/>
          <w:highlight w:val="none"/>
        </w:rPr>
      </w:pPr>
      <w:r>
        <w:rPr>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73DA70D">
      <w:pPr>
        <w:spacing w:line="360" w:lineRule="auto"/>
        <w:ind w:firstLine="420" w:firstLineChars="200"/>
        <w:rPr>
          <w:color w:val="auto"/>
          <w:szCs w:val="21"/>
          <w:highlight w:val="none"/>
        </w:rPr>
      </w:pPr>
      <w:r>
        <w:rPr>
          <w:color w:val="auto"/>
          <w:szCs w:val="21"/>
          <w:highlight w:val="none"/>
        </w:rPr>
        <w:t>1.2</w:t>
      </w:r>
      <w:r>
        <w:rPr>
          <w:color w:val="auto"/>
          <w:spacing w:val="-6"/>
          <w:szCs w:val="21"/>
          <w:highlight w:val="none"/>
        </w:rPr>
        <w:t>本竞争性磋商文件（以下简称磋商文件）适用于本项目的所有采购程序和环节（法律、法规另有规定的，从其规定）。</w:t>
      </w:r>
    </w:p>
    <w:p w14:paraId="30BB3A7B">
      <w:pPr>
        <w:spacing w:line="360" w:lineRule="auto"/>
        <w:ind w:firstLine="482" w:firstLineChars="200"/>
        <w:rPr>
          <w:rFonts w:eastAsia="黑体"/>
          <w:b/>
          <w:bCs/>
          <w:color w:val="auto"/>
          <w:sz w:val="24"/>
          <w:highlight w:val="none"/>
        </w:rPr>
      </w:pPr>
      <w:r>
        <w:rPr>
          <w:rFonts w:eastAsia="黑体"/>
          <w:b/>
          <w:bCs/>
          <w:color w:val="auto"/>
          <w:sz w:val="24"/>
          <w:highlight w:val="none"/>
        </w:rPr>
        <w:t>2.定义</w:t>
      </w:r>
    </w:p>
    <w:p w14:paraId="1A0B262B">
      <w:pPr>
        <w:spacing w:line="360" w:lineRule="auto"/>
        <w:ind w:firstLine="420" w:firstLineChars="200"/>
        <w:rPr>
          <w:color w:val="auto"/>
          <w:szCs w:val="21"/>
          <w:highlight w:val="none"/>
        </w:rPr>
      </w:pPr>
      <w:r>
        <w:rPr>
          <w:color w:val="auto"/>
          <w:szCs w:val="21"/>
          <w:highlight w:val="none"/>
        </w:rPr>
        <w:t>2.1“采购人”是指依法进行政府采购的国家机关、事业单位、团体组织。</w:t>
      </w:r>
    </w:p>
    <w:p w14:paraId="7C3F1ECF">
      <w:pPr>
        <w:spacing w:line="360" w:lineRule="auto"/>
        <w:ind w:firstLine="420" w:firstLineChars="200"/>
        <w:rPr>
          <w:color w:val="auto"/>
          <w:szCs w:val="21"/>
          <w:highlight w:val="none"/>
          <w:u w:val="single"/>
        </w:rPr>
      </w:pPr>
      <w:r>
        <w:rPr>
          <w:color w:val="auto"/>
          <w:szCs w:val="21"/>
          <w:highlight w:val="none"/>
        </w:rPr>
        <w:t>2.2“采购代理机构”是指政府采购集中采购机构和集中采购机构以外的采购代理机构。</w:t>
      </w:r>
    </w:p>
    <w:p w14:paraId="5BC06E93">
      <w:pPr>
        <w:spacing w:line="360" w:lineRule="auto"/>
        <w:ind w:firstLine="420" w:firstLineChars="200"/>
        <w:rPr>
          <w:color w:val="auto"/>
          <w:szCs w:val="21"/>
          <w:highlight w:val="none"/>
        </w:rPr>
      </w:pPr>
      <w:r>
        <w:rPr>
          <w:color w:val="auto"/>
          <w:szCs w:val="21"/>
          <w:highlight w:val="none"/>
        </w:rPr>
        <w:t>2.3“供应商”是指向采购人提供货物、工程或者服务的法人、其他组织或者自然人。</w:t>
      </w:r>
    </w:p>
    <w:p w14:paraId="35673E81">
      <w:pPr>
        <w:spacing w:line="360" w:lineRule="auto"/>
        <w:ind w:firstLine="420" w:firstLineChars="200"/>
        <w:rPr>
          <w:color w:val="auto"/>
          <w:szCs w:val="21"/>
          <w:highlight w:val="none"/>
        </w:rPr>
      </w:pPr>
      <w:r>
        <w:rPr>
          <w:color w:val="auto"/>
          <w:szCs w:val="21"/>
          <w:highlight w:val="none"/>
        </w:rPr>
        <w:t>2.4“服务”是指除货物和工程以外的其他政府采购对象。</w:t>
      </w:r>
    </w:p>
    <w:p w14:paraId="7A28935F">
      <w:pPr>
        <w:spacing w:line="360" w:lineRule="auto"/>
        <w:ind w:firstLine="420" w:firstLineChars="200"/>
        <w:rPr>
          <w:color w:val="auto"/>
          <w:szCs w:val="21"/>
          <w:highlight w:val="none"/>
        </w:rPr>
      </w:pPr>
      <w:r>
        <w:rPr>
          <w:color w:val="auto"/>
          <w:szCs w:val="21"/>
          <w:highlight w:val="none"/>
        </w:rPr>
        <w:t>2.5“竞标”是指供应商按照本项目竞争性磋商公告规定的方式获取磋商文件、提交响应文件并希望获得标的的行为。</w:t>
      </w:r>
    </w:p>
    <w:p w14:paraId="2468A8F8">
      <w:pPr>
        <w:spacing w:line="360" w:lineRule="auto"/>
        <w:ind w:firstLine="420" w:firstLineChars="200"/>
        <w:rPr>
          <w:color w:val="auto"/>
          <w:szCs w:val="21"/>
          <w:highlight w:val="none"/>
        </w:rPr>
      </w:pPr>
      <w:r>
        <w:rPr>
          <w:color w:val="auto"/>
          <w:szCs w:val="21"/>
          <w:highlight w:val="none"/>
        </w:rPr>
        <w:t>2.6“响应文件”</w:t>
      </w:r>
      <w:r>
        <w:rPr>
          <w:color w:val="auto"/>
          <w:spacing w:val="-6"/>
          <w:szCs w:val="21"/>
          <w:highlight w:val="none"/>
        </w:rPr>
        <w:t>是指：供应商根据本磋商文件要求，编制包含资格证明、</w:t>
      </w:r>
      <w:r>
        <w:rPr>
          <w:color w:val="auto"/>
          <w:szCs w:val="21"/>
          <w:highlight w:val="none"/>
        </w:rPr>
        <w:t>报价文件、商务和技术文件</w:t>
      </w:r>
      <w:r>
        <w:rPr>
          <w:color w:val="auto"/>
          <w:spacing w:val="-6"/>
          <w:szCs w:val="21"/>
          <w:highlight w:val="none"/>
        </w:rPr>
        <w:t>等所有内容的文件。</w:t>
      </w:r>
    </w:p>
    <w:p w14:paraId="140760ED">
      <w:pPr>
        <w:spacing w:line="360" w:lineRule="auto"/>
        <w:ind w:firstLine="420" w:firstLineChars="200"/>
        <w:rPr>
          <w:color w:val="auto"/>
          <w:szCs w:val="21"/>
          <w:highlight w:val="none"/>
        </w:rPr>
      </w:pPr>
      <w:r>
        <w:rPr>
          <w:color w:val="auto"/>
          <w:szCs w:val="21"/>
          <w:highlight w:val="none"/>
        </w:rPr>
        <w:t>2.7“实质性要求”是指磋商文件中已经指明不满足则响应文件按无效响应处理的条款，或者不能负偏离的条款，或者采购需求中带“▲”的条款。</w:t>
      </w:r>
    </w:p>
    <w:p w14:paraId="673BEA68">
      <w:pPr>
        <w:spacing w:line="360" w:lineRule="auto"/>
        <w:ind w:firstLine="420" w:firstLineChars="200"/>
        <w:rPr>
          <w:color w:val="auto"/>
          <w:szCs w:val="21"/>
          <w:highlight w:val="none"/>
        </w:rPr>
      </w:pPr>
      <w:r>
        <w:rPr>
          <w:color w:val="auto"/>
          <w:szCs w:val="21"/>
          <w:highlight w:val="none"/>
        </w:rPr>
        <w:t>2.8“正偏离”，是指响应文件对磋商文件“采购需求”中有关条款作出的响应优于条款要求并有利于采购人的情形。</w:t>
      </w:r>
    </w:p>
    <w:p w14:paraId="020E1D72">
      <w:pPr>
        <w:spacing w:line="360" w:lineRule="auto"/>
        <w:ind w:firstLine="420" w:firstLineChars="200"/>
        <w:rPr>
          <w:color w:val="auto"/>
          <w:szCs w:val="21"/>
          <w:highlight w:val="none"/>
        </w:rPr>
      </w:pPr>
      <w:r>
        <w:rPr>
          <w:color w:val="auto"/>
          <w:szCs w:val="21"/>
          <w:highlight w:val="none"/>
        </w:rPr>
        <w:t>2.9“负偏离”，是指响应文件对磋商文件“采购需求”中有关条款作出的响应不满足条款要求，导致采购人要求不能得到满足的情形。</w:t>
      </w:r>
    </w:p>
    <w:p w14:paraId="2EDB03E7">
      <w:pPr>
        <w:spacing w:line="360" w:lineRule="auto"/>
        <w:ind w:firstLine="420" w:firstLineChars="200"/>
        <w:rPr>
          <w:color w:val="auto"/>
          <w:szCs w:val="21"/>
          <w:highlight w:val="none"/>
        </w:rPr>
      </w:pPr>
      <w:r>
        <w:rPr>
          <w:color w:val="auto"/>
          <w:szCs w:val="21"/>
          <w:highlight w:val="none"/>
        </w:rPr>
        <w:t>2.10“允许负偏离的条款”是指采购需求中的不属于“实质性要求”的条款。</w:t>
      </w:r>
    </w:p>
    <w:p w14:paraId="3FB3915C">
      <w:pPr>
        <w:spacing w:line="360" w:lineRule="auto"/>
        <w:ind w:firstLine="420" w:firstLineChars="200"/>
        <w:rPr>
          <w:color w:val="auto"/>
          <w:szCs w:val="21"/>
          <w:highlight w:val="none"/>
        </w:rPr>
      </w:pPr>
      <w:r>
        <w:rPr>
          <w:color w:val="auto"/>
          <w:szCs w:val="21"/>
          <w:highlight w:val="none"/>
        </w:rPr>
        <w:t>2.11“书面形式”是指合同书、信件和数据电文（包括电报、电传、传真、电子数据交换和电子邮件）等可以有形地表现所载内容的形式。</w:t>
      </w:r>
    </w:p>
    <w:p w14:paraId="721615D9">
      <w:pPr>
        <w:spacing w:line="360" w:lineRule="auto"/>
        <w:ind w:firstLine="420" w:firstLineChars="200"/>
        <w:rPr>
          <w:color w:val="auto"/>
          <w:szCs w:val="21"/>
          <w:highlight w:val="none"/>
        </w:rPr>
      </w:pPr>
      <w:r>
        <w:rPr>
          <w:color w:val="auto"/>
          <w:szCs w:val="21"/>
          <w:highlight w:val="none"/>
        </w:rPr>
        <w:t>2.12“首次报价”是指供应商提交的首次响应文件中的报价。</w:t>
      </w:r>
    </w:p>
    <w:p w14:paraId="4A8CFF34">
      <w:pPr>
        <w:spacing w:line="360" w:lineRule="auto"/>
        <w:ind w:firstLine="420" w:firstLineChars="200"/>
        <w:rPr>
          <w:color w:val="auto"/>
          <w:szCs w:val="21"/>
          <w:highlight w:val="none"/>
        </w:rPr>
      </w:pPr>
      <w:r>
        <w:rPr>
          <w:color w:val="auto"/>
          <w:szCs w:val="21"/>
          <w:highlight w:val="none"/>
        </w:rPr>
        <w:t>2.13“评审报价”是指供应商提交的最后报价并经修正（如有）和政策功能价格扣除（如有）后的价格。</w:t>
      </w:r>
    </w:p>
    <w:p w14:paraId="78F36661">
      <w:pPr>
        <w:spacing w:line="360" w:lineRule="auto"/>
        <w:ind w:firstLine="482" w:firstLineChars="200"/>
        <w:rPr>
          <w:rFonts w:eastAsia="黑体"/>
          <w:b/>
          <w:bCs/>
          <w:color w:val="auto"/>
          <w:sz w:val="24"/>
          <w:highlight w:val="none"/>
        </w:rPr>
      </w:pPr>
      <w:r>
        <w:rPr>
          <w:rFonts w:eastAsia="黑体"/>
          <w:b/>
          <w:bCs/>
          <w:color w:val="auto"/>
          <w:sz w:val="24"/>
          <w:highlight w:val="none"/>
        </w:rPr>
        <w:t>3.供应商的资格条件</w:t>
      </w:r>
    </w:p>
    <w:p w14:paraId="0324D6A8">
      <w:pPr>
        <w:spacing w:line="360" w:lineRule="auto"/>
        <w:ind w:firstLine="420" w:firstLineChars="200"/>
        <w:rPr>
          <w:color w:val="auto"/>
          <w:szCs w:val="21"/>
          <w:highlight w:val="none"/>
        </w:rPr>
      </w:pPr>
      <w:r>
        <w:rPr>
          <w:color w:val="auto"/>
          <w:szCs w:val="21"/>
          <w:highlight w:val="none"/>
        </w:rPr>
        <w:t>供应商的资格条件详见“供应商须知前附表”。</w:t>
      </w:r>
    </w:p>
    <w:p w14:paraId="282D7B5F">
      <w:pPr>
        <w:spacing w:line="360" w:lineRule="auto"/>
        <w:ind w:firstLine="482" w:firstLineChars="200"/>
        <w:rPr>
          <w:rFonts w:eastAsia="黑体"/>
          <w:b/>
          <w:bCs/>
          <w:color w:val="auto"/>
          <w:sz w:val="24"/>
          <w:highlight w:val="none"/>
        </w:rPr>
      </w:pPr>
      <w:r>
        <w:rPr>
          <w:rFonts w:eastAsia="黑体"/>
          <w:b/>
          <w:bCs/>
          <w:color w:val="auto"/>
          <w:sz w:val="24"/>
          <w:highlight w:val="none"/>
        </w:rPr>
        <w:t>4.磋商费用</w:t>
      </w:r>
    </w:p>
    <w:p w14:paraId="5B9D2F37">
      <w:pPr>
        <w:spacing w:line="360" w:lineRule="auto"/>
        <w:ind w:firstLine="420" w:firstLineChars="200"/>
        <w:rPr>
          <w:color w:val="auto"/>
          <w:szCs w:val="21"/>
          <w:highlight w:val="none"/>
        </w:rPr>
      </w:pPr>
      <w:r>
        <w:rPr>
          <w:color w:val="auto"/>
          <w:szCs w:val="21"/>
          <w:highlight w:val="none"/>
        </w:rPr>
        <w:t>供应商应承担参与本次采购活动有关的所有费用，包括但不限于勘查现场、编制和提交响应文件、参加磋商与应答、签订合同等，不论竞标结果如何，均应自行承担。</w:t>
      </w:r>
    </w:p>
    <w:p w14:paraId="0C93DF3A">
      <w:pPr>
        <w:spacing w:line="360" w:lineRule="auto"/>
        <w:ind w:firstLine="482" w:firstLineChars="200"/>
        <w:rPr>
          <w:rFonts w:eastAsia="黑体"/>
          <w:b/>
          <w:bCs/>
          <w:color w:val="auto"/>
          <w:sz w:val="24"/>
          <w:highlight w:val="none"/>
        </w:rPr>
      </w:pPr>
      <w:r>
        <w:rPr>
          <w:rFonts w:eastAsia="黑体"/>
          <w:b/>
          <w:bCs/>
          <w:color w:val="auto"/>
          <w:sz w:val="24"/>
          <w:highlight w:val="none"/>
        </w:rPr>
        <w:t>5.联合体竞标</w:t>
      </w:r>
    </w:p>
    <w:p w14:paraId="344C391B">
      <w:pPr>
        <w:spacing w:line="360" w:lineRule="auto"/>
        <w:ind w:firstLine="420" w:firstLineChars="200"/>
        <w:rPr>
          <w:color w:val="auto"/>
          <w:szCs w:val="21"/>
          <w:highlight w:val="none"/>
        </w:rPr>
      </w:pPr>
      <w:r>
        <w:rPr>
          <w:color w:val="auto"/>
          <w:szCs w:val="21"/>
          <w:highlight w:val="none"/>
        </w:rPr>
        <w:t>5.1本项目是否接受联合体竞标，详见“供应商须知前附表”。</w:t>
      </w:r>
    </w:p>
    <w:p w14:paraId="45E1C598">
      <w:pPr>
        <w:spacing w:line="360" w:lineRule="auto"/>
        <w:ind w:firstLine="420" w:firstLineChars="200"/>
        <w:rPr>
          <w:color w:val="auto"/>
          <w:szCs w:val="21"/>
          <w:highlight w:val="none"/>
        </w:rPr>
      </w:pPr>
      <w:r>
        <w:rPr>
          <w:color w:val="auto"/>
          <w:szCs w:val="21"/>
          <w:highlight w:val="none"/>
        </w:rPr>
        <w:t>5.2</w:t>
      </w:r>
      <w:r>
        <w:rPr>
          <w:color w:val="auto"/>
          <w:highlight w:val="none"/>
        </w:rPr>
        <w:t>如接受联合体竞标，</w:t>
      </w:r>
      <w:r>
        <w:rPr>
          <w:color w:val="auto"/>
          <w:szCs w:val="21"/>
          <w:highlight w:val="none"/>
        </w:rPr>
        <w:t>联合体竞标要求详见“供应商须知前附表”。</w:t>
      </w:r>
    </w:p>
    <w:p w14:paraId="2E803A75">
      <w:pPr>
        <w:spacing w:line="360" w:lineRule="auto"/>
        <w:ind w:firstLine="420" w:firstLineChars="200"/>
        <w:rPr>
          <w:bCs/>
          <w:color w:val="auto"/>
          <w:szCs w:val="21"/>
          <w:highlight w:val="none"/>
        </w:rPr>
      </w:pPr>
      <w:r>
        <w:rPr>
          <w:color w:val="auto"/>
          <w:szCs w:val="21"/>
          <w:highlight w:val="none"/>
        </w:rPr>
        <w:t xml:space="preserve">5.3根据《政府采购促进中小企业发展管理办法》（财库[2020]46号）第九条及《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w:t>
      </w:r>
      <w:r>
        <w:rPr>
          <w:rFonts w:hint="eastAsia"/>
          <w:color w:val="auto"/>
          <w:szCs w:val="21"/>
          <w:highlight w:val="none"/>
        </w:rPr>
        <w:t>1</w:t>
      </w:r>
      <w:r>
        <w:rPr>
          <w:color w:val="auto"/>
          <w:szCs w:val="21"/>
          <w:highlight w:val="none"/>
        </w:rPr>
        <w:t>%-</w:t>
      </w:r>
      <w:r>
        <w:rPr>
          <w:rFonts w:hint="eastAsia"/>
          <w:color w:val="auto"/>
          <w:szCs w:val="21"/>
          <w:highlight w:val="none"/>
        </w:rPr>
        <w:t>2</w:t>
      </w:r>
      <w:r>
        <w:rPr>
          <w:color w:val="auto"/>
          <w:szCs w:val="21"/>
          <w:highlight w:val="none"/>
        </w:rPr>
        <w:t>%的扣除，用扣除后的价格参加评审。组成联合体的小微企业与联合体内其他企业、分包企业之间存在直接控股、管理关系的，不享受价格扣除优惠政策。</w:t>
      </w:r>
    </w:p>
    <w:p w14:paraId="66978E1D">
      <w:pPr>
        <w:spacing w:line="360" w:lineRule="auto"/>
        <w:ind w:firstLine="482" w:firstLineChars="200"/>
        <w:rPr>
          <w:rFonts w:eastAsia="黑体"/>
          <w:b/>
          <w:bCs/>
          <w:color w:val="auto"/>
          <w:sz w:val="24"/>
          <w:highlight w:val="none"/>
        </w:rPr>
      </w:pPr>
      <w:r>
        <w:rPr>
          <w:rFonts w:eastAsia="黑体"/>
          <w:b/>
          <w:bCs/>
          <w:color w:val="auto"/>
          <w:sz w:val="24"/>
          <w:highlight w:val="none"/>
        </w:rPr>
        <w:t xml:space="preserve">6.转包与分包             </w:t>
      </w:r>
    </w:p>
    <w:p w14:paraId="59F196C5">
      <w:pPr>
        <w:spacing w:line="360" w:lineRule="auto"/>
        <w:ind w:firstLine="420" w:firstLineChars="200"/>
        <w:rPr>
          <w:color w:val="auto"/>
          <w:szCs w:val="21"/>
          <w:highlight w:val="none"/>
        </w:rPr>
      </w:pPr>
      <w:r>
        <w:rPr>
          <w:color w:val="auto"/>
          <w:szCs w:val="21"/>
          <w:highlight w:val="none"/>
        </w:rPr>
        <w:t>6.1本项目不允许转包。</w:t>
      </w:r>
    </w:p>
    <w:p w14:paraId="6E819B3E">
      <w:pPr>
        <w:spacing w:line="360" w:lineRule="auto"/>
        <w:ind w:firstLine="420" w:firstLineChars="200"/>
        <w:rPr>
          <w:color w:val="auto"/>
          <w:szCs w:val="21"/>
          <w:highlight w:val="none"/>
        </w:rPr>
      </w:pPr>
      <w:r>
        <w:rPr>
          <w:color w:val="auto"/>
          <w:szCs w:val="21"/>
          <w:highlight w:val="none"/>
        </w:rPr>
        <w:t>6.2本项目是否允许分包详见“供应商须知前附表”，本项目不允许违法分包。</w:t>
      </w:r>
    </w:p>
    <w:p w14:paraId="2FFB55ED">
      <w:pPr>
        <w:spacing w:line="360" w:lineRule="auto"/>
        <w:ind w:firstLine="420" w:firstLineChars="200"/>
        <w:rPr>
          <w:color w:val="auto"/>
          <w:szCs w:val="21"/>
          <w:highlight w:val="none"/>
        </w:rPr>
      </w:pPr>
      <w:r>
        <w:rPr>
          <w:color w:val="auto"/>
          <w:szCs w:val="21"/>
          <w:highlight w:val="none"/>
        </w:rPr>
        <w:t xml:space="preserve">6.3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w:t>
      </w:r>
      <w:r>
        <w:rPr>
          <w:rFonts w:hint="eastAsia"/>
          <w:color w:val="auto"/>
          <w:szCs w:val="21"/>
          <w:highlight w:val="none"/>
        </w:rPr>
        <w:t>1</w:t>
      </w:r>
      <w:r>
        <w:rPr>
          <w:color w:val="auto"/>
          <w:szCs w:val="21"/>
          <w:highlight w:val="none"/>
        </w:rPr>
        <w:t>%-</w:t>
      </w:r>
      <w:r>
        <w:rPr>
          <w:rFonts w:hint="eastAsia"/>
          <w:color w:val="auto"/>
          <w:szCs w:val="21"/>
          <w:highlight w:val="none"/>
        </w:rPr>
        <w:t>2</w:t>
      </w:r>
      <w:r>
        <w:rPr>
          <w:color w:val="auto"/>
          <w:szCs w:val="21"/>
          <w:highlight w:val="none"/>
        </w:rPr>
        <w:t>%的扣除，用扣除后的价格参加评审。接受分包的小微企业与分包企业之间存在直接控股、管理关系的，不享受价格扣除优惠政策</w:t>
      </w:r>
      <w:r>
        <w:rPr>
          <w:bCs/>
          <w:color w:val="auto"/>
          <w:szCs w:val="21"/>
          <w:highlight w:val="none"/>
        </w:rPr>
        <w:t>。</w:t>
      </w:r>
    </w:p>
    <w:p w14:paraId="05942835">
      <w:pPr>
        <w:spacing w:line="360" w:lineRule="auto"/>
        <w:ind w:firstLine="482" w:firstLineChars="200"/>
        <w:rPr>
          <w:rFonts w:eastAsia="黑体"/>
          <w:b/>
          <w:bCs/>
          <w:color w:val="auto"/>
          <w:sz w:val="24"/>
          <w:highlight w:val="none"/>
        </w:rPr>
      </w:pPr>
      <w:bookmarkStart w:id="85" w:name="_Toc254970673"/>
      <w:bookmarkStart w:id="86" w:name="_Toc254970532"/>
      <w:r>
        <w:rPr>
          <w:rFonts w:eastAsia="黑体"/>
          <w:b/>
          <w:bCs/>
          <w:color w:val="auto"/>
          <w:sz w:val="24"/>
          <w:highlight w:val="none"/>
        </w:rPr>
        <w:t>7.特别说明</w:t>
      </w:r>
      <w:bookmarkEnd w:id="85"/>
      <w:bookmarkEnd w:id="86"/>
    </w:p>
    <w:p w14:paraId="57D10683">
      <w:pPr>
        <w:spacing w:line="360" w:lineRule="auto"/>
        <w:ind w:firstLine="420" w:firstLineChars="200"/>
        <w:rPr>
          <w:color w:val="auto"/>
          <w:szCs w:val="21"/>
          <w:highlight w:val="none"/>
        </w:rPr>
      </w:pPr>
      <w:bookmarkStart w:id="87" w:name="_8.1提供相同品牌产品且通过资格审查、符合性审查的不同投标人参加同一合"/>
      <w:bookmarkEnd w:id="87"/>
      <w:r>
        <w:rPr>
          <w:color w:val="auto"/>
          <w:szCs w:val="21"/>
          <w:highlight w:val="none"/>
        </w:rPr>
        <w:t>7.1</w:t>
      </w:r>
      <w:bookmarkStart w:id="88" w:name="_Hlk65832145"/>
      <w:r>
        <w:rPr>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8"/>
    <w:p w14:paraId="36913974">
      <w:pPr>
        <w:spacing w:line="360" w:lineRule="auto"/>
        <w:ind w:firstLine="420" w:firstLineChars="200"/>
        <w:rPr>
          <w:color w:val="auto"/>
          <w:szCs w:val="21"/>
          <w:highlight w:val="none"/>
        </w:rPr>
      </w:pPr>
      <w:r>
        <w:rPr>
          <w:color w:val="auto"/>
          <w:szCs w:val="21"/>
          <w:highlight w:val="none"/>
        </w:rPr>
        <w:t>7.2供应商应仔细阅读磋商文件的所有内容，按照磋商文件的要求提交响应文件，并对所提供的全部资料的真实性承担法律责任。</w:t>
      </w:r>
    </w:p>
    <w:p w14:paraId="607DA890">
      <w:pPr>
        <w:spacing w:line="360" w:lineRule="auto"/>
        <w:ind w:firstLine="420" w:firstLineChars="200"/>
        <w:rPr>
          <w:color w:val="auto"/>
          <w:szCs w:val="21"/>
          <w:highlight w:val="none"/>
        </w:rPr>
      </w:pPr>
      <w:r>
        <w:rPr>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6B3E275">
      <w:pPr>
        <w:spacing w:line="360" w:lineRule="auto"/>
        <w:ind w:firstLine="422" w:firstLineChars="200"/>
        <w:rPr>
          <w:b/>
          <w:bCs/>
          <w:color w:val="auto"/>
          <w:szCs w:val="21"/>
          <w:highlight w:val="none"/>
        </w:rPr>
      </w:pPr>
      <w:r>
        <w:rPr>
          <w:b/>
          <w:bCs/>
          <w:color w:val="auto"/>
          <w:szCs w:val="21"/>
          <w:highlight w:val="none"/>
        </w:rPr>
        <w:t>7.4在政府采购活动中，采购人员及相关人员与供应商有下列利害关系之一的，应当回避：</w:t>
      </w:r>
    </w:p>
    <w:p w14:paraId="43139F7F">
      <w:pPr>
        <w:spacing w:line="360" w:lineRule="auto"/>
        <w:ind w:firstLine="422" w:firstLineChars="200"/>
        <w:rPr>
          <w:b/>
          <w:bCs/>
          <w:color w:val="auto"/>
          <w:szCs w:val="21"/>
          <w:highlight w:val="none"/>
        </w:rPr>
      </w:pPr>
      <w:r>
        <w:rPr>
          <w:b/>
          <w:bCs/>
          <w:color w:val="auto"/>
          <w:szCs w:val="21"/>
          <w:highlight w:val="none"/>
        </w:rPr>
        <w:t>（1）参加采购活动前3年内与供应商存在劳动关系；</w:t>
      </w:r>
    </w:p>
    <w:p w14:paraId="43D89E37">
      <w:pPr>
        <w:spacing w:line="360" w:lineRule="auto"/>
        <w:ind w:firstLine="422" w:firstLineChars="200"/>
        <w:rPr>
          <w:b/>
          <w:bCs/>
          <w:color w:val="auto"/>
          <w:szCs w:val="21"/>
          <w:highlight w:val="none"/>
        </w:rPr>
      </w:pPr>
      <w:r>
        <w:rPr>
          <w:b/>
          <w:bCs/>
          <w:color w:val="auto"/>
          <w:szCs w:val="21"/>
          <w:highlight w:val="none"/>
        </w:rPr>
        <w:t>（2）参加采购活动前3年内担任供应商的董事、监事；</w:t>
      </w:r>
    </w:p>
    <w:p w14:paraId="4BDC2967">
      <w:pPr>
        <w:spacing w:line="360" w:lineRule="auto"/>
        <w:ind w:firstLine="422" w:firstLineChars="200"/>
        <w:rPr>
          <w:b/>
          <w:bCs/>
          <w:color w:val="auto"/>
          <w:szCs w:val="21"/>
          <w:highlight w:val="none"/>
        </w:rPr>
      </w:pPr>
      <w:r>
        <w:rPr>
          <w:b/>
          <w:bCs/>
          <w:color w:val="auto"/>
          <w:szCs w:val="21"/>
          <w:highlight w:val="none"/>
        </w:rPr>
        <w:t>（3）参加采购活动前3年内是供应商的控股股东或者实际控制人；</w:t>
      </w:r>
    </w:p>
    <w:p w14:paraId="630A5FC7">
      <w:pPr>
        <w:spacing w:line="360" w:lineRule="auto"/>
        <w:ind w:firstLine="422" w:firstLineChars="200"/>
        <w:rPr>
          <w:b/>
          <w:bCs/>
          <w:color w:val="auto"/>
          <w:szCs w:val="21"/>
          <w:highlight w:val="none"/>
        </w:rPr>
      </w:pPr>
      <w:r>
        <w:rPr>
          <w:b/>
          <w:bCs/>
          <w:color w:val="auto"/>
          <w:szCs w:val="21"/>
          <w:highlight w:val="none"/>
        </w:rPr>
        <w:t>（4）与供应商的法定代表人或者负责人有夫妻、直系血亲、三代以内旁系血亲或者近姻亲关系；</w:t>
      </w:r>
    </w:p>
    <w:p w14:paraId="13A0ECFB">
      <w:pPr>
        <w:spacing w:line="360" w:lineRule="auto"/>
        <w:ind w:firstLine="422" w:firstLineChars="200"/>
        <w:rPr>
          <w:b/>
          <w:bCs/>
          <w:color w:val="auto"/>
          <w:szCs w:val="21"/>
          <w:highlight w:val="none"/>
        </w:rPr>
      </w:pPr>
      <w:r>
        <w:rPr>
          <w:b/>
          <w:bCs/>
          <w:color w:val="auto"/>
          <w:szCs w:val="21"/>
          <w:highlight w:val="none"/>
        </w:rPr>
        <w:t>（5）与供应商有其他可能影响政府采购活动公平、公正进行的关系。</w:t>
      </w:r>
    </w:p>
    <w:p w14:paraId="04A31086">
      <w:pPr>
        <w:spacing w:line="360" w:lineRule="auto"/>
        <w:ind w:firstLine="422" w:firstLineChars="200"/>
        <w:rPr>
          <w:b/>
          <w:bCs/>
          <w:color w:val="auto"/>
          <w:szCs w:val="21"/>
          <w:highlight w:val="none"/>
        </w:rPr>
      </w:pPr>
      <w:r>
        <w:rPr>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78E5A4">
      <w:pPr>
        <w:spacing w:line="360" w:lineRule="auto"/>
        <w:ind w:firstLine="422" w:firstLineChars="200"/>
        <w:rPr>
          <w:b/>
          <w:bCs/>
          <w:color w:val="auto"/>
          <w:szCs w:val="21"/>
          <w:highlight w:val="none"/>
        </w:rPr>
      </w:pPr>
      <w:r>
        <w:rPr>
          <w:b/>
          <w:bCs/>
          <w:color w:val="auto"/>
          <w:szCs w:val="21"/>
          <w:highlight w:val="none"/>
        </w:rPr>
        <w:t>7.5有下列情形之一的视为供应商相互串通竞标，响应文件将被视为无效：</w:t>
      </w:r>
    </w:p>
    <w:p w14:paraId="06062E6F">
      <w:pPr>
        <w:spacing w:line="360" w:lineRule="auto"/>
        <w:ind w:firstLine="422" w:firstLineChars="200"/>
        <w:rPr>
          <w:b/>
          <w:bCs/>
          <w:color w:val="auto"/>
          <w:szCs w:val="21"/>
          <w:highlight w:val="none"/>
        </w:rPr>
      </w:pPr>
      <w:r>
        <w:rPr>
          <w:b/>
          <w:bCs/>
          <w:color w:val="auto"/>
          <w:szCs w:val="21"/>
          <w:highlight w:val="none"/>
        </w:rPr>
        <w:t>（1）不同供应商的响应文件由同一单位或者个人编制；或者不同供应商报名的IP地址一致的；</w:t>
      </w:r>
    </w:p>
    <w:p w14:paraId="110708F2">
      <w:pPr>
        <w:spacing w:line="360" w:lineRule="auto"/>
        <w:ind w:firstLine="422" w:firstLineChars="200"/>
        <w:rPr>
          <w:b/>
          <w:bCs/>
          <w:color w:val="auto"/>
          <w:szCs w:val="21"/>
          <w:highlight w:val="none"/>
        </w:rPr>
      </w:pPr>
      <w:r>
        <w:rPr>
          <w:b/>
          <w:bCs/>
          <w:color w:val="auto"/>
          <w:szCs w:val="21"/>
          <w:highlight w:val="none"/>
        </w:rPr>
        <w:t>（2）不同供应商委托同一单位或者个人办理竞标事宜；</w:t>
      </w:r>
    </w:p>
    <w:p w14:paraId="67B274C2">
      <w:pPr>
        <w:spacing w:line="360" w:lineRule="auto"/>
        <w:ind w:firstLine="422" w:firstLineChars="200"/>
        <w:rPr>
          <w:b/>
          <w:bCs/>
          <w:color w:val="auto"/>
          <w:szCs w:val="21"/>
          <w:highlight w:val="none"/>
        </w:rPr>
      </w:pPr>
      <w:r>
        <w:rPr>
          <w:b/>
          <w:bCs/>
          <w:color w:val="auto"/>
          <w:szCs w:val="21"/>
          <w:highlight w:val="none"/>
        </w:rPr>
        <w:t>（3）不同的供应商的响应文件载明的项目管理员为同一个人；</w:t>
      </w:r>
    </w:p>
    <w:p w14:paraId="50C1EF4D">
      <w:pPr>
        <w:spacing w:line="360" w:lineRule="auto"/>
        <w:ind w:firstLine="422" w:firstLineChars="200"/>
        <w:rPr>
          <w:b/>
          <w:bCs/>
          <w:color w:val="auto"/>
          <w:szCs w:val="21"/>
          <w:highlight w:val="none"/>
        </w:rPr>
      </w:pPr>
      <w:r>
        <w:rPr>
          <w:b/>
          <w:bCs/>
          <w:color w:val="auto"/>
          <w:szCs w:val="21"/>
          <w:highlight w:val="none"/>
        </w:rPr>
        <w:t>（4）不同供应商的响应文件异常一致或者报价呈规律性差异；</w:t>
      </w:r>
    </w:p>
    <w:p w14:paraId="61ECE955">
      <w:pPr>
        <w:spacing w:line="360" w:lineRule="auto"/>
        <w:ind w:firstLine="422" w:firstLineChars="200"/>
        <w:rPr>
          <w:b/>
          <w:bCs/>
          <w:color w:val="auto"/>
          <w:szCs w:val="21"/>
          <w:highlight w:val="none"/>
        </w:rPr>
      </w:pPr>
      <w:r>
        <w:rPr>
          <w:b/>
          <w:bCs/>
          <w:color w:val="auto"/>
          <w:szCs w:val="21"/>
          <w:highlight w:val="none"/>
        </w:rPr>
        <w:t>（5）不同供应商的响应文件相互混装；</w:t>
      </w:r>
    </w:p>
    <w:p w14:paraId="09BD608E">
      <w:pPr>
        <w:tabs>
          <w:tab w:val="left" w:pos="6931"/>
        </w:tabs>
        <w:spacing w:line="360" w:lineRule="auto"/>
        <w:ind w:firstLine="422" w:firstLineChars="200"/>
        <w:rPr>
          <w:b/>
          <w:bCs/>
          <w:color w:val="auto"/>
          <w:szCs w:val="21"/>
          <w:highlight w:val="none"/>
        </w:rPr>
      </w:pPr>
      <w:r>
        <w:rPr>
          <w:b/>
          <w:bCs/>
          <w:color w:val="auto"/>
          <w:szCs w:val="21"/>
          <w:highlight w:val="none"/>
        </w:rPr>
        <w:t>（6）不同供应商的磋商保证金从同一单位或者个人账户转出。</w:t>
      </w:r>
      <w:r>
        <w:rPr>
          <w:b/>
          <w:bCs/>
          <w:color w:val="auto"/>
          <w:szCs w:val="21"/>
          <w:highlight w:val="none"/>
        </w:rPr>
        <w:tab/>
      </w:r>
    </w:p>
    <w:p w14:paraId="5BA2781F">
      <w:pPr>
        <w:spacing w:line="360" w:lineRule="auto"/>
        <w:ind w:firstLine="422" w:firstLineChars="200"/>
        <w:rPr>
          <w:b/>
          <w:bCs/>
          <w:color w:val="auto"/>
          <w:szCs w:val="21"/>
          <w:highlight w:val="none"/>
        </w:rPr>
      </w:pPr>
      <w:r>
        <w:rPr>
          <w:b/>
          <w:bCs/>
          <w:color w:val="auto"/>
          <w:szCs w:val="21"/>
          <w:highlight w:val="none"/>
        </w:rPr>
        <w:t>7.6供应商有下列情形之一的，属于恶意串通行为，将报同级监督管理部门：</w:t>
      </w:r>
    </w:p>
    <w:p w14:paraId="5A47857E">
      <w:pPr>
        <w:spacing w:line="360" w:lineRule="auto"/>
        <w:ind w:firstLine="422" w:firstLineChars="200"/>
        <w:rPr>
          <w:b/>
          <w:bCs/>
          <w:color w:val="auto"/>
          <w:szCs w:val="21"/>
          <w:highlight w:val="none"/>
        </w:rPr>
      </w:pPr>
      <w:r>
        <w:rPr>
          <w:b/>
          <w:bCs/>
          <w:color w:val="auto"/>
          <w:szCs w:val="21"/>
          <w:highlight w:val="none"/>
        </w:rPr>
        <w:t>（1）供应商直接或者间接从采购人或者采购代理机构处获得其他供应商的相关信息并修改其响应文件；</w:t>
      </w:r>
    </w:p>
    <w:p w14:paraId="56689158">
      <w:pPr>
        <w:spacing w:line="360" w:lineRule="auto"/>
        <w:ind w:firstLine="422" w:firstLineChars="200"/>
        <w:rPr>
          <w:b/>
          <w:bCs/>
          <w:color w:val="auto"/>
          <w:szCs w:val="21"/>
          <w:highlight w:val="none"/>
        </w:rPr>
      </w:pPr>
      <w:r>
        <w:rPr>
          <w:b/>
          <w:bCs/>
          <w:color w:val="auto"/>
          <w:szCs w:val="21"/>
          <w:highlight w:val="none"/>
        </w:rPr>
        <w:t>（2）供应商按照采购人或者采购代理机构的授意撤换、修改响应文件；</w:t>
      </w:r>
    </w:p>
    <w:p w14:paraId="0CBF641D">
      <w:pPr>
        <w:spacing w:line="360" w:lineRule="auto"/>
        <w:ind w:firstLine="422" w:firstLineChars="200"/>
        <w:rPr>
          <w:b/>
          <w:bCs/>
          <w:color w:val="auto"/>
          <w:szCs w:val="21"/>
          <w:highlight w:val="none"/>
        </w:rPr>
      </w:pPr>
      <w:r>
        <w:rPr>
          <w:b/>
          <w:bCs/>
          <w:color w:val="auto"/>
          <w:szCs w:val="21"/>
          <w:highlight w:val="none"/>
        </w:rPr>
        <w:t>（3）供应商之间协商报价、技术方案等响应文件的实质性内容；</w:t>
      </w:r>
    </w:p>
    <w:p w14:paraId="6FC00B97">
      <w:pPr>
        <w:spacing w:line="360" w:lineRule="auto"/>
        <w:ind w:firstLine="422" w:firstLineChars="200"/>
        <w:rPr>
          <w:b/>
          <w:bCs/>
          <w:color w:val="auto"/>
          <w:szCs w:val="21"/>
          <w:highlight w:val="none"/>
        </w:rPr>
      </w:pPr>
      <w:r>
        <w:rPr>
          <w:b/>
          <w:bCs/>
          <w:color w:val="auto"/>
          <w:szCs w:val="21"/>
          <w:highlight w:val="none"/>
        </w:rPr>
        <w:t>（4）属于同一集团、协会、商会等组织成员的供应商按照该组织要求协同参加政府采购活动；</w:t>
      </w:r>
    </w:p>
    <w:p w14:paraId="185086BD">
      <w:pPr>
        <w:spacing w:line="360" w:lineRule="auto"/>
        <w:ind w:firstLine="422" w:firstLineChars="200"/>
        <w:rPr>
          <w:b/>
          <w:bCs/>
          <w:color w:val="auto"/>
          <w:szCs w:val="21"/>
          <w:highlight w:val="none"/>
        </w:rPr>
      </w:pPr>
      <w:r>
        <w:rPr>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39EA375">
      <w:pPr>
        <w:spacing w:line="360" w:lineRule="auto"/>
        <w:ind w:firstLine="422" w:firstLineChars="200"/>
        <w:rPr>
          <w:b/>
          <w:bCs/>
          <w:color w:val="auto"/>
          <w:szCs w:val="21"/>
          <w:highlight w:val="none"/>
        </w:rPr>
      </w:pPr>
      <w:r>
        <w:rPr>
          <w:b/>
          <w:bCs/>
          <w:color w:val="auto"/>
          <w:szCs w:val="21"/>
          <w:highlight w:val="none"/>
        </w:rPr>
        <w:t>（6）供应商之间商定部分供应商放弃参加政府采购活动或者放弃成交；</w:t>
      </w:r>
    </w:p>
    <w:p w14:paraId="4233E2C5">
      <w:pPr>
        <w:spacing w:line="360" w:lineRule="auto"/>
        <w:ind w:firstLine="422" w:firstLineChars="200"/>
        <w:rPr>
          <w:b/>
          <w:bCs/>
          <w:color w:val="auto"/>
          <w:szCs w:val="21"/>
          <w:highlight w:val="none"/>
        </w:rPr>
      </w:pPr>
      <w:r>
        <w:rPr>
          <w:b/>
          <w:bCs/>
          <w:color w:val="auto"/>
          <w:szCs w:val="21"/>
          <w:highlight w:val="none"/>
        </w:rPr>
        <w:t>（7）供应商与采购人或者采购代理机构之间、供应商相互之间，为谋求特定供应商成交或者排斥其他供应商的其他串通行为。</w:t>
      </w:r>
    </w:p>
    <w:p w14:paraId="3EDBD960">
      <w:pPr>
        <w:pStyle w:val="5"/>
        <w:spacing w:before="0" w:after="0" w:line="360" w:lineRule="auto"/>
        <w:ind w:firstLine="562" w:firstLineChars="200"/>
        <w:rPr>
          <w:color w:val="auto"/>
          <w:sz w:val="28"/>
          <w:szCs w:val="28"/>
          <w:highlight w:val="none"/>
        </w:rPr>
      </w:pPr>
      <w:bookmarkStart w:id="89" w:name="_Toc254970534"/>
      <w:bookmarkStart w:id="90" w:name="_Toc27583"/>
      <w:bookmarkStart w:id="91" w:name="_Toc12713"/>
      <w:bookmarkStart w:id="92" w:name="_Toc254970675"/>
      <w:bookmarkStart w:id="93" w:name="_Toc80886931"/>
      <w:r>
        <w:rPr>
          <w:color w:val="auto"/>
          <w:sz w:val="28"/>
          <w:szCs w:val="28"/>
          <w:highlight w:val="none"/>
        </w:rPr>
        <w:t>二、磋商文件</w:t>
      </w:r>
      <w:bookmarkEnd w:id="89"/>
      <w:bookmarkEnd w:id="90"/>
      <w:bookmarkEnd w:id="91"/>
      <w:bookmarkEnd w:id="92"/>
      <w:bookmarkEnd w:id="93"/>
    </w:p>
    <w:p w14:paraId="08EF141E">
      <w:pPr>
        <w:spacing w:line="360" w:lineRule="auto"/>
        <w:ind w:firstLine="482" w:firstLineChars="200"/>
        <w:rPr>
          <w:rFonts w:eastAsia="黑体"/>
          <w:b/>
          <w:bCs/>
          <w:color w:val="auto"/>
          <w:sz w:val="24"/>
          <w:highlight w:val="none"/>
        </w:rPr>
      </w:pPr>
      <w:r>
        <w:rPr>
          <w:rFonts w:eastAsia="黑体"/>
          <w:b/>
          <w:bCs/>
          <w:color w:val="auto"/>
          <w:sz w:val="24"/>
          <w:highlight w:val="none"/>
        </w:rPr>
        <w:t>8.磋商文件的构成</w:t>
      </w:r>
    </w:p>
    <w:p w14:paraId="17727511">
      <w:pPr>
        <w:spacing w:line="360" w:lineRule="auto"/>
        <w:ind w:firstLine="420" w:firstLineChars="200"/>
        <w:jc w:val="left"/>
        <w:rPr>
          <w:color w:val="auto"/>
          <w:szCs w:val="21"/>
          <w:highlight w:val="none"/>
        </w:rPr>
      </w:pPr>
      <w:r>
        <w:rPr>
          <w:color w:val="auto"/>
          <w:szCs w:val="21"/>
          <w:highlight w:val="none"/>
        </w:rPr>
        <w:t>第一章 竞争性磋商公告；</w:t>
      </w:r>
    </w:p>
    <w:p w14:paraId="30F7C8E1">
      <w:pPr>
        <w:spacing w:line="360" w:lineRule="auto"/>
        <w:ind w:firstLine="420" w:firstLineChars="200"/>
        <w:jc w:val="left"/>
        <w:rPr>
          <w:color w:val="auto"/>
          <w:szCs w:val="21"/>
          <w:highlight w:val="none"/>
        </w:rPr>
      </w:pPr>
      <w:r>
        <w:rPr>
          <w:color w:val="auto"/>
          <w:szCs w:val="21"/>
          <w:highlight w:val="none"/>
        </w:rPr>
        <w:t>第二章 采购需求；</w:t>
      </w:r>
    </w:p>
    <w:p w14:paraId="2A8FA792">
      <w:pPr>
        <w:spacing w:line="360" w:lineRule="auto"/>
        <w:ind w:firstLine="420" w:firstLineChars="200"/>
        <w:jc w:val="left"/>
        <w:rPr>
          <w:color w:val="auto"/>
          <w:szCs w:val="21"/>
          <w:highlight w:val="none"/>
        </w:rPr>
      </w:pPr>
      <w:r>
        <w:rPr>
          <w:color w:val="auto"/>
          <w:szCs w:val="21"/>
          <w:highlight w:val="none"/>
        </w:rPr>
        <w:t xml:space="preserve">第三章 供应商须知； </w:t>
      </w:r>
    </w:p>
    <w:p w14:paraId="1B7AC142">
      <w:pPr>
        <w:spacing w:line="360" w:lineRule="auto"/>
        <w:ind w:firstLine="420" w:firstLineChars="200"/>
        <w:jc w:val="left"/>
        <w:rPr>
          <w:color w:val="auto"/>
          <w:szCs w:val="21"/>
          <w:highlight w:val="none"/>
        </w:rPr>
      </w:pPr>
      <w:r>
        <w:rPr>
          <w:color w:val="auto"/>
          <w:szCs w:val="21"/>
          <w:highlight w:val="none"/>
        </w:rPr>
        <w:t>第四章 评审程序、评审方法和评审标准；</w:t>
      </w:r>
    </w:p>
    <w:p w14:paraId="40ECF42A">
      <w:pPr>
        <w:spacing w:line="360" w:lineRule="auto"/>
        <w:ind w:firstLine="420" w:firstLineChars="200"/>
        <w:jc w:val="left"/>
        <w:rPr>
          <w:color w:val="auto"/>
          <w:szCs w:val="21"/>
          <w:highlight w:val="none"/>
        </w:rPr>
      </w:pPr>
      <w:r>
        <w:rPr>
          <w:color w:val="auto"/>
          <w:szCs w:val="21"/>
          <w:highlight w:val="none"/>
        </w:rPr>
        <w:t>第五章 响应文件格式；</w:t>
      </w:r>
    </w:p>
    <w:p w14:paraId="082BEEF2">
      <w:pPr>
        <w:spacing w:line="360" w:lineRule="auto"/>
        <w:ind w:firstLine="420" w:firstLineChars="200"/>
        <w:jc w:val="left"/>
        <w:rPr>
          <w:color w:val="auto"/>
          <w:szCs w:val="21"/>
          <w:highlight w:val="none"/>
        </w:rPr>
      </w:pPr>
      <w:r>
        <w:rPr>
          <w:color w:val="auto"/>
          <w:szCs w:val="21"/>
          <w:highlight w:val="none"/>
        </w:rPr>
        <w:t>第六章 合同文本；</w:t>
      </w:r>
    </w:p>
    <w:p w14:paraId="6F144DC6">
      <w:pPr>
        <w:spacing w:line="360" w:lineRule="auto"/>
        <w:ind w:firstLine="420" w:firstLineChars="200"/>
        <w:jc w:val="left"/>
        <w:rPr>
          <w:color w:val="auto"/>
          <w:szCs w:val="21"/>
          <w:highlight w:val="none"/>
        </w:rPr>
      </w:pPr>
      <w:r>
        <w:rPr>
          <w:rFonts w:hint="eastAsia"/>
          <w:color w:val="auto"/>
          <w:szCs w:val="21"/>
          <w:highlight w:val="none"/>
        </w:rPr>
        <w:t>第七章 工程量清单、图纸</w:t>
      </w:r>
    </w:p>
    <w:p w14:paraId="1F8D8F3A">
      <w:pPr>
        <w:spacing w:line="360" w:lineRule="auto"/>
        <w:ind w:firstLine="420" w:firstLineChars="200"/>
        <w:jc w:val="left"/>
        <w:rPr>
          <w:color w:val="auto"/>
          <w:szCs w:val="21"/>
          <w:highlight w:val="none"/>
        </w:rPr>
      </w:pPr>
      <w:r>
        <w:rPr>
          <w:color w:val="auto"/>
          <w:szCs w:val="21"/>
          <w:highlight w:val="none"/>
        </w:rPr>
        <w:t>第</w:t>
      </w:r>
      <w:r>
        <w:rPr>
          <w:rFonts w:hint="eastAsia"/>
          <w:color w:val="auto"/>
          <w:szCs w:val="21"/>
          <w:highlight w:val="none"/>
        </w:rPr>
        <w:t>八</w:t>
      </w:r>
      <w:r>
        <w:rPr>
          <w:color w:val="auto"/>
          <w:szCs w:val="21"/>
          <w:highlight w:val="none"/>
        </w:rPr>
        <w:t>章 质疑、投诉材料格式。</w:t>
      </w:r>
    </w:p>
    <w:p w14:paraId="786789EB">
      <w:pPr>
        <w:spacing w:line="360" w:lineRule="auto"/>
        <w:ind w:firstLine="482" w:firstLineChars="200"/>
        <w:rPr>
          <w:rFonts w:eastAsia="黑体"/>
          <w:b/>
          <w:bCs/>
          <w:color w:val="auto"/>
          <w:sz w:val="24"/>
          <w:highlight w:val="none"/>
        </w:rPr>
      </w:pPr>
      <w:r>
        <w:rPr>
          <w:rFonts w:eastAsia="黑体"/>
          <w:b/>
          <w:bCs/>
          <w:color w:val="auto"/>
          <w:sz w:val="24"/>
          <w:highlight w:val="none"/>
        </w:rPr>
        <w:t>9.供应商的询问</w:t>
      </w:r>
    </w:p>
    <w:p w14:paraId="04B64928">
      <w:pPr>
        <w:spacing w:line="360" w:lineRule="auto"/>
        <w:ind w:firstLine="420" w:firstLineChars="200"/>
        <w:rPr>
          <w:color w:val="auto"/>
          <w:szCs w:val="21"/>
          <w:highlight w:val="none"/>
        </w:rPr>
      </w:pPr>
      <w:r>
        <w:rPr>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D52EDE2">
      <w:pPr>
        <w:spacing w:line="360" w:lineRule="auto"/>
        <w:ind w:firstLine="482" w:firstLineChars="200"/>
        <w:rPr>
          <w:rFonts w:eastAsia="黑体"/>
          <w:b/>
          <w:bCs/>
          <w:color w:val="auto"/>
          <w:sz w:val="24"/>
          <w:highlight w:val="none"/>
        </w:rPr>
      </w:pPr>
      <w:r>
        <w:rPr>
          <w:rFonts w:eastAsia="黑体"/>
          <w:b/>
          <w:bCs/>
          <w:color w:val="auto"/>
          <w:sz w:val="24"/>
          <w:highlight w:val="none"/>
        </w:rPr>
        <w:t>10.磋商文件的澄清和修改</w:t>
      </w:r>
    </w:p>
    <w:p w14:paraId="1CFDD509">
      <w:pPr>
        <w:spacing w:line="360" w:lineRule="auto"/>
        <w:ind w:firstLine="420" w:firstLineChars="200"/>
        <w:rPr>
          <w:color w:val="auto"/>
          <w:szCs w:val="21"/>
          <w:highlight w:val="none"/>
        </w:rPr>
      </w:pPr>
      <w:r>
        <w:rPr>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F070095">
      <w:pPr>
        <w:spacing w:line="360" w:lineRule="auto"/>
        <w:ind w:firstLine="422" w:firstLineChars="200"/>
        <w:rPr>
          <w:b/>
          <w:color w:val="auto"/>
          <w:szCs w:val="21"/>
          <w:highlight w:val="none"/>
        </w:rPr>
      </w:pPr>
      <w:r>
        <w:rPr>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D8FA915">
      <w:pPr>
        <w:spacing w:line="360" w:lineRule="auto"/>
        <w:ind w:firstLine="420" w:firstLineChars="200"/>
        <w:rPr>
          <w:color w:val="auto"/>
          <w:szCs w:val="21"/>
          <w:highlight w:val="none"/>
        </w:rPr>
      </w:pPr>
      <w:r>
        <w:rPr>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2B6AC40A">
      <w:pPr>
        <w:spacing w:line="360" w:lineRule="auto"/>
        <w:ind w:firstLine="420" w:firstLineChars="200"/>
        <w:rPr>
          <w:color w:val="auto"/>
          <w:szCs w:val="21"/>
          <w:highlight w:val="none"/>
        </w:rPr>
      </w:pPr>
      <w:r>
        <w:rPr>
          <w:color w:val="auto"/>
          <w:szCs w:val="21"/>
          <w:highlight w:val="none"/>
        </w:rPr>
        <w:t>10.4</w:t>
      </w:r>
      <w:r>
        <w:rPr>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4FE9E53">
      <w:pPr>
        <w:spacing w:line="360" w:lineRule="auto"/>
        <w:ind w:firstLine="420" w:firstLineChars="200"/>
        <w:rPr>
          <w:color w:val="auto"/>
          <w:highlight w:val="none"/>
        </w:rPr>
      </w:pPr>
      <w:r>
        <w:rPr>
          <w:color w:val="auto"/>
          <w:highlight w:val="none"/>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663B9ED0">
      <w:pPr>
        <w:spacing w:line="360" w:lineRule="auto"/>
        <w:ind w:firstLine="400" w:firstLineChars="200"/>
        <w:rPr>
          <w:color w:val="auto"/>
          <w:kern w:val="0"/>
          <w:sz w:val="20"/>
          <w:szCs w:val="21"/>
          <w:highlight w:val="none"/>
        </w:rPr>
      </w:pPr>
      <w:r>
        <w:rPr>
          <w:color w:val="auto"/>
          <w:kern w:val="0"/>
          <w:sz w:val="20"/>
          <w:szCs w:val="21"/>
          <w:highlight w:val="none"/>
        </w:rPr>
        <w:t>▲</w:t>
      </w:r>
      <w:r>
        <w:rPr>
          <w:b/>
          <w:color w:val="auto"/>
          <w:kern w:val="0"/>
          <w:sz w:val="20"/>
          <w:szCs w:val="21"/>
          <w:highlight w:val="none"/>
        </w:rPr>
        <w:t>响应文件未按磋商文件的澄清、修改的内容编制，又不符合实质性要求的，其响应文件按无效处理。</w:t>
      </w:r>
    </w:p>
    <w:p w14:paraId="678A61D6">
      <w:pPr>
        <w:pStyle w:val="5"/>
        <w:spacing w:before="0" w:after="0" w:line="360" w:lineRule="auto"/>
        <w:ind w:firstLine="281" w:firstLineChars="100"/>
        <w:rPr>
          <w:color w:val="auto"/>
          <w:sz w:val="28"/>
          <w:szCs w:val="28"/>
          <w:highlight w:val="none"/>
        </w:rPr>
      </w:pPr>
      <w:r>
        <w:rPr>
          <w:color w:val="auto"/>
          <w:sz w:val="28"/>
          <w:szCs w:val="28"/>
          <w:highlight w:val="none"/>
        </w:rPr>
        <w:t xml:space="preserve">  </w:t>
      </w:r>
      <w:bookmarkStart w:id="94" w:name="_Toc21690"/>
      <w:bookmarkStart w:id="95" w:name="_Toc80886932"/>
      <w:bookmarkStart w:id="96" w:name="_Toc21480"/>
      <w:r>
        <w:rPr>
          <w:color w:val="auto"/>
          <w:sz w:val="28"/>
          <w:szCs w:val="28"/>
          <w:highlight w:val="none"/>
        </w:rPr>
        <w:t>三、响应文件的编制</w:t>
      </w:r>
      <w:bookmarkEnd w:id="94"/>
      <w:bookmarkEnd w:id="95"/>
      <w:bookmarkEnd w:id="96"/>
    </w:p>
    <w:p w14:paraId="0C56F8EE">
      <w:pPr>
        <w:spacing w:line="360" w:lineRule="auto"/>
        <w:ind w:firstLine="482" w:firstLineChars="200"/>
        <w:rPr>
          <w:rFonts w:eastAsia="黑体"/>
          <w:b/>
          <w:bCs/>
          <w:color w:val="auto"/>
          <w:sz w:val="24"/>
          <w:highlight w:val="none"/>
        </w:rPr>
      </w:pPr>
      <w:r>
        <w:rPr>
          <w:rFonts w:eastAsia="黑体"/>
          <w:b/>
          <w:bCs/>
          <w:color w:val="auto"/>
          <w:sz w:val="24"/>
          <w:highlight w:val="none"/>
        </w:rPr>
        <w:t>11.响应文件的编制原则</w:t>
      </w:r>
    </w:p>
    <w:p w14:paraId="1DE8B014">
      <w:pPr>
        <w:spacing w:line="360" w:lineRule="auto"/>
        <w:ind w:firstLine="420" w:firstLineChars="200"/>
        <w:rPr>
          <w:color w:val="auto"/>
          <w:szCs w:val="21"/>
          <w:highlight w:val="none"/>
        </w:rPr>
      </w:pPr>
      <w:r>
        <w:rPr>
          <w:color w:val="auto"/>
          <w:szCs w:val="21"/>
          <w:highlight w:val="none"/>
        </w:rPr>
        <w:t>供应商必须按照磋商文件的要求编制响应文件，并对其提交的响应文件的真实性、合法性承担法律责任。响应文件必须对磋商文件作出实质性响应。</w:t>
      </w:r>
    </w:p>
    <w:p w14:paraId="0EC173A8">
      <w:pPr>
        <w:spacing w:line="360" w:lineRule="auto"/>
        <w:ind w:firstLine="482" w:firstLineChars="200"/>
        <w:rPr>
          <w:rFonts w:eastAsia="黑体"/>
          <w:b/>
          <w:bCs/>
          <w:color w:val="auto"/>
          <w:sz w:val="24"/>
          <w:highlight w:val="none"/>
        </w:rPr>
      </w:pPr>
      <w:r>
        <w:rPr>
          <w:rFonts w:eastAsia="黑体"/>
          <w:b/>
          <w:bCs/>
          <w:color w:val="auto"/>
          <w:sz w:val="24"/>
          <w:highlight w:val="none"/>
        </w:rPr>
        <w:t>12.响应文件的组成</w:t>
      </w:r>
    </w:p>
    <w:p w14:paraId="41C43A2D">
      <w:pPr>
        <w:spacing w:line="360" w:lineRule="auto"/>
        <w:ind w:firstLine="420" w:firstLineChars="200"/>
        <w:rPr>
          <w:color w:val="auto"/>
          <w:szCs w:val="21"/>
          <w:highlight w:val="none"/>
        </w:rPr>
      </w:pPr>
      <w:r>
        <w:rPr>
          <w:color w:val="auto"/>
          <w:szCs w:val="21"/>
          <w:highlight w:val="none"/>
        </w:rPr>
        <w:t>12.1响应文件由资格证明文件、报价文件、商务和技术文件三部分组成。</w:t>
      </w:r>
    </w:p>
    <w:p w14:paraId="7C65FD14">
      <w:pPr>
        <w:spacing w:line="360" w:lineRule="auto"/>
        <w:ind w:firstLine="420" w:firstLineChars="200"/>
        <w:rPr>
          <w:color w:val="auto"/>
          <w:szCs w:val="21"/>
          <w:highlight w:val="none"/>
        </w:rPr>
      </w:pPr>
      <w:r>
        <w:rPr>
          <w:color w:val="auto"/>
          <w:szCs w:val="21"/>
          <w:highlight w:val="none"/>
        </w:rPr>
        <w:t>12.1.1资格证明文件：详见供应商须知前附表</w:t>
      </w:r>
    </w:p>
    <w:p w14:paraId="4339FC1E">
      <w:pPr>
        <w:spacing w:line="360" w:lineRule="auto"/>
        <w:ind w:firstLine="420" w:firstLineChars="200"/>
        <w:rPr>
          <w:color w:val="auto"/>
          <w:szCs w:val="21"/>
          <w:highlight w:val="none"/>
        </w:rPr>
      </w:pPr>
      <w:r>
        <w:rPr>
          <w:color w:val="auto"/>
          <w:szCs w:val="21"/>
          <w:highlight w:val="none"/>
        </w:rPr>
        <w:t>12.1.2商务技术文件：详见供应商须知前附表</w:t>
      </w:r>
    </w:p>
    <w:p w14:paraId="3A6D35AB">
      <w:pPr>
        <w:spacing w:line="360" w:lineRule="auto"/>
        <w:ind w:firstLine="420" w:firstLineChars="200"/>
        <w:rPr>
          <w:color w:val="auto"/>
          <w:szCs w:val="21"/>
          <w:highlight w:val="none"/>
        </w:rPr>
      </w:pPr>
      <w:r>
        <w:rPr>
          <w:color w:val="auto"/>
          <w:szCs w:val="21"/>
          <w:highlight w:val="none"/>
        </w:rPr>
        <w:t>12.1.3报价文件：详见供应商须知前附表</w:t>
      </w:r>
    </w:p>
    <w:p w14:paraId="346C1F9F">
      <w:pPr>
        <w:spacing w:line="360" w:lineRule="auto"/>
        <w:ind w:firstLine="420" w:firstLineChars="200"/>
        <w:rPr>
          <w:color w:val="auto"/>
          <w:szCs w:val="21"/>
          <w:highlight w:val="none"/>
        </w:rPr>
      </w:pPr>
      <w:r>
        <w:rPr>
          <w:color w:val="auto"/>
          <w:szCs w:val="21"/>
          <w:highlight w:val="none"/>
        </w:rPr>
        <w:t>12.2响应文件电子版：详见供应商须知前附表</w:t>
      </w:r>
    </w:p>
    <w:p w14:paraId="3F6A4834">
      <w:pPr>
        <w:spacing w:line="360" w:lineRule="auto"/>
        <w:ind w:firstLine="482" w:firstLineChars="200"/>
        <w:rPr>
          <w:rFonts w:eastAsia="黑体"/>
          <w:b/>
          <w:bCs/>
          <w:color w:val="auto"/>
          <w:sz w:val="24"/>
          <w:highlight w:val="none"/>
        </w:rPr>
      </w:pPr>
      <w:r>
        <w:rPr>
          <w:rFonts w:eastAsia="黑体"/>
          <w:b/>
          <w:bCs/>
          <w:color w:val="auto"/>
          <w:sz w:val="24"/>
          <w:highlight w:val="none"/>
        </w:rPr>
        <w:t>13.计量单位</w:t>
      </w:r>
    </w:p>
    <w:p w14:paraId="35C83760">
      <w:pPr>
        <w:spacing w:line="360" w:lineRule="auto"/>
        <w:ind w:firstLine="420" w:firstLineChars="200"/>
        <w:rPr>
          <w:color w:val="auto"/>
          <w:szCs w:val="21"/>
          <w:highlight w:val="none"/>
        </w:rPr>
      </w:pPr>
      <w:r>
        <w:rPr>
          <w:color w:val="auto"/>
          <w:szCs w:val="21"/>
          <w:highlight w:val="none"/>
        </w:rPr>
        <w:t>磋商文件已有明确规定的，使用磋商文件规定的计量单位；磋商文件没有规定的，应采用中华人民共和国法定计量单位，货币种类为人民币，否则视同未响应。</w:t>
      </w:r>
    </w:p>
    <w:p w14:paraId="160791CE">
      <w:pPr>
        <w:spacing w:line="360" w:lineRule="auto"/>
        <w:ind w:firstLine="482" w:firstLineChars="200"/>
        <w:rPr>
          <w:rFonts w:eastAsia="黑体"/>
          <w:b/>
          <w:bCs/>
          <w:color w:val="auto"/>
          <w:sz w:val="24"/>
          <w:highlight w:val="none"/>
        </w:rPr>
      </w:pPr>
      <w:r>
        <w:rPr>
          <w:rFonts w:eastAsia="黑体"/>
          <w:b/>
          <w:bCs/>
          <w:color w:val="auto"/>
          <w:sz w:val="24"/>
          <w:highlight w:val="none"/>
        </w:rPr>
        <w:t>14.竞标的风险</w:t>
      </w:r>
    </w:p>
    <w:p w14:paraId="161378D8">
      <w:pPr>
        <w:spacing w:line="360" w:lineRule="auto"/>
        <w:ind w:firstLine="420" w:firstLineChars="200"/>
        <w:rPr>
          <w:color w:val="auto"/>
          <w:szCs w:val="21"/>
          <w:highlight w:val="none"/>
        </w:rPr>
      </w:pPr>
      <w:r>
        <w:rPr>
          <w:color w:val="auto"/>
          <w:szCs w:val="21"/>
          <w:highlight w:val="none"/>
        </w:rPr>
        <w:t>供应商没有按照磋商文件要求提供全部资料，或者供应商没有对磋商文件在各方面作出实质性响应可能导致其响应无效，是供应商应当考虑的风险。</w:t>
      </w:r>
    </w:p>
    <w:p w14:paraId="38D9D120">
      <w:pPr>
        <w:spacing w:line="360" w:lineRule="auto"/>
        <w:ind w:firstLine="482" w:firstLineChars="200"/>
        <w:rPr>
          <w:rFonts w:eastAsia="黑体"/>
          <w:b/>
          <w:bCs/>
          <w:color w:val="auto"/>
          <w:sz w:val="24"/>
          <w:highlight w:val="none"/>
        </w:rPr>
      </w:pPr>
      <w:r>
        <w:rPr>
          <w:rFonts w:eastAsia="黑体"/>
          <w:b/>
          <w:bCs/>
          <w:color w:val="auto"/>
          <w:sz w:val="24"/>
          <w:highlight w:val="none"/>
        </w:rPr>
        <w:t>15.响应报价要求和构成</w:t>
      </w:r>
    </w:p>
    <w:p w14:paraId="34665964">
      <w:pPr>
        <w:tabs>
          <w:tab w:val="left" w:pos="2492"/>
        </w:tabs>
        <w:spacing w:line="360" w:lineRule="auto"/>
        <w:ind w:firstLine="420" w:firstLineChars="200"/>
        <w:rPr>
          <w:color w:val="auto"/>
          <w:szCs w:val="21"/>
          <w:highlight w:val="none"/>
        </w:rPr>
      </w:pPr>
      <w:r>
        <w:rPr>
          <w:color w:val="auto"/>
          <w:szCs w:val="21"/>
          <w:highlight w:val="none"/>
        </w:rPr>
        <w:t>15.1响应报价应按“第五章 响应文件格式”中“响应报价表”格式填写。</w:t>
      </w:r>
    </w:p>
    <w:p w14:paraId="53976E3D">
      <w:pPr>
        <w:tabs>
          <w:tab w:val="left" w:pos="2492"/>
        </w:tabs>
        <w:spacing w:line="360" w:lineRule="auto"/>
        <w:ind w:firstLine="420" w:firstLineChars="200"/>
        <w:rPr>
          <w:color w:val="auto"/>
          <w:szCs w:val="21"/>
          <w:highlight w:val="none"/>
        </w:rPr>
      </w:pPr>
      <w:r>
        <w:rPr>
          <w:color w:val="auto"/>
          <w:szCs w:val="21"/>
          <w:highlight w:val="none"/>
        </w:rPr>
        <w:t>15.2响应报价的价格构成见“供应商须知前附表”。</w:t>
      </w:r>
    </w:p>
    <w:p w14:paraId="26726F91">
      <w:pPr>
        <w:spacing w:line="360" w:lineRule="auto"/>
        <w:ind w:firstLine="420" w:firstLineChars="200"/>
        <w:rPr>
          <w:color w:val="auto"/>
          <w:szCs w:val="21"/>
          <w:highlight w:val="none"/>
        </w:rPr>
      </w:pPr>
      <w:r>
        <w:rPr>
          <w:color w:val="auto"/>
          <w:szCs w:val="21"/>
          <w:highlight w:val="none"/>
        </w:rPr>
        <w:t>15.3响应报价要求</w:t>
      </w:r>
    </w:p>
    <w:p w14:paraId="6194FB40">
      <w:pPr>
        <w:spacing w:line="360" w:lineRule="auto"/>
        <w:ind w:firstLine="420" w:firstLineChars="200"/>
        <w:rPr>
          <w:color w:val="auto"/>
          <w:szCs w:val="21"/>
          <w:highlight w:val="none"/>
        </w:rPr>
      </w:pPr>
    </w:p>
    <w:p w14:paraId="0F2F18A6">
      <w:pPr>
        <w:spacing w:line="360" w:lineRule="auto"/>
        <w:ind w:firstLine="420" w:firstLineChars="200"/>
        <w:rPr>
          <w:color w:val="auto"/>
          <w:szCs w:val="21"/>
          <w:highlight w:val="none"/>
        </w:rPr>
      </w:pPr>
      <w:r>
        <w:rPr>
          <w:rFonts w:hint="eastAsia"/>
          <w:color w:val="auto"/>
          <w:szCs w:val="21"/>
          <w:highlight w:val="none"/>
        </w:rPr>
        <w:t>15.3.1供应商的响应报价要求</w:t>
      </w:r>
      <w:r>
        <w:rPr>
          <w:color w:val="auto"/>
          <w:szCs w:val="21"/>
          <w:highlight w:val="none"/>
        </w:rPr>
        <w:t>见“供应商须知前附表”。</w:t>
      </w:r>
    </w:p>
    <w:p w14:paraId="7244143E">
      <w:pPr>
        <w:spacing w:line="360" w:lineRule="auto"/>
        <w:ind w:firstLine="420" w:firstLineChars="200"/>
        <w:rPr>
          <w:color w:val="auto"/>
          <w:szCs w:val="21"/>
          <w:highlight w:val="none"/>
        </w:rPr>
      </w:pPr>
      <w:r>
        <w:rPr>
          <w:color w:val="auto"/>
          <w:szCs w:val="21"/>
          <w:highlight w:val="none"/>
        </w:rPr>
        <w:t>15.3.</w:t>
      </w:r>
      <w:r>
        <w:rPr>
          <w:rFonts w:hint="eastAsia"/>
          <w:color w:val="auto"/>
          <w:szCs w:val="21"/>
          <w:highlight w:val="none"/>
        </w:rPr>
        <w:t>2</w:t>
      </w:r>
      <w:r>
        <w:rPr>
          <w:color w:val="auto"/>
          <w:szCs w:val="21"/>
          <w:highlight w:val="none"/>
        </w:rPr>
        <w:t>供应商的响应报价应符合以下要求，否则响应文件按无效响应处理：</w:t>
      </w:r>
    </w:p>
    <w:p w14:paraId="36CE3385">
      <w:pPr>
        <w:spacing w:line="360" w:lineRule="auto"/>
        <w:ind w:firstLine="420" w:firstLineChars="200"/>
        <w:rPr>
          <w:color w:val="auto"/>
          <w:szCs w:val="21"/>
          <w:highlight w:val="none"/>
        </w:rPr>
      </w:pPr>
      <w:r>
        <w:rPr>
          <w:color w:val="auto"/>
          <w:szCs w:val="21"/>
          <w:highlight w:val="none"/>
        </w:rPr>
        <w:t>（1）供应商必须就“采购需求”中所竞标的项目的全部内容分别作完整唯一总价报价，不得存在漏项报价；</w:t>
      </w:r>
    </w:p>
    <w:p w14:paraId="0C0CF536">
      <w:pPr>
        <w:spacing w:line="360" w:lineRule="auto"/>
        <w:ind w:firstLine="420" w:firstLineChars="200"/>
        <w:rPr>
          <w:color w:val="auto"/>
          <w:szCs w:val="21"/>
          <w:highlight w:val="none"/>
        </w:rPr>
      </w:pPr>
      <w:r>
        <w:rPr>
          <w:color w:val="auto"/>
          <w:szCs w:val="21"/>
          <w:highlight w:val="none"/>
        </w:rPr>
        <w:t>（2）供应商必须就所竞标的项目的单项内容作唯一报价。</w:t>
      </w:r>
    </w:p>
    <w:p w14:paraId="3CB74217">
      <w:pPr>
        <w:spacing w:line="360" w:lineRule="auto"/>
        <w:ind w:firstLine="420" w:firstLineChars="200"/>
        <w:rPr>
          <w:color w:val="auto"/>
          <w:szCs w:val="21"/>
          <w:highlight w:val="none"/>
        </w:rPr>
      </w:pPr>
      <w:r>
        <w:rPr>
          <w:color w:val="auto"/>
          <w:szCs w:val="21"/>
          <w:highlight w:val="none"/>
        </w:rPr>
        <w:t>15.3.</w:t>
      </w:r>
      <w:r>
        <w:rPr>
          <w:rFonts w:hint="eastAsia"/>
          <w:color w:val="auto"/>
          <w:szCs w:val="21"/>
          <w:highlight w:val="none"/>
        </w:rPr>
        <w:t>3</w:t>
      </w:r>
      <w:r>
        <w:rPr>
          <w:color w:val="auto"/>
          <w:szCs w:val="21"/>
          <w:highlight w:val="none"/>
        </w:rPr>
        <w:t>响应报价（包含首次报价、最后报价）超过所竞标项目规定的采购预算金额或者最高限价的（如本项目公布了最高限价），其响应文件将按无效处理。</w:t>
      </w:r>
    </w:p>
    <w:p w14:paraId="048AF283">
      <w:pPr>
        <w:spacing w:line="360" w:lineRule="auto"/>
        <w:ind w:firstLine="420" w:firstLineChars="200"/>
        <w:rPr>
          <w:color w:val="auto"/>
          <w:szCs w:val="21"/>
          <w:highlight w:val="none"/>
        </w:rPr>
      </w:pPr>
      <w:r>
        <w:rPr>
          <w:color w:val="auto"/>
          <w:szCs w:val="21"/>
          <w:highlight w:val="none"/>
        </w:rPr>
        <w:t>15.3.</w:t>
      </w:r>
      <w:bookmarkStart w:id="97" w:name="_Hlk42592874"/>
      <w:r>
        <w:rPr>
          <w:rFonts w:hint="eastAsia"/>
          <w:color w:val="auto"/>
          <w:szCs w:val="21"/>
          <w:highlight w:val="none"/>
        </w:rPr>
        <w:t>4</w:t>
      </w:r>
      <w:r>
        <w:rPr>
          <w:color w:val="auto"/>
          <w:szCs w:val="21"/>
          <w:highlight w:val="none"/>
        </w:rPr>
        <w:t>响应报价（包含首次报价、最后报价）超过分项采购预算金额或者最高限价的（如本项目公布了最高限价），其响应文件将按无效处理。</w:t>
      </w:r>
    </w:p>
    <w:bookmarkEnd w:id="97"/>
    <w:p w14:paraId="65BA3770">
      <w:pPr>
        <w:spacing w:line="360" w:lineRule="auto"/>
        <w:ind w:firstLine="482" w:firstLineChars="200"/>
        <w:rPr>
          <w:rFonts w:eastAsia="黑体"/>
          <w:b/>
          <w:bCs/>
          <w:color w:val="auto"/>
          <w:sz w:val="24"/>
          <w:highlight w:val="none"/>
        </w:rPr>
      </w:pPr>
      <w:r>
        <w:rPr>
          <w:rFonts w:eastAsia="黑体"/>
          <w:b/>
          <w:bCs/>
          <w:color w:val="auto"/>
          <w:sz w:val="24"/>
          <w:highlight w:val="none"/>
        </w:rPr>
        <w:t>16.竞标有效期</w:t>
      </w:r>
    </w:p>
    <w:p w14:paraId="793733B8">
      <w:pPr>
        <w:spacing w:line="360" w:lineRule="auto"/>
        <w:ind w:firstLine="420" w:firstLineChars="200"/>
        <w:rPr>
          <w:color w:val="auto"/>
          <w:szCs w:val="21"/>
          <w:highlight w:val="none"/>
        </w:rPr>
      </w:pPr>
      <w:r>
        <w:rPr>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E25CF03">
      <w:pPr>
        <w:spacing w:line="360" w:lineRule="auto"/>
        <w:ind w:firstLine="420" w:firstLineChars="200"/>
        <w:rPr>
          <w:color w:val="auto"/>
          <w:szCs w:val="21"/>
          <w:highlight w:val="none"/>
        </w:rPr>
      </w:pPr>
      <w:r>
        <w:rPr>
          <w:color w:val="auto"/>
          <w:szCs w:val="21"/>
          <w:highlight w:val="none"/>
        </w:rPr>
        <w:t>16.2 竞标有效期应由供应商按“供应商须知前附表”规定的期限作出响应。</w:t>
      </w:r>
    </w:p>
    <w:p w14:paraId="2593BCD5">
      <w:pPr>
        <w:spacing w:line="360" w:lineRule="auto"/>
        <w:ind w:firstLine="420" w:firstLineChars="200"/>
        <w:rPr>
          <w:color w:val="auto"/>
          <w:szCs w:val="21"/>
          <w:highlight w:val="none"/>
        </w:rPr>
      </w:pPr>
      <w:r>
        <w:rPr>
          <w:color w:val="auto"/>
          <w:szCs w:val="21"/>
          <w:highlight w:val="none"/>
        </w:rPr>
        <w:t>16.3供应商的响应文件在竞标有效期内均保持有效。</w:t>
      </w:r>
    </w:p>
    <w:p w14:paraId="4869E533">
      <w:pPr>
        <w:spacing w:line="360" w:lineRule="auto"/>
        <w:rPr>
          <w:rFonts w:eastAsia="黑体"/>
          <w:b/>
          <w:bCs/>
          <w:i/>
          <w:iCs/>
          <w:color w:val="auto"/>
          <w:sz w:val="24"/>
          <w:highlight w:val="none"/>
        </w:rPr>
      </w:pPr>
      <w:r>
        <w:rPr>
          <w:rFonts w:eastAsia="黑体"/>
          <w:b/>
          <w:bCs/>
          <w:color w:val="auto"/>
          <w:sz w:val="24"/>
          <w:highlight w:val="none"/>
        </w:rPr>
        <w:t>17.磋商保证金</w:t>
      </w:r>
    </w:p>
    <w:p w14:paraId="11FBC75E">
      <w:pPr>
        <w:spacing w:line="360" w:lineRule="auto"/>
        <w:ind w:left="420" w:leftChars="200"/>
        <w:rPr>
          <w:color w:val="auto"/>
          <w:szCs w:val="21"/>
          <w:highlight w:val="none"/>
        </w:rPr>
      </w:pPr>
      <w:r>
        <w:rPr>
          <w:color w:val="auto"/>
          <w:szCs w:val="21"/>
          <w:highlight w:val="none"/>
        </w:rPr>
        <w:t>17.1供应商须按“供应商须知前附表”的规定提交磋商保证金。</w:t>
      </w:r>
    </w:p>
    <w:p w14:paraId="277D8078">
      <w:pPr>
        <w:spacing w:line="360" w:lineRule="auto"/>
        <w:ind w:left="420" w:leftChars="200"/>
        <w:rPr>
          <w:color w:val="auto"/>
          <w:szCs w:val="21"/>
          <w:highlight w:val="none"/>
        </w:rPr>
      </w:pPr>
      <w:r>
        <w:rPr>
          <w:color w:val="auto"/>
          <w:szCs w:val="21"/>
          <w:highlight w:val="none"/>
        </w:rPr>
        <w:t>17.2磋商保证金的退还</w:t>
      </w:r>
    </w:p>
    <w:p w14:paraId="20CFE400">
      <w:pPr>
        <w:spacing w:line="360" w:lineRule="auto"/>
        <w:ind w:firstLine="420" w:firstLineChars="200"/>
        <w:rPr>
          <w:color w:val="auto"/>
          <w:szCs w:val="21"/>
          <w:highlight w:val="none"/>
        </w:rPr>
      </w:pPr>
      <w:r>
        <w:rPr>
          <w:color w:val="auto"/>
          <w:szCs w:val="21"/>
          <w:highlight w:val="none"/>
        </w:rPr>
        <w:t>17.2.1未</w:t>
      </w:r>
      <w:r>
        <w:rPr>
          <w:color w:val="auto"/>
          <w:spacing w:val="-6"/>
          <w:szCs w:val="21"/>
          <w:highlight w:val="none"/>
        </w:rPr>
        <w:t>成交供应商的磋商保证金自成交通知书发出之日起</w:t>
      </w:r>
      <w:r>
        <w:rPr>
          <w:rFonts w:hint="eastAsia"/>
          <w:color w:val="auto"/>
          <w:spacing w:val="-6"/>
          <w:szCs w:val="21"/>
          <w:highlight w:val="none"/>
        </w:rPr>
        <w:t>5</w:t>
      </w:r>
      <w:r>
        <w:rPr>
          <w:color w:val="auto"/>
          <w:spacing w:val="-6"/>
          <w:szCs w:val="21"/>
          <w:highlight w:val="none"/>
        </w:rPr>
        <w:t>个工作日内退还，退还方式如下：</w:t>
      </w:r>
    </w:p>
    <w:p w14:paraId="38EA0058">
      <w:pPr>
        <w:spacing w:line="360" w:lineRule="auto"/>
        <w:ind w:firstLine="420" w:firstLineChars="200"/>
        <w:rPr>
          <w:color w:val="auto"/>
          <w:szCs w:val="21"/>
          <w:highlight w:val="none"/>
        </w:rPr>
      </w:pPr>
      <w:r>
        <w:rPr>
          <w:color w:val="auto"/>
          <w:szCs w:val="21"/>
          <w:highlight w:val="none"/>
        </w:rPr>
        <w:t>（1）采用银行转账方式的，以转账方式退回到供应商银行账户。</w:t>
      </w:r>
    </w:p>
    <w:p w14:paraId="55742BC5">
      <w:pPr>
        <w:pStyle w:val="8"/>
        <w:spacing w:line="360" w:lineRule="auto"/>
        <w:ind w:firstLine="315" w:firstLineChars="150"/>
        <w:rPr>
          <w:color w:val="auto"/>
          <w:szCs w:val="21"/>
          <w:highlight w:val="none"/>
        </w:rPr>
      </w:pPr>
      <w:r>
        <w:rPr>
          <w:color w:val="auto"/>
          <w:szCs w:val="21"/>
          <w:highlight w:val="none"/>
        </w:rPr>
        <w:t>（2）采用支票、汇票、本票或者金融机构、担保机构出具的保函等方式的，由供应商代表持相关授权证明材料至采购代理机构办理支票、汇票、本票或者金融机构、担保机构出具的保函等原件退还手续。</w:t>
      </w:r>
    </w:p>
    <w:p w14:paraId="63964FF4">
      <w:pPr>
        <w:spacing w:line="360" w:lineRule="auto"/>
        <w:ind w:firstLine="420" w:firstLineChars="200"/>
        <w:rPr>
          <w:color w:val="auto"/>
          <w:szCs w:val="21"/>
          <w:highlight w:val="none"/>
        </w:rPr>
      </w:pPr>
      <w:r>
        <w:rPr>
          <w:color w:val="auto"/>
          <w:szCs w:val="21"/>
          <w:highlight w:val="none"/>
        </w:rPr>
        <w:t>17.2.2成交供应商的磋商保证金自签订合同之日起</w:t>
      </w:r>
      <w:r>
        <w:rPr>
          <w:rFonts w:hint="eastAsia"/>
          <w:color w:val="auto"/>
          <w:szCs w:val="21"/>
          <w:highlight w:val="none"/>
        </w:rPr>
        <w:t>5</w:t>
      </w:r>
      <w:r>
        <w:rPr>
          <w:color w:val="auto"/>
          <w:szCs w:val="21"/>
          <w:highlight w:val="none"/>
        </w:rPr>
        <w:t xml:space="preserve">个工作日内退还，退还方式同未成交供应商的磋商保证金的退还方式。 </w:t>
      </w:r>
    </w:p>
    <w:p w14:paraId="1222968B">
      <w:pPr>
        <w:spacing w:line="360" w:lineRule="auto"/>
        <w:ind w:left="420" w:leftChars="200"/>
        <w:rPr>
          <w:color w:val="auto"/>
          <w:szCs w:val="21"/>
          <w:highlight w:val="none"/>
        </w:rPr>
      </w:pPr>
      <w:r>
        <w:rPr>
          <w:color w:val="auto"/>
          <w:szCs w:val="21"/>
          <w:highlight w:val="none"/>
        </w:rPr>
        <w:t>17.3磋商保证金不计息。</w:t>
      </w:r>
    </w:p>
    <w:p w14:paraId="594B32AC">
      <w:pPr>
        <w:spacing w:line="360" w:lineRule="auto"/>
        <w:ind w:left="420" w:leftChars="200"/>
        <w:rPr>
          <w:color w:val="auto"/>
          <w:szCs w:val="21"/>
          <w:highlight w:val="none"/>
        </w:rPr>
      </w:pPr>
      <w:r>
        <w:rPr>
          <w:color w:val="auto"/>
          <w:szCs w:val="21"/>
          <w:highlight w:val="none"/>
        </w:rPr>
        <w:t xml:space="preserve">17.4供应商有下列情形之一的，磋商保证金将不予退还： </w:t>
      </w:r>
    </w:p>
    <w:p w14:paraId="39D054BE">
      <w:pPr>
        <w:spacing w:line="360" w:lineRule="auto"/>
        <w:ind w:left="420" w:leftChars="200"/>
        <w:rPr>
          <w:color w:val="auto"/>
          <w:szCs w:val="21"/>
          <w:highlight w:val="none"/>
        </w:rPr>
      </w:pPr>
      <w:r>
        <w:rPr>
          <w:color w:val="auto"/>
          <w:szCs w:val="21"/>
          <w:highlight w:val="none"/>
        </w:rPr>
        <w:t>（1）供应商在提交响应文件截止时间后撤回响应文件的；</w:t>
      </w:r>
    </w:p>
    <w:p w14:paraId="0F23E776">
      <w:pPr>
        <w:spacing w:line="360" w:lineRule="auto"/>
        <w:ind w:left="420" w:leftChars="200"/>
        <w:rPr>
          <w:color w:val="auto"/>
          <w:szCs w:val="21"/>
          <w:highlight w:val="none"/>
        </w:rPr>
      </w:pPr>
      <w:r>
        <w:rPr>
          <w:color w:val="auto"/>
          <w:szCs w:val="21"/>
          <w:highlight w:val="none"/>
        </w:rPr>
        <w:t>（2）供应商在响应文件中提供虚假材料的；</w:t>
      </w:r>
    </w:p>
    <w:p w14:paraId="56CFEA1D">
      <w:pPr>
        <w:spacing w:line="360" w:lineRule="auto"/>
        <w:ind w:firstLine="420" w:firstLineChars="200"/>
        <w:rPr>
          <w:color w:val="auto"/>
          <w:szCs w:val="21"/>
          <w:highlight w:val="none"/>
        </w:rPr>
      </w:pPr>
      <w:r>
        <w:rPr>
          <w:color w:val="auto"/>
          <w:szCs w:val="21"/>
          <w:highlight w:val="none"/>
        </w:rPr>
        <w:t>（3）除因不可抗力或者磋商文件认可的情形以外，成交供应商不与采购人签订合同的；</w:t>
      </w:r>
    </w:p>
    <w:p w14:paraId="3CB00CCF">
      <w:pPr>
        <w:spacing w:line="360" w:lineRule="auto"/>
        <w:ind w:left="420" w:leftChars="200"/>
        <w:rPr>
          <w:color w:val="auto"/>
          <w:szCs w:val="21"/>
          <w:highlight w:val="none"/>
        </w:rPr>
      </w:pPr>
      <w:r>
        <w:rPr>
          <w:color w:val="auto"/>
          <w:szCs w:val="21"/>
          <w:highlight w:val="none"/>
        </w:rPr>
        <w:t>（4）供应商与采购人、其他供应商或者采购代理机构恶意串通的；</w:t>
      </w:r>
    </w:p>
    <w:p w14:paraId="474B0E0C">
      <w:pPr>
        <w:spacing w:line="360" w:lineRule="auto"/>
        <w:ind w:left="420" w:leftChars="200"/>
        <w:rPr>
          <w:color w:val="auto"/>
          <w:szCs w:val="21"/>
          <w:highlight w:val="none"/>
        </w:rPr>
      </w:pPr>
      <w:r>
        <w:rPr>
          <w:color w:val="auto"/>
          <w:szCs w:val="21"/>
          <w:highlight w:val="none"/>
        </w:rPr>
        <w:t>（5）磋商文件规定的其他情形。</w:t>
      </w:r>
    </w:p>
    <w:p w14:paraId="5AF28699">
      <w:pPr>
        <w:spacing w:line="360" w:lineRule="auto"/>
        <w:ind w:firstLine="482" w:firstLineChars="200"/>
        <w:rPr>
          <w:rFonts w:eastAsia="黑体"/>
          <w:b/>
          <w:bCs/>
          <w:color w:val="auto"/>
          <w:sz w:val="24"/>
          <w:highlight w:val="none"/>
        </w:rPr>
      </w:pPr>
      <w:r>
        <w:rPr>
          <w:rFonts w:eastAsia="黑体"/>
          <w:b/>
          <w:bCs/>
          <w:color w:val="auto"/>
          <w:sz w:val="24"/>
          <w:highlight w:val="none"/>
        </w:rPr>
        <w:t>18.响应文件编制的要求</w:t>
      </w:r>
    </w:p>
    <w:p w14:paraId="782D5458">
      <w:pPr>
        <w:spacing w:line="360" w:lineRule="auto"/>
        <w:ind w:firstLine="420" w:firstLineChars="200"/>
        <w:rPr>
          <w:color w:val="auto"/>
          <w:szCs w:val="21"/>
          <w:highlight w:val="none"/>
        </w:rPr>
      </w:pPr>
      <w:r>
        <w:rPr>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color w:val="auto"/>
          <w:highlight w:val="none"/>
        </w:rPr>
        <w:t>由此引发的</w:t>
      </w:r>
      <w:r>
        <w:rPr>
          <w:color w:val="auto"/>
          <w:szCs w:val="21"/>
          <w:highlight w:val="none"/>
        </w:rPr>
        <w:t>后果由供应商承担。</w:t>
      </w:r>
    </w:p>
    <w:p w14:paraId="6A7F25AE">
      <w:pPr>
        <w:spacing w:line="360" w:lineRule="auto"/>
        <w:ind w:firstLine="420" w:firstLineChars="200"/>
        <w:rPr>
          <w:color w:val="auto"/>
          <w:szCs w:val="21"/>
          <w:highlight w:val="none"/>
        </w:rPr>
      </w:pPr>
      <w:r>
        <w:rPr>
          <w:color w:val="auto"/>
          <w:szCs w:val="21"/>
          <w:highlight w:val="none"/>
        </w:rPr>
        <w:t>18.2响应文件应按资格证明文件、报价文件分别编制，商务技术文件合并编制，本磋商只接受电子版响应文件，要求见本章“12.2响应文件电子版要求”。</w:t>
      </w:r>
    </w:p>
    <w:p w14:paraId="00FF956D">
      <w:pPr>
        <w:spacing w:line="360" w:lineRule="auto"/>
        <w:ind w:firstLine="420" w:firstLineChars="200"/>
        <w:rPr>
          <w:color w:val="auto"/>
          <w:szCs w:val="21"/>
          <w:highlight w:val="none"/>
        </w:rPr>
      </w:pPr>
      <w:r>
        <w:rPr>
          <w:color w:val="auto"/>
          <w:szCs w:val="21"/>
          <w:highlight w:val="none"/>
        </w:rPr>
        <w:t>18.</w:t>
      </w:r>
      <w:bookmarkStart w:id="98" w:name="_Hlk65832699"/>
      <w:r>
        <w:rPr>
          <w:color w:val="auto"/>
          <w:szCs w:val="21"/>
          <w:highlight w:val="none"/>
        </w:rPr>
        <w:t>3响应文件须由供应商</w:t>
      </w:r>
      <w:bookmarkEnd w:id="98"/>
      <w:r>
        <w:rPr>
          <w:rFonts w:hint="eastAsia"/>
          <w:color w:val="auto"/>
          <w:highlight w:val="none"/>
        </w:rPr>
        <w:t>按“第五章 响应文件格式”要求进行签署、盖章，否则其响应文件按无效响应处理</w:t>
      </w:r>
      <w:r>
        <w:rPr>
          <w:color w:val="auto"/>
          <w:szCs w:val="21"/>
          <w:highlight w:val="none"/>
        </w:rPr>
        <w:t>。</w:t>
      </w:r>
    </w:p>
    <w:p w14:paraId="6F121EC3">
      <w:pPr>
        <w:spacing w:line="360" w:lineRule="auto"/>
        <w:ind w:firstLine="420" w:firstLineChars="200"/>
        <w:rPr>
          <w:color w:val="auto"/>
          <w:szCs w:val="21"/>
          <w:highlight w:val="none"/>
        </w:rPr>
      </w:pPr>
      <w:r>
        <w:rPr>
          <w:color w:val="auto"/>
          <w:szCs w:val="21"/>
          <w:highlight w:val="none"/>
        </w:rPr>
        <w:t>18.4响应文件中标注的供应商名称应与营业执照（事业单位法人证书、执业许可证、自然人身份证）及供应商公章一致，</w:t>
      </w:r>
      <w:r>
        <w:rPr>
          <w:b/>
          <w:bCs/>
          <w:color w:val="auto"/>
          <w:szCs w:val="21"/>
          <w:highlight w:val="none"/>
        </w:rPr>
        <w:t>否则其响应文件按无效响应处理。</w:t>
      </w:r>
    </w:p>
    <w:p w14:paraId="457A6AD3">
      <w:pPr>
        <w:spacing w:line="360" w:lineRule="auto"/>
        <w:ind w:firstLine="420" w:firstLineChars="200"/>
        <w:rPr>
          <w:color w:val="auto"/>
          <w:szCs w:val="21"/>
          <w:highlight w:val="none"/>
        </w:rPr>
      </w:pPr>
      <w:r>
        <w:rPr>
          <w:color w:val="auto"/>
          <w:szCs w:val="21"/>
          <w:highlight w:val="none"/>
        </w:rPr>
        <w:t>18.5响应文件应避免涂改、行间插字或者删除。</w:t>
      </w:r>
    </w:p>
    <w:p w14:paraId="18920CD4">
      <w:pPr>
        <w:spacing w:line="360" w:lineRule="auto"/>
        <w:ind w:firstLine="482" w:firstLineChars="200"/>
        <w:rPr>
          <w:rFonts w:eastAsia="黑体"/>
          <w:b/>
          <w:bCs/>
          <w:color w:val="auto"/>
          <w:sz w:val="24"/>
          <w:highlight w:val="none"/>
        </w:rPr>
      </w:pPr>
      <w:r>
        <w:rPr>
          <w:rFonts w:eastAsia="黑体"/>
          <w:b/>
          <w:bCs/>
          <w:color w:val="auto"/>
          <w:sz w:val="24"/>
          <w:highlight w:val="none"/>
        </w:rPr>
        <w:t>19.响应文件的密封和标记</w:t>
      </w:r>
    </w:p>
    <w:p w14:paraId="18C466C3">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cs="宋体"/>
          <w:color w:val="auto"/>
          <w:kern w:val="0"/>
          <w:szCs w:val="21"/>
          <w:highlight w:val="none"/>
          <w:lang w:val="zh-CN"/>
        </w:rPr>
        <w:t>”，并按照磋商文件和电子交易平台的要求编制并加密响应文件。供应商未按规定加密的响应文件，电子交易平台将拒收并提示。</w:t>
      </w:r>
    </w:p>
    <w:p w14:paraId="28D3041A">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w:t>
      </w:r>
      <w:r>
        <w:rPr>
          <w:rFonts w:hint="eastAsia" w:ascii="宋体" w:hAnsi="宋体" w:cs="宋体"/>
          <w:color w:val="auto"/>
          <w:kern w:val="0"/>
          <w:szCs w:val="21"/>
          <w:highlight w:val="none"/>
        </w:rPr>
        <w:t>广西政府采购云平台</w:t>
      </w:r>
      <w:r>
        <w:rPr>
          <w:rFonts w:hint="eastAsia" w:ascii="宋体" w:hAnsi="宋体" w:cs="宋体"/>
          <w:color w:val="auto"/>
          <w:kern w:val="0"/>
          <w:szCs w:val="21"/>
          <w:highlight w:val="none"/>
          <w:lang w:val="zh-CN"/>
        </w:rPr>
        <w:t>电子交易客户端”需要提前申领CA数字证书。</w:t>
      </w:r>
    </w:p>
    <w:p w14:paraId="05EE649B">
      <w:pPr>
        <w:spacing w:line="360" w:lineRule="auto"/>
        <w:ind w:firstLine="420" w:firstLineChars="200"/>
        <w:rPr>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”的身份认证，确保在电子交易过程中能够对相关数据电文进行加密和使用电子签名</w:t>
      </w:r>
      <w:r>
        <w:rPr>
          <w:color w:val="auto"/>
          <w:kern w:val="0"/>
          <w:szCs w:val="21"/>
          <w:highlight w:val="none"/>
        </w:rPr>
        <w:t>。</w:t>
      </w:r>
    </w:p>
    <w:p w14:paraId="2757A843">
      <w:pPr>
        <w:spacing w:line="360" w:lineRule="auto"/>
        <w:ind w:firstLine="482" w:firstLineChars="200"/>
        <w:rPr>
          <w:rFonts w:eastAsia="黑体"/>
          <w:b/>
          <w:bCs/>
          <w:color w:val="auto"/>
          <w:sz w:val="24"/>
          <w:highlight w:val="none"/>
        </w:rPr>
      </w:pPr>
      <w:r>
        <w:rPr>
          <w:rFonts w:eastAsia="黑体"/>
          <w:b/>
          <w:bCs/>
          <w:color w:val="auto"/>
          <w:sz w:val="24"/>
          <w:highlight w:val="none"/>
        </w:rPr>
        <w:t>20.响应文件的提交</w:t>
      </w:r>
    </w:p>
    <w:p w14:paraId="3501F997">
      <w:pPr>
        <w:spacing w:line="360" w:lineRule="auto"/>
        <w:ind w:firstLine="420" w:firstLineChars="200"/>
        <w:rPr>
          <w:color w:val="auto"/>
          <w:szCs w:val="21"/>
          <w:highlight w:val="none"/>
        </w:rPr>
      </w:pPr>
      <w:r>
        <w:rPr>
          <w:color w:val="auto"/>
          <w:szCs w:val="21"/>
          <w:highlight w:val="none"/>
        </w:rPr>
        <w:t>20.1供应商必须在“供应商须知前附表”规定的时间和地点提交响应文件。</w:t>
      </w:r>
    </w:p>
    <w:p w14:paraId="6FF278C6">
      <w:pPr>
        <w:spacing w:line="360" w:lineRule="auto"/>
        <w:ind w:firstLine="420" w:firstLineChars="200"/>
        <w:rPr>
          <w:color w:val="auto"/>
          <w:szCs w:val="21"/>
          <w:highlight w:val="none"/>
        </w:rPr>
      </w:pPr>
      <w:r>
        <w:rPr>
          <w:color w:val="auto"/>
          <w:szCs w:val="21"/>
          <w:highlight w:val="none"/>
        </w:rPr>
        <w:t>20.2 在响应文件提交截止时间以后，不能补充、修改响应文件。</w:t>
      </w:r>
    </w:p>
    <w:p w14:paraId="3B0F0439">
      <w:pPr>
        <w:spacing w:line="360" w:lineRule="auto"/>
        <w:ind w:firstLine="420" w:firstLineChars="200"/>
        <w:rPr>
          <w:color w:val="auto"/>
          <w:szCs w:val="21"/>
          <w:highlight w:val="none"/>
        </w:rPr>
      </w:pPr>
      <w:r>
        <w:rPr>
          <w:color w:val="auto"/>
          <w:szCs w:val="21"/>
          <w:highlight w:val="none"/>
        </w:rPr>
        <w:t>20.3 在提交“最后报价”后，供应商不能退出磋商。</w:t>
      </w:r>
    </w:p>
    <w:p w14:paraId="747361F3">
      <w:pPr>
        <w:spacing w:line="360" w:lineRule="auto"/>
        <w:ind w:firstLine="420" w:firstLineChars="200"/>
        <w:rPr>
          <w:color w:val="auto"/>
          <w:szCs w:val="21"/>
          <w:highlight w:val="none"/>
        </w:rPr>
      </w:pPr>
      <w:r>
        <w:rPr>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CAEDF99">
      <w:pPr>
        <w:spacing w:line="360" w:lineRule="auto"/>
        <w:ind w:firstLine="420" w:firstLineChars="200"/>
        <w:rPr>
          <w:color w:val="auto"/>
          <w:szCs w:val="21"/>
          <w:highlight w:val="none"/>
        </w:rPr>
      </w:pPr>
      <w:r>
        <w:rPr>
          <w:color w:val="auto"/>
          <w:szCs w:val="21"/>
          <w:highlight w:val="none"/>
        </w:rPr>
        <w:t>20.5 采购机构不可视情况延长提交响应文件的截止时间。</w:t>
      </w:r>
    </w:p>
    <w:p w14:paraId="4D8E8441">
      <w:pPr>
        <w:spacing w:line="360" w:lineRule="auto"/>
        <w:ind w:firstLine="420" w:firstLineChars="200"/>
        <w:rPr>
          <w:color w:val="auto"/>
          <w:sz w:val="24"/>
          <w:highlight w:val="none"/>
        </w:rPr>
      </w:pPr>
      <w:r>
        <w:rPr>
          <w:color w:val="auto"/>
          <w:szCs w:val="21"/>
          <w:highlight w:val="none"/>
        </w:rPr>
        <w:t>20.6备份响应文件。</w:t>
      </w:r>
      <w:r>
        <w:rPr>
          <w:bCs/>
          <w:color w:val="auto"/>
          <w:szCs w:val="21"/>
          <w:highlight w:val="none"/>
        </w:rPr>
        <w:t>详见“供应商须知前附表”。</w:t>
      </w:r>
    </w:p>
    <w:p w14:paraId="14CA6831">
      <w:pPr>
        <w:spacing w:line="360" w:lineRule="auto"/>
        <w:ind w:firstLine="482" w:firstLineChars="200"/>
        <w:rPr>
          <w:rFonts w:eastAsia="黑体"/>
          <w:b/>
          <w:bCs/>
          <w:color w:val="auto"/>
          <w:sz w:val="24"/>
          <w:highlight w:val="none"/>
        </w:rPr>
      </w:pPr>
      <w:r>
        <w:rPr>
          <w:rFonts w:eastAsia="黑体"/>
          <w:b/>
          <w:bCs/>
          <w:color w:val="auto"/>
          <w:sz w:val="24"/>
          <w:highlight w:val="none"/>
        </w:rPr>
        <w:t>21.首次响应文件的补充、修改与撤回</w:t>
      </w:r>
    </w:p>
    <w:p w14:paraId="2C7385DF">
      <w:pPr>
        <w:spacing w:line="360" w:lineRule="auto"/>
        <w:ind w:firstLine="420" w:firstLineChars="200"/>
        <w:rPr>
          <w:color w:val="auto"/>
          <w:szCs w:val="21"/>
          <w:highlight w:val="none"/>
        </w:rPr>
      </w:pPr>
      <w:r>
        <w:rPr>
          <w:rFonts w:hint="eastAsia" w:ascii="宋体" w:hAnsi="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color w:val="auto"/>
          <w:szCs w:val="21"/>
          <w:highlight w:val="none"/>
        </w:rPr>
        <w:t>。</w:t>
      </w:r>
    </w:p>
    <w:p w14:paraId="7558CF72">
      <w:pPr>
        <w:spacing w:line="360" w:lineRule="auto"/>
        <w:ind w:firstLine="482" w:firstLineChars="200"/>
        <w:rPr>
          <w:rFonts w:eastAsia="黑体"/>
          <w:b/>
          <w:bCs/>
          <w:color w:val="auto"/>
          <w:sz w:val="24"/>
          <w:highlight w:val="none"/>
        </w:rPr>
      </w:pPr>
      <w:bookmarkStart w:id="99" w:name="_Hlk45702405"/>
      <w:r>
        <w:rPr>
          <w:rFonts w:eastAsia="黑体"/>
          <w:b/>
          <w:bCs/>
          <w:color w:val="auto"/>
          <w:sz w:val="24"/>
          <w:highlight w:val="none"/>
        </w:rPr>
        <w:t>2</w:t>
      </w:r>
      <w:r>
        <w:rPr>
          <w:rFonts w:hint="eastAsia" w:eastAsia="黑体"/>
          <w:b/>
          <w:bCs/>
          <w:color w:val="auto"/>
          <w:sz w:val="24"/>
          <w:highlight w:val="none"/>
        </w:rPr>
        <w:t>2</w:t>
      </w:r>
      <w:r>
        <w:rPr>
          <w:rFonts w:eastAsia="黑体"/>
          <w:b/>
          <w:bCs/>
          <w:color w:val="auto"/>
          <w:sz w:val="24"/>
          <w:highlight w:val="none"/>
        </w:rPr>
        <w:t>. 截止时间后的撤回</w:t>
      </w:r>
    </w:p>
    <w:bookmarkEnd w:id="99"/>
    <w:p w14:paraId="4245DD3D">
      <w:pPr>
        <w:pStyle w:val="14"/>
        <w:spacing w:line="360" w:lineRule="auto"/>
        <w:ind w:firstLine="420" w:firstLineChars="200"/>
        <w:rPr>
          <w:i/>
          <w:iCs/>
          <w:color w:val="auto"/>
          <w:szCs w:val="21"/>
          <w:highlight w:val="none"/>
        </w:rPr>
      </w:pPr>
      <w:r>
        <w:rPr>
          <w:rFonts w:hint="eastAsia"/>
          <w:color w:val="auto"/>
          <w:highlight w:val="none"/>
        </w:rPr>
        <w:t>供应商在首次响应文件提交截止时间后向采购人、采购代理机构书面申请撤回电子响应文件的，将根据本须知正文17.4的规定不予退还其磋商保证金（如有）</w:t>
      </w:r>
      <w:r>
        <w:rPr>
          <w:color w:val="auto"/>
          <w:highlight w:val="none"/>
        </w:rPr>
        <w:t>。</w:t>
      </w:r>
    </w:p>
    <w:p w14:paraId="0FB19C02">
      <w:pPr>
        <w:pStyle w:val="5"/>
        <w:spacing w:before="0" w:after="0" w:line="360" w:lineRule="auto"/>
        <w:ind w:firstLine="281" w:firstLineChars="100"/>
        <w:rPr>
          <w:color w:val="auto"/>
          <w:sz w:val="28"/>
          <w:szCs w:val="28"/>
          <w:highlight w:val="none"/>
        </w:rPr>
      </w:pPr>
      <w:bookmarkStart w:id="100" w:name="_Toc17876"/>
      <w:bookmarkStart w:id="101" w:name="_Toc20044"/>
      <w:bookmarkStart w:id="102" w:name="_Toc80886933"/>
      <w:r>
        <w:rPr>
          <w:color w:val="auto"/>
          <w:sz w:val="28"/>
          <w:szCs w:val="28"/>
          <w:highlight w:val="none"/>
        </w:rPr>
        <w:t>四、评审及磋商</w:t>
      </w:r>
      <w:bookmarkEnd w:id="100"/>
      <w:bookmarkEnd w:id="101"/>
      <w:bookmarkEnd w:id="102"/>
    </w:p>
    <w:p w14:paraId="061265BD">
      <w:pPr>
        <w:spacing w:line="360" w:lineRule="auto"/>
        <w:ind w:firstLine="482" w:firstLineChars="200"/>
        <w:rPr>
          <w:rFonts w:eastAsia="黑体"/>
          <w:b/>
          <w:bCs/>
          <w:color w:val="auto"/>
          <w:sz w:val="24"/>
          <w:highlight w:val="none"/>
        </w:rPr>
      </w:pPr>
      <w:r>
        <w:rPr>
          <w:rFonts w:eastAsia="黑体"/>
          <w:b/>
          <w:bCs/>
          <w:color w:val="auto"/>
          <w:sz w:val="24"/>
          <w:highlight w:val="none"/>
        </w:rPr>
        <w:t>2</w:t>
      </w:r>
      <w:r>
        <w:rPr>
          <w:rFonts w:hint="eastAsia" w:eastAsia="黑体"/>
          <w:b/>
          <w:bCs/>
          <w:color w:val="auto"/>
          <w:sz w:val="24"/>
          <w:highlight w:val="none"/>
        </w:rPr>
        <w:t>3</w:t>
      </w:r>
      <w:r>
        <w:rPr>
          <w:rFonts w:eastAsia="黑体"/>
          <w:b/>
          <w:bCs/>
          <w:color w:val="auto"/>
          <w:sz w:val="24"/>
          <w:highlight w:val="none"/>
        </w:rPr>
        <w:t>.磋商小组成立</w:t>
      </w:r>
    </w:p>
    <w:p w14:paraId="06B5429E">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3</w:t>
      </w:r>
      <w:r>
        <w:rPr>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523625B">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3</w:t>
      </w:r>
      <w:r>
        <w:rPr>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3206B88E">
      <w:pPr>
        <w:spacing w:line="360" w:lineRule="auto"/>
        <w:ind w:firstLine="482" w:firstLineChars="200"/>
        <w:rPr>
          <w:rFonts w:eastAsia="黑体"/>
          <w:b/>
          <w:bCs/>
          <w:color w:val="auto"/>
          <w:sz w:val="24"/>
          <w:highlight w:val="none"/>
        </w:rPr>
      </w:pPr>
      <w:r>
        <w:rPr>
          <w:rFonts w:eastAsia="黑体"/>
          <w:b/>
          <w:bCs/>
          <w:color w:val="auto"/>
          <w:sz w:val="24"/>
          <w:highlight w:val="none"/>
        </w:rPr>
        <w:t>2</w:t>
      </w:r>
      <w:r>
        <w:rPr>
          <w:rFonts w:hint="eastAsia" w:eastAsia="黑体"/>
          <w:b/>
          <w:bCs/>
          <w:color w:val="auto"/>
          <w:sz w:val="24"/>
          <w:highlight w:val="none"/>
        </w:rPr>
        <w:t>4</w:t>
      </w:r>
      <w:r>
        <w:rPr>
          <w:rFonts w:eastAsia="黑体"/>
          <w:b/>
          <w:bCs/>
          <w:color w:val="auto"/>
          <w:sz w:val="24"/>
          <w:highlight w:val="none"/>
        </w:rPr>
        <w:t>.首次响应文件的开启</w:t>
      </w:r>
    </w:p>
    <w:p w14:paraId="17F352AC">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4</w:t>
      </w:r>
      <w:r>
        <w:rPr>
          <w:color w:val="auto"/>
          <w:szCs w:val="21"/>
          <w:highlight w:val="none"/>
        </w:rPr>
        <w:t>.1首次响应文件由磋商小组或者采购代理机构在“供应商须知前附表”规定的时间开启。</w:t>
      </w:r>
    </w:p>
    <w:p w14:paraId="7FB23A34">
      <w:pPr>
        <w:spacing w:line="360" w:lineRule="auto"/>
        <w:ind w:firstLine="420" w:firstLineChars="200"/>
        <w:rPr>
          <w:bCs/>
          <w:color w:val="auto"/>
          <w:kern w:val="0"/>
          <w:szCs w:val="21"/>
          <w:highlight w:val="none"/>
        </w:rPr>
      </w:pPr>
      <w:r>
        <w:rPr>
          <w:color w:val="auto"/>
          <w:kern w:val="0"/>
          <w:szCs w:val="21"/>
          <w:highlight w:val="none"/>
        </w:rPr>
        <w:t>2</w:t>
      </w:r>
      <w:r>
        <w:rPr>
          <w:rFonts w:hint="eastAsia"/>
          <w:color w:val="auto"/>
          <w:kern w:val="0"/>
          <w:szCs w:val="21"/>
          <w:highlight w:val="none"/>
        </w:rPr>
        <w:t>4</w:t>
      </w:r>
      <w:r>
        <w:rPr>
          <w:color w:val="auto"/>
          <w:kern w:val="0"/>
          <w:szCs w:val="21"/>
          <w:highlight w:val="none"/>
        </w:rPr>
        <w:t xml:space="preserve">.2 </w:t>
      </w:r>
      <w:r>
        <w:rPr>
          <w:bCs/>
          <w:color w:val="auto"/>
          <w:kern w:val="0"/>
          <w:szCs w:val="21"/>
          <w:highlight w:val="none"/>
        </w:rPr>
        <w:t>响应文件解密</w:t>
      </w:r>
    </w:p>
    <w:p w14:paraId="14E30FA4">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highlight w:val="none"/>
        </w:rPr>
        <w:t>。</w:t>
      </w:r>
      <w:r>
        <w:rPr>
          <w:rFonts w:hint="eastAsia" w:ascii="宋体" w:hAnsi="宋体" w:cs="宋体"/>
          <w:color w:val="auto"/>
          <w:kern w:val="1"/>
          <w:szCs w:val="21"/>
          <w:highlight w:val="none"/>
        </w:rPr>
        <w:t>响应文件未按时解密的</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25.4电子交易活动的中止。）</w:t>
      </w:r>
    </w:p>
    <w:p w14:paraId="785C6C82">
      <w:pPr>
        <w:spacing w:line="360" w:lineRule="auto"/>
        <w:ind w:firstLine="420" w:firstLineChars="200"/>
        <w:rPr>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”电子开标大厅参加磋商的，视同认可磋商过程和结果，</w:t>
      </w:r>
      <w:r>
        <w:rPr>
          <w:rFonts w:hint="eastAsia" w:ascii="宋体" w:hAnsi="宋体" w:cs="宋体"/>
          <w:color w:val="auto"/>
          <w:kern w:val="0"/>
          <w:szCs w:val="21"/>
          <w:highlight w:val="none"/>
        </w:rPr>
        <w:t>由此产生的后果由供应商自行负责。 参与磋商的供应商不足3家的，不得磋商</w:t>
      </w:r>
      <w:r>
        <w:rPr>
          <w:color w:val="auto"/>
          <w:kern w:val="0"/>
          <w:szCs w:val="21"/>
          <w:highlight w:val="none"/>
        </w:rPr>
        <w:t>。</w:t>
      </w:r>
    </w:p>
    <w:p w14:paraId="44EFCD7C">
      <w:pPr>
        <w:spacing w:line="360" w:lineRule="auto"/>
        <w:ind w:firstLine="482" w:firstLineChars="200"/>
        <w:rPr>
          <w:rFonts w:eastAsia="黑体"/>
          <w:b/>
          <w:bCs/>
          <w:color w:val="auto"/>
          <w:sz w:val="24"/>
          <w:highlight w:val="none"/>
        </w:rPr>
      </w:pPr>
      <w:r>
        <w:rPr>
          <w:rFonts w:eastAsia="黑体"/>
          <w:b/>
          <w:bCs/>
          <w:color w:val="auto"/>
          <w:sz w:val="24"/>
          <w:highlight w:val="none"/>
        </w:rPr>
        <w:t>2</w:t>
      </w:r>
      <w:r>
        <w:rPr>
          <w:rFonts w:hint="eastAsia" w:eastAsia="黑体"/>
          <w:b/>
          <w:bCs/>
          <w:color w:val="auto"/>
          <w:sz w:val="24"/>
          <w:highlight w:val="none"/>
        </w:rPr>
        <w:t>5</w:t>
      </w:r>
      <w:r>
        <w:rPr>
          <w:rFonts w:eastAsia="黑体"/>
          <w:b/>
          <w:bCs/>
          <w:color w:val="auto"/>
          <w:sz w:val="24"/>
          <w:highlight w:val="none"/>
        </w:rPr>
        <w:t>.评审程序、评审方法和评审标准</w:t>
      </w:r>
    </w:p>
    <w:p w14:paraId="33E48A3D">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5</w:t>
      </w:r>
      <w:r>
        <w:rPr>
          <w:color w:val="auto"/>
          <w:szCs w:val="21"/>
          <w:highlight w:val="none"/>
        </w:rPr>
        <w:t>.1</w:t>
      </w:r>
      <w:r>
        <w:rPr>
          <w:rFonts w:hint="eastAsia" w:ascii="宋体" w:hAnsi="宋体" w:cs="宋体"/>
          <w:color w:val="auto"/>
          <w:highlight w:val="none"/>
        </w:rPr>
        <w:t>本项目的评审方法详见“供应商须知前附表”。</w:t>
      </w:r>
      <w:r>
        <w:rPr>
          <w:color w:val="auto"/>
          <w:szCs w:val="21"/>
          <w:highlight w:val="none"/>
        </w:rPr>
        <w:t>磋商小组按照“第四章 评审程序、评审方法和评审标准”规定的方法、评审因素、标准和程序对响应文件进行评审。</w:t>
      </w:r>
    </w:p>
    <w:p w14:paraId="4246A451">
      <w:pPr>
        <w:pStyle w:val="14"/>
        <w:spacing w:after="0" w:line="360" w:lineRule="auto"/>
        <w:ind w:firstLine="420" w:firstLineChars="200"/>
        <w:rPr>
          <w:color w:val="auto"/>
          <w:highlight w:val="none"/>
        </w:rPr>
      </w:pPr>
      <w:r>
        <w:rPr>
          <w:color w:val="auto"/>
          <w:szCs w:val="21"/>
          <w:highlight w:val="none"/>
        </w:rPr>
        <w:t>2</w:t>
      </w:r>
      <w:r>
        <w:rPr>
          <w:rFonts w:hint="eastAsia"/>
          <w:color w:val="auto"/>
          <w:szCs w:val="21"/>
          <w:highlight w:val="none"/>
        </w:rPr>
        <w:t>5</w:t>
      </w:r>
      <w:r>
        <w:rPr>
          <w:color w:val="auto"/>
          <w:szCs w:val="21"/>
          <w:highlight w:val="none"/>
        </w:rPr>
        <w:t>.2磋商文件内容违反国家有关强制性规定的，磋商小组应当停止评审并向采购人或者采购代理机构说明情况，并在评审报告中书面体现。</w:t>
      </w:r>
    </w:p>
    <w:p w14:paraId="01722805">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5</w:t>
      </w:r>
      <w:r>
        <w:rPr>
          <w:color w:val="auto"/>
          <w:szCs w:val="21"/>
          <w:highlight w:val="none"/>
        </w:rPr>
        <w:t>.3 采购需求负偏离要求及磋商顺序详见“供应商须知前附表”。</w:t>
      </w:r>
    </w:p>
    <w:p w14:paraId="2C35D743">
      <w:pPr>
        <w:spacing w:line="360" w:lineRule="auto"/>
        <w:ind w:firstLine="420" w:firstLineChars="200"/>
        <w:rPr>
          <w:color w:val="auto"/>
          <w:highlight w:val="none"/>
        </w:rPr>
      </w:pPr>
      <w:r>
        <w:rPr>
          <w:color w:val="auto"/>
          <w:highlight w:val="none"/>
        </w:rPr>
        <w:t>2</w:t>
      </w:r>
      <w:r>
        <w:rPr>
          <w:rFonts w:hint="eastAsia"/>
          <w:color w:val="auto"/>
          <w:highlight w:val="none"/>
        </w:rPr>
        <w:t>5</w:t>
      </w:r>
      <w:r>
        <w:rPr>
          <w:color w:val="auto"/>
          <w:highlight w:val="none"/>
        </w:rPr>
        <w:t>.4电子交易活动的中止。采购过程中出现以下情形，导致电子交易平台无法正常运行，或者无法保证电子交易的公平、公正和安全时，采购机构可中止电子交易活动：</w:t>
      </w:r>
    </w:p>
    <w:p w14:paraId="669DD219">
      <w:pPr>
        <w:spacing w:line="360" w:lineRule="auto"/>
        <w:ind w:firstLine="420" w:firstLineChars="200"/>
        <w:rPr>
          <w:color w:val="auto"/>
          <w:highlight w:val="none"/>
        </w:rPr>
      </w:pPr>
      <w:r>
        <w:rPr>
          <w:color w:val="auto"/>
          <w:highlight w:val="none"/>
        </w:rPr>
        <w:t xml:space="preserve">（1）电子交易平台发生故障而无法登录访问的； </w:t>
      </w:r>
    </w:p>
    <w:p w14:paraId="624A3219">
      <w:pPr>
        <w:spacing w:line="360" w:lineRule="auto"/>
        <w:ind w:firstLine="420" w:firstLineChars="200"/>
        <w:rPr>
          <w:color w:val="auto"/>
          <w:highlight w:val="none"/>
        </w:rPr>
      </w:pPr>
      <w:r>
        <w:rPr>
          <w:color w:val="auto"/>
          <w:highlight w:val="none"/>
        </w:rPr>
        <w:t>（2）电子交易平台应用或数据库出现错误，不能进行正常操作的；</w:t>
      </w:r>
    </w:p>
    <w:p w14:paraId="3BC71C35">
      <w:pPr>
        <w:spacing w:line="360" w:lineRule="auto"/>
        <w:ind w:firstLine="420" w:firstLineChars="200"/>
        <w:rPr>
          <w:color w:val="auto"/>
          <w:highlight w:val="none"/>
        </w:rPr>
      </w:pPr>
      <w:r>
        <w:rPr>
          <w:color w:val="auto"/>
          <w:highlight w:val="none"/>
        </w:rPr>
        <w:t>（3）电子交易平台发现严重安全漏洞，有潜在泄密危险的；</w:t>
      </w:r>
    </w:p>
    <w:p w14:paraId="063EE70A">
      <w:pPr>
        <w:spacing w:line="360" w:lineRule="auto"/>
        <w:ind w:firstLine="420" w:firstLineChars="200"/>
        <w:rPr>
          <w:color w:val="auto"/>
          <w:highlight w:val="none"/>
        </w:rPr>
      </w:pPr>
      <w:r>
        <w:rPr>
          <w:color w:val="auto"/>
          <w:highlight w:val="none"/>
        </w:rPr>
        <w:t xml:space="preserve">（4）病毒发作导致不能进行正常操作的； </w:t>
      </w:r>
    </w:p>
    <w:p w14:paraId="5B5E12E3">
      <w:pPr>
        <w:spacing w:line="360" w:lineRule="auto"/>
        <w:ind w:firstLine="420" w:firstLineChars="200"/>
        <w:rPr>
          <w:color w:val="auto"/>
          <w:highlight w:val="none"/>
        </w:rPr>
      </w:pPr>
      <w:r>
        <w:rPr>
          <w:color w:val="auto"/>
          <w:highlight w:val="none"/>
        </w:rPr>
        <w:t>（5）其他无法保证电子交易的公平、公正和安全的情况。</w:t>
      </w:r>
    </w:p>
    <w:p w14:paraId="743FB30D">
      <w:pPr>
        <w:spacing w:line="360" w:lineRule="auto"/>
        <w:ind w:firstLine="420" w:firstLineChars="200"/>
        <w:rPr>
          <w:color w:val="auto"/>
          <w:highlight w:val="none"/>
        </w:rPr>
      </w:pPr>
      <w:r>
        <w:rPr>
          <w:color w:val="auto"/>
          <w:highlight w:val="none"/>
        </w:rPr>
        <w:t>2</w:t>
      </w:r>
      <w:r>
        <w:rPr>
          <w:rFonts w:hint="eastAsia"/>
          <w:color w:val="auto"/>
          <w:highlight w:val="none"/>
        </w:rPr>
        <w:t>5</w:t>
      </w:r>
      <w:r>
        <w:rPr>
          <w:color w:val="auto"/>
          <w:highlight w:val="none"/>
        </w:rPr>
        <w:t>.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368386">
      <w:pPr>
        <w:pStyle w:val="5"/>
        <w:spacing w:before="0" w:after="0" w:line="360" w:lineRule="auto"/>
        <w:ind w:firstLine="420" w:firstLineChars="150"/>
        <w:rPr>
          <w:b w:val="0"/>
          <w:bCs w:val="0"/>
          <w:color w:val="auto"/>
          <w:sz w:val="28"/>
          <w:szCs w:val="28"/>
          <w:highlight w:val="none"/>
        </w:rPr>
      </w:pPr>
      <w:bookmarkStart w:id="103" w:name="_Toc12018"/>
      <w:bookmarkStart w:id="104" w:name="_Toc17745"/>
      <w:bookmarkStart w:id="105" w:name="_Toc80886934"/>
      <w:r>
        <w:rPr>
          <w:b w:val="0"/>
          <w:bCs w:val="0"/>
          <w:color w:val="auto"/>
          <w:sz w:val="28"/>
          <w:szCs w:val="28"/>
          <w:highlight w:val="none"/>
        </w:rPr>
        <w:t>五、成交及合同</w:t>
      </w:r>
      <w:bookmarkEnd w:id="103"/>
      <w:bookmarkEnd w:id="104"/>
      <w:bookmarkEnd w:id="105"/>
    </w:p>
    <w:p w14:paraId="64374686">
      <w:pPr>
        <w:spacing w:line="360" w:lineRule="auto"/>
        <w:ind w:firstLine="482" w:firstLineChars="200"/>
        <w:rPr>
          <w:rFonts w:eastAsia="黑体"/>
          <w:b/>
          <w:bCs/>
          <w:color w:val="auto"/>
          <w:sz w:val="24"/>
          <w:highlight w:val="none"/>
        </w:rPr>
      </w:pPr>
      <w:r>
        <w:rPr>
          <w:rFonts w:eastAsia="黑体"/>
          <w:b/>
          <w:bCs/>
          <w:color w:val="auto"/>
          <w:sz w:val="24"/>
          <w:highlight w:val="none"/>
        </w:rPr>
        <w:t>2</w:t>
      </w:r>
      <w:r>
        <w:rPr>
          <w:rFonts w:hint="eastAsia" w:eastAsia="黑体"/>
          <w:b/>
          <w:bCs/>
          <w:color w:val="auto"/>
          <w:sz w:val="24"/>
          <w:highlight w:val="none"/>
        </w:rPr>
        <w:t>6</w:t>
      </w:r>
      <w:r>
        <w:rPr>
          <w:rFonts w:eastAsia="黑体"/>
          <w:b/>
          <w:bCs/>
          <w:color w:val="auto"/>
          <w:sz w:val="24"/>
          <w:highlight w:val="none"/>
        </w:rPr>
        <w:t>.确定成交供应商及结果公告</w:t>
      </w:r>
    </w:p>
    <w:p w14:paraId="47E53036">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6</w:t>
      </w:r>
      <w:r>
        <w:rPr>
          <w:color w:val="auto"/>
          <w:szCs w:val="21"/>
          <w:highlight w:val="none"/>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DDAD5F3">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6</w:t>
      </w:r>
      <w:r>
        <w:rPr>
          <w:color w:val="auto"/>
          <w:szCs w:val="21"/>
          <w:highlight w:val="none"/>
        </w:rPr>
        <w:t>.2成交通知及成交结果公告。采购代理机构应当在</w:t>
      </w:r>
      <w:r>
        <w:rPr>
          <w:color w:val="auto"/>
          <w:kern w:val="0"/>
          <w:szCs w:val="21"/>
          <w:highlight w:val="none"/>
        </w:rPr>
        <w:t>成交</w:t>
      </w:r>
      <w:r>
        <w:rPr>
          <w:color w:val="auto"/>
          <w:szCs w:val="21"/>
          <w:highlight w:val="none"/>
        </w:rPr>
        <w:t>供应商确定后2个工作日内，在省级以上财政部门指定的媒体上公告成交结果，同时向成交供应商发出成交通知书。</w:t>
      </w:r>
    </w:p>
    <w:p w14:paraId="013D3FA2">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6</w:t>
      </w:r>
      <w:r>
        <w:rPr>
          <w:color w:val="auto"/>
          <w:szCs w:val="21"/>
          <w:highlight w:val="none"/>
        </w:rPr>
        <w:t>.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33015379">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6</w:t>
      </w:r>
      <w:r>
        <w:rPr>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17AE622">
      <w:pPr>
        <w:spacing w:line="360" w:lineRule="auto"/>
        <w:ind w:firstLine="420" w:firstLineChars="200"/>
        <w:rPr>
          <w:color w:val="auto"/>
          <w:szCs w:val="21"/>
          <w:highlight w:val="none"/>
        </w:rPr>
      </w:pPr>
      <w:r>
        <w:rPr>
          <w:bCs/>
          <w:color w:val="auto"/>
          <w:szCs w:val="21"/>
          <w:highlight w:val="none"/>
        </w:rPr>
        <w:t>2</w:t>
      </w:r>
      <w:r>
        <w:rPr>
          <w:rFonts w:hint="eastAsia"/>
          <w:bCs/>
          <w:color w:val="auto"/>
          <w:szCs w:val="21"/>
          <w:highlight w:val="none"/>
        </w:rPr>
        <w:t>6</w:t>
      </w:r>
      <w:r>
        <w:rPr>
          <w:bCs/>
          <w:color w:val="auto"/>
          <w:szCs w:val="21"/>
          <w:highlight w:val="none"/>
        </w:rPr>
        <w:t>.5排名第一的成交候选人放弃成交，采购人可以按照评审报告推荐的成交候选人名单排序，依法确定下一候选人为成交</w:t>
      </w:r>
      <w:r>
        <w:rPr>
          <w:color w:val="auto"/>
          <w:szCs w:val="21"/>
          <w:highlight w:val="none"/>
        </w:rPr>
        <w:t>供应商</w:t>
      </w:r>
      <w:r>
        <w:rPr>
          <w:bCs/>
          <w:color w:val="auto"/>
          <w:szCs w:val="21"/>
          <w:highlight w:val="none"/>
        </w:rPr>
        <w:t>，也可以重新开展政府采购活动</w:t>
      </w:r>
      <w:r>
        <w:rPr>
          <w:color w:val="auto"/>
          <w:szCs w:val="21"/>
          <w:highlight w:val="none"/>
        </w:rPr>
        <w:t>。</w:t>
      </w:r>
    </w:p>
    <w:p w14:paraId="120BF058">
      <w:pPr>
        <w:spacing w:line="360" w:lineRule="auto"/>
        <w:ind w:firstLine="482" w:firstLineChars="200"/>
        <w:rPr>
          <w:rFonts w:eastAsia="黑体"/>
          <w:b/>
          <w:bCs/>
          <w:color w:val="auto"/>
          <w:sz w:val="24"/>
          <w:highlight w:val="none"/>
        </w:rPr>
      </w:pPr>
      <w:r>
        <w:rPr>
          <w:rFonts w:eastAsia="黑体"/>
          <w:b/>
          <w:bCs/>
          <w:color w:val="auto"/>
          <w:sz w:val="24"/>
          <w:highlight w:val="none"/>
        </w:rPr>
        <w:t>2</w:t>
      </w:r>
      <w:r>
        <w:rPr>
          <w:rFonts w:hint="eastAsia" w:eastAsia="黑体"/>
          <w:b/>
          <w:bCs/>
          <w:color w:val="auto"/>
          <w:sz w:val="24"/>
          <w:highlight w:val="none"/>
        </w:rPr>
        <w:t>7</w:t>
      </w:r>
      <w:r>
        <w:rPr>
          <w:rFonts w:eastAsia="黑体"/>
          <w:b/>
          <w:bCs/>
          <w:color w:val="auto"/>
          <w:sz w:val="24"/>
          <w:highlight w:val="none"/>
        </w:rPr>
        <w:t>.履约保证金</w:t>
      </w:r>
    </w:p>
    <w:p w14:paraId="6918C877">
      <w:pPr>
        <w:spacing w:line="360" w:lineRule="auto"/>
        <w:ind w:firstLine="424" w:firstLineChars="202"/>
        <w:rPr>
          <w:color w:val="auto"/>
          <w:szCs w:val="21"/>
          <w:highlight w:val="none"/>
        </w:rPr>
      </w:pPr>
      <w:r>
        <w:rPr>
          <w:color w:val="auto"/>
          <w:szCs w:val="21"/>
          <w:highlight w:val="none"/>
        </w:rPr>
        <w:t>2</w:t>
      </w:r>
      <w:r>
        <w:rPr>
          <w:rFonts w:hint="eastAsia"/>
          <w:color w:val="auto"/>
          <w:szCs w:val="21"/>
          <w:highlight w:val="none"/>
        </w:rPr>
        <w:t>7</w:t>
      </w:r>
      <w:r>
        <w:rPr>
          <w:color w:val="auto"/>
          <w:szCs w:val="21"/>
          <w:highlight w:val="none"/>
        </w:rPr>
        <w:t>.1 履约保证金的金额、提交方式、退付的时间和条件详见 “供应商须知前附表”。成交供应商未按规定提交履约保证金的，视为拒绝</w:t>
      </w:r>
      <w:r>
        <w:rPr>
          <w:color w:val="auto"/>
          <w:highlight w:val="none"/>
        </w:rPr>
        <w:t>与采购人</w:t>
      </w:r>
      <w:r>
        <w:rPr>
          <w:color w:val="auto"/>
          <w:szCs w:val="21"/>
          <w:highlight w:val="none"/>
        </w:rPr>
        <w:t>签订合同，采购人可以按照评审报告推荐的成交候选人名单排序，依法确定下一候选人为成交供应商，也可以重新开展政府采购活动。</w:t>
      </w:r>
    </w:p>
    <w:p w14:paraId="1651CE9D">
      <w:pPr>
        <w:spacing w:line="360" w:lineRule="auto"/>
        <w:ind w:firstLine="424" w:firstLineChars="202"/>
        <w:rPr>
          <w:color w:val="auto"/>
          <w:szCs w:val="21"/>
          <w:highlight w:val="none"/>
        </w:rPr>
      </w:pPr>
      <w:r>
        <w:rPr>
          <w:color w:val="auto"/>
          <w:szCs w:val="21"/>
          <w:highlight w:val="none"/>
        </w:rPr>
        <w:t>2</w:t>
      </w:r>
      <w:r>
        <w:rPr>
          <w:rFonts w:hint="eastAsia"/>
          <w:color w:val="auto"/>
          <w:szCs w:val="21"/>
          <w:highlight w:val="none"/>
        </w:rPr>
        <w:t>7</w:t>
      </w:r>
      <w:r>
        <w:rPr>
          <w:color w:val="auto"/>
          <w:szCs w:val="21"/>
          <w:highlight w:val="none"/>
        </w:rPr>
        <w:t>.2签订合同后，如成交供应商不按双方签订的合同规定履约，则没收其全部履约保证金，履约保证金不足以赔偿损失的，按实际损失赔偿。</w:t>
      </w:r>
    </w:p>
    <w:p w14:paraId="19D80E57">
      <w:pPr>
        <w:spacing w:line="360" w:lineRule="auto"/>
        <w:ind w:firstLine="424" w:firstLineChars="202"/>
        <w:rPr>
          <w:color w:val="auto"/>
          <w:szCs w:val="21"/>
          <w:highlight w:val="none"/>
        </w:rPr>
      </w:pPr>
      <w:r>
        <w:rPr>
          <w:color w:val="auto"/>
          <w:szCs w:val="21"/>
          <w:highlight w:val="none"/>
        </w:rPr>
        <w:t>2</w:t>
      </w:r>
      <w:r>
        <w:rPr>
          <w:rFonts w:hint="eastAsia"/>
          <w:color w:val="auto"/>
          <w:szCs w:val="21"/>
          <w:highlight w:val="none"/>
        </w:rPr>
        <w:t>7</w:t>
      </w:r>
      <w:r>
        <w:rPr>
          <w:color w:val="auto"/>
          <w:szCs w:val="21"/>
          <w:highlight w:val="none"/>
        </w:rPr>
        <w:t>.3在履约保证金退还日期前，若成交供应商的开户名称、开户银行、账号有变动的，请以书面形式通知履约保证金收取单位，否则由此产生的后果由成交供应商自行承担。</w:t>
      </w:r>
    </w:p>
    <w:p w14:paraId="6DC7D763">
      <w:pPr>
        <w:spacing w:line="360" w:lineRule="auto"/>
        <w:ind w:firstLine="482" w:firstLineChars="200"/>
        <w:rPr>
          <w:rFonts w:eastAsia="黑体"/>
          <w:b/>
          <w:bCs/>
          <w:color w:val="auto"/>
          <w:sz w:val="24"/>
          <w:highlight w:val="none"/>
        </w:rPr>
      </w:pPr>
      <w:r>
        <w:rPr>
          <w:rFonts w:eastAsia="黑体"/>
          <w:b/>
          <w:bCs/>
          <w:color w:val="auto"/>
          <w:sz w:val="24"/>
          <w:highlight w:val="none"/>
        </w:rPr>
        <w:t>2</w:t>
      </w:r>
      <w:r>
        <w:rPr>
          <w:rFonts w:hint="eastAsia" w:eastAsia="黑体"/>
          <w:b/>
          <w:bCs/>
          <w:color w:val="auto"/>
          <w:sz w:val="24"/>
          <w:highlight w:val="none"/>
        </w:rPr>
        <w:t>8</w:t>
      </w:r>
      <w:r>
        <w:rPr>
          <w:rFonts w:eastAsia="黑体"/>
          <w:b/>
          <w:bCs/>
          <w:color w:val="auto"/>
          <w:sz w:val="24"/>
          <w:highlight w:val="none"/>
        </w:rPr>
        <w:t>.签订合同</w:t>
      </w:r>
    </w:p>
    <w:p w14:paraId="69F6C9EB">
      <w:pPr>
        <w:pStyle w:val="71"/>
        <w:snapToGrid w:val="0"/>
        <w:spacing w:before="0"/>
        <w:ind w:firstLine="420"/>
        <w:rPr>
          <w:color w:val="auto"/>
          <w:sz w:val="21"/>
          <w:szCs w:val="21"/>
          <w:highlight w:val="none"/>
          <w:lang w:val="zh-CN"/>
        </w:rPr>
      </w:pPr>
      <w:r>
        <w:rPr>
          <w:color w:val="auto"/>
          <w:sz w:val="21"/>
          <w:szCs w:val="21"/>
          <w:highlight w:val="none"/>
        </w:rPr>
        <w:t>2</w:t>
      </w:r>
      <w:r>
        <w:rPr>
          <w:rFonts w:hint="eastAsia"/>
          <w:color w:val="auto"/>
          <w:sz w:val="21"/>
          <w:szCs w:val="21"/>
          <w:highlight w:val="none"/>
        </w:rPr>
        <w:t>8</w:t>
      </w:r>
      <w:r>
        <w:rPr>
          <w:color w:val="auto"/>
          <w:sz w:val="21"/>
          <w:szCs w:val="21"/>
          <w:highlight w:val="none"/>
        </w:rPr>
        <w:t>.1采购人与成交供应商应当在成交通知书规定的时间内，按照磋商文件确定的合同文本以及采购标的、服务技术、采购金额、采购数量、技术和服务要求等事项签订政府采购合同。</w:t>
      </w:r>
      <w:r>
        <w:rPr>
          <w:color w:val="auto"/>
          <w:sz w:val="21"/>
          <w:szCs w:val="21"/>
          <w:highlight w:val="none"/>
          <w:lang w:val="zh-CN"/>
        </w:rPr>
        <w:t>如成交供应商为联合体的，由联合体成员各方法定代表人或其授权代表与采购人代表签订合同。</w:t>
      </w:r>
    </w:p>
    <w:p w14:paraId="41073B07">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8</w:t>
      </w:r>
      <w:r>
        <w:rPr>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EA04797">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8</w:t>
      </w:r>
      <w:r>
        <w:rPr>
          <w:color w:val="auto"/>
          <w:szCs w:val="21"/>
          <w:highlight w:val="none"/>
        </w:rPr>
        <w:t>.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399B3067">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8</w:t>
      </w:r>
      <w:r>
        <w:rPr>
          <w:color w:val="auto"/>
          <w:szCs w:val="21"/>
          <w:highlight w:val="none"/>
        </w:rPr>
        <w:t>.4如签订合同并生效后，供应商无故拒绝或延期，除按照合同条款处理外，列入不良行为记录，并给予通报。</w:t>
      </w:r>
    </w:p>
    <w:p w14:paraId="18D046C7">
      <w:pPr>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8</w:t>
      </w:r>
      <w:r>
        <w:rPr>
          <w:color w:val="auto"/>
          <w:szCs w:val="21"/>
          <w:highlight w:val="none"/>
        </w:rPr>
        <w:t>.5</w:t>
      </w:r>
      <w:r>
        <w:rPr>
          <w:rFonts w:hint="eastAsia"/>
          <w:color w:val="auto"/>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p>
    <w:p w14:paraId="1F73E94F">
      <w:pPr>
        <w:spacing w:line="360" w:lineRule="auto"/>
        <w:ind w:firstLine="482" w:firstLineChars="200"/>
        <w:rPr>
          <w:rFonts w:eastAsia="黑体"/>
          <w:b/>
          <w:bCs/>
          <w:color w:val="auto"/>
          <w:sz w:val="24"/>
          <w:highlight w:val="none"/>
        </w:rPr>
      </w:pPr>
      <w:r>
        <w:rPr>
          <w:rFonts w:hint="eastAsia" w:eastAsia="黑体"/>
          <w:b/>
          <w:bCs/>
          <w:color w:val="auto"/>
          <w:sz w:val="24"/>
          <w:highlight w:val="none"/>
        </w:rPr>
        <w:t>29</w:t>
      </w:r>
      <w:r>
        <w:rPr>
          <w:rFonts w:eastAsia="黑体"/>
          <w:b/>
          <w:bCs/>
          <w:color w:val="auto"/>
          <w:sz w:val="24"/>
          <w:highlight w:val="none"/>
        </w:rPr>
        <w:t>.政府采购合同公告</w:t>
      </w:r>
    </w:p>
    <w:p w14:paraId="6D40101D">
      <w:pPr>
        <w:spacing w:line="360" w:lineRule="auto"/>
        <w:ind w:firstLine="420" w:firstLineChars="200"/>
        <w:rPr>
          <w:color w:val="auto"/>
          <w:highlight w:val="none"/>
        </w:rPr>
      </w:pPr>
      <w:r>
        <w:rPr>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color w:val="auto"/>
          <w:highlight w:val="none"/>
        </w:rPr>
        <w:t>。</w:t>
      </w:r>
    </w:p>
    <w:p w14:paraId="71C32676">
      <w:pPr>
        <w:spacing w:line="360" w:lineRule="auto"/>
        <w:ind w:firstLine="482" w:firstLineChars="200"/>
        <w:rPr>
          <w:rFonts w:eastAsia="黑体"/>
          <w:b/>
          <w:bCs/>
          <w:color w:val="auto"/>
          <w:sz w:val="24"/>
          <w:highlight w:val="none"/>
        </w:rPr>
      </w:pPr>
      <w:r>
        <w:rPr>
          <w:rFonts w:eastAsia="黑体"/>
          <w:b/>
          <w:bCs/>
          <w:color w:val="auto"/>
          <w:sz w:val="24"/>
          <w:highlight w:val="none"/>
        </w:rPr>
        <w:t>3</w:t>
      </w:r>
      <w:r>
        <w:rPr>
          <w:rFonts w:hint="eastAsia" w:eastAsia="黑体"/>
          <w:b/>
          <w:bCs/>
          <w:color w:val="auto"/>
          <w:sz w:val="24"/>
          <w:highlight w:val="none"/>
        </w:rPr>
        <w:t>0</w:t>
      </w:r>
      <w:r>
        <w:rPr>
          <w:rFonts w:eastAsia="黑体"/>
          <w:b/>
          <w:bCs/>
          <w:color w:val="auto"/>
          <w:sz w:val="24"/>
          <w:highlight w:val="none"/>
        </w:rPr>
        <w:t>. 询问、质疑和投诉</w:t>
      </w:r>
    </w:p>
    <w:p w14:paraId="598FF38B">
      <w:pPr>
        <w:spacing w:line="360" w:lineRule="auto"/>
        <w:ind w:firstLine="420" w:firstLineChars="200"/>
        <w:rPr>
          <w:color w:val="auto"/>
          <w:highlight w:val="none"/>
        </w:rPr>
      </w:pPr>
      <w:r>
        <w:rPr>
          <w:color w:val="auto"/>
          <w:highlight w:val="none"/>
        </w:rPr>
        <w:t>3</w:t>
      </w:r>
      <w:r>
        <w:rPr>
          <w:rFonts w:hint="eastAsia"/>
          <w:color w:val="auto"/>
          <w:highlight w:val="none"/>
        </w:rPr>
        <w:t>0</w:t>
      </w:r>
      <w:r>
        <w:rPr>
          <w:color w:val="auto"/>
          <w:highlight w:val="none"/>
        </w:rPr>
        <w:t>.1供应商对政府采购活动事项有疑问的，可以向采购人或者采购代理机构提出询问，采购人或者采购代理机构应当在3个工作日内对供应商依法提出的询问作出答复。</w:t>
      </w:r>
    </w:p>
    <w:p w14:paraId="69900414">
      <w:pPr>
        <w:spacing w:line="360" w:lineRule="auto"/>
        <w:ind w:firstLine="420" w:firstLineChars="200"/>
        <w:rPr>
          <w:b/>
          <w:color w:val="auto"/>
          <w:szCs w:val="21"/>
          <w:highlight w:val="none"/>
        </w:rPr>
      </w:pPr>
      <w:r>
        <w:rPr>
          <w:color w:val="auto"/>
          <w:highlight w:val="none"/>
        </w:rPr>
        <w:t>3</w:t>
      </w:r>
      <w:r>
        <w:rPr>
          <w:rFonts w:hint="eastAsia"/>
          <w:color w:val="auto"/>
          <w:highlight w:val="none"/>
        </w:rPr>
        <w:t>0</w:t>
      </w:r>
      <w:r>
        <w:rPr>
          <w:color w:val="auto"/>
          <w:highlight w:val="none"/>
        </w:rPr>
        <w:t>.2供应商认为磋商文件、采购过程或者成交结果使自己的合法权益受到损害的，应当在知道或者应知其权益受到损害之日起7个工作日内，以书面形式向采购人或者采购代理机构提出质疑，</w:t>
      </w:r>
      <w:r>
        <w:rPr>
          <w:color w:val="auto"/>
          <w:highlight w:val="none"/>
          <w:shd w:val="clear" w:color="auto" w:fill="FFFFFF"/>
        </w:rPr>
        <w:t>接收质疑函的方式、联系部门、联系电话和通讯地址等信息详见</w:t>
      </w:r>
      <w:r>
        <w:rPr>
          <w:color w:val="auto"/>
          <w:szCs w:val="21"/>
          <w:highlight w:val="none"/>
        </w:rPr>
        <w:t>“供应商须知前附表”</w:t>
      </w:r>
      <w:r>
        <w:rPr>
          <w:color w:val="auto"/>
          <w:highlight w:val="none"/>
        </w:rPr>
        <w:t>。</w:t>
      </w:r>
      <w:r>
        <w:rPr>
          <w:b/>
          <w:color w:val="auto"/>
          <w:szCs w:val="21"/>
          <w:highlight w:val="none"/>
        </w:rPr>
        <w:t xml:space="preserve">具体质疑起算时间及处理方式如下： </w:t>
      </w:r>
    </w:p>
    <w:p w14:paraId="13510B65">
      <w:pPr>
        <w:spacing w:line="360" w:lineRule="auto"/>
        <w:ind w:firstLine="420" w:firstLineChars="200"/>
        <w:rPr>
          <w:bCs/>
          <w:color w:val="auto"/>
          <w:highlight w:val="none"/>
        </w:rPr>
      </w:pPr>
      <w:r>
        <w:rPr>
          <w:bCs/>
          <w:color w:val="auto"/>
          <w:highlight w:val="none"/>
        </w:rPr>
        <w:t>（1）潜在供应商依法获取采购文件后，认为采购文件使自己的权益受到损害的，应当在竞争性磋商文件公告期限届满之日起7个工作日内提出质疑。</w:t>
      </w:r>
      <w:r>
        <w:rPr>
          <w:color w:val="auto"/>
          <w:highlight w:val="none"/>
        </w:rPr>
        <w:t>委托代理协议无特殊约定的，</w:t>
      </w:r>
      <w:r>
        <w:rPr>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58309105">
      <w:pPr>
        <w:spacing w:line="360" w:lineRule="auto"/>
        <w:ind w:firstLine="420" w:firstLineChars="200"/>
        <w:rPr>
          <w:bCs/>
          <w:color w:val="auto"/>
          <w:highlight w:val="none"/>
        </w:rPr>
      </w:pPr>
      <w:r>
        <w:rPr>
          <w:bCs/>
          <w:color w:val="auto"/>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5DCAC125">
      <w:pPr>
        <w:spacing w:line="360" w:lineRule="auto"/>
        <w:ind w:firstLine="420" w:firstLineChars="200"/>
        <w:rPr>
          <w:bCs/>
          <w:color w:val="auto"/>
          <w:highlight w:val="none"/>
        </w:rPr>
      </w:pPr>
      <w:r>
        <w:rPr>
          <w:bCs/>
          <w:color w:val="auto"/>
          <w:highlight w:val="none"/>
        </w:rPr>
        <w:t>（3）供应商认为成交结果使自己的权益受到损害的，应当在成交结果公告期限届满之日起7个工作日内提出质疑，由采购人受理并负责答复。</w:t>
      </w:r>
    </w:p>
    <w:p w14:paraId="1EC14F1C">
      <w:pPr>
        <w:spacing w:line="360" w:lineRule="auto"/>
        <w:ind w:firstLine="420" w:firstLineChars="200"/>
        <w:rPr>
          <w:color w:val="auto"/>
          <w:highlight w:val="none"/>
        </w:rPr>
      </w:pPr>
      <w:r>
        <w:rPr>
          <w:color w:val="auto"/>
          <w:highlight w:val="none"/>
        </w:rPr>
        <w:t>3</w:t>
      </w:r>
      <w:r>
        <w:rPr>
          <w:rFonts w:hint="eastAsia"/>
          <w:color w:val="auto"/>
          <w:highlight w:val="none"/>
        </w:rPr>
        <w:t>0</w:t>
      </w:r>
      <w:r>
        <w:rPr>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289A418">
      <w:pPr>
        <w:spacing w:line="360" w:lineRule="auto"/>
        <w:ind w:firstLine="422" w:firstLineChars="200"/>
        <w:rPr>
          <w:color w:val="auto"/>
          <w:highlight w:val="none"/>
        </w:rPr>
      </w:pPr>
      <w:r>
        <w:rPr>
          <w:b/>
          <w:bCs/>
          <w:color w:val="auto"/>
          <w:highlight w:val="none"/>
        </w:rPr>
        <w:t>3</w:t>
      </w:r>
      <w:r>
        <w:rPr>
          <w:rFonts w:hint="eastAsia"/>
          <w:b/>
          <w:bCs/>
          <w:color w:val="auto"/>
          <w:highlight w:val="none"/>
        </w:rPr>
        <w:t>0</w:t>
      </w:r>
      <w:r>
        <w:rPr>
          <w:b/>
          <w:bCs/>
          <w:color w:val="auto"/>
          <w:highlight w:val="none"/>
        </w:rPr>
        <w:t>.4 供应商提出质疑应当提交质疑函和必要的证明材料，针对同一采购程序环节的质疑必须在法定质疑期内一次性提出。质疑函应当包括下列内容（质疑函格式后附）：</w:t>
      </w:r>
    </w:p>
    <w:p w14:paraId="7E567E09">
      <w:pPr>
        <w:spacing w:line="360" w:lineRule="auto"/>
        <w:ind w:firstLine="420" w:firstLineChars="200"/>
        <w:rPr>
          <w:color w:val="auto"/>
          <w:highlight w:val="none"/>
        </w:rPr>
      </w:pPr>
      <w:r>
        <w:rPr>
          <w:color w:val="auto"/>
          <w:highlight w:val="none"/>
        </w:rPr>
        <w:t>（1）供应商的姓名或者名称、地址、邮编、联系人及联系电话；</w:t>
      </w:r>
    </w:p>
    <w:p w14:paraId="0A76FC5D">
      <w:pPr>
        <w:spacing w:line="360" w:lineRule="auto"/>
        <w:ind w:firstLine="420" w:firstLineChars="200"/>
        <w:rPr>
          <w:color w:val="auto"/>
          <w:highlight w:val="none"/>
        </w:rPr>
      </w:pPr>
      <w:r>
        <w:rPr>
          <w:color w:val="auto"/>
          <w:highlight w:val="none"/>
        </w:rPr>
        <w:t>（2）质疑项目的名称、编号；</w:t>
      </w:r>
    </w:p>
    <w:p w14:paraId="52670856">
      <w:pPr>
        <w:spacing w:line="360" w:lineRule="auto"/>
        <w:ind w:firstLine="420" w:firstLineChars="200"/>
        <w:rPr>
          <w:color w:val="auto"/>
          <w:highlight w:val="none"/>
        </w:rPr>
      </w:pPr>
      <w:r>
        <w:rPr>
          <w:color w:val="auto"/>
          <w:highlight w:val="none"/>
        </w:rPr>
        <w:t>（3）具体、明确的质疑事项和与质疑事项相关的请求；</w:t>
      </w:r>
    </w:p>
    <w:p w14:paraId="6AEC6292">
      <w:pPr>
        <w:spacing w:line="360" w:lineRule="auto"/>
        <w:ind w:firstLine="420" w:firstLineChars="200"/>
        <w:rPr>
          <w:color w:val="auto"/>
          <w:highlight w:val="none"/>
        </w:rPr>
      </w:pPr>
      <w:r>
        <w:rPr>
          <w:color w:val="auto"/>
          <w:highlight w:val="none"/>
        </w:rPr>
        <w:t>（4）事实依据；</w:t>
      </w:r>
    </w:p>
    <w:p w14:paraId="6343EE55">
      <w:pPr>
        <w:spacing w:line="360" w:lineRule="auto"/>
        <w:ind w:firstLine="420" w:firstLineChars="200"/>
        <w:rPr>
          <w:color w:val="auto"/>
          <w:highlight w:val="none"/>
        </w:rPr>
      </w:pPr>
      <w:r>
        <w:rPr>
          <w:color w:val="auto"/>
          <w:highlight w:val="none"/>
        </w:rPr>
        <w:t>（5）必要的法律依据；</w:t>
      </w:r>
    </w:p>
    <w:p w14:paraId="711B6037">
      <w:pPr>
        <w:spacing w:line="360" w:lineRule="auto"/>
        <w:ind w:firstLine="420" w:firstLineChars="200"/>
        <w:rPr>
          <w:color w:val="auto"/>
          <w:highlight w:val="none"/>
        </w:rPr>
      </w:pPr>
      <w:r>
        <w:rPr>
          <w:color w:val="auto"/>
          <w:highlight w:val="none"/>
        </w:rPr>
        <w:t>（6）提出质疑的日期。</w:t>
      </w:r>
    </w:p>
    <w:p w14:paraId="3E9F3980">
      <w:pPr>
        <w:spacing w:line="360" w:lineRule="auto"/>
        <w:ind w:firstLine="420" w:firstLineChars="200"/>
        <w:rPr>
          <w:color w:val="auto"/>
          <w:highlight w:val="none"/>
        </w:rPr>
      </w:pPr>
      <w:r>
        <w:rPr>
          <w:color w:val="auto"/>
          <w:highlight w:val="none"/>
        </w:rPr>
        <w:t>供应商为自然人的，应当由本人签字；供应商为法人或者其他组织的，应当由法定代表人、主要负责人，或者其委托代理人签字或者盖章，并加盖公章。</w:t>
      </w:r>
    </w:p>
    <w:p w14:paraId="2E914362">
      <w:pPr>
        <w:spacing w:line="360" w:lineRule="auto"/>
        <w:ind w:firstLine="420" w:firstLineChars="200"/>
        <w:rPr>
          <w:color w:val="auto"/>
          <w:highlight w:val="none"/>
        </w:rPr>
      </w:pPr>
      <w:r>
        <w:rPr>
          <w:color w:val="auto"/>
          <w:highlight w:val="none"/>
        </w:rPr>
        <w:t>3</w:t>
      </w:r>
      <w:r>
        <w:rPr>
          <w:rFonts w:hint="eastAsia"/>
          <w:color w:val="auto"/>
          <w:highlight w:val="none"/>
        </w:rPr>
        <w:t>0</w:t>
      </w:r>
      <w:r>
        <w:rPr>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568FF541">
      <w:pPr>
        <w:spacing w:line="360" w:lineRule="auto"/>
        <w:ind w:firstLine="420" w:firstLineChars="200"/>
        <w:rPr>
          <w:color w:val="auto"/>
          <w:highlight w:val="none"/>
        </w:rPr>
      </w:pPr>
      <w:r>
        <w:rPr>
          <w:color w:val="auto"/>
          <w:highlight w:val="none"/>
        </w:rPr>
        <w:t>（一）对采购文件提出的质疑，依法通过澄清或者修改可以继续开展采购活动的，澄清或者修改采购文件后继续开展采购活动；否则应当修改采购文件后重新开展采购活动。</w:t>
      </w:r>
    </w:p>
    <w:p w14:paraId="78332476">
      <w:pPr>
        <w:spacing w:line="360" w:lineRule="auto"/>
        <w:ind w:firstLine="420" w:firstLineChars="200"/>
        <w:rPr>
          <w:color w:val="auto"/>
          <w:highlight w:val="none"/>
        </w:rPr>
      </w:pPr>
      <w:r>
        <w:rPr>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7370748">
      <w:pPr>
        <w:spacing w:line="360" w:lineRule="auto"/>
        <w:ind w:firstLine="420" w:firstLineChars="200"/>
        <w:rPr>
          <w:color w:val="auto"/>
          <w:highlight w:val="none"/>
        </w:rPr>
      </w:pPr>
      <w:r>
        <w:rPr>
          <w:color w:val="auto"/>
          <w:highlight w:val="none"/>
        </w:rPr>
        <w:t>质疑答复导致成交结果改变的，采购人或者采购代理机构应当将有关情况书面报告本级财政部门。</w:t>
      </w:r>
    </w:p>
    <w:p w14:paraId="3358A61F">
      <w:pPr>
        <w:spacing w:line="360" w:lineRule="auto"/>
        <w:ind w:firstLine="422" w:firstLineChars="200"/>
        <w:rPr>
          <w:color w:val="auto"/>
          <w:highlight w:val="none"/>
        </w:rPr>
      </w:pPr>
      <w:r>
        <w:rPr>
          <w:b/>
          <w:bCs/>
          <w:color w:val="auto"/>
          <w:highlight w:val="none"/>
        </w:rPr>
        <w:t>3</w:t>
      </w:r>
      <w:r>
        <w:rPr>
          <w:rFonts w:hint="eastAsia"/>
          <w:b/>
          <w:bCs/>
          <w:color w:val="auto"/>
          <w:highlight w:val="none"/>
        </w:rPr>
        <w:t>0</w:t>
      </w:r>
      <w:r>
        <w:rPr>
          <w:b/>
          <w:bCs/>
          <w:color w:val="auto"/>
          <w:highlight w:val="none"/>
        </w:rPr>
        <w:t>.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color w:val="auto"/>
          <w:highlight w:val="none"/>
        </w:rPr>
        <w:t>。</w:t>
      </w:r>
      <w:bookmarkStart w:id="106" w:name="_Toc80205930"/>
    </w:p>
    <w:p w14:paraId="3A1DD1FF">
      <w:pPr>
        <w:pStyle w:val="5"/>
        <w:spacing w:before="0" w:after="0" w:line="360" w:lineRule="auto"/>
        <w:ind w:firstLine="274" w:firstLineChars="98"/>
        <w:jc w:val="left"/>
        <w:rPr>
          <w:b w:val="0"/>
          <w:bCs w:val="0"/>
          <w:color w:val="auto"/>
          <w:sz w:val="28"/>
          <w:szCs w:val="28"/>
          <w:highlight w:val="none"/>
        </w:rPr>
      </w:pPr>
      <w:bookmarkStart w:id="107" w:name="_Toc80886935"/>
      <w:bookmarkStart w:id="108" w:name="_Toc9275"/>
      <w:bookmarkStart w:id="109" w:name="_Toc26989"/>
      <w:r>
        <w:rPr>
          <w:b w:val="0"/>
          <w:bCs w:val="0"/>
          <w:color w:val="auto"/>
          <w:sz w:val="28"/>
          <w:szCs w:val="28"/>
          <w:highlight w:val="none"/>
        </w:rPr>
        <w:t>六、验收</w:t>
      </w:r>
      <w:bookmarkEnd w:id="106"/>
      <w:bookmarkEnd w:id="107"/>
      <w:bookmarkEnd w:id="108"/>
      <w:bookmarkEnd w:id="109"/>
    </w:p>
    <w:p w14:paraId="0C7BA09B">
      <w:pPr>
        <w:tabs>
          <w:tab w:val="left" w:pos="0"/>
        </w:tabs>
        <w:spacing w:line="360" w:lineRule="auto"/>
        <w:ind w:firstLine="482" w:firstLineChars="200"/>
        <w:rPr>
          <w:rFonts w:eastAsia="黑体"/>
          <w:b/>
          <w:bCs/>
          <w:color w:val="auto"/>
          <w:sz w:val="24"/>
          <w:highlight w:val="none"/>
        </w:rPr>
      </w:pPr>
      <w:r>
        <w:rPr>
          <w:rFonts w:eastAsia="黑体"/>
          <w:b/>
          <w:bCs/>
          <w:color w:val="auto"/>
          <w:sz w:val="24"/>
          <w:highlight w:val="none"/>
        </w:rPr>
        <w:t>3</w:t>
      </w:r>
      <w:r>
        <w:rPr>
          <w:rFonts w:hint="eastAsia" w:eastAsia="黑体"/>
          <w:b/>
          <w:bCs/>
          <w:color w:val="auto"/>
          <w:sz w:val="24"/>
          <w:highlight w:val="none"/>
        </w:rPr>
        <w:t>1</w:t>
      </w:r>
      <w:r>
        <w:rPr>
          <w:rFonts w:eastAsia="黑体"/>
          <w:b/>
          <w:bCs/>
          <w:color w:val="auto"/>
          <w:sz w:val="24"/>
          <w:highlight w:val="none"/>
        </w:rPr>
        <w:t>.验收</w:t>
      </w:r>
    </w:p>
    <w:p w14:paraId="6E81F481">
      <w:pPr>
        <w:tabs>
          <w:tab w:val="left" w:pos="0"/>
        </w:tabs>
        <w:spacing w:line="360" w:lineRule="auto"/>
        <w:ind w:firstLine="420" w:firstLineChars="200"/>
        <w:rPr>
          <w:color w:val="auto"/>
          <w:kern w:val="0"/>
          <w:szCs w:val="21"/>
          <w:highlight w:val="none"/>
        </w:rPr>
      </w:pPr>
      <w:r>
        <w:rPr>
          <w:color w:val="auto"/>
          <w:kern w:val="0"/>
          <w:szCs w:val="21"/>
          <w:highlight w:val="none"/>
        </w:rPr>
        <w:t>3</w:t>
      </w:r>
      <w:r>
        <w:rPr>
          <w:rFonts w:hint="eastAsia"/>
          <w:color w:val="auto"/>
          <w:kern w:val="0"/>
          <w:szCs w:val="21"/>
          <w:highlight w:val="none"/>
        </w:rPr>
        <w:t>1</w:t>
      </w:r>
      <w:r>
        <w:rPr>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6B5D9A">
      <w:pPr>
        <w:tabs>
          <w:tab w:val="left" w:pos="0"/>
        </w:tabs>
        <w:spacing w:line="360" w:lineRule="auto"/>
        <w:ind w:firstLine="420" w:firstLineChars="200"/>
        <w:rPr>
          <w:color w:val="auto"/>
          <w:kern w:val="0"/>
          <w:szCs w:val="21"/>
          <w:highlight w:val="none"/>
        </w:rPr>
      </w:pPr>
      <w:r>
        <w:rPr>
          <w:color w:val="auto"/>
          <w:kern w:val="0"/>
          <w:szCs w:val="21"/>
          <w:highlight w:val="none"/>
        </w:rPr>
        <w:t>3</w:t>
      </w:r>
      <w:r>
        <w:rPr>
          <w:rFonts w:hint="eastAsia"/>
          <w:color w:val="auto"/>
          <w:kern w:val="0"/>
          <w:szCs w:val="21"/>
          <w:highlight w:val="none"/>
        </w:rPr>
        <w:t>1</w:t>
      </w:r>
      <w:r>
        <w:rPr>
          <w:color w:val="auto"/>
          <w:kern w:val="0"/>
          <w:szCs w:val="21"/>
          <w:highlight w:val="none"/>
        </w:rPr>
        <w:t>.2采购人可以邀请参加本项目的其他供应商或者第三方机构参与验收。参与验收的供应商或者第三方机构的意见作为验收书的参考资料一并存档。</w:t>
      </w:r>
    </w:p>
    <w:p w14:paraId="29791457">
      <w:pPr>
        <w:tabs>
          <w:tab w:val="left" w:pos="0"/>
        </w:tabs>
        <w:spacing w:line="360" w:lineRule="auto"/>
        <w:ind w:firstLine="420" w:firstLineChars="200"/>
        <w:rPr>
          <w:color w:val="auto"/>
          <w:kern w:val="0"/>
          <w:szCs w:val="21"/>
          <w:highlight w:val="none"/>
        </w:rPr>
      </w:pPr>
      <w:r>
        <w:rPr>
          <w:color w:val="auto"/>
          <w:kern w:val="0"/>
          <w:szCs w:val="21"/>
          <w:highlight w:val="none"/>
        </w:rPr>
        <w:t>3</w:t>
      </w:r>
      <w:r>
        <w:rPr>
          <w:rFonts w:hint="eastAsia"/>
          <w:color w:val="auto"/>
          <w:kern w:val="0"/>
          <w:szCs w:val="21"/>
          <w:highlight w:val="none"/>
        </w:rPr>
        <w:t>1</w:t>
      </w:r>
      <w:r>
        <w:rPr>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925209">
      <w:pPr>
        <w:tabs>
          <w:tab w:val="left" w:pos="0"/>
        </w:tabs>
        <w:spacing w:line="360" w:lineRule="auto"/>
        <w:ind w:firstLine="420" w:firstLineChars="200"/>
        <w:rPr>
          <w:color w:val="auto"/>
          <w:szCs w:val="21"/>
          <w:highlight w:val="none"/>
        </w:rPr>
      </w:pPr>
      <w:r>
        <w:rPr>
          <w:color w:val="auto"/>
          <w:kern w:val="0"/>
          <w:szCs w:val="21"/>
          <w:highlight w:val="none"/>
        </w:rPr>
        <w:t>3</w:t>
      </w:r>
      <w:r>
        <w:rPr>
          <w:rFonts w:hint="eastAsia"/>
          <w:color w:val="auto"/>
          <w:kern w:val="0"/>
          <w:szCs w:val="21"/>
          <w:highlight w:val="none"/>
        </w:rPr>
        <w:t>1</w:t>
      </w:r>
      <w:r>
        <w:rPr>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BBAA52">
      <w:pPr>
        <w:pStyle w:val="5"/>
        <w:spacing w:before="0" w:after="0" w:line="360" w:lineRule="auto"/>
        <w:ind w:firstLine="281" w:firstLineChars="100"/>
        <w:rPr>
          <w:color w:val="auto"/>
          <w:sz w:val="28"/>
          <w:szCs w:val="28"/>
          <w:highlight w:val="none"/>
        </w:rPr>
      </w:pPr>
      <w:bookmarkStart w:id="110" w:name="_Toc80886936"/>
      <w:bookmarkStart w:id="111" w:name="_Toc1170"/>
      <w:bookmarkStart w:id="112" w:name="_Toc10913"/>
      <w:r>
        <w:rPr>
          <w:color w:val="auto"/>
          <w:sz w:val="28"/>
          <w:szCs w:val="28"/>
          <w:highlight w:val="none"/>
        </w:rPr>
        <w:t>七、其他事项</w:t>
      </w:r>
      <w:bookmarkEnd w:id="110"/>
      <w:bookmarkEnd w:id="111"/>
      <w:bookmarkEnd w:id="112"/>
    </w:p>
    <w:p w14:paraId="2EB08254">
      <w:pPr>
        <w:spacing w:line="360" w:lineRule="auto"/>
        <w:ind w:firstLine="482" w:firstLineChars="200"/>
        <w:rPr>
          <w:rFonts w:eastAsia="黑体"/>
          <w:b/>
          <w:bCs/>
          <w:color w:val="auto"/>
          <w:sz w:val="24"/>
          <w:highlight w:val="none"/>
        </w:rPr>
      </w:pPr>
      <w:r>
        <w:rPr>
          <w:rFonts w:eastAsia="黑体"/>
          <w:b/>
          <w:bCs/>
          <w:color w:val="auto"/>
          <w:sz w:val="24"/>
          <w:highlight w:val="none"/>
        </w:rPr>
        <w:t>3</w:t>
      </w:r>
      <w:r>
        <w:rPr>
          <w:rFonts w:hint="eastAsia" w:eastAsia="黑体"/>
          <w:b/>
          <w:bCs/>
          <w:color w:val="auto"/>
          <w:sz w:val="24"/>
          <w:highlight w:val="none"/>
        </w:rPr>
        <w:t>2</w:t>
      </w:r>
      <w:r>
        <w:rPr>
          <w:rFonts w:eastAsia="黑体"/>
          <w:b/>
          <w:bCs/>
          <w:color w:val="auto"/>
          <w:sz w:val="24"/>
          <w:highlight w:val="none"/>
        </w:rPr>
        <w:t>.采购代理服务费</w:t>
      </w:r>
    </w:p>
    <w:p w14:paraId="10C190E8">
      <w:pPr>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2</w:t>
      </w:r>
      <w:r>
        <w:rPr>
          <w:color w:val="auto"/>
          <w:szCs w:val="21"/>
          <w:highlight w:val="none"/>
        </w:rPr>
        <w:t>.1 采购代理服务费收费标准及缴费账户详见“供应商须知前附表”，供应商为联合体的，可以由联合体中的一方或者多方共同缴纳采购代理服务费。</w:t>
      </w:r>
    </w:p>
    <w:p w14:paraId="4C38292C">
      <w:pPr>
        <w:pStyle w:val="14"/>
        <w:ind w:firstLine="420" w:firstLineChars="200"/>
        <w:rPr>
          <w:color w:val="auto"/>
          <w:highlight w:val="none"/>
        </w:rPr>
      </w:pPr>
      <w:r>
        <w:rPr>
          <w:color w:val="auto"/>
          <w:szCs w:val="21"/>
          <w:highlight w:val="none"/>
        </w:rPr>
        <w:t>3</w:t>
      </w:r>
      <w:r>
        <w:rPr>
          <w:rFonts w:hint="eastAsia"/>
          <w:color w:val="auto"/>
          <w:szCs w:val="21"/>
          <w:highlight w:val="none"/>
        </w:rPr>
        <w:t>2</w:t>
      </w:r>
      <w:r>
        <w:rPr>
          <w:color w:val="auto"/>
          <w:szCs w:val="21"/>
          <w:highlight w:val="none"/>
        </w:rPr>
        <w:t>.2采购代理服务费收费计算标准：</w:t>
      </w:r>
    </w:p>
    <w:tbl>
      <w:tblPr>
        <w:tblStyle w:val="28"/>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F10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031EC4A">
            <w:pPr>
              <w:spacing w:line="360" w:lineRule="auto"/>
              <w:rPr>
                <w:color w:val="auto"/>
                <w:szCs w:val="21"/>
                <w:highlight w:val="none"/>
              </w:rPr>
            </w:pPr>
            <w:r>
              <w:rPr>
                <w:color w:val="auto"/>
                <w:szCs w:val="21"/>
                <w:highlight w:val="none"/>
              </w:rPr>
              <w:t xml:space="preserve">               费率</w:t>
            </w:r>
          </w:p>
          <w:p w14:paraId="11AC740A">
            <w:pPr>
              <w:spacing w:line="360" w:lineRule="auto"/>
              <w:rPr>
                <w:color w:val="auto"/>
                <w:szCs w:val="21"/>
                <w:highlight w:val="none"/>
              </w:rPr>
            </w:pPr>
            <w:r>
              <w:rPr>
                <w:color w:val="auto"/>
                <w:szCs w:val="21"/>
                <w:highlight w:val="none"/>
              </w:rPr>
              <w:t>金额</w:t>
            </w:r>
          </w:p>
        </w:tc>
        <w:tc>
          <w:tcPr>
            <w:tcW w:w="1659" w:type="dxa"/>
            <w:vAlign w:val="center"/>
          </w:tcPr>
          <w:p w14:paraId="36EDE098">
            <w:pPr>
              <w:spacing w:line="360" w:lineRule="auto"/>
              <w:ind w:firstLine="105" w:firstLineChars="50"/>
              <w:jc w:val="center"/>
              <w:rPr>
                <w:color w:val="auto"/>
                <w:szCs w:val="21"/>
                <w:highlight w:val="none"/>
              </w:rPr>
            </w:pPr>
            <w:r>
              <w:rPr>
                <w:color w:val="auto"/>
                <w:szCs w:val="21"/>
                <w:highlight w:val="none"/>
              </w:rPr>
              <w:t>货物类</w:t>
            </w:r>
          </w:p>
        </w:tc>
        <w:tc>
          <w:tcPr>
            <w:tcW w:w="1532" w:type="dxa"/>
            <w:vAlign w:val="center"/>
          </w:tcPr>
          <w:p w14:paraId="75AC06F9">
            <w:pPr>
              <w:spacing w:line="360" w:lineRule="auto"/>
              <w:jc w:val="center"/>
              <w:rPr>
                <w:color w:val="auto"/>
                <w:szCs w:val="21"/>
                <w:highlight w:val="none"/>
              </w:rPr>
            </w:pPr>
            <w:r>
              <w:rPr>
                <w:color w:val="auto"/>
                <w:szCs w:val="21"/>
                <w:highlight w:val="none"/>
              </w:rPr>
              <w:t>服务类</w:t>
            </w:r>
          </w:p>
        </w:tc>
        <w:tc>
          <w:tcPr>
            <w:tcW w:w="1546" w:type="dxa"/>
            <w:vAlign w:val="center"/>
          </w:tcPr>
          <w:p w14:paraId="442B919E">
            <w:pPr>
              <w:spacing w:line="360" w:lineRule="auto"/>
              <w:jc w:val="center"/>
              <w:rPr>
                <w:color w:val="auto"/>
                <w:szCs w:val="21"/>
                <w:highlight w:val="none"/>
              </w:rPr>
            </w:pPr>
            <w:r>
              <w:rPr>
                <w:color w:val="auto"/>
                <w:szCs w:val="21"/>
                <w:highlight w:val="none"/>
              </w:rPr>
              <w:t>工程类</w:t>
            </w:r>
          </w:p>
        </w:tc>
      </w:tr>
      <w:tr w14:paraId="06A4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98EF29">
            <w:pPr>
              <w:spacing w:line="360" w:lineRule="auto"/>
              <w:rPr>
                <w:color w:val="auto"/>
                <w:szCs w:val="21"/>
                <w:highlight w:val="none"/>
              </w:rPr>
            </w:pPr>
            <w:r>
              <w:rPr>
                <w:color w:val="auto"/>
                <w:szCs w:val="21"/>
                <w:highlight w:val="none"/>
              </w:rPr>
              <w:t>100万元以下</w:t>
            </w:r>
          </w:p>
        </w:tc>
        <w:tc>
          <w:tcPr>
            <w:tcW w:w="1659" w:type="dxa"/>
          </w:tcPr>
          <w:p w14:paraId="471CB558">
            <w:pPr>
              <w:spacing w:line="360" w:lineRule="auto"/>
              <w:rPr>
                <w:color w:val="auto"/>
                <w:szCs w:val="21"/>
                <w:highlight w:val="none"/>
              </w:rPr>
            </w:pPr>
            <w:r>
              <w:rPr>
                <w:color w:val="auto"/>
                <w:kern w:val="0"/>
                <w:szCs w:val="21"/>
                <w:highlight w:val="none"/>
              </w:rPr>
              <w:t xml:space="preserve">  1.5%                </w:t>
            </w:r>
          </w:p>
        </w:tc>
        <w:tc>
          <w:tcPr>
            <w:tcW w:w="1532" w:type="dxa"/>
          </w:tcPr>
          <w:p w14:paraId="0C685C5B">
            <w:pPr>
              <w:spacing w:line="360" w:lineRule="auto"/>
              <w:ind w:firstLine="210" w:firstLineChars="100"/>
              <w:rPr>
                <w:color w:val="auto"/>
                <w:szCs w:val="21"/>
                <w:highlight w:val="none"/>
              </w:rPr>
            </w:pPr>
            <w:r>
              <w:rPr>
                <w:color w:val="auto"/>
                <w:kern w:val="0"/>
                <w:szCs w:val="21"/>
                <w:highlight w:val="none"/>
              </w:rPr>
              <w:t>1.5%</w:t>
            </w:r>
          </w:p>
        </w:tc>
        <w:tc>
          <w:tcPr>
            <w:tcW w:w="1546" w:type="dxa"/>
          </w:tcPr>
          <w:p w14:paraId="2E3AB450">
            <w:pPr>
              <w:spacing w:line="360" w:lineRule="auto"/>
              <w:ind w:firstLine="210" w:firstLineChars="100"/>
              <w:rPr>
                <w:color w:val="auto"/>
                <w:szCs w:val="21"/>
                <w:highlight w:val="none"/>
              </w:rPr>
            </w:pPr>
            <w:r>
              <w:rPr>
                <w:color w:val="auto"/>
                <w:kern w:val="0"/>
                <w:szCs w:val="21"/>
                <w:highlight w:val="none"/>
              </w:rPr>
              <w:t xml:space="preserve">1.0% </w:t>
            </w:r>
          </w:p>
        </w:tc>
      </w:tr>
      <w:tr w14:paraId="036F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7B2AA2">
            <w:pPr>
              <w:spacing w:line="360" w:lineRule="auto"/>
              <w:rPr>
                <w:color w:val="auto"/>
                <w:szCs w:val="21"/>
                <w:highlight w:val="none"/>
              </w:rPr>
            </w:pPr>
            <w:r>
              <w:rPr>
                <w:color w:val="auto"/>
                <w:szCs w:val="21"/>
                <w:highlight w:val="none"/>
              </w:rPr>
              <w:t>100～500万元</w:t>
            </w:r>
          </w:p>
        </w:tc>
        <w:tc>
          <w:tcPr>
            <w:tcW w:w="1659" w:type="dxa"/>
          </w:tcPr>
          <w:p w14:paraId="5EBDDE17">
            <w:pPr>
              <w:spacing w:line="360" w:lineRule="auto"/>
              <w:ind w:firstLine="210" w:firstLineChars="100"/>
              <w:rPr>
                <w:color w:val="auto"/>
                <w:szCs w:val="21"/>
                <w:highlight w:val="none"/>
              </w:rPr>
            </w:pPr>
            <w:r>
              <w:rPr>
                <w:color w:val="auto"/>
                <w:kern w:val="0"/>
                <w:szCs w:val="21"/>
                <w:highlight w:val="none"/>
              </w:rPr>
              <w:t xml:space="preserve">1.1%                 </w:t>
            </w:r>
          </w:p>
        </w:tc>
        <w:tc>
          <w:tcPr>
            <w:tcW w:w="1532" w:type="dxa"/>
          </w:tcPr>
          <w:p w14:paraId="79531198">
            <w:pPr>
              <w:spacing w:line="360" w:lineRule="auto"/>
              <w:ind w:firstLine="210" w:firstLineChars="100"/>
              <w:rPr>
                <w:color w:val="auto"/>
                <w:szCs w:val="21"/>
                <w:highlight w:val="none"/>
              </w:rPr>
            </w:pPr>
            <w:r>
              <w:rPr>
                <w:color w:val="auto"/>
                <w:kern w:val="0"/>
                <w:szCs w:val="21"/>
                <w:highlight w:val="none"/>
              </w:rPr>
              <w:t>0.8%</w:t>
            </w:r>
          </w:p>
        </w:tc>
        <w:tc>
          <w:tcPr>
            <w:tcW w:w="1546" w:type="dxa"/>
          </w:tcPr>
          <w:p w14:paraId="25486AC3">
            <w:pPr>
              <w:spacing w:line="360" w:lineRule="auto"/>
              <w:ind w:firstLine="210" w:firstLineChars="100"/>
              <w:rPr>
                <w:color w:val="auto"/>
                <w:szCs w:val="21"/>
                <w:highlight w:val="none"/>
              </w:rPr>
            </w:pPr>
            <w:r>
              <w:rPr>
                <w:color w:val="auto"/>
                <w:kern w:val="0"/>
                <w:szCs w:val="21"/>
                <w:highlight w:val="none"/>
              </w:rPr>
              <w:t xml:space="preserve">0.7% </w:t>
            </w:r>
          </w:p>
        </w:tc>
      </w:tr>
      <w:tr w14:paraId="0266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FEA2B7">
            <w:pPr>
              <w:spacing w:line="360" w:lineRule="auto"/>
              <w:rPr>
                <w:color w:val="auto"/>
                <w:szCs w:val="21"/>
                <w:highlight w:val="none"/>
              </w:rPr>
            </w:pPr>
            <w:r>
              <w:rPr>
                <w:color w:val="auto"/>
                <w:szCs w:val="21"/>
                <w:highlight w:val="none"/>
              </w:rPr>
              <w:t>500～1000万元</w:t>
            </w:r>
          </w:p>
        </w:tc>
        <w:tc>
          <w:tcPr>
            <w:tcW w:w="1659" w:type="dxa"/>
          </w:tcPr>
          <w:p w14:paraId="543645A4">
            <w:pPr>
              <w:spacing w:line="360" w:lineRule="auto"/>
              <w:rPr>
                <w:color w:val="auto"/>
                <w:szCs w:val="21"/>
                <w:highlight w:val="none"/>
              </w:rPr>
            </w:pPr>
            <w:r>
              <w:rPr>
                <w:color w:val="auto"/>
                <w:kern w:val="0"/>
                <w:szCs w:val="21"/>
                <w:highlight w:val="none"/>
              </w:rPr>
              <w:t xml:space="preserve">  0.8%                </w:t>
            </w:r>
          </w:p>
        </w:tc>
        <w:tc>
          <w:tcPr>
            <w:tcW w:w="1532" w:type="dxa"/>
          </w:tcPr>
          <w:p w14:paraId="2A15D0E4">
            <w:pPr>
              <w:spacing w:line="360" w:lineRule="auto"/>
              <w:ind w:firstLine="210" w:firstLineChars="100"/>
              <w:rPr>
                <w:color w:val="auto"/>
                <w:szCs w:val="21"/>
                <w:highlight w:val="none"/>
              </w:rPr>
            </w:pPr>
            <w:r>
              <w:rPr>
                <w:color w:val="auto"/>
                <w:kern w:val="0"/>
                <w:szCs w:val="21"/>
                <w:highlight w:val="none"/>
              </w:rPr>
              <w:t>0.45%</w:t>
            </w:r>
          </w:p>
        </w:tc>
        <w:tc>
          <w:tcPr>
            <w:tcW w:w="1546" w:type="dxa"/>
          </w:tcPr>
          <w:p w14:paraId="4AAF21F1">
            <w:pPr>
              <w:spacing w:line="360" w:lineRule="auto"/>
              <w:ind w:firstLine="210" w:firstLineChars="100"/>
              <w:rPr>
                <w:color w:val="auto"/>
                <w:szCs w:val="21"/>
                <w:highlight w:val="none"/>
              </w:rPr>
            </w:pPr>
            <w:r>
              <w:rPr>
                <w:color w:val="auto"/>
                <w:kern w:val="0"/>
                <w:szCs w:val="21"/>
                <w:highlight w:val="none"/>
              </w:rPr>
              <w:t>0.55%</w:t>
            </w:r>
          </w:p>
        </w:tc>
      </w:tr>
      <w:tr w14:paraId="12A4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200BDB">
            <w:pPr>
              <w:spacing w:line="360" w:lineRule="auto"/>
              <w:rPr>
                <w:color w:val="auto"/>
                <w:szCs w:val="21"/>
                <w:highlight w:val="none"/>
              </w:rPr>
            </w:pPr>
            <w:r>
              <w:rPr>
                <w:color w:val="auto"/>
                <w:szCs w:val="21"/>
                <w:highlight w:val="none"/>
              </w:rPr>
              <w:t>1000～5000万元</w:t>
            </w:r>
          </w:p>
        </w:tc>
        <w:tc>
          <w:tcPr>
            <w:tcW w:w="1659" w:type="dxa"/>
          </w:tcPr>
          <w:p w14:paraId="662EAF86">
            <w:pPr>
              <w:spacing w:line="360" w:lineRule="auto"/>
              <w:ind w:firstLine="210" w:firstLineChars="100"/>
              <w:rPr>
                <w:color w:val="auto"/>
                <w:szCs w:val="21"/>
                <w:highlight w:val="none"/>
              </w:rPr>
            </w:pPr>
            <w:r>
              <w:rPr>
                <w:color w:val="auto"/>
                <w:kern w:val="0"/>
                <w:szCs w:val="21"/>
                <w:highlight w:val="none"/>
              </w:rPr>
              <w:t xml:space="preserve">0.5%                </w:t>
            </w:r>
          </w:p>
        </w:tc>
        <w:tc>
          <w:tcPr>
            <w:tcW w:w="1532" w:type="dxa"/>
          </w:tcPr>
          <w:p w14:paraId="75D0839A">
            <w:pPr>
              <w:spacing w:line="360" w:lineRule="auto"/>
              <w:ind w:firstLine="210" w:firstLineChars="100"/>
              <w:rPr>
                <w:color w:val="auto"/>
                <w:szCs w:val="21"/>
                <w:highlight w:val="none"/>
              </w:rPr>
            </w:pPr>
            <w:r>
              <w:rPr>
                <w:color w:val="auto"/>
                <w:kern w:val="0"/>
                <w:szCs w:val="21"/>
                <w:highlight w:val="none"/>
              </w:rPr>
              <w:t>0.25%</w:t>
            </w:r>
          </w:p>
        </w:tc>
        <w:tc>
          <w:tcPr>
            <w:tcW w:w="1546" w:type="dxa"/>
          </w:tcPr>
          <w:p w14:paraId="058EF64E">
            <w:pPr>
              <w:spacing w:line="360" w:lineRule="auto"/>
              <w:ind w:firstLine="210" w:firstLineChars="100"/>
              <w:rPr>
                <w:color w:val="auto"/>
                <w:szCs w:val="21"/>
                <w:highlight w:val="none"/>
              </w:rPr>
            </w:pPr>
            <w:r>
              <w:rPr>
                <w:color w:val="auto"/>
                <w:kern w:val="0"/>
                <w:szCs w:val="21"/>
                <w:highlight w:val="none"/>
              </w:rPr>
              <w:t xml:space="preserve">0.35% </w:t>
            </w:r>
          </w:p>
        </w:tc>
      </w:tr>
      <w:tr w14:paraId="6C0D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FD64AF">
            <w:pPr>
              <w:spacing w:line="360" w:lineRule="auto"/>
              <w:rPr>
                <w:color w:val="auto"/>
                <w:szCs w:val="21"/>
                <w:highlight w:val="none"/>
              </w:rPr>
            </w:pPr>
            <w:r>
              <w:rPr>
                <w:color w:val="auto"/>
                <w:szCs w:val="21"/>
                <w:highlight w:val="none"/>
              </w:rPr>
              <w:t>5000万元～1亿元</w:t>
            </w:r>
          </w:p>
        </w:tc>
        <w:tc>
          <w:tcPr>
            <w:tcW w:w="1659" w:type="dxa"/>
          </w:tcPr>
          <w:p w14:paraId="7CB64ACF">
            <w:pPr>
              <w:spacing w:line="360" w:lineRule="auto"/>
              <w:ind w:firstLine="210" w:firstLineChars="100"/>
              <w:rPr>
                <w:color w:val="auto"/>
                <w:szCs w:val="21"/>
                <w:highlight w:val="none"/>
              </w:rPr>
            </w:pPr>
            <w:r>
              <w:rPr>
                <w:color w:val="auto"/>
                <w:kern w:val="0"/>
                <w:szCs w:val="21"/>
                <w:highlight w:val="none"/>
              </w:rPr>
              <w:t xml:space="preserve">0.25%                 </w:t>
            </w:r>
          </w:p>
        </w:tc>
        <w:tc>
          <w:tcPr>
            <w:tcW w:w="1532" w:type="dxa"/>
          </w:tcPr>
          <w:p w14:paraId="122FD504">
            <w:pPr>
              <w:spacing w:line="360" w:lineRule="auto"/>
              <w:ind w:firstLine="210" w:firstLineChars="100"/>
              <w:rPr>
                <w:color w:val="auto"/>
                <w:szCs w:val="21"/>
                <w:highlight w:val="none"/>
              </w:rPr>
            </w:pPr>
            <w:r>
              <w:rPr>
                <w:color w:val="auto"/>
                <w:kern w:val="0"/>
                <w:szCs w:val="21"/>
                <w:highlight w:val="none"/>
              </w:rPr>
              <w:t>0.1%</w:t>
            </w:r>
          </w:p>
        </w:tc>
        <w:tc>
          <w:tcPr>
            <w:tcW w:w="1546" w:type="dxa"/>
          </w:tcPr>
          <w:p w14:paraId="3B34054E">
            <w:pPr>
              <w:spacing w:line="360" w:lineRule="auto"/>
              <w:ind w:firstLine="210" w:firstLineChars="100"/>
              <w:rPr>
                <w:color w:val="auto"/>
                <w:szCs w:val="21"/>
                <w:highlight w:val="none"/>
              </w:rPr>
            </w:pPr>
            <w:r>
              <w:rPr>
                <w:color w:val="auto"/>
                <w:kern w:val="0"/>
                <w:szCs w:val="21"/>
                <w:highlight w:val="none"/>
              </w:rPr>
              <w:t>0.2%</w:t>
            </w:r>
          </w:p>
        </w:tc>
      </w:tr>
      <w:tr w14:paraId="4AE9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3D3BE96">
            <w:pPr>
              <w:spacing w:line="360" w:lineRule="auto"/>
              <w:rPr>
                <w:color w:val="auto"/>
                <w:szCs w:val="21"/>
                <w:highlight w:val="none"/>
              </w:rPr>
            </w:pPr>
            <w:r>
              <w:rPr>
                <w:color w:val="auto"/>
                <w:szCs w:val="21"/>
                <w:highlight w:val="none"/>
              </w:rPr>
              <w:t>1～5亿元</w:t>
            </w:r>
          </w:p>
        </w:tc>
        <w:tc>
          <w:tcPr>
            <w:tcW w:w="1659" w:type="dxa"/>
          </w:tcPr>
          <w:p w14:paraId="15C924C3">
            <w:pPr>
              <w:spacing w:line="360" w:lineRule="auto"/>
              <w:ind w:firstLine="210" w:firstLineChars="100"/>
              <w:rPr>
                <w:color w:val="auto"/>
                <w:szCs w:val="21"/>
                <w:highlight w:val="none"/>
              </w:rPr>
            </w:pPr>
            <w:r>
              <w:rPr>
                <w:color w:val="auto"/>
                <w:szCs w:val="21"/>
                <w:highlight w:val="none"/>
              </w:rPr>
              <w:t>0.05%</w:t>
            </w:r>
          </w:p>
        </w:tc>
        <w:tc>
          <w:tcPr>
            <w:tcW w:w="1532" w:type="dxa"/>
          </w:tcPr>
          <w:p w14:paraId="052635DD">
            <w:pPr>
              <w:spacing w:line="360" w:lineRule="auto"/>
              <w:rPr>
                <w:color w:val="auto"/>
                <w:szCs w:val="21"/>
                <w:highlight w:val="none"/>
              </w:rPr>
            </w:pPr>
            <w:r>
              <w:rPr>
                <w:color w:val="auto"/>
                <w:szCs w:val="21"/>
                <w:highlight w:val="none"/>
              </w:rPr>
              <w:t xml:space="preserve">  0.05%</w:t>
            </w:r>
          </w:p>
        </w:tc>
        <w:tc>
          <w:tcPr>
            <w:tcW w:w="1546" w:type="dxa"/>
          </w:tcPr>
          <w:p w14:paraId="5409EB3D">
            <w:pPr>
              <w:spacing w:line="360" w:lineRule="auto"/>
              <w:rPr>
                <w:color w:val="auto"/>
                <w:szCs w:val="21"/>
                <w:highlight w:val="none"/>
              </w:rPr>
            </w:pPr>
            <w:r>
              <w:rPr>
                <w:color w:val="auto"/>
                <w:szCs w:val="21"/>
                <w:highlight w:val="none"/>
              </w:rPr>
              <w:t xml:space="preserve">  0.05%</w:t>
            </w:r>
          </w:p>
        </w:tc>
      </w:tr>
      <w:tr w14:paraId="75EE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62142E">
            <w:pPr>
              <w:spacing w:line="360" w:lineRule="auto"/>
              <w:rPr>
                <w:color w:val="auto"/>
                <w:szCs w:val="21"/>
                <w:highlight w:val="none"/>
              </w:rPr>
            </w:pPr>
            <w:r>
              <w:rPr>
                <w:color w:val="auto"/>
                <w:szCs w:val="21"/>
                <w:highlight w:val="none"/>
              </w:rPr>
              <w:t>5～10亿元</w:t>
            </w:r>
          </w:p>
        </w:tc>
        <w:tc>
          <w:tcPr>
            <w:tcW w:w="1659" w:type="dxa"/>
          </w:tcPr>
          <w:p w14:paraId="00E4A8EB">
            <w:pPr>
              <w:spacing w:line="360" w:lineRule="auto"/>
              <w:ind w:firstLine="105" w:firstLineChars="50"/>
              <w:rPr>
                <w:color w:val="auto"/>
                <w:szCs w:val="21"/>
                <w:highlight w:val="none"/>
              </w:rPr>
            </w:pPr>
            <w:r>
              <w:rPr>
                <w:color w:val="auto"/>
                <w:szCs w:val="21"/>
                <w:highlight w:val="none"/>
              </w:rPr>
              <w:t>0.035%</w:t>
            </w:r>
          </w:p>
        </w:tc>
        <w:tc>
          <w:tcPr>
            <w:tcW w:w="1532" w:type="dxa"/>
          </w:tcPr>
          <w:p w14:paraId="7ADFC0B8">
            <w:pPr>
              <w:spacing w:line="360" w:lineRule="auto"/>
              <w:rPr>
                <w:color w:val="auto"/>
                <w:szCs w:val="21"/>
                <w:highlight w:val="none"/>
              </w:rPr>
            </w:pPr>
            <w:r>
              <w:rPr>
                <w:color w:val="auto"/>
                <w:szCs w:val="21"/>
                <w:highlight w:val="none"/>
              </w:rPr>
              <w:t xml:space="preserve">  0.035%</w:t>
            </w:r>
          </w:p>
        </w:tc>
        <w:tc>
          <w:tcPr>
            <w:tcW w:w="1546" w:type="dxa"/>
          </w:tcPr>
          <w:p w14:paraId="711D2F16">
            <w:pPr>
              <w:spacing w:line="360" w:lineRule="auto"/>
              <w:ind w:firstLine="105" w:firstLineChars="50"/>
              <w:rPr>
                <w:color w:val="auto"/>
                <w:szCs w:val="21"/>
                <w:highlight w:val="none"/>
              </w:rPr>
            </w:pPr>
            <w:r>
              <w:rPr>
                <w:color w:val="auto"/>
                <w:szCs w:val="21"/>
                <w:highlight w:val="none"/>
              </w:rPr>
              <w:t>0.035%</w:t>
            </w:r>
          </w:p>
        </w:tc>
      </w:tr>
      <w:tr w14:paraId="04E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0C38A1">
            <w:pPr>
              <w:spacing w:line="360" w:lineRule="auto"/>
              <w:rPr>
                <w:color w:val="auto"/>
                <w:szCs w:val="21"/>
                <w:highlight w:val="none"/>
              </w:rPr>
            </w:pPr>
            <w:r>
              <w:rPr>
                <w:color w:val="auto"/>
                <w:szCs w:val="21"/>
                <w:highlight w:val="none"/>
              </w:rPr>
              <w:t>10～50亿元</w:t>
            </w:r>
          </w:p>
        </w:tc>
        <w:tc>
          <w:tcPr>
            <w:tcW w:w="1659" w:type="dxa"/>
          </w:tcPr>
          <w:p w14:paraId="33B5ACEA">
            <w:pPr>
              <w:spacing w:line="360" w:lineRule="auto"/>
              <w:ind w:firstLine="105" w:firstLineChars="50"/>
              <w:rPr>
                <w:color w:val="auto"/>
                <w:szCs w:val="21"/>
                <w:highlight w:val="none"/>
              </w:rPr>
            </w:pPr>
            <w:r>
              <w:rPr>
                <w:color w:val="auto"/>
                <w:szCs w:val="21"/>
                <w:highlight w:val="none"/>
              </w:rPr>
              <w:t>0.008%</w:t>
            </w:r>
          </w:p>
        </w:tc>
        <w:tc>
          <w:tcPr>
            <w:tcW w:w="1532" w:type="dxa"/>
          </w:tcPr>
          <w:p w14:paraId="2D776139">
            <w:pPr>
              <w:spacing w:line="360" w:lineRule="auto"/>
              <w:ind w:firstLine="210" w:firstLineChars="100"/>
              <w:rPr>
                <w:color w:val="auto"/>
                <w:szCs w:val="21"/>
                <w:highlight w:val="none"/>
              </w:rPr>
            </w:pPr>
            <w:r>
              <w:rPr>
                <w:color w:val="auto"/>
                <w:szCs w:val="21"/>
                <w:highlight w:val="none"/>
              </w:rPr>
              <w:t>0.008%</w:t>
            </w:r>
          </w:p>
        </w:tc>
        <w:tc>
          <w:tcPr>
            <w:tcW w:w="1546" w:type="dxa"/>
          </w:tcPr>
          <w:p w14:paraId="4DED2CD5">
            <w:pPr>
              <w:spacing w:line="360" w:lineRule="auto"/>
              <w:ind w:firstLine="105" w:firstLineChars="50"/>
              <w:rPr>
                <w:color w:val="auto"/>
                <w:szCs w:val="21"/>
                <w:highlight w:val="none"/>
              </w:rPr>
            </w:pPr>
            <w:r>
              <w:rPr>
                <w:color w:val="auto"/>
                <w:szCs w:val="21"/>
                <w:highlight w:val="none"/>
              </w:rPr>
              <w:t>0.008%</w:t>
            </w:r>
          </w:p>
        </w:tc>
      </w:tr>
      <w:tr w14:paraId="7720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218D97">
            <w:pPr>
              <w:spacing w:line="360" w:lineRule="auto"/>
              <w:rPr>
                <w:color w:val="auto"/>
                <w:szCs w:val="21"/>
                <w:highlight w:val="none"/>
              </w:rPr>
            </w:pPr>
            <w:r>
              <w:rPr>
                <w:color w:val="auto"/>
                <w:szCs w:val="21"/>
                <w:highlight w:val="none"/>
              </w:rPr>
              <w:t>50～100亿元</w:t>
            </w:r>
          </w:p>
        </w:tc>
        <w:tc>
          <w:tcPr>
            <w:tcW w:w="1659" w:type="dxa"/>
          </w:tcPr>
          <w:p w14:paraId="5A100E3E">
            <w:pPr>
              <w:spacing w:line="360" w:lineRule="auto"/>
              <w:rPr>
                <w:color w:val="auto"/>
                <w:szCs w:val="21"/>
                <w:highlight w:val="none"/>
              </w:rPr>
            </w:pPr>
            <w:r>
              <w:rPr>
                <w:color w:val="auto"/>
                <w:szCs w:val="21"/>
                <w:highlight w:val="none"/>
              </w:rPr>
              <w:t xml:space="preserve"> 0.006%</w:t>
            </w:r>
          </w:p>
        </w:tc>
        <w:tc>
          <w:tcPr>
            <w:tcW w:w="1532" w:type="dxa"/>
          </w:tcPr>
          <w:p w14:paraId="2831291D">
            <w:pPr>
              <w:spacing w:line="360" w:lineRule="auto"/>
              <w:ind w:firstLine="210" w:firstLineChars="100"/>
              <w:rPr>
                <w:color w:val="auto"/>
                <w:szCs w:val="21"/>
                <w:highlight w:val="none"/>
              </w:rPr>
            </w:pPr>
            <w:r>
              <w:rPr>
                <w:color w:val="auto"/>
                <w:szCs w:val="21"/>
                <w:highlight w:val="none"/>
              </w:rPr>
              <w:t>0.006%</w:t>
            </w:r>
          </w:p>
        </w:tc>
        <w:tc>
          <w:tcPr>
            <w:tcW w:w="1546" w:type="dxa"/>
          </w:tcPr>
          <w:p w14:paraId="35623B97">
            <w:pPr>
              <w:spacing w:line="360" w:lineRule="auto"/>
              <w:ind w:firstLine="105" w:firstLineChars="50"/>
              <w:rPr>
                <w:color w:val="auto"/>
                <w:szCs w:val="21"/>
                <w:highlight w:val="none"/>
              </w:rPr>
            </w:pPr>
            <w:r>
              <w:rPr>
                <w:color w:val="auto"/>
                <w:szCs w:val="21"/>
                <w:highlight w:val="none"/>
              </w:rPr>
              <w:t>0.006%</w:t>
            </w:r>
          </w:p>
        </w:tc>
      </w:tr>
      <w:tr w14:paraId="5FF4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B4AF75">
            <w:pPr>
              <w:spacing w:line="360" w:lineRule="auto"/>
              <w:rPr>
                <w:color w:val="auto"/>
                <w:szCs w:val="21"/>
                <w:highlight w:val="none"/>
              </w:rPr>
            </w:pPr>
            <w:r>
              <w:rPr>
                <w:color w:val="auto"/>
                <w:szCs w:val="21"/>
                <w:highlight w:val="none"/>
              </w:rPr>
              <w:t>100亿以上</w:t>
            </w:r>
          </w:p>
        </w:tc>
        <w:tc>
          <w:tcPr>
            <w:tcW w:w="1659" w:type="dxa"/>
          </w:tcPr>
          <w:p w14:paraId="48953603">
            <w:pPr>
              <w:spacing w:line="360" w:lineRule="auto"/>
              <w:rPr>
                <w:color w:val="auto"/>
                <w:szCs w:val="21"/>
                <w:highlight w:val="none"/>
              </w:rPr>
            </w:pPr>
            <w:r>
              <w:rPr>
                <w:color w:val="auto"/>
                <w:szCs w:val="21"/>
                <w:highlight w:val="none"/>
              </w:rPr>
              <w:t xml:space="preserve"> 0.004%</w:t>
            </w:r>
          </w:p>
        </w:tc>
        <w:tc>
          <w:tcPr>
            <w:tcW w:w="1532" w:type="dxa"/>
          </w:tcPr>
          <w:p w14:paraId="14CC0AC8">
            <w:pPr>
              <w:spacing w:line="360" w:lineRule="auto"/>
              <w:ind w:firstLine="210" w:firstLineChars="100"/>
              <w:rPr>
                <w:color w:val="auto"/>
                <w:szCs w:val="21"/>
                <w:highlight w:val="none"/>
              </w:rPr>
            </w:pPr>
            <w:r>
              <w:rPr>
                <w:color w:val="auto"/>
                <w:szCs w:val="21"/>
                <w:highlight w:val="none"/>
              </w:rPr>
              <w:t>0.004%</w:t>
            </w:r>
          </w:p>
        </w:tc>
        <w:tc>
          <w:tcPr>
            <w:tcW w:w="1546" w:type="dxa"/>
          </w:tcPr>
          <w:p w14:paraId="10A8529E">
            <w:pPr>
              <w:spacing w:line="360" w:lineRule="auto"/>
              <w:ind w:firstLine="105" w:firstLineChars="50"/>
              <w:rPr>
                <w:color w:val="auto"/>
                <w:szCs w:val="21"/>
                <w:highlight w:val="none"/>
              </w:rPr>
            </w:pPr>
            <w:r>
              <w:rPr>
                <w:color w:val="auto"/>
                <w:szCs w:val="21"/>
                <w:highlight w:val="none"/>
              </w:rPr>
              <w:t>0.004%</w:t>
            </w:r>
          </w:p>
        </w:tc>
      </w:tr>
    </w:tbl>
    <w:p w14:paraId="19CAAB7D">
      <w:pPr>
        <w:spacing w:line="360" w:lineRule="auto"/>
        <w:ind w:firstLine="420" w:firstLineChars="200"/>
        <w:rPr>
          <w:color w:val="auto"/>
          <w:highlight w:val="none"/>
        </w:rPr>
      </w:pPr>
      <w:r>
        <w:rPr>
          <w:color w:val="auto"/>
          <w:highlight w:val="none"/>
        </w:rPr>
        <w:t>注：</w:t>
      </w:r>
    </w:p>
    <w:p w14:paraId="3258915D">
      <w:pPr>
        <w:spacing w:line="360" w:lineRule="auto"/>
        <w:ind w:firstLine="420" w:firstLineChars="200"/>
        <w:rPr>
          <w:color w:val="auto"/>
          <w:highlight w:val="none"/>
        </w:rPr>
      </w:pPr>
      <w:r>
        <w:rPr>
          <w:color w:val="auto"/>
          <w:highlight w:val="none"/>
        </w:rPr>
        <w:t>（1）按本表费率计算的收费为采购代理的收费基准价格；</w:t>
      </w:r>
    </w:p>
    <w:p w14:paraId="1A1F809B">
      <w:pPr>
        <w:spacing w:line="360" w:lineRule="auto"/>
        <w:ind w:firstLine="420" w:firstLineChars="200"/>
        <w:rPr>
          <w:color w:val="auto"/>
          <w:highlight w:val="none"/>
        </w:rPr>
      </w:pPr>
      <w:r>
        <w:rPr>
          <w:color w:val="auto"/>
          <w:highlight w:val="none"/>
        </w:rPr>
        <w:t>（2）采购代理收费按差额定率累进法计算。</w:t>
      </w:r>
    </w:p>
    <w:p w14:paraId="1662386D">
      <w:pPr>
        <w:pStyle w:val="2"/>
        <w:ind w:firstLine="420" w:firstLineChars="200"/>
        <w:rPr>
          <w:color w:val="auto"/>
          <w:kern w:val="2"/>
          <w:sz w:val="21"/>
          <w:szCs w:val="24"/>
          <w:highlight w:val="none"/>
        </w:rPr>
      </w:pPr>
      <w:r>
        <w:rPr>
          <w:color w:val="auto"/>
          <w:kern w:val="2"/>
          <w:sz w:val="21"/>
          <w:szCs w:val="24"/>
          <w:highlight w:val="none"/>
        </w:rPr>
        <w:t>（3）</w:t>
      </w:r>
      <w:r>
        <w:rPr>
          <w:rFonts w:hint="eastAsia"/>
          <w:color w:val="auto"/>
          <w:kern w:val="2"/>
          <w:sz w:val="21"/>
          <w:szCs w:val="24"/>
          <w:highlight w:val="none"/>
        </w:rPr>
        <w:t>采购代理服务费</w:t>
      </w:r>
      <w:r>
        <w:rPr>
          <w:color w:val="auto"/>
          <w:kern w:val="2"/>
          <w:sz w:val="21"/>
          <w:szCs w:val="24"/>
          <w:highlight w:val="none"/>
        </w:rPr>
        <w:t>下浮</w:t>
      </w:r>
      <w:r>
        <w:rPr>
          <w:rFonts w:hint="eastAsia"/>
          <w:color w:val="auto"/>
          <w:kern w:val="2"/>
          <w:sz w:val="21"/>
          <w:szCs w:val="24"/>
          <w:highlight w:val="none"/>
        </w:rPr>
        <w:t>系数</w:t>
      </w:r>
      <w:r>
        <w:rPr>
          <w:color w:val="auto"/>
          <w:kern w:val="2"/>
          <w:sz w:val="21"/>
          <w:szCs w:val="24"/>
          <w:highlight w:val="none"/>
        </w:rPr>
        <w:t>20%</w:t>
      </w:r>
    </w:p>
    <w:p w14:paraId="4A34FD32">
      <w:pPr>
        <w:spacing w:line="360" w:lineRule="auto"/>
        <w:ind w:firstLine="420" w:firstLineChars="200"/>
        <w:rPr>
          <w:color w:val="auto"/>
          <w:highlight w:val="none"/>
        </w:rPr>
      </w:pPr>
      <w:r>
        <w:rPr>
          <w:color w:val="auto"/>
          <w:highlight w:val="none"/>
        </w:rPr>
        <w:t>例如：某</w:t>
      </w:r>
      <w:r>
        <w:rPr>
          <w:rFonts w:hint="eastAsia"/>
          <w:color w:val="auto"/>
          <w:highlight w:val="none"/>
        </w:rPr>
        <w:t>工程</w:t>
      </w:r>
      <w:r>
        <w:rPr>
          <w:color w:val="auto"/>
          <w:highlight w:val="none"/>
        </w:rPr>
        <w:t>采购代理业务成交金额或者暂定价为150万元，计算采购代理收费额如下：</w:t>
      </w:r>
    </w:p>
    <w:p w14:paraId="715CA499">
      <w:pPr>
        <w:spacing w:line="360" w:lineRule="auto"/>
        <w:ind w:firstLine="420" w:firstLineChars="200"/>
        <w:rPr>
          <w:color w:val="auto"/>
          <w:highlight w:val="none"/>
        </w:rPr>
      </w:pPr>
      <w:r>
        <w:rPr>
          <w:color w:val="auto"/>
          <w:highlight w:val="none"/>
        </w:rPr>
        <w:t>100 万元 ×l.</w:t>
      </w:r>
      <w:r>
        <w:rPr>
          <w:rFonts w:hint="eastAsia"/>
          <w:color w:val="auto"/>
          <w:highlight w:val="none"/>
        </w:rPr>
        <w:t>0</w:t>
      </w:r>
      <w:r>
        <w:rPr>
          <w:color w:val="auto"/>
          <w:highlight w:val="none"/>
        </w:rPr>
        <w:t xml:space="preserve"> ％＝ 1.</w:t>
      </w:r>
      <w:r>
        <w:rPr>
          <w:rFonts w:hint="eastAsia"/>
          <w:color w:val="auto"/>
          <w:highlight w:val="none"/>
        </w:rPr>
        <w:t>0</w:t>
      </w:r>
      <w:r>
        <w:rPr>
          <w:color w:val="auto"/>
          <w:highlight w:val="none"/>
        </w:rPr>
        <w:t>万元</w:t>
      </w:r>
    </w:p>
    <w:p w14:paraId="07462383">
      <w:pPr>
        <w:spacing w:line="360" w:lineRule="auto"/>
        <w:ind w:firstLine="420" w:firstLineChars="200"/>
        <w:rPr>
          <w:color w:val="auto"/>
          <w:highlight w:val="none"/>
        </w:rPr>
      </w:pPr>
      <w:r>
        <w:rPr>
          <w:color w:val="auto"/>
          <w:highlight w:val="none"/>
        </w:rPr>
        <w:t>（ 150 － 100 ）万元 ×0.7％＝ 0.35万元</w:t>
      </w:r>
    </w:p>
    <w:p w14:paraId="47A7CE14">
      <w:pPr>
        <w:spacing w:line="360" w:lineRule="auto"/>
        <w:ind w:firstLine="420" w:firstLineChars="200"/>
        <w:rPr>
          <w:color w:val="auto"/>
          <w:highlight w:val="none"/>
        </w:rPr>
      </w:pPr>
      <w:r>
        <w:rPr>
          <w:color w:val="auto"/>
          <w:highlight w:val="none"/>
        </w:rPr>
        <w:t>合计＝ 1.0 ＋ 0.35＝ 1.35 万元</w:t>
      </w:r>
    </w:p>
    <w:p w14:paraId="174E0201">
      <w:pPr>
        <w:spacing w:line="360" w:lineRule="auto"/>
        <w:ind w:firstLine="420" w:firstLineChars="200"/>
        <w:rPr>
          <w:color w:val="auto"/>
          <w:highlight w:val="none"/>
        </w:rPr>
      </w:pPr>
      <w:r>
        <w:rPr>
          <w:color w:val="auto"/>
          <w:highlight w:val="none"/>
        </w:rPr>
        <w:t>下浮20%后收费：1.35×（1-20％）=1.08万元</w:t>
      </w:r>
    </w:p>
    <w:p w14:paraId="23063594">
      <w:pPr>
        <w:spacing w:line="360" w:lineRule="auto"/>
        <w:ind w:firstLine="482" w:firstLineChars="200"/>
        <w:rPr>
          <w:rFonts w:eastAsia="黑体"/>
          <w:b/>
          <w:bCs/>
          <w:color w:val="auto"/>
          <w:sz w:val="24"/>
          <w:highlight w:val="none"/>
        </w:rPr>
      </w:pPr>
      <w:r>
        <w:rPr>
          <w:rFonts w:eastAsia="黑体"/>
          <w:b/>
          <w:bCs/>
          <w:color w:val="auto"/>
          <w:sz w:val="24"/>
          <w:highlight w:val="none"/>
        </w:rPr>
        <w:t>33.需要补充的其他内容</w:t>
      </w:r>
    </w:p>
    <w:p w14:paraId="7AEEB392">
      <w:pPr>
        <w:spacing w:line="360" w:lineRule="auto"/>
        <w:ind w:firstLine="420" w:firstLineChars="200"/>
        <w:rPr>
          <w:color w:val="auto"/>
          <w:highlight w:val="none"/>
        </w:rPr>
      </w:pPr>
      <w:r>
        <w:rPr>
          <w:color w:val="auto"/>
          <w:highlight w:val="none"/>
        </w:rPr>
        <w:t>33.1本磋商文件解释规则详见“供应商须知前附表”。</w:t>
      </w:r>
    </w:p>
    <w:p w14:paraId="0CAF69F6">
      <w:pPr>
        <w:spacing w:line="360" w:lineRule="auto"/>
        <w:ind w:firstLine="420" w:firstLineChars="200"/>
        <w:rPr>
          <w:color w:val="auto"/>
          <w:highlight w:val="none"/>
        </w:rPr>
      </w:pPr>
      <w:r>
        <w:rPr>
          <w:color w:val="auto"/>
          <w:highlight w:val="none"/>
        </w:rPr>
        <w:t>33.2 其他事项详见“供应商须知前附表”。</w:t>
      </w:r>
    </w:p>
    <w:p w14:paraId="6D7A80AB">
      <w:pPr>
        <w:spacing w:line="360" w:lineRule="auto"/>
        <w:ind w:firstLine="420" w:firstLineChars="200"/>
        <w:rPr>
          <w:color w:val="auto"/>
          <w:szCs w:val="21"/>
          <w:highlight w:val="none"/>
        </w:rPr>
      </w:pPr>
      <w:r>
        <w:rPr>
          <w:color w:val="auto"/>
          <w:highlight w:val="none"/>
        </w:rPr>
        <w:t>33.3本文件所称中小企业，是指在中华人民共和国境内依法设立，依据国务院批准的中小企业划分标</w:t>
      </w:r>
      <w:r>
        <w:rPr>
          <w:color w:val="auto"/>
          <w:szCs w:val="21"/>
          <w:highlight w:val="none"/>
        </w:rPr>
        <w:t>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cs="宋体"/>
          <w:color w:val="auto"/>
          <w:szCs w:val="21"/>
          <w:highlight w:val="none"/>
        </w:rPr>
        <w:t>在工程采购项目中，工程由中小企业承建，即工程施工单位为中小企业，不对其中涉及的货物的制造商和服务的承接商作出要求</w:t>
      </w:r>
      <w:r>
        <w:rPr>
          <w:color w:val="auto"/>
          <w:szCs w:val="21"/>
          <w:highlight w:val="none"/>
        </w:rPr>
        <w:t>。</w:t>
      </w:r>
    </w:p>
    <w:p w14:paraId="4D1AF43D">
      <w:pPr>
        <w:spacing w:line="360" w:lineRule="auto"/>
        <w:ind w:firstLine="420" w:firstLineChars="200"/>
        <w:textAlignment w:val="center"/>
        <w:rPr>
          <w:color w:val="auto"/>
          <w:szCs w:val="21"/>
          <w:highlight w:val="none"/>
        </w:rPr>
      </w:pPr>
      <w:r>
        <w:rPr>
          <w:color w:val="auto"/>
          <w:szCs w:val="21"/>
          <w:highlight w:val="none"/>
        </w:rPr>
        <w:t>以联合体形式参加政府采购活动，联合体各方均为中小企业的，联合体视同中小企业。其中，联合体各方均为小微企业的，联合体视同小微企业。</w:t>
      </w:r>
    </w:p>
    <w:p w14:paraId="789F8DE6">
      <w:pPr>
        <w:spacing w:line="360" w:lineRule="auto"/>
        <w:ind w:firstLine="420" w:firstLineChars="200"/>
        <w:textAlignment w:val="center"/>
        <w:rPr>
          <w:color w:val="auto"/>
          <w:szCs w:val="21"/>
          <w:highlight w:val="none"/>
        </w:rPr>
      </w:pPr>
      <w:r>
        <w:rPr>
          <w:color w:val="auto"/>
          <w:szCs w:val="21"/>
          <w:highlight w:val="none"/>
        </w:rPr>
        <w:t>依据本文件规定享受扶持政策获得政府采购合同的，小微企业不得将合同分包给大中型企业，中型企业不得将合同分包给大型企业。</w:t>
      </w:r>
    </w:p>
    <w:p w14:paraId="41A44122">
      <w:pPr>
        <w:pStyle w:val="8"/>
        <w:rPr>
          <w:color w:val="auto"/>
          <w:szCs w:val="21"/>
          <w:highlight w:val="none"/>
        </w:rPr>
      </w:pPr>
    </w:p>
    <w:p w14:paraId="7705804F">
      <w:pPr>
        <w:pStyle w:val="8"/>
        <w:rPr>
          <w:color w:val="auto"/>
          <w:szCs w:val="21"/>
          <w:highlight w:val="none"/>
        </w:rPr>
      </w:pPr>
    </w:p>
    <w:p w14:paraId="33D4F9EE">
      <w:pPr>
        <w:pStyle w:val="8"/>
        <w:rPr>
          <w:color w:val="auto"/>
          <w:szCs w:val="21"/>
          <w:highlight w:val="none"/>
        </w:rPr>
      </w:pPr>
    </w:p>
    <w:p w14:paraId="60373404">
      <w:pPr>
        <w:pStyle w:val="8"/>
        <w:rPr>
          <w:color w:val="auto"/>
          <w:szCs w:val="21"/>
          <w:highlight w:val="none"/>
        </w:rPr>
      </w:pPr>
    </w:p>
    <w:p w14:paraId="6AEBD553">
      <w:pPr>
        <w:pStyle w:val="8"/>
        <w:rPr>
          <w:color w:val="auto"/>
          <w:szCs w:val="21"/>
          <w:highlight w:val="none"/>
        </w:rPr>
      </w:pPr>
    </w:p>
    <w:p w14:paraId="4BF343C9">
      <w:pPr>
        <w:pStyle w:val="8"/>
        <w:rPr>
          <w:color w:val="auto"/>
          <w:szCs w:val="21"/>
          <w:highlight w:val="none"/>
        </w:rPr>
      </w:pPr>
    </w:p>
    <w:p w14:paraId="6A6574B0">
      <w:pPr>
        <w:pStyle w:val="8"/>
        <w:rPr>
          <w:color w:val="auto"/>
          <w:szCs w:val="21"/>
          <w:highlight w:val="none"/>
        </w:rPr>
      </w:pPr>
    </w:p>
    <w:p w14:paraId="4F971022">
      <w:pPr>
        <w:pStyle w:val="8"/>
        <w:rPr>
          <w:color w:val="auto"/>
          <w:szCs w:val="21"/>
          <w:highlight w:val="none"/>
        </w:rPr>
      </w:pPr>
    </w:p>
    <w:p w14:paraId="6CE3CB2B">
      <w:pPr>
        <w:pStyle w:val="8"/>
        <w:rPr>
          <w:color w:val="auto"/>
          <w:szCs w:val="21"/>
          <w:highlight w:val="none"/>
        </w:rPr>
      </w:pPr>
    </w:p>
    <w:p w14:paraId="6A17C663">
      <w:pPr>
        <w:pStyle w:val="8"/>
        <w:rPr>
          <w:color w:val="auto"/>
          <w:szCs w:val="21"/>
          <w:highlight w:val="none"/>
        </w:rPr>
      </w:pPr>
    </w:p>
    <w:p w14:paraId="1634A1B7">
      <w:pPr>
        <w:pStyle w:val="8"/>
        <w:rPr>
          <w:color w:val="auto"/>
          <w:szCs w:val="21"/>
          <w:highlight w:val="none"/>
        </w:rPr>
      </w:pPr>
    </w:p>
    <w:p w14:paraId="7D14640A">
      <w:pPr>
        <w:pStyle w:val="8"/>
        <w:rPr>
          <w:color w:val="auto"/>
          <w:szCs w:val="21"/>
          <w:highlight w:val="none"/>
        </w:rPr>
      </w:pPr>
    </w:p>
    <w:p w14:paraId="3EBB4826">
      <w:pPr>
        <w:pStyle w:val="8"/>
        <w:rPr>
          <w:color w:val="auto"/>
          <w:szCs w:val="21"/>
          <w:highlight w:val="none"/>
        </w:rPr>
      </w:pPr>
    </w:p>
    <w:p w14:paraId="44EA682B">
      <w:pPr>
        <w:pStyle w:val="8"/>
        <w:rPr>
          <w:color w:val="auto"/>
          <w:szCs w:val="21"/>
          <w:highlight w:val="none"/>
        </w:rPr>
      </w:pPr>
    </w:p>
    <w:p w14:paraId="0AA3DCE4">
      <w:pPr>
        <w:pStyle w:val="8"/>
        <w:rPr>
          <w:color w:val="auto"/>
          <w:szCs w:val="21"/>
          <w:highlight w:val="none"/>
        </w:rPr>
      </w:pPr>
    </w:p>
    <w:p w14:paraId="5BFD17B8">
      <w:pPr>
        <w:spacing w:line="360" w:lineRule="auto"/>
        <w:ind w:firstLine="480" w:firstLineChars="200"/>
        <w:rPr>
          <w:color w:val="auto"/>
          <w:sz w:val="24"/>
          <w:highlight w:val="none"/>
        </w:rPr>
      </w:pPr>
      <w:r>
        <w:rPr>
          <w:color w:val="auto"/>
          <w:sz w:val="24"/>
          <w:highlight w:val="none"/>
        </w:rPr>
        <w:t>35. 广西线上“政采贷”政策告知函</w:t>
      </w:r>
    </w:p>
    <w:p w14:paraId="71AC1442">
      <w:pPr>
        <w:spacing w:line="580" w:lineRule="exact"/>
        <w:jc w:val="center"/>
        <w:rPr>
          <w:color w:val="auto"/>
          <w:sz w:val="32"/>
          <w:szCs w:val="32"/>
          <w:highlight w:val="none"/>
        </w:rPr>
      </w:pPr>
    </w:p>
    <w:p w14:paraId="3D7D5156">
      <w:pPr>
        <w:spacing w:line="580" w:lineRule="exact"/>
        <w:jc w:val="center"/>
        <w:rPr>
          <w:color w:val="auto"/>
          <w:sz w:val="32"/>
          <w:szCs w:val="32"/>
          <w:highlight w:val="none"/>
        </w:rPr>
      </w:pPr>
      <w:r>
        <w:rPr>
          <w:color w:val="auto"/>
          <w:sz w:val="32"/>
          <w:szCs w:val="32"/>
          <w:highlight w:val="none"/>
        </w:rPr>
        <w:t>广西线上“政采贷”政策告知函</w:t>
      </w:r>
    </w:p>
    <w:p w14:paraId="604F23BC">
      <w:pPr>
        <w:spacing w:line="580" w:lineRule="exact"/>
        <w:ind w:firstLine="420" w:firstLineChars="200"/>
        <w:rPr>
          <w:color w:val="auto"/>
          <w:szCs w:val="32"/>
          <w:highlight w:val="none"/>
        </w:rPr>
      </w:pPr>
    </w:p>
    <w:p w14:paraId="0BBFD0EA">
      <w:pPr>
        <w:spacing w:line="580" w:lineRule="exact"/>
        <w:rPr>
          <w:color w:val="auto"/>
          <w:szCs w:val="21"/>
          <w:highlight w:val="none"/>
        </w:rPr>
      </w:pPr>
      <w:r>
        <w:rPr>
          <w:color w:val="auto"/>
          <w:szCs w:val="21"/>
          <w:highlight w:val="none"/>
        </w:rPr>
        <w:t>各供应商：</w:t>
      </w:r>
    </w:p>
    <w:p w14:paraId="5ADA874B">
      <w:pPr>
        <w:spacing w:line="580" w:lineRule="exact"/>
        <w:ind w:firstLine="420" w:firstLineChars="200"/>
        <w:rPr>
          <w:color w:val="auto"/>
          <w:szCs w:val="21"/>
          <w:highlight w:val="none"/>
        </w:rPr>
      </w:pPr>
      <w:r>
        <w:rPr>
          <w:color w:val="auto"/>
          <w:szCs w:val="21"/>
          <w:highlight w:val="none"/>
        </w:rPr>
        <w:t>欢迎贵公司参与广西政府采购活动！</w:t>
      </w:r>
    </w:p>
    <w:p w14:paraId="51D30DE0">
      <w:pPr>
        <w:spacing w:line="580" w:lineRule="exact"/>
        <w:ind w:firstLine="420" w:firstLineChars="200"/>
        <w:rPr>
          <w:color w:val="auto"/>
          <w:szCs w:val="21"/>
          <w:highlight w:val="none"/>
        </w:rPr>
      </w:pPr>
      <w:r>
        <w:rPr>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D535228">
      <w:pPr>
        <w:spacing w:line="580" w:lineRule="exact"/>
        <w:ind w:firstLine="420" w:firstLineChars="200"/>
        <w:rPr>
          <w:rFonts w:ascii="宋体" w:hAnsi="宋体" w:cs="宋体"/>
          <w:color w:val="auto"/>
          <w:szCs w:val="21"/>
          <w:highlight w:val="none"/>
        </w:rPr>
      </w:pPr>
      <w:r>
        <w:rPr>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4"/>
          <w:color w:val="auto"/>
          <w:szCs w:val="21"/>
          <w:highlight w:val="none"/>
        </w:rPr>
        <w:t>https://www.crcrfsp.com/</w:t>
      </w:r>
      <w:r>
        <w:rPr>
          <w:rStyle w:val="34"/>
          <w:color w:val="auto"/>
          <w:szCs w:val="21"/>
          <w:highlight w:val="none"/>
        </w:rPr>
        <w:fldChar w:fldCharType="end"/>
      </w:r>
      <w:r>
        <w:rPr>
          <w:color w:val="auto"/>
          <w:szCs w:val="21"/>
          <w:highlight w:val="none"/>
        </w:rPr>
        <w:t>，客服电话：400-009-0001）。</w:t>
      </w:r>
    </w:p>
    <w:p w14:paraId="4F4819A6">
      <w:pPr>
        <w:pStyle w:val="2"/>
        <w:rPr>
          <w:rFonts w:ascii="宋体" w:hAnsi="宋体" w:cs="宋体"/>
          <w:color w:val="auto"/>
          <w:szCs w:val="21"/>
          <w:highlight w:val="none"/>
        </w:rPr>
      </w:pPr>
    </w:p>
    <w:p w14:paraId="49D9FC6C">
      <w:pPr>
        <w:pStyle w:val="2"/>
        <w:rPr>
          <w:rFonts w:ascii="宋体" w:hAnsi="宋体" w:cs="宋体"/>
          <w:color w:val="auto"/>
          <w:szCs w:val="21"/>
          <w:highlight w:val="none"/>
        </w:rPr>
      </w:pPr>
    </w:p>
    <w:p w14:paraId="7BA592BD">
      <w:pPr>
        <w:pStyle w:val="2"/>
        <w:rPr>
          <w:rFonts w:ascii="宋体" w:hAnsi="宋体" w:cs="宋体"/>
          <w:color w:val="auto"/>
          <w:szCs w:val="21"/>
          <w:highlight w:val="none"/>
        </w:rPr>
      </w:pPr>
    </w:p>
    <w:p w14:paraId="30C4F6E6">
      <w:pPr>
        <w:pStyle w:val="2"/>
        <w:rPr>
          <w:rFonts w:ascii="宋体" w:hAnsi="宋体" w:cs="宋体"/>
          <w:color w:val="auto"/>
          <w:szCs w:val="21"/>
          <w:highlight w:val="none"/>
        </w:rPr>
      </w:pPr>
    </w:p>
    <w:p w14:paraId="65536710">
      <w:pPr>
        <w:pStyle w:val="2"/>
        <w:rPr>
          <w:rFonts w:ascii="宋体" w:hAnsi="宋体" w:cs="宋体"/>
          <w:color w:val="auto"/>
          <w:szCs w:val="21"/>
          <w:highlight w:val="none"/>
        </w:rPr>
      </w:pPr>
    </w:p>
    <w:p w14:paraId="6B98EF46">
      <w:pPr>
        <w:pStyle w:val="2"/>
        <w:rPr>
          <w:rFonts w:ascii="宋体" w:hAnsi="宋体" w:cs="宋体"/>
          <w:color w:val="auto"/>
          <w:szCs w:val="21"/>
          <w:highlight w:val="none"/>
        </w:rPr>
      </w:pPr>
    </w:p>
    <w:p w14:paraId="39C17361">
      <w:pPr>
        <w:pStyle w:val="2"/>
        <w:rPr>
          <w:rFonts w:ascii="宋体" w:hAnsi="宋体" w:cs="宋体"/>
          <w:color w:val="auto"/>
          <w:szCs w:val="21"/>
          <w:highlight w:val="none"/>
        </w:rPr>
      </w:pPr>
    </w:p>
    <w:p w14:paraId="2FFFFA8A">
      <w:pPr>
        <w:pStyle w:val="2"/>
        <w:rPr>
          <w:rFonts w:ascii="宋体" w:hAnsi="宋体" w:cs="宋体"/>
          <w:color w:val="auto"/>
          <w:szCs w:val="21"/>
          <w:highlight w:val="none"/>
        </w:rPr>
      </w:pPr>
    </w:p>
    <w:p w14:paraId="747BBF10">
      <w:pPr>
        <w:pStyle w:val="2"/>
        <w:rPr>
          <w:rFonts w:ascii="宋体" w:hAnsi="宋体" w:cs="宋体"/>
          <w:color w:val="auto"/>
          <w:szCs w:val="21"/>
          <w:highlight w:val="none"/>
        </w:rPr>
      </w:pPr>
    </w:p>
    <w:p w14:paraId="55B39320">
      <w:pPr>
        <w:pStyle w:val="2"/>
        <w:rPr>
          <w:rFonts w:ascii="宋体" w:hAnsi="宋体" w:cs="宋体"/>
          <w:color w:val="auto"/>
          <w:szCs w:val="21"/>
          <w:highlight w:val="none"/>
        </w:rPr>
      </w:pPr>
    </w:p>
    <w:p w14:paraId="2D7F3AA5">
      <w:pPr>
        <w:pStyle w:val="2"/>
        <w:rPr>
          <w:rFonts w:ascii="宋体" w:hAnsi="宋体" w:cs="宋体"/>
          <w:color w:val="auto"/>
          <w:szCs w:val="21"/>
          <w:highlight w:val="none"/>
        </w:rPr>
      </w:pPr>
    </w:p>
    <w:p w14:paraId="2B32C07C">
      <w:pPr>
        <w:pStyle w:val="2"/>
        <w:rPr>
          <w:rFonts w:ascii="宋体" w:hAnsi="宋体" w:cs="宋体"/>
          <w:color w:val="auto"/>
          <w:szCs w:val="21"/>
          <w:highlight w:val="none"/>
        </w:rPr>
      </w:pPr>
    </w:p>
    <w:p w14:paraId="35A38861">
      <w:pPr>
        <w:pStyle w:val="2"/>
        <w:rPr>
          <w:rFonts w:ascii="宋体" w:hAnsi="宋体" w:cs="宋体"/>
          <w:color w:val="auto"/>
          <w:szCs w:val="21"/>
          <w:highlight w:val="none"/>
        </w:rPr>
      </w:pPr>
    </w:p>
    <w:p w14:paraId="3CDBE651">
      <w:pPr>
        <w:pStyle w:val="2"/>
        <w:rPr>
          <w:rFonts w:ascii="宋体" w:hAnsi="宋体" w:cs="宋体"/>
          <w:color w:val="auto"/>
          <w:szCs w:val="21"/>
          <w:highlight w:val="none"/>
        </w:rPr>
      </w:pPr>
    </w:p>
    <w:p w14:paraId="14A9B220">
      <w:pPr>
        <w:pStyle w:val="2"/>
        <w:rPr>
          <w:rFonts w:ascii="宋体" w:hAnsi="宋体" w:cs="宋体"/>
          <w:color w:val="auto"/>
          <w:szCs w:val="21"/>
          <w:highlight w:val="none"/>
        </w:rPr>
      </w:pPr>
    </w:p>
    <w:p w14:paraId="2D48E115">
      <w:pPr>
        <w:pStyle w:val="2"/>
        <w:rPr>
          <w:rFonts w:ascii="宋体" w:hAnsi="宋体" w:cs="宋体"/>
          <w:color w:val="auto"/>
          <w:szCs w:val="21"/>
          <w:highlight w:val="none"/>
        </w:rPr>
      </w:pPr>
    </w:p>
    <w:p w14:paraId="5D5D6920">
      <w:pPr>
        <w:pStyle w:val="2"/>
        <w:rPr>
          <w:rFonts w:ascii="宋体" w:hAnsi="宋体" w:cs="宋体"/>
          <w:color w:val="auto"/>
          <w:szCs w:val="21"/>
          <w:highlight w:val="none"/>
        </w:rPr>
      </w:pPr>
    </w:p>
    <w:p w14:paraId="68D37C5F">
      <w:pPr>
        <w:pStyle w:val="2"/>
        <w:rPr>
          <w:rFonts w:ascii="宋体" w:hAnsi="宋体" w:cs="宋体"/>
          <w:color w:val="auto"/>
          <w:szCs w:val="21"/>
          <w:highlight w:val="none"/>
        </w:rPr>
      </w:pPr>
    </w:p>
    <w:p w14:paraId="312396F0">
      <w:pPr>
        <w:pStyle w:val="2"/>
        <w:rPr>
          <w:rFonts w:ascii="宋体" w:hAnsi="宋体" w:cs="宋体"/>
          <w:color w:val="auto"/>
          <w:szCs w:val="21"/>
          <w:highlight w:val="none"/>
        </w:rPr>
      </w:pPr>
    </w:p>
    <w:p w14:paraId="4B70B93E">
      <w:pPr>
        <w:pStyle w:val="2"/>
        <w:rPr>
          <w:rFonts w:ascii="宋体" w:hAnsi="宋体" w:cs="宋体"/>
          <w:color w:val="auto"/>
          <w:szCs w:val="21"/>
          <w:highlight w:val="none"/>
        </w:rPr>
      </w:pPr>
    </w:p>
    <w:p w14:paraId="46355A59">
      <w:pPr>
        <w:pStyle w:val="2"/>
        <w:rPr>
          <w:rFonts w:ascii="宋体" w:hAnsi="宋体" w:cs="宋体"/>
          <w:color w:val="auto"/>
          <w:szCs w:val="21"/>
          <w:highlight w:val="none"/>
        </w:rPr>
      </w:pPr>
    </w:p>
    <w:p w14:paraId="64DC5392">
      <w:pPr>
        <w:pStyle w:val="3"/>
        <w:spacing w:line="360" w:lineRule="auto"/>
        <w:jc w:val="center"/>
        <w:rPr>
          <w:rFonts w:ascii="Calibri" w:hAnsi="Calibri"/>
          <w:color w:val="auto"/>
          <w:highlight w:val="none"/>
        </w:rPr>
      </w:pPr>
      <w:bookmarkStart w:id="113" w:name="_Toc8593"/>
      <w:bookmarkStart w:id="114" w:name="_Toc28979"/>
      <w:bookmarkStart w:id="115" w:name="_Toc80886937"/>
      <w:bookmarkStart w:id="116" w:name="_Toc4028"/>
      <w:bookmarkStart w:id="117" w:name="_Toc29100"/>
      <w:bookmarkStart w:id="118" w:name="_Toc8412"/>
      <w:bookmarkStart w:id="119" w:name="_Toc3879"/>
      <w:bookmarkStart w:id="120" w:name="_Toc17511"/>
      <w:r>
        <w:rPr>
          <w:rFonts w:hint="eastAsia" w:ascii="Calibri" w:hAnsi="Calibri"/>
          <w:color w:val="auto"/>
          <w:highlight w:val="none"/>
        </w:rPr>
        <w:t>第四章  评审程序、评审方法和评审标准</w:t>
      </w:r>
      <w:bookmarkEnd w:id="113"/>
      <w:bookmarkEnd w:id="114"/>
      <w:bookmarkEnd w:id="115"/>
      <w:bookmarkEnd w:id="116"/>
      <w:bookmarkEnd w:id="117"/>
      <w:bookmarkEnd w:id="118"/>
      <w:bookmarkEnd w:id="119"/>
      <w:bookmarkEnd w:id="120"/>
    </w:p>
    <w:p w14:paraId="2A45EDC2">
      <w:pPr>
        <w:pStyle w:val="4"/>
        <w:spacing w:line="360" w:lineRule="auto"/>
        <w:jc w:val="center"/>
        <w:rPr>
          <w:rFonts w:ascii="宋体" w:hAnsi="宋体"/>
          <w:b w:val="0"/>
          <w:color w:val="auto"/>
          <w:highlight w:val="none"/>
        </w:rPr>
      </w:pPr>
      <w:bookmarkStart w:id="121" w:name="_Toc80886938"/>
      <w:bookmarkStart w:id="122" w:name="_Toc11607"/>
      <w:bookmarkStart w:id="123" w:name="_Toc17424"/>
      <w:r>
        <w:rPr>
          <w:rFonts w:hint="eastAsia" w:ascii="宋体" w:hAnsi="宋体"/>
          <w:b w:val="0"/>
          <w:color w:val="auto"/>
          <w:highlight w:val="none"/>
        </w:rPr>
        <w:t>第一节 评审程序和评审方法</w:t>
      </w:r>
      <w:bookmarkEnd w:id="121"/>
      <w:bookmarkEnd w:id="122"/>
      <w:bookmarkEnd w:id="123"/>
    </w:p>
    <w:p w14:paraId="28A192AD">
      <w:pPr>
        <w:spacing w:line="360" w:lineRule="auto"/>
        <w:ind w:firstLine="482" w:firstLineChars="200"/>
        <w:rPr>
          <w:rFonts w:eastAsia="黑体"/>
          <w:b/>
          <w:bCs/>
          <w:color w:val="auto"/>
          <w:sz w:val="24"/>
          <w:highlight w:val="none"/>
        </w:rPr>
      </w:pPr>
      <w:r>
        <w:rPr>
          <w:rFonts w:eastAsia="黑体"/>
          <w:b/>
          <w:bCs/>
          <w:color w:val="auto"/>
          <w:sz w:val="24"/>
          <w:highlight w:val="none"/>
        </w:rPr>
        <w:t>1.确认磋商文件</w:t>
      </w:r>
    </w:p>
    <w:p w14:paraId="359686B1">
      <w:pPr>
        <w:spacing w:line="360" w:lineRule="auto"/>
        <w:ind w:firstLine="420" w:firstLineChars="200"/>
        <w:rPr>
          <w:color w:val="auto"/>
          <w:szCs w:val="21"/>
          <w:highlight w:val="none"/>
        </w:rPr>
      </w:pPr>
      <w:r>
        <w:rPr>
          <w:color w:val="auto"/>
          <w:szCs w:val="21"/>
          <w:highlight w:val="none"/>
        </w:rPr>
        <w:t>由磋商小组确认磋商文件。</w:t>
      </w:r>
    </w:p>
    <w:p w14:paraId="338FDA2F">
      <w:pPr>
        <w:spacing w:line="360" w:lineRule="auto"/>
        <w:ind w:firstLine="482" w:firstLineChars="200"/>
        <w:rPr>
          <w:rFonts w:eastAsia="黑体"/>
          <w:b/>
          <w:bCs/>
          <w:color w:val="auto"/>
          <w:sz w:val="24"/>
          <w:highlight w:val="none"/>
        </w:rPr>
      </w:pPr>
      <w:r>
        <w:rPr>
          <w:rFonts w:eastAsia="黑体"/>
          <w:b/>
          <w:bCs/>
          <w:color w:val="auto"/>
          <w:sz w:val="24"/>
          <w:highlight w:val="none"/>
        </w:rPr>
        <w:t>2.资格审查</w:t>
      </w:r>
    </w:p>
    <w:p w14:paraId="06F71828">
      <w:pPr>
        <w:snapToGrid w:val="0"/>
        <w:spacing w:line="360" w:lineRule="auto"/>
        <w:ind w:firstLine="420" w:firstLineChars="200"/>
        <w:rPr>
          <w:color w:val="auto"/>
          <w:szCs w:val="21"/>
          <w:highlight w:val="none"/>
        </w:rPr>
      </w:pPr>
      <w:r>
        <w:rPr>
          <w:color w:val="auto"/>
          <w:szCs w:val="21"/>
          <w:highlight w:val="none"/>
        </w:rPr>
        <w:t>2.1响应文件开启后，磋商小组依法对供应商的资格证明文件进行审查。</w:t>
      </w:r>
    </w:p>
    <w:p w14:paraId="22FA95A7">
      <w:pPr>
        <w:snapToGrid w:val="0"/>
        <w:spacing w:line="360" w:lineRule="auto"/>
        <w:ind w:firstLine="420" w:firstLineChars="200"/>
        <w:rPr>
          <w:color w:val="auto"/>
          <w:szCs w:val="21"/>
          <w:highlight w:val="none"/>
        </w:rPr>
      </w:pPr>
      <w:r>
        <w:rPr>
          <w:color w:val="auto"/>
          <w:szCs w:val="21"/>
          <w:highlight w:val="none"/>
        </w:rPr>
        <w:t>注：采购人代表或者采购代理机构在资格审查结束前，对供应商进行信用查询。</w:t>
      </w:r>
    </w:p>
    <w:p w14:paraId="4FC4EBBF">
      <w:pPr>
        <w:snapToGrid w:val="0"/>
        <w:spacing w:line="360" w:lineRule="auto"/>
        <w:ind w:firstLine="420" w:firstLineChars="200"/>
        <w:jc w:val="left"/>
        <w:rPr>
          <w:color w:val="auto"/>
          <w:szCs w:val="21"/>
          <w:highlight w:val="none"/>
        </w:rPr>
      </w:pPr>
      <w:r>
        <w:rPr>
          <w:color w:val="auto"/>
          <w:szCs w:val="21"/>
          <w:highlight w:val="none"/>
        </w:rPr>
        <w:t>（1）查询渠道：</w:t>
      </w:r>
      <w:r>
        <w:rPr>
          <w:rFonts w:hint="eastAsia" w:ascii="宋体" w:hAnsi="宋体" w:cs="宋体"/>
          <w:color w:val="auto"/>
          <w:szCs w:val="21"/>
          <w:highlight w:val="none"/>
        </w:rPr>
        <w:t>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5"/>
          <w:rFonts w:hint="eastAsia" w:ascii="宋体" w:hAnsi="宋体" w:cs="宋体"/>
          <w:color w:val="auto"/>
          <w:highlight w:val="none"/>
        </w:rPr>
        <w:t>www.creditchina.gov.cn</w:t>
      </w:r>
      <w:r>
        <w:rPr>
          <w:rStyle w:val="35"/>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5"/>
          <w:rFonts w:hint="eastAsia" w:ascii="宋体" w:hAnsi="宋体" w:cs="宋体"/>
          <w:color w:val="auto"/>
          <w:highlight w:val="none"/>
        </w:rPr>
        <w:t>www.ccgp.gov.cn</w:t>
      </w:r>
      <w:r>
        <w:rPr>
          <w:rStyle w:val="35"/>
          <w:rFonts w:hint="eastAsia" w:ascii="宋体" w:hAnsi="宋体" w:cs="宋体"/>
          <w:color w:val="auto"/>
          <w:highlight w:val="none"/>
        </w:rPr>
        <w:fldChar w:fldCharType="end"/>
      </w:r>
      <w:r>
        <w:rPr>
          <w:rFonts w:hint="eastAsia" w:ascii="宋体" w:hAnsi="宋体" w:cs="宋体"/>
          <w:color w:val="auto"/>
          <w:szCs w:val="21"/>
          <w:highlight w:val="none"/>
        </w:rPr>
        <w:t>)链接入口</w:t>
      </w:r>
      <w:r>
        <w:rPr>
          <w:color w:val="auto"/>
          <w:szCs w:val="21"/>
          <w:highlight w:val="none"/>
        </w:rPr>
        <w:t>。</w:t>
      </w:r>
    </w:p>
    <w:p w14:paraId="37D1E047">
      <w:pPr>
        <w:snapToGrid w:val="0"/>
        <w:spacing w:line="360" w:lineRule="auto"/>
        <w:ind w:firstLine="420" w:firstLineChars="200"/>
        <w:rPr>
          <w:color w:val="auto"/>
          <w:szCs w:val="21"/>
          <w:highlight w:val="none"/>
        </w:rPr>
      </w:pPr>
      <w:r>
        <w:rPr>
          <w:color w:val="auto"/>
          <w:szCs w:val="21"/>
          <w:highlight w:val="none"/>
        </w:rPr>
        <w:t>（2）信用查询截止时点：资格审查结束前。</w:t>
      </w:r>
    </w:p>
    <w:p w14:paraId="0915C2F9">
      <w:pPr>
        <w:snapToGrid w:val="0"/>
        <w:spacing w:line="360" w:lineRule="auto"/>
        <w:ind w:firstLine="420" w:firstLineChars="200"/>
        <w:rPr>
          <w:color w:val="auto"/>
          <w:szCs w:val="21"/>
          <w:highlight w:val="none"/>
        </w:rPr>
      </w:pPr>
      <w:r>
        <w:rPr>
          <w:color w:val="auto"/>
          <w:szCs w:val="21"/>
          <w:highlight w:val="none"/>
        </w:rPr>
        <w:t>查询记录和证据留存方式：在查询网站中直接打印查询记录，截图另存为电子文档作为评审资料保存。</w:t>
      </w:r>
    </w:p>
    <w:p w14:paraId="7B00076C">
      <w:pPr>
        <w:spacing w:line="360" w:lineRule="auto"/>
        <w:ind w:firstLine="420" w:firstLineChars="200"/>
        <w:rPr>
          <w:color w:val="auto"/>
          <w:szCs w:val="21"/>
          <w:highlight w:val="none"/>
        </w:rPr>
      </w:pPr>
      <w:r>
        <w:rPr>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61F5C4A">
      <w:pPr>
        <w:spacing w:line="360" w:lineRule="auto"/>
        <w:ind w:firstLine="420" w:firstLineChars="200"/>
        <w:rPr>
          <w:color w:val="auto"/>
          <w:szCs w:val="21"/>
          <w:highlight w:val="none"/>
        </w:rPr>
      </w:pPr>
      <w:r>
        <w:rPr>
          <w:color w:val="auto"/>
          <w:szCs w:val="21"/>
          <w:highlight w:val="none"/>
        </w:rPr>
        <w:t>2.2资格审查标准为本磋商文件中载明对供应商资格要求的条件。资格审查采用合格制，凡符合磋商文件规定的供应商资格要求的响应文件均通过资格审查。</w:t>
      </w:r>
    </w:p>
    <w:p w14:paraId="055FDF58">
      <w:pPr>
        <w:spacing w:line="360" w:lineRule="auto"/>
        <w:ind w:firstLine="422" w:firstLineChars="200"/>
        <w:rPr>
          <w:b/>
          <w:bCs/>
          <w:color w:val="auto"/>
          <w:szCs w:val="21"/>
          <w:highlight w:val="none"/>
        </w:rPr>
      </w:pPr>
      <w:r>
        <w:rPr>
          <w:b/>
          <w:bCs/>
          <w:color w:val="auto"/>
          <w:szCs w:val="21"/>
          <w:highlight w:val="none"/>
        </w:rPr>
        <w:t>2.3供应商有下列情形之一的，资格审查不通过，其响应文件按无效响应处理：</w:t>
      </w:r>
    </w:p>
    <w:p w14:paraId="73B2C170">
      <w:pPr>
        <w:snapToGrid w:val="0"/>
        <w:spacing w:line="360" w:lineRule="auto"/>
        <w:ind w:firstLine="420" w:firstLineChars="200"/>
        <w:rPr>
          <w:color w:val="auto"/>
          <w:szCs w:val="21"/>
          <w:highlight w:val="none"/>
        </w:rPr>
      </w:pPr>
      <w:r>
        <w:rPr>
          <w:color w:val="auto"/>
          <w:szCs w:val="21"/>
          <w:highlight w:val="none"/>
        </w:rPr>
        <w:t>（1）不具备磋商文件中规定的资格要求的；</w:t>
      </w:r>
    </w:p>
    <w:p w14:paraId="452461BE">
      <w:pPr>
        <w:spacing w:line="360" w:lineRule="auto"/>
        <w:ind w:firstLine="420" w:firstLineChars="200"/>
        <w:rPr>
          <w:color w:val="auto"/>
          <w:szCs w:val="21"/>
          <w:highlight w:val="none"/>
        </w:rPr>
      </w:pPr>
      <w:r>
        <w:rPr>
          <w:color w:val="auto"/>
          <w:szCs w:val="21"/>
          <w:highlight w:val="none"/>
        </w:rPr>
        <w:t>（2）响应文件未提供任一项“供应商须知前附表”资格证明文件规定的“必须提供”的文件资料的；</w:t>
      </w:r>
    </w:p>
    <w:p w14:paraId="67D8E0BF">
      <w:pPr>
        <w:spacing w:line="360" w:lineRule="auto"/>
        <w:ind w:firstLine="420" w:firstLineChars="200"/>
        <w:rPr>
          <w:color w:val="auto"/>
          <w:szCs w:val="21"/>
          <w:highlight w:val="none"/>
        </w:rPr>
      </w:pPr>
      <w:r>
        <w:rPr>
          <w:color w:val="auto"/>
          <w:szCs w:val="21"/>
          <w:highlight w:val="none"/>
        </w:rPr>
        <w:t>（3）响应文件提供的资格证明文件出现任一项不符合“供应商须知前附表”资格证明文件规定的“必须提供”的文件资料要求或者无效的。</w:t>
      </w:r>
    </w:p>
    <w:p w14:paraId="789EB9AE">
      <w:pPr>
        <w:spacing w:line="360" w:lineRule="auto"/>
        <w:ind w:firstLine="420" w:firstLineChars="200"/>
        <w:rPr>
          <w:color w:val="auto"/>
          <w:szCs w:val="21"/>
          <w:highlight w:val="none"/>
        </w:rPr>
      </w:pPr>
      <w:bookmarkStart w:id="124" w:name="_Hlk68601553"/>
      <w:r>
        <w:rPr>
          <w:color w:val="auto"/>
          <w:szCs w:val="21"/>
          <w:highlight w:val="none"/>
        </w:rPr>
        <w:t>（4）同一合同项下的不同供应商，单位负责人为同一人或者存在直接控股、管理关系的；为本项目提供过整体设计、规范编制或者项目管理、监理、检测等服务的。</w:t>
      </w:r>
      <w:bookmarkEnd w:id="124"/>
    </w:p>
    <w:p w14:paraId="29A6C2D7">
      <w:pPr>
        <w:spacing w:line="360" w:lineRule="auto"/>
        <w:ind w:firstLine="420" w:firstLineChars="200"/>
        <w:rPr>
          <w:color w:val="auto"/>
          <w:szCs w:val="21"/>
          <w:highlight w:val="none"/>
        </w:rPr>
      </w:pPr>
      <w:r>
        <w:rPr>
          <w:color w:val="auto"/>
          <w:szCs w:val="21"/>
          <w:highlight w:val="none"/>
        </w:rPr>
        <w:t>2.4通过资格审查的合格供应商不足3家的，不得进入符合性审查环节，采购人或者采购代理机构应当重新开展采购活动。</w:t>
      </w:r>
    </w:p>
    <w:p w14:paraId="64385847">
      <w:pPr>
        <w:spacing w:line="360" w:lineRule="auto"/>
        <w:ind w:firstLine="482" w:firstLineChars="200"/>
        <w:rPr>
          <w:rFonts w:eastAsia="黑体"/>
          <w:b/>
          <w:bCs/>
          <w:color w:val="auto"/>
          <w:sz w:val="24"/>
          <w:highlight w:val="none"/>
        </w:rPr>
      </w:pPr>
      <w:r>
        <w:rPr>
          <w:rFonts w:eastAsia="黑体"/>
          <w:b/>
          <w:bCs/>
          <w:color w:val="auto"/>
          <w:sz w:val="24"/>
          <w:highlight w:val="none"/>
        </w:rPr>
        <w:t>3.符合性审查</w:t>
      </w:r>
    </w:p>
    <w:p w14:paraId="7530E14E">
      <w:pPr>
        <w:spacing w:line="360" w:lineRule="auto"/>
        <w:ind w:firstLine="420" w:firstLineChars="200"/>
        <w:rPr>
          <w:color w:val="auto"/>
          <w:szCs w:val="21"/>
          <w:highlight w:val="none"/>
        </w:rPr>
      </w:pPr>
      <w:r>
        <w:rPr>
          <w:color w:val="auto"/>
          <w:szCs w:val="21"/>
          <w:highlight w:val="none"/>
        </w:rPr>
        <w:t>3.1由磋商小组对通过资格审查的合格供应商的响应文件的响应报价、商务、技术等实质性要求进行符合性审查，以确定其是否满足磋商文件的实质性要求。</w:t>
      </w:r>
    </w:p>
    <w:p w14:paraId="258A33D5">
      <w:pPr>
        <w:spacing w:line="360" w:lineRule="auto"/>
        <w:ind w:firstLine="420" w:firstLineChars="200"/>
        <w:rPr>
          <w:color w:val="auto"/>
          <w:szCs w:val="21"/>
          <w:highlight w:val="none"/>
        </w:rPr>
      </w:pPr>
      <w:r>
        <w:rPr>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306397">
      <w:pPr>
        <w:spacing w:line="360" w:lineRule="auto"/>
        <w:ind w:firstLine="420" w:firstLineChars="200"/>
        <w:rPr>
          <w:color w:val="auto"/>
          <w:spacing w:val="-6"/>
          <w:szCs w:val="21"/>
          <w:highlight w:val="none"/>
        </w:rPr>
      </w:pPr>
      <w:r>
        <w:rPr>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color w:val="auto"/>
          <w:spacing w:val="-6"/>
          <w:szCs w:val="21"/>
          <w:highlight w:val="none"/>
        </w:rPr>
        <w:t>。供应商为自然人的，必须由本人签字并附身份证明。</w:t>
      </w:r>
    </w:p>
    <w:p w14:paraId="4F14C037">
      <w:pPr>
        <w:spacing w:line="360" w:lineRule="auto"/>
        <w:ind w:firstLine="396" w:firstLineChars="200"/>
        <w:rPr>
          <w:color w:val="auto"/>
          <w:szCs w:val="21"/>
          <w:highlight w:val="none"/>
        </w:rPr>
      </w:pPr>
      <w:r>
        <w:rPr>
          <w:color w:val="auto"/>
          <w:spacing w:val="-6"/>
          <w:szCs w:val="21"/>
          <w:highlight w:val="none"/>
        </w:rPr>
        <w:t>3.4</w:t>
      </w:r>
      <w:r>
        <w:rPr>
          <w:color w:val="auto"/>
          <w:szCs w:val="21"/>
          <w:highlight w:val="none"/>
        </w:rPr>
        <w:t xml:space="preserve">首次响应文件报价出现前后不一致的，按照下列规定修正： </w:t>
      </w:r>
    </w:p>
    <w:p w14:paraId="0E253A58">
      <w:pPr>
        <w:spacing w:line="360" w:lineRule="auto"/>
        <w:ind w:firstLine="420" w:firstLineChars="200"/>
        <w:rPr>
          <w:color w:val="auto"/>
          <w:szCs w:val="21"/>
          <w:highlight w:val="none"/>
        </w:rPr>
      </w:pPr>
      <w:r>
        <w:rPr>
          <w:color w:val="auto"/>
          <w:szCs w:val="21"/>
          <w:highlight w:val="none"/>
        </w:rPr>
        <w:t>（1）响应文件中响应报价表内容与响应文件中相应内容不一致的，以响应报价表为准；</w:t>
      </w:r>
    </w:p>
    <w:p w14:paraId="79E43E1E">
      <w:pPr>
        <w:spacing w:line="360" w:lineRule="auto"/>
        <w:ind w:firstLine="420" w:firstLineChars="200"/>
        <w:rPr>
          <w:color w:val="auto"/>
          <w:szCs w:val="21"/>
          <w:highlight w:val="none"/>
        </w:rPr>
      </w:pPr>
      <w:r>
        <w:rPr>
          <w:color w:val="auto"/>
          <w:szCs w:val="21"/>
          <w:highlight w:val="none"/>
        </w:rPr>
        <w:t>（2）大写金额和小写金额不一致的，以大写金额为准；</w:t>
      </w:r>
    </w:p>
    <w:p w14:paraId="07DE4D24">
      <w:pPr>
        <w:spacing w:line="360" w:lineRule="auto"/>
        <w:ind w:firstLine="420" w:firstLineChars="200"/>
        <w:rPr>
          <w:color w:val="auto"/>
          <w:szCs w:val="21"/>
          <w:highlight w:val="none"/>
        </w:rPr>
      </w:pPr>
      <w:r>
        <w:rPr>
          <w:color w:val="auto"/>
          <w:szCs w:val="21"/>
          <w:highlight w:val="none"/>
        </w:rPr>
        <w:t>（3）单价金额小数点或者百分比有明显错位的，以响应报价表的总价为准，并修改单价；</w:t>
      </w:r>
    </w:p>
    <w:p w14:paraId="5BAE56A0">
      <w:pPr>
        <w:spacing w:line="360" w:lineRule="auto"/>
        <w:ind w:firstLine="420" w:firstLineChars="200"/>
        <w:rPr>
          <w:color w:val="auto"/>
          <w:szCs w:val="21"/>
          <w:highlight w:val="none"/>
        </w:rPr>
      </w:pPr>
      <w:r>
        <w:rPr>
          <w:color w:val="auto"/>
          <w:szCs w:val="21"/>
          <w:highlight w:val="none"/>
        </w:rPr>
        <w:t>（4）总价金额与按单价汇总金额不一致的，以单价金额计算结果为准。</w:t>
      </w:r>
    </w:p>
    <w:p w14:paraId="2C4C790D">
      <w:pPr>
        <w:spacing w:line="360" w:lineRule="auto"/>
        <w:ind w:firstLine="420" w:firstLineChars="200"/>
        <w:rPr>
          <w:color w:val="auto"/>
          <w:szCs w:val="21"/>
          <w:highlight w:val="none"/>
        </w:rPr>
      </w:pPr>
      <w:r>
        <w:rPr>
          <w:color w:val="auto"/>
          <w:szCs w:val="21"/>
          <w:highlight w:val="none"/>
        </w:rPr>
        <w:t>同时出现两种以上不一致的，按照以上（1）-（4）规定的顺序逐条进行修正。修正后的报价经供应商确认后产生约束力，供应商不确认的，其响应文件按无效响应处理。</w:t>
      </w:r>
    </w:p>
    <w:p w14:paraId="6FB4D2FB">
      <w:pPr>
        <w:spacing w:line="360" w:lineRule="auto"/>
        <w:ind w:firstLine="420" w:firstLineChars="200"/>
        <w:rPr>
          <w:color w:val="auto"/>
          <w:szCs w:val="21"/>
          <w:highlight w:val="none"/>
        </w:rPr>
      </w:pPr>
      <w:r>
        <w:rPr>
          <w:color w:val="auto"/>
          <w:szCs w:val="21"/>
          <w:highlight w:val="none"/>
        </w:rPr>
        <w:t>3.5商务技术、报价评审</w:t>
      </w:r>
    </w:p>
    <w:p w14:paraId="252CF187">
      <w:pPr>
        <w:spacing w:line="360" w:lineRule="auto"/>
        <w:ind w:firstLine="422" w:firstLineChars="200"/>
        <w:rPr>
          <w:b/>
          <w:bCs/>
          <w:color w:val="auto"/>
          <w:szCs w:val="21"/>
          <w:highlight w:val="none"/>
        </w:rPr>
      </w:pPr>
      <w:r>
        <w:rPr>
          <w:b/>
          <w:bCs/>
          <w:color w:val="auto"/>
          <w:szCs w:val="21"/>
          <w:highlight w:val="none"/>
        </w:rPr>
        <w:t>在评审时，如发现下列情形之一的，将被视为响应文件无效处理：</w:t>
      </w:r>
    </w:p>
    <w:p w14:paraId="62BA10C5">
      <w:pPr>
        <w:spacing w:line="360" w:lineRule="auto"/>
        <w:ind w:firstLine="420" w:firstLineChars="200"/>
        <w:rPr>
          <w:color w:val="auto"/>
          <w:szCs w:val="21"/>
          <w:highlight w:val="none"/>
        </w:rPr>
      </w:pPr>
      <w:r>
        <w:rPr>
          <w:color w:val="auto"/>
          <w:szCs w:val="21"/>
          <w:highlight w:val="none"/>
        </w:rPr>
        <w:t>（1）商务技术评审</w:t>
      </w:r>
    </w:p>
    <w:p w14:paraId="5306698D">
      <w:pPr>
        <w:spacing w:line="360" w:lineRule="auto"/>
        <w:ind w:firstLine="420" w:firstLineChars="200"/>
        <w:rPr>
          <w:color w:val="auto"/>
          <w:szCs w:val="21"/>
          <w:highlight w:val="none"/>
        </w:rPr>
      </w:pPr>
      <w:r>
        <w:rPr>
          <w:color w:val="auto"/>
          <w:szCs w:val="21"/>
          <w:highlight w:val="none"/>
        </w:rPr>
        <w:t>1）响应文件未按磋商文件要求签署、盖章；</w:t>
      </w:r>
    </w:p>
    <w:p w14:paraId="33DBAC97">
      <w:pPr>
        <w:spacing w:line="360" w:lineRule="auto"/>
        <w:ind w:firstLine="420" w:firstLineChars="200"/>
        <w:rPr>
          <w:color w:val="auto"/>
          <w:szCs w:val="21"/>
          <w:highlight w:val="none"/>
        </w:rPr>
      </w:pPr>
      <w:r>
        <w:rPr>
          <w:color w:val="auto"/>
          <w:szCs w:val="21"/>
          <w:highlight w:val="none"/>
        </w:rPr>
        <w:t xml:space="preserve">2）委托代理人未能出具有效身份证明或者出具的身份证明与授权委托书中的信息不符； </w:t>
      </w:r>
    </w:p>
    <w:p w14:paraId="44EFB4E3">
      <w:pPr>
        <w:spacing w:line="360" w:lineRule="auto"/>
        <w:ind w:firstLine="420" w:firstLineChars="200"/>
        <w:rPr>
          <w:color w:val="auto"/>
          <w:szCs w:val="21"/>
          <w:highlight w:val="none"/>
        </w:rPr>
      </w:pPr>
      <w:r>
        <w:rPr>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E02BD65">
      <w:pPr>
        <w:spacing w:line="360" w:lineRule="auto"/>
        <w:ind w:firstLine="420" w:firstLineChars="200"/>
        <w:rPr>
          <w:color w:val="auto"/>
          <w:szCs w:val="21"/>
          <w:highlight w:val="none"/>
        </w:rPr>
      </w:pPr>
      <w:r>
        <w:rPr>
          <w:color w:val="auto"/>
          <w:szCs w:val="21"/>
          <w:highlight w:val="none"/>
        </w:rPr>
        <w:t>4）商务条款中标“▲”的条款发生负偏离的或者允许负偏离的条款数超过“供应商须知前附表”规定项数的或者标明实质性的要求发生负偏离；</w:t>
      </w:r>
    </w:p>
    <w:p w14:paraId="0F2F4E0A">
      <w:pPr>
        <w:spacing w:line="360" w:lineRule="auto"/>
        <w:ind w:firstLine="420" w:firstLineChars="200"/>
        <w:rPr>
          <w:color w:val="auto"/>
          <w:szCs w:val="21"/>
          <w:highlight w:val="none"/>
        </w:rPr>
      </w:pPr>
      <w:r>
        <w:rPr>
          <w:color w:val="auto"/>
          <w:szCs w:val="21"/>
          <w:highlight w:val="none"/>
        </w:rPr>
        <w:t>5）未对竞标有效期作出响应或者响应文件承诺的竞标有效期不满足磋商文件要求；</w:t>
      </w:r>
    </w:p>
    <w:p w14:paraId="3CACD604">
      <w:pPr>
        <w:spacing w:line="360" w:lineRule="auto"/>
        <w:ind w:firstLine="420" w:firstLineChars="200"/>
        <w:rPr>
          <w:color w:val="auto"/>
          <w:szCs w:val="21"/>
          <w:highlight w:val="none"/>
        </w:rPr>
      </w:pPr>
      <w:r>
        <w:rPr>
          <w:color w:val="auto"/>
          <w:szCs w:val="21"/>
          <w:highlight w:val="none"/>
        </w:rPr>
        <w:t>6）响应文件的实质性内容未使用中文表述、使用计量单位不符合磋商文件要求；</w:t>
      </w:r>
    </w:p>
    <w:p w14:paraId="527F69F1">
      <w:pPr>
        <w:spacing w:line="360" w:lineRule="auto"/>
        <w:ind w:firstLine="420" w:firstLineChars="200"/>
        <w:rPr>
          <w:color w:val="auto"/>
          <w:szCs w:val="21"/>
          <w:highlight w:val="none"/>
        </w:rPr>
      </w:pPr>
      <w:r>
        <w:rPr>
          <w:color w:val="auto"/>
          <w:szCs w:val="21"/>
          <w:highlight w:val="none"/>
        </w:rPr>
        <w:t>7）响应文件中的文件资料因填写不齐全或者内容虚假或者出现其他情形而导致被磋商小组认定无效；</w:t>
      </w:r>
    </w:p>
    <w:p w14:paraId="76DB80CC">
      <w:pPr>
        <w:spacing w:line="360" w:lineRule="auto"/>
        <w:ind w:firstLine="420" w:firstLineChars="200"/>
        <w:rPr>
          <w:color w:val="auto"/>
          <w:szCs w:val="21"/>
          <w:highlight w:val="none"/>
        </w:rPr>
      </w:pPr>
      <w:r>
        <w:rPr>
          <w:color w:val="auto"/>
          <w:szCs w:val="21"/>
          <w:highlight w:val="none"/>
        </w:rPr>
        <w:t>8）响应文件含有采购人不能接受的附加条件；</w:t>
      </w:r>
    </w:p>
    <w:p w14:paraId="08F07586">
      <w:pPr>
        <w:spacing w:line="360" w:lineRule="auto"/>
        <w:ind w:firstLine="420" w:firstLineChars="200"/>
        <w:rPr>
          <w:color w:val="auto"/>
          <w:szCs w:val="21"/>
          <w:highlight w:val="none"/>
        </w:rPr>
      </w:pPr>
      <w:r>
        <w:rPr>
          <w:color w:val="auto"/>
          <w:szCs w:val="21"/>
          <w:highlight w:val="none"/>
        </w:rPr>
        <w:t>9）属于“供应商须知正文”第7.5条情形；</w:t>
      </w:r>
    </w:p>
    <w:p w14:paraId="2B56303A">
      <w:pPr>
        <w:spacing w:line="360" w:lineRule="auto"/>
        <w:ind w:firstLine="420" w:firstLineChars="200"/>
        <w:rPr>
          <w:color w:val="auto"/>
          <w:szCs w:val="21"/>
          <w:highlight w:val="none"/>
        </w:rPr>
      </w:pPr>
      <w:r>
        <w:rPr>
          <w:color w:val="auto"/>
          <w:szCs w:val="21"/>
          <w:highlight w:val="none"/>
        </w:rPr>
        <w:t>10）技术需求允许负偏离的条款数超过“供应商须知前附表”规定项数；</w:t>
      </w:r>
    </w:p>
    <w:p w14:paraId="50853115">
      <w:pPr>
        <w:spacing w:line="360" w:lineRule="auto"/>
        <w:ind w:firstLine="420" w:firstLineChars="200"/>
        <w:rPr>
          <w:color w:val="auto"/>
          <w:szCs w:val="21"/>
          <w:highlight w:val="none"/>
        </w:rPr>
      </w:pPr>
      <w:r>
        <w:rPr>
          <w:color w:val="auto"/>
          <w:szCs w:val="21"/>
          <w:highlight w:val="none"/>
        </w:rPr>
        <w:t>11）虚假竞标，或者出现其他情形而导致被磋商小组认定无效；</w:t>
      </w:r>
    </w:p>
    <w:p w14:paraId="7EB810EB">
      <w:pPr>
        <w:spacing w:line="360" w:lineRule="auto"/>
        <w:ind w:firstLine="420" w:firstLineChars="200"/>
        <w:rPr>
          <w:color w:val="auto"/>
          <w:szCs w:val="21"/>
          <w:highlight w:val="none"/>
        </w:rPr>
      </w:pPr>
      <w:r>
        <w:rPr>
          <w:color w:val="auto"/>
          <w:szCs w:val="21"/>
          <w:highlight w:val="none"/>
        </w:rPr>
        <w:t>12）竞标技术方案不明确，磋商文件未允许但响应文件中存在一个或者一个以上备选（替代）竞标方案；</w:t>
      </w:r>
    </w:p>
    <w:p w14:paraId="5CFE2709">
      <w:pPr>
        <w:spacing w:line="360" w:lineRule="auto"/>
        <w:ind w:firstLine="420" w:firstLineChars="200"/>
        <w:rPr>
          <w:color w:val="auto"/>
          <w:szCs w:val="21"/>
          <w:highlight w:val="none"/>
        </w:rPr>
      </w:pPr>
      <w:r>
        <w:rPr>
          <w:color w:val="auto"/>
          <w:szCs w:val="21"/>
          <w:highlight w:val="none"/>
        </w:rPr>
        <w:t>13）响应文件标注的项目名称或者项目编号与竞争性磋商文件标注的项目名称或者项目编号不一致的；</w:t>
      </w:r>
    </w:p>
    <w:p w14:paraId="4DD060DB">
      <w:pPr>
        <w:spacing w:line="360" w:lineRule="auto"/>
        <w:ind w:firstLine="420" w:firstLineChars="200"/>
        <w:rPr>
          <w:color w:val="auto"/>
          <w:szCs w:val="21"/>
          <w:highlight w:val="none"/>
        </w:rPr>
      </w:pPr>
      <w:r>
        <w:rPr>
          <w:color w:val="auto"/>
          <w:szCs w:val="21"/>
          <w:highlight w:val="none"/>
        </w:rPr>
        <w:t>14）未响应磋商文件实质性要求；</w:t>
      </w:r>
    </w:p>
    <w:p w14:paraId="36891207">
      <w:pPr>
        <w:pStyle w:val="14"/>
        <w:spacing w:line="360" w:lineRule="auto"/>
        <w:ind w:firstLine="420" w:firstLineChars="200"/>
        <w:rPr>
          <w:color w:val="auto"/>
          <w:highlight w:val="none"/>
        </w:rPr>
      </w:pPr>
      <w:r>
        <w:rPr>
          <w:color w:val="auto"/>
          <w:szCs w:val="21"/>
          <w:highlight w:val="none"/>
        </w:rPr>
        <w:t>15）提交的磋商保证金无效的或者未按照磋商文件的规定提交磋商保证金；</w:t>
      </w:r>
    </w:p>
    <w:p w14:paraId="3904A7C7">
      <w:pPr>
        <w:spacing w:line="360" w:lineRule="auto"/>
        <w:ind w:firstLine="420" w:firstLineChars="200"/>
        <w:rPr>
          <w:color w:val="auto"/>
          <w:szCs w:val="21"/>
          <w:highlight w:val="none"/>
        </w:rPr>
      </w:pPr>
      <w:r>
        <w:rPr>
          <w:color w:val="auto"/>
          <w:szCs w:val="21"/>
          <w:highlight w:val="none"/>
        </w:rPr>
        <w:t>16）法律、法规和磋商文件规定的其他无效情形。</w:t>
      </w:r>
    </w:p>
    <w:p w14:paraId="45F8C8CC">
      <w:pPr>
        <w:spacing w:line="360" w:lineRule="auto"/>
        <w:ind w:firstLine="420" w:firstLineChars="200"/>
        <w:rPr>
          <w:color w:val="auto"/>
          <w:szCs w:val="21"/>
          <w:highlight w:val="none"/>
        </w:rPr>
      </w:pPr>
      <w:r>
        <w:rPr>
          <w:color w:val="auto"/>
          <w:szCs w:val="21"/>
          <w:highlight w:val="none"/>
        </w:rPr>
        <w:t>（2）报价评审</w:t>
      </w:r>
    </w:p>
    <w:p w14:paraId="18D5AC71">
      <w:pPr>
        <w:spacing w:line="360" w:lineRule="auto"/>
        <w:ind w:firstLine="420" w:firstLineChars="200"/>
        <w:rPr>
          <w:color w:val="auto"/>
          <w:szCs w:val="21"/>
          <w:highlight w:val="none"/>
        </w:rPr>
      </w:pPr>
      <w:r>
        <w:rPr>
          <w:color w:val="auto"/>
          <w:szCs w:val="21"/>
          <w:highlight w:val="none"/>
        </w:rPr>
        <w:t>1) 响应文件未提供“供应商须知前附表” 报价文件中规定的“响应报价表”</w:t>
      </w:r>
      <w:r>
        <w:rPr>
          <w:rFonts w:hint="eastAsia"/>
          <w:color w:val="auto"/>
          <w:szCs w:val="21"/>
          <w:highlight w:val="none"/>
        </w:rPr>
        <w:t>或</w:t>
      </w:r>
      <w:r>
        <w:rPr>
          <w:color w:val="auto"/>
          <w:szCs w:val="21"/>
          <w:highlight w:val="none"/>
        </w:rPr>
        <w:t>未响应供应商须知前附表</w:t>
      </w:r>
      <w:r>
        <w:rPr>
          <w:rFonts w:hint="eastAsia"/>
          <w:color w:val="auto"/>
          <w:szCs w:val="21"/>
          <w:highlight w:val="none"/>
        </w:rPr>
        <w:t>中“供应商的</w:t>
      </w:r>
      <w:r>
        <w:rPr>
          <w:color w:val="auto"/>
          <w:szCs w:val="21"/>
          <w:highlight w:val="none"/>
        </w:rPr>
        <w:t>响应报价要求</w:t>
      </w:r>
      <w:r>
        <w:rPr>
          <w:rFonts w:hint="eastAsia"/>
          <w:color w:val="auto"/>
          <w:szCs w:val="21"/>
          <w:highlight w:val="none"/>
        </w:rPr>
        <w:t>”的</w:t>
      </w:r>
      <w:r>
        <w:rPr>
          <w:color w:val="auto"/>
          <w:szCs w:val="21"/>
          <w:highlight w:val="none"/>
        </w:rPr>
        <w:t>实质性要求；</w:t>
      </w:r>
    </w:p>
    <w:p w14:paraId="0363E137">
      <w:pPr>
        <w:spacing w:line="360" w:lineRule="auto"/>
        <w:ind w:firstLine="420" w:firstLineChars="200"/>
        <w:rPr>
          <w:color w:val="auto"/>
          <w:szCs w:val="21"/>
          <w:highlight w:val="none"/>
        </w:rPr>
      </w:pPr>
      <w:r>
        <w:rPr>
          <w:color w:val="auto"/>
          <w:szCs w:val="21"/>
          <w:highlight w:val="none"/>
        </w:rPr>
        <w:t>2）未采用人民币报价或者未按照磋商文件标明的币种报价；</w:t>
      </w:r>
    </w:p>
    <w:p w14:paraId="2E0D0CFF">
      <w:pPr>
        <w:spacing w:line="360" w:lineRule="auto"/>
        <w:ind w:firstLine="420" w:firstLineChars="200"/>
        <w:rPr>
          <w:color w:val="auto"/>
          <w:szCs w:val="21"/>
          <w:highlight w:val="none"/>
        </w:rPr>
      </w:pPr>
      <w:r>
        <w:rPr>
          <w:color w:val="auto"/>
          <w:szCs w:val="21"/>
          <w:highlight w:val="none"/>
        </w:rPr>
        <w:t>3）供应商未就所竞标项目进行报价或者存在漏项报价；供应商未就所竞标项目的单项内容作唯一报价；供应商未就所竞标项目的全部内容作唯一总价报价；供应商响应文件中存在有选择、有条件报价的（磋商文件允许有备选方案或者其他约定的除外）；</w:t>
      </w:r>
    </w:p>
    <w:p w14:paraId="2829C86D">
      <w:pPr>
        <w:spacing w:line="360" w:lineRule="auto"/>
        <w:ind w:firstLine="420" w:firstLineChars="200"/>
        <w:rPr>
          <w:color w:val="auto"/>
          <w:szCs w:val="21"/>
          <w:highlight w:val="none"/>
        </w:rPr>
      </w:pPr>
      <w:r>
        <w:rPr>
          <w:color w:val="auto"/>
          <w:szCs w:val="21"/>
          <w:highlight w:val="none"/>
        </w:rPr>
        <w:t>4）响应报价（包含首次报价、最后报价）超过所竞标项目规定的采购预算金额或者最高限价的（如本项目公布了最高限价）；响应报价（包含首次报价、最后报价）超过磋商文件分项采购预算金额或者最高限价的（如本项目公布了最高限价）；</w:t>
      </w:r>
    </w:p>
    <w:p w14:paraId="5CFA9D22">
      <w:pPr>
        <w:spacing w:line="360" w:lineRule="auto"/>
        <w:ind w:firstLine="420" w:firstLineChars="200"/>
        <w:rPr>
          <w:color w:val="auto"/>
          <w:szCs w:val="21"/>
          <w:highlight w:val="none"/>
        </w:rPr>
      </w:pPr>
      <w:r>
        <w:rPr>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磋商文件分项采购预算金额或者最高限价的（如本项目公布了最高限价）。</w:t>
      </w:r>
    </w:p>
    <w:p w14:paraId="7254BA83">
      <w:pPr>
        <w:spacing w:line="360" w:lineRule="auto"/>
        <w:ind w:firstLine="420" w:firstLineChars="200"/>
        <w:rPr>
          <w:color w:val="auto"/>
          <w:szCs w:val="21"/>
          <w:highlight w:val="none"/>
        </w:rPr>
      </w:pPr>
      <w:r>
        <w:rPr>
          <w:color w:val="auto"/>
          <w:szCs w:val="21"/>
          <w:highlight w:val="none"/>
        </w:rPr>
        <w:t>6）响应文件响应的标的数量及单位与竞争性磋商文件要求实质性不一致的。</w:t>
      </w:r>
    </w:p>
    <w:p w14:paraId="00BE4348">
      <w:pPr>
        <w:spacing w:line="360" w:lineRule="auto"/>
        <w:ind w:firstLine="422" w:firstLineChars="200"/>
        <w:rPr>
          <w:b/>
          <w:bCs/>
          <w:color w:val="auto"/>
          <w:szCs w:val="21"/>
          <w:highlight w:val="none"/>
        </w:rPr>
      </w:pPr>
      <w:r>
        <w:rPr>
          <w:rFonts w:hint="eastAsia"/>
          <w:b/>
          <w:bCs/>
          <w:color w:val="auto"/>
          <w:szCs w:val="21"/>
          <w:highlight w:val="none"/>
        </w:rPr>
        <w:t>7）不响应工程量清单</w:t>
      </w:r>
      <w:r>
        <w:rPr>
          <w:b/>
          <w:bCs/>
          <w:color w:val="auto"/>
          <w:szCs w:val="21"/>
          <w:highlight w:val="none"/>
        </w:rPr>
        <w:t>标“▲”的条款或者标明实质性的要求</w:t>
      </w:r>
      <w:r>
        <w:rPr>
          <w:rFonts w:hint="eastAsia"/>
          <w:b/>
          <w:bCs/>
          <w:color w:val="auto"/>
          <w:szCs w:val="21"/>
          <w:highlight w:val="none"/>
        </w:rPr>
        <w:t>或工程量清单</w:t>
      </w:r>
      <w:r>
        <w:rPr>
          <w:b/>
          <w:bCs/>
          <w:color w:val="auto"/>
          <w:szCs w:val="21"/>
          <w:highlight w:val="none"/>
        </w:rPr>
        <w:t>标“▲”的条款发生负偏离</w:t>
      </w:r>
      <w:r>
        <w:rPr>
          <w:rFonts w:hint="eastAsia"/>
          <w:b/>
          <w:bCs/>
          <w:color w:val="auto"/>
          <w:szCs w:val="21"/>
          <w:highlight w:val="none"/>
        </w:rPr>
        <w:t>。</w:t>
      </w:r>
    </w:p>
    <w:p w14:paraId="4771B9F5">
      <w:pPr>
        <w:spacing w:line="360" w:lineRule="auto"/>
        <w:ind w:firstLine="420" w:firstLineChars="200"/>
        <w:rPr>
          <w:color w:val="auto"/>
          <w:szCs w:val="21"/>
          <w:highlight w:val="none"/>
        </w:rPr>
      </w:pPr>
      <w:r>
        <w:rPr>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7922B67">
      <w:pPr>
        <w:spacing w:line="360" w:lineRule="auto"/>
        <w:ind w:firstLine="420" w:firstLineChars="200"/>
        <w:rPr>
          <w:color w:val="auto"/>
          <w:szCs w:val="21"/>
          <w:highlight w:val="none"/>
        </w:rPr>
      </w:pPr>
      <w:r>
        <w:rPr>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5B47A13">
      <w:pPr>
        <w:spacing w:line="360" w:lineRule="auto"/>
        <w:ind w:firstLine="482" w:firstLineChars="200"/>
        <w:rPr>
          <w:b/>
          <w:bCs/>
          <w:color w:val="auto"/>
          <w:sz w:val="24"/>
          <w:highlight w:val="none"/>
        </w:rPr>
      </w:pPr>
      <w:r>
        <w:rPr>
          <w:b/>
          <w:bCs/>
          <w:color w:val="auto"/>
          <w:sz w:val="24"/>
          <w:highlight w:val="none"/>
        </w:rPr>
        <w:t>4.磋商程序</w:t>
      </w:r>
    </w:p>
    <w:p w14:paraId="1529F5A2">
      <w:pPr>
        <w:spacing w:line="360" w:lineRule="auto"/>
        <w:ind w:firstLine="420" w:firstLineChars="200"/>
        <w:rPr>
          <w:color w:val="auto"/>
          <w:kern w:val="0"/>
          <w:szCs w:val="21"/>
          <w:highlight w:val="none"/>
        </w:rPr>
      </w:pPr>
      <w:r>
        <w:rPr>
          <w:color w:val="auto"/>
          <w:kern w:val="0"/>
          <w:szCs w:val="21"/>
          <w:highlight w:val="none"/>
        </w:rPr>
        <w:t>4.1磋商小组按照“供应商须知前附表”</w:t>
      </w:r>
      <w:r>
        <w:rPr>
          <w:color w:val="auto"/>
          <w:szCs w:val="21"/>
          <w:highlight w:val="none"/>
        </w:rPr>
        <w:t xml:space="preserve"> </w:t>
      </w:r>
      <w:r>
        <w:rPr>
          <w:color w:val="auto"/>
          <w:kern w:val="0"/>
          <w:szCs w:val="21"/>
          <w:highlight w:val="none"/>
        </w:rPr>
        <w:t>确定的</w:t>
      </w:r>
      <w:r>
        <w:rPr>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5339757">
      <w:pPr>
        <w:spacing w:line="360" w:lineRule="auto"/>
        <w:ind w:firstLine="420" w:firstLineChars="200"/>
        <w:rPr>
          <w:color w:val="auto"/>
          <w:szCs w:val="21"/>
          <w:highlight w:val="none"/>
        </w:rPr>
      </w:pPr>
      <w:r>
        <w:rPr>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B92C8E">
      <w:pPr>
        <w:spacing w:line="360" w:lineRule="auto"/>
        <w:ind w:firstLine="420" w:firstLineChars="200"/>
        <w:rPr>
          <w:color w:val="auto"/>
          <w:szCs w:val="21"/>
          <w:highlight w:val="none"/>
        </w:rPr>
      </w:pPr>
      <w:r>
        <w:rPr>
          <w:color w:val="auto"/>
          <w:szCs w:val="21"/>
          <w:highlight w:val="none"/>
        </w:rPr>
        <w:t>4.3对磋商文件作出的实质性变动是磋商文件的有效组成部分，由磋商小组及时以电子澄清函形式同时通知所有参加磋商的供应商。</w:t>
      </w:r>
    </w:p>
    <w:p w14:paraId="123677DB">
      <w:pPr>
        <w:spacing w:line="360" w:lineRule="auto"/>
        <w:ind w:firstLine="420" w:firstLineChars="200"/>
        <w:rPr>
          <w:color w:val="auto"/>
          <w:szCs w:val="21"/>
          <w:highlight w:val="none"/>
        </w:rPr>
      </w:pPr>
      <w:r>
        <w:rPr>
          <w:color w:val="auto"/>
          <w:szCs w:val="21"/>
          <w:highlight w:val="none"/>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6BCE538D">
      <w:pPr>
        <w:spacing w:line="360" w:lineRule="auto"/>
        <w:ind w:firstLine="420" w:firstLineChars="200"/>
        <w:rPr>
          <w:color w:val="auto"/>
          <w:szCs w:val="21"/>
          <w:highlight w:val="none"/>
        </w:rPr>
      </w:pPr>
      <w:r>
        <w:rPr>
          <w:color w:val="auto"/>
          <w:szCs w:val="21"/>
          <w:highlight w:val="none"/>
        </w:rPr>
        <w:t>4.5磋商中，</w:t>
      </w:r>
      <w:r>
        <w:rPr>
          <w:color w:val="auto"/>
          <w:spacing w:val="-6"/>
          <w:szCs w:val="21"/>
          <w:highlight w:val="none"/>
        </w:rPr>
        <w:t>磋商的任何一方不得透露与磋商有关的其他供应商的技术资料、价格和其他信息。</w:t>
      </w:r>
    </w:p>
    <w:p w14:paraId="076DFD00">
      <w:pPr>
        <w:widowControl/>
        <w:tabs>
          <w:tab w:val="left" w:pos="540"/>
        </w:tabs>
        <w:spacing w:line="360" w:lineRule="auto"/>
        <w:ind w:firstLine="420" w:firstLineChars="200"/>
        <w:jc w:val="left"/>
        <w:rPr>
          <w:b/>
          <w:color w:val="auto"/>
          <w:highlight w:val="none"/>
        </w:rPr>
      </w:pPr>
      <w:r>
        <w:rPr>
          <w:color w:val="auto"/>
          <w:szCs w:val="21"/>
          <w:highlight w:val="none"/>
        </w:rPr>
        <w:t>4.6磋商小组应对磋商过程和重要磋商内容进行记录，作为评审报告一部分，磋商小组在记录上签字确认。</w:t>
      </w:r>
      <w:r>
        <w:rPr>
          <w:b/>
          <w:color w:val="auto"/>
          <w:highlight w:val="none"/>
        </w:rPr>
        <w:t>主要内容包括：</w:t>
      </w:r>
    </w:p>
    <w:p w14:paraId="43E79F86">
      <w:pPr>
        <w:pStyle w:val="71"/>
        <w:spacing w:before="0"/>
        <w:ind w:firstLine="396"/>
        <w:rPr>
          <w:color w:val="auto"/>
          <w:spacing w:val="-6"/>
          <w:kern w:val="2"/>
          <w:sz w:val="21"/>
          <w:szCs w:val="21"/>
          <w:highlight w:val="none"/>
        </w:rPr>
      </w:pPr>
      <w:r>
        <w:rPr>
          <w:color w:val="auto"/>
          <w:spacing w:val="-6"/>
          <w:kern w:val="2"/>
          <w:sz w:val="21"/>
          <w:szCs w:val="21"/>
          <w:highlight w:val="none"/>
        </w:rPr>
        <w:t>（1）按照相关规定进行公示的，公示情况说明；</w:t>
      </w:r>
    </w:p>
    <w:p w14:paraId="28D600FC">
      <w:pPr>
        <w:pStyle w:val="71"/>
        <w:spacing w:before="0"/>
        <w:ind w:firstLine="396"/>
        <w:rPr>
          <w:color w:val="auto"/>
          <w:spacing w:val="-6"/>
          <w:kern w:val="2"/>
          <w:sz w:val="21"/>
          <w:szCs w:val="21"/>
          <w:highlight w:val="none"/>
        </w:rPr>
      </w:pPr>
      <w:r>
        <w:rPr>
          <w:color w:val="auto"/>
          <w:spacing w:val="-6"/>
          <w:kern w:val="2"/>
          <w:sz w:val="21"/>
          <w:szCs w:val="21"/>
          <w:highlight w:val="none"/>
        </w:rPr>
        <w:t>（2）磋商日期和地点，磋商人员名单；</w:t>
      </w:r>
    </w:p>
    <w:p w14:paraId="760B8C00">
      <w:pPr>
        <w:pStyle w:val="71"/>
        <w:spacing w:before="0"/>
        <w:ind w:firstLine="396"/>
        <w:rPr>
          <w:color w:val="auto"/>
          <w:spacing w:val="-6"/>
          <w:kern w:val="2"/>
          <w:sz w:val="21"/>
          <w:szCs w:val="21"/>
          <w:highlight w:val="none"/>
        </w:rPr>
      </w:pPr>
      <w:r>
        <w:rPr>
          <w:color w:val="auto"/>
          <w:spacing w:val="-6"/>
          <w:kern w:val="2"/>
          <w:sz w:val="21"/>
          <w:szCs w:val="21"/>
          <w:highlight w:val="none"/>
        </w:rPr>
        <w:t>（3）合同主要条款及价格商定情况。</w:t>
      </w:r>
    </w:p>
    <w:p w14:paraId="00CEFE4E">
      <w:pPr>
        <w:widowControl/>
        <w:tabs>
          <w:tab w:val="left" w:pos="540"/>
        </w:tabs>
        <w:spacing w:line="360" w:lineRule="auto"/>
        <w:ind w:firstLine="420" w:firstLineChars="200"/>
        <w:jc w:val="left"/>
        <w:rPr>
          <w:color w:val="auto"/>
          <w:szCs w:val="21"/>
          <w:highlight w:val="none"/>
        </w:rPr>
      </w:pPr>
      <w:r>
        <w:rPr>
          <w:color w:val="auto"/>
          <w:szCs w:val="21"/>
          <w:highlight w:val="none"/>
        </w:rPr>
        <w:t>4.7磋商过程中重新提交的响应文件，供应商可以在开启前补充、修改。</w:t>
      </w:r>
    </w:p>
    <w:p w14:paraId="0CB2219E">
      <w:pPr>
        <w:tabs>
          <w:tab w:val="left" w:pos="2835"/>
        </w:tabs>
        <w:spacing w:line="360" w:lineRule="auto"/>
        <w:ind w:firstLine="420" w:firstLineChars="200"/>
        <w:rPr>
          <w:color w:val="auto"/>
          <w:szCs w:val="21"/>
          <w:highlight w:val="none"/>
        </w:rPr>
      </w:pPr>
      <w:r>
        <w:rPr>
          <w:color w:val="auto"/>
          <w:szCs w:val="21"/>
          <w:highlight w:val="none"/>
        </w:rPr>
        <w:t>4.8对磋商过程提交的响应文件进行有效性、完整性和响应程度审查，通过审查的合格供应商不足3家的，采购人或者采购代理机构应当重新开展采购活动。</w:t>
      </w:r>
    </w:p>
    <w:p w14:paraId="4CE2B16E">
      <w:pPr>
        <w:spacing w:line="360" w:lineRule="auto"/>
        <w:ind w:firstLine="200"/>
        <w:rPr>
          <w:color w:val="auto"/>
          <w:szCs w:val="21"/>
          <w:highlight w:val="none"/>
        </w:rPr>
      </w:pPr>
      <w:r>
        <w:rPr>
          <w:b/>
          <w:bCs/>
          <w:color w:val="auto"/>
          <w:sz w:val="24"/>
          <w:highlight w:val="none"/>
        </w:rPr>
        <w:t>5. 最后报价</w:t>
      </w:r>
    </w:p>
    <w:p w14:paraId="4BD0C5A3">
      <w:pPr>
        <w:spacing w:line="360" w:lineRule="auto"/>
        <w:ind w:firstLine="420" w:firstLineChars="200"/>
        <w:rPr>
          <w:color w:val="auto"/>
          <w:szCs w:val="21"/>
          <w:highlight w:val="none"/>
        </w:rPr>
      </w:pPr>
      <w:r>
        <w:rPr>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44B5EBD7">
      <w:pPr>
        <w:spacing w:line="360" w:lineRule="auto"/>
        <w:ind w:firstLine="420" w:firstLineChars="200"/>
        <w:rPr>
          <w:color w:val="auto"/>
          <w:szCs w:val="21"/>
          <w:highlight w:val="none"/>
        </w:rPr>
      </w:pPr>
      <w:r>
        <w:rPr>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7661403">
      <w:pPr>
        <w:spacing w:line="360" w:lineRule="auto"/>
        <w:ind w:firstLine="420" w:firstLineChars="200"/>
        <w:rPr>
          <w:color w:val="auto"/>
          <w:szCs w:val="21"/>
          <w:highlight w:val="none"/>
        </w:rPr>
      </w:pPr>
      <w:r>
        <w:rPr>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0D9539B">
      <w:pPr>
        <w:spacing w:line="360" w:lineRule="auto"/>
        <w:ind w:firstLine="420" w:firstLineChars="200"/>
        <w:rPr>
          <w:color w:val="auto"/>
          <w:szCs w:val="21"/>
          <w:highlight w:val="none"/>
        </w:rPr>
      </w:pPr>
      <w:r>
        <w:rPr>
          <w:color w:val="auto"/>
          <w:szCs w:val="21"/>
          <w:highlight w:val="none"/>
        </w:rPr>
        <w:t>5.4已经提交响应文件的供应商，在提交最后报价之前，可以根据磋商情况退出磋商，退出磋商的供应商的响应文件按无效响应处理。</w:t>
      </w:r>
    </w:p>
    <w:p w14:paraId="5D2940C6">
      <w:pPr>
        <w:spacing w:line="360" w:lineRule="auto"/>
        <w:ind w:firstLine="420" w:firstLineChars="200"/>
        <w:rPr>
          <w:color w:val="auto"/>
          <w:szCs w:val="21"/>
          <w:highlight w:val="none"/>
        </w:rPr>
      </w:pPr>
      <w:r>
        <w:rPr>
          <w:color w:val="auto"/>
          <w:szCs w:val="21"/>
          <w:highlight w:val="none"/>
        </w:rPr>
        <w:t>5.5供应商未在规定时间内提交最后报价的，视同退出磋商，其响应文件按无效处理。</w:t>
      </w:r>
    </w:p>
    <w:p w14:paraId="19EDD32A">
      <w:pPr>
        <w:spacing w:line="360" w:lineRule="auto"/>
        <w:ind w:firstLine="420" w:firstLineChars="200"/>
        <w:rPr>
          <w:color w:val="auto"/>
          <w:szCs w:val="21"/>
          <w:highlight w:val="none"/>
        </w:rPr>
      </w:pPr>
      <w:r>
        <w:rPr>
          <w:color w:val="auto"/>
          <w:szCs w:val="21"/>
          <w:highlight w:val="none"/>
        </w:rPr>
        <w:t>5.6磋商小组收齐本项目最后报价后统一开启，磋商小组对最后报价进行有效性、完整性和响应程度的审查。</w:t>
      </w:r>
    </w:p>
    <w:p w14:paraId="272E700C">
      <w:pPr>
        <w:spacing w:line="360" w:lineRule="auto"/>
        <w:ind w:firstLine="420" w:firstLineChars="200"/>
        <w:rPr>
          <w:color w:val="auto"/>
          <w:szCs w:val="21"/>
          <w:highlight w:val="none"/>
        </w:rPr>
      </w:pPr>
      <w:r>
        <w:rPr>
          <w:color w:val="auto"/>
          <w:szCs w:val="21"/>
          <w:highlight w:val="none"/>
        </w:rPr>
        <w:t xml:space="preserve">5.7最终响应文件的报价出现前后不一致的，按照本章第3.4条的规定修正。 </w:t>
      </w:r>
    </w:p>
    <w:p w14:paraId="0B1466F3">
      <w:pPr>
        <w:spacing w:line="360" w:lineRule="auto"/>
        <w:ind w:firstLine="420" w:firstLineChars="200"/>
        <w:rPr>
          <w:color w:val="auto"/>
          <w:szCs w:val="21"/>
          <w:highlight w:val="none"/>
        </w:rPr>
      </w:pPr>
      <w:r>
        <w:rPr>
          <w:color w:val="auto"/>
          <w:szCs w:val="21"/>
          <w:highlight w:val="none"/>
        </w:rPr>
        <w:t>5.8修正后的最后报价出现下列情形的，按无效响应处理：</w:t>
      </w:r>
    </w:p>
    <w:p w14:paraId="09A9CE01">
      <w:pPr>
        <w:spacing w:line="360" w:lineRule="auto"/>
        <w:ind w:firstLine="420" w:firstLineChars="200"/>
        <w:rPr>
          <w:color w:val="auto"/>
          <w:szCs w:val="21"/>
          <w:highlight w:val="none"/>
        </w:rPr>
      </w:pPr>
      <w:r>
        <w:rPr>
          <w:color w:val="auto"/>
          <w:szCs w:val="21"/>
          <w:highlight w:val="none"/>
        </w:rPr>
        <w:t>（1）供应商不确认的（全流程电子化评标采取在线确认）；</w:t>
      </w:r>
    </w:p>
    <w:p w14:paraId="52A22C89">
      <w:pPr>
        <w:spacing w:line="360" w:lineRule="auto"/>
        <w:ind w:firstLine="420" w:firstLineChars="200"/>
        <w:rPr>
          <w:color w:val="auto"/>
          <w:szCs w:val="21"/>
          <w:highlight w:val="none"/>
        </w:rPr>
      </w:pPr>
      <w:r>
        <w:rPr>
          <w:color w:val="auto"/>
          <w:szCs w:val="21"/>
          <w:highlight w:val="none"/>
        </w:rPr>
        <w:t>（2）经供应商确认修正后的响应报价（包含首次报价、最后报价）超过所竞标项目规定的采购预算金额或者最高限价的（如本项目公布了最高限价）；</w:t>
      </w:r>
    </w:p>
    <w:p w14:paraId="07938D02">
      <w:pPr>
        <w:spacing w:line="360" w:lineRule="auto"/>
        <w:ind w:firstLine="420" w:firstLineChars="200"/>
        <w:rPr>
          <w:color w:val="auto"/>
          <w:szCs w:val="21"/>
          <w:highlight w:val="none"/>
        </w:rPr>
      </w:pPr>
      <w:r>
        <w:rPr>
          <w:color w:val="auto"/>
          <w:szCs w:val="21"/>
          <w:highlight w:val="none"/>
        </w:rPr>
        <w:t>（3）经供应商确认修正后的响应报价（包含首次报价、最后报价）超过分项采购预算金额或者最高限价的（如本项目公布了最高限价）。</w:t>
      </w:r>
    </w:p>
    <w:p w14:paraId="5378B2FE">
      <w:pPr>
        <w:spacing w:line="360" w:lineRule="auto"/>
        <w:ind w:firstLine="420" w:firstLineChars="200"/>
        <w:rPr>
          <w:color w:val="auto"/>
          <w:szCs w:val="21"/>
          <w:highlight w:val="none"/>
        </w:rPr>
      </w:pPr>
      <w:r>
        <w:rPr>
          <w:color w:val="auto"/>
          <w:szCs w:val="21"/>
          <w:highlight w:val="none"/>
        </w:rPr>
        <w:t>5.9经供应商确认修正后的最后报价作为评审及签订合同的依据。</w:t>
      </w:r>
    </w:p>
    <w:p w14:paraId="402F8FFB">
      <w:pPr>
        <w:spacing w:line="360" w:lineRule="auto"/>
        <w:ind w:firstLine="420" w:firstLineChars="200"/>
        <w:rPr>
          <w:color w:val="auto"/>
          <w:szCs w:val="21"/>
          <w:highlight w:val="none"/>
        </w:rPr>
      </w:pPr>
      <w:r>
        <w:rPr>
          <w:color w:val="auto"/>
          <w:szCs w:val="21"/>
          <w:highlight w:val="none"/>
        </w:rPr>
        <w:t>5.10供应商出现最后报价按无效响应处理或者响应文件按无效处理时</w:t>
      </w:r>
      <w:r>
        <w:rPr>
          <w:color w:val="auto"/>
          <w:sz w:val="22"/>
          <w:szCs w:val="22"/>
          <w:highlight w:val="none"/>
        </w:rPr>
        <w:t>，磋商小组应当告知有关供应商</w:t>
      </w:r>
      <w:r>
        <w:rPr>
          <w:color w:val="auto"/>
          <w:szCs w:val="21"/>
          <w:highlight w:val="none"/>
        </w:rPr>
        <w:t>。</w:t>
      </w:r>
    </w:p>
    <w:p w14:paraId="78E24C67">
      <w:pPr>
        <w:spacing w:line="360" w:lineRule="auto"/>
        <w:ind w:firstLine="420" w:firstLineChars="200"/>
        <w:rPr>
          <w:color w:val="auto"/>
          <w:szCs w:val="21"/>
          <w:highlight w:val="none"/>
        </w:rPr>
      </w:pPr>
      <w:r>
        <w:rPr>
          <w:color w:val="auto"/>
          <w:szCs w:val="21"/>
          <w:highlight w:val="none"/>
        </w:rPr>
        <w:t>5.11最后报价结束后，磋商小组不得再与供应商进行任何形式的商谈。</w:t>
      </w:r>
    </w:p>
    <w:p w14:paraId="247ECD28">
      <w:pPr>
        <w:pStyle w:val="2"/>
        <w:spacing w:line="360" w:lineRule="auto"/>
        <w:ind w:firstLine="422" w:firstLineChars="200"/>
        <w:rPr>
          <w:color w:val="auto"/>
          <w:highlight w:val="none"/>
        </w:rPr>
      </w:pPr>
      <w:r>
        <w:rPr>
          <w:rFonts w:hint="eastAsia"/>
          <w:b/>
          <w:bCs/>
          <w:color w:val="auto"/>
          <w:sz w:val="21"/>
          <w:szCs w:val="21"/>
          <w:highlight w:val="none"/>
        </w:rPr>
        <w:t>重要提示：最后报价有时间限制，供应商须按竞争性磋商文件“第五章 响应文件格式”内容提前准备最后报价表</w:t>
      </w:r>
      <w:bookmarkStart w:id="125" w:name="OLE_LINK65"/>
      <w:bookmarkStart w:id="126" w:name="OLE_LINK40"/>
      <w:r>
        <w:rPr>
          <w:rFonts w:hint="eastAsia"/>
          <w:b/>
          <w:bCs/>
          <w:color w:val="auto"/>
          <w:sz w:val="21"/>
          <w:szCs w:val="21"/>
          <w:highlight w:val="none"/>
        </w:rPr>
        <w:t>（如最后报价与首次报价不一致的，需提供已标价工程量清单）</w:t>
      </w:r>
      <w:bookmarkEnd w:id="125"/>
      <w:bookmarkEnd w:id="126"/>
      <w:r>
        <w:rPr>
          <w:rFonts w:hint="eastAsia"/>
          <w:b/>
          <w:bCs/>
          <w:color w:val="auto"/>
          <w:sz w:val="21"/>
          <w:szCs w:val="21"/>
          <w:highlight w:val="none"/>
        </w:rPr>
        <w:t>并按时提交最后报价，以免耽误最后报价</w:t>
      </w:r>
      <w:r>
        <w:rPr>
          <w:rFonts w:hint="eastAsia" w:ascii="宋体" w:hAnsi="宋体" w:cs="宋体"/>
          <w:b/>
          <w:bCs/>
          <w:color w:val="auto"/>
          <w:sz w:val="21"/>
          <w:szCs w:val="21"/>
          <w:highlight w:val="none"/>
          <w:lang w:val="zh-CN"/>
        </w:rPr>
        <w:t>。</w:t>
      </w:r>
    </w:p>
    <w:p w14:paraId="165354B0">
      <w:pPr>
        <w:spacing w:line="360" w:lineRule="auto"/>
        <w:ind w:firstLine="200"/>
        <w:rPr>
          <w:rFonts w:eastAsia="黑体"/>
          <w:b/>
          <w:bCs/>
          <w:color w:val="auto"/>
          <w:sz w:val="24"/>
          <w:highlight w:val="none"/>
        </w:rPr>
      </w:pPr>
      <w:r>
        <w:rPr>
          <w:rFonts w:eastAsia="黑体"/>
          <w:b/>
          <w:bCs/>
          <w:color w:val="auto"/>
          <w:sz w:val="24"/>
          <w:highlight w:val="none"/>
        </w:rPr>
        <w:t>6.比较与评价</w:t>
      </w:r>
    </w:p>
    <w:p w14:paraId="44F03116">
      <w:pPr>
        <w:spacing w:line="360" w:lineRule="auto"/>
        <w:ind w:firstLine="420" w:firstLineChars="200"/>
        <w:rPr>
          <w:color w:val="auto"/>
          <w:szCs w:val="21"/>
          <w:highlight w:val="none"/>
        </w:rPr>
      </w:pPr>
      <w:r>
        <w:rPr>
          <w:color w:val="auto"/>
          <w:szCs w:val="21"/>
          <w:highlight w:val="none"/>
        </w:rPr>
        <w:t>6.1评审方法：综合评分法。</w:t>
      </w:r>
    </w:p>
    <w:p w14:paraId="0A508B2D">
      <w:pPr>
        <w:spacing w:line="360" w:lineRule="auto"/>
        <w:ind w:firstLine="420" w:firstLineChars="200"/>
        <w:rPr>
          <w:color w:val="auto"/>
          <w:szCs w:val="21"/>
          <w:highlight w:val="none"/>
        </w:rPr>
      </w:pPr>
      <w:r>
        <w:rPr>
          <w:color w:val="auto"/>
          <w:szCs w:val="21"/>
          <w:highlight w:val="none"/>
        </w:rPr>
        <w:t>6.2经磋商确定最终采购需求和提交最后报价的供应商后，由磋商小组采用综合评分法对提交最后报价的供应商的响应文件和最后报价进行综合评分。</w:t>
      </w:r>
    </w:p>
    <w:p w14:paraId="4AF2DE36">
      <w:pPr>
        <w:spacing w:line="360" w:lineRule="auto"/>
        <w:ind w:firstLine="420" w:firstLineChars="200"/>
        <w:rPr>
          <w:color w:val="auto"/>
          <w:szCs w:val="21"/>
          <w:highlight w:val="none"/>
        </w:rPr>
      </w:pPr>
      <w:r>
        <w:rPr>
          <w:color w:val="auto"/>
          <w:szCs w:val="21"/>
          <w:highlight w:val="none"/>
        </w:rPr>
        <w:t>6.3评审时，磋商小组各成员应当独立对每个有效响应的文件进行评价、打分，然后汇总每个供应商每项评分因素的得分。</w:t>
      </w:r>
    </w:p>
    <w:p w14:paraId="4D01810F">
      <w:pPr>
        <w:pStyle w:val="14"/>
        <w:spacing w:line="360" w:lineRule="auto"/>
        <w:ind w:firstLine="420" w:firstLineChars="200"/>
        <w:rPr>
          <w:color w:val="auto"/>
          <w:highlight w:val="none"/>
        </w:rPr>
      </w:pPr>
      <w:r>
        <w:rPr>
          <w:color w:val="auto"/>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2A758F7">
      <w:pPr>
        <w:spacing w:line="360" w:lineRule="auto"/>
        <w:ind w:firstLine="420" w:firstLineChars="200"/>
        <w:rPr>
          <w:color w:val="auto"/>
          <w:szCs w:val="21"/>
          <w:highlight w:val="none"/>
        </w:rPr>
      </w:pPr>
      <w:r>
        <w:rPr>
          <w:color w:val="auto"/>
          <w:szCs w:val="21"/>
          <w:highlight w:val="none"/>
        </w:rPr>
        <w:t>（2）磋商小组按照磋商文件中规定的评审标准计算各供应商的报价得分。项目评审过程中，不得去掉最后报价中的最高报价和最低报价。</w:t>
      </w:r>
    </w:p>
    <w:p w14:paraId="7DBF8057">
      <w:pPr>
        <w:spacing w:line="360" w:lineRule="auto"/>
        <w:ind w:firstLine="420" w:firstLineChars="200"/>
        <w:rPr>
          <w:color w:val="auto"/>
          <w:highlight w:val="none"/>
        </w:rPr>
      </w:pPr>
      <w:r>
        <w:rPr>
          <w:color w:val="auto"/>
          <w:szCs w:val="21"/>
          <w:highlight w:val="none"/>
        </w:rPr>
        <w:t>（3）各供应商的得分为磋商小组所有成员的有效评分的算术平均数。</w:t>
      </w:r>
    </w:p>
    <w:p w14:paraId="73294CAB">
      <w:pPr>
        <w:spacing w:line="360" w:lineRule="auto"/>
        <w:ind w:firstLine="420" w:firstLineChars="200"/>
        <w:rPr>
          <w:color w:val="auto"/>
          <w:szCs w:val="21"/>
          <w:highlight w:val="none"/>
        </w:rPr>
      </w:pPr>
      <w:r>
        <w:rPr>
          <w:color w:val="auto"/>
          <w:szCs w:val="21"/>
          <w:highlight w:val="none"/>
        </w:rPr>
        <w:t>6.4评审</w:t>
      </w:r>
      <w:r>
        <w:rPr>
          <w:color w:val="auto"/>
          <w:highlight w:val="none"/>
        </w:rPr>
        <w:t>报价</w:t>
      </w:r>
      <w:r>
        <w:rPr>
          <w:color w:val="auto"/>
          <w:szCs w:val="21"/>
          <w:highlight w:val="none"/>
        </w:rPr>
        <w:t>为供应商的最后报价进行政策性扣除后的价格，评审</w:t>
      </w:r>
      <w:r>
        <w:rPr>
          <w:color w:val="auto"/>
          <w:highlight w:val="none"/>
        </w:rPr>
        <w:t>报价</w:t>
      </w:r>
      <w:r>
        <w:rPr>
          <w:color w:val="auto"/>
          <w:szCs w:val="21"/>
          <w:highlight w:val="none"/>
        </w:rPr>
        <w:t>只是作为评审时使用。最终成交供应商的成交金额等于最后报价（如有修正，以确认修正后的最后报价为准）。</w:t>
      </w:r>
    </w:p>
    <w:p w14:paraId="3545BA9D">
      <w:pPr>
        <w:spacing w:line="360" w:lineRule="auto"/>
        <w:ind w:firstLine="420" w:firstLineChars="200"/>
        <w:rPr>
          <w:color w:val="auto"/>
          <w:kern w:val="0"/>
          <w:szCs w:val="21"/>
          <w:highlight w:val="none"/>
        </w:rPr>
      </w:pPr>
      <w:r>
        <w:rPr>
          <w:color w:val="auto"/>
          <w:szCs w:val="21"/>
          <w:highlight w:val="none"/>
        </w:rPr>
        <w:t>6.5由磋商小组根据综合评分情况，按照评审得分由高到低顺序推荐3名以上成交候选供应商，并编写评</w:t>
      </w:r>
      <w:r>
        <w:rPr>
          <w:color w:val="auto"/>
          <w:kern w:val="0"/>
          <w:szCs w:val="21"/>
          <w:highlight w:val="none"/>
        </w:rPr>
        <w:t>审报告。符合本章第5.3条情形的，可以推荐2家成交候选供应商。评审得分相同的，</w:t>
      </w:r>
      <w:r>
        <w:rPr>
          <w:bCs/>
          <w:color w:val="auto"/>
          <w:szCs w:val="21"/>
          <w:highlight w:val="none"/>
        </w:rPr>
        <w:t>按照最后报价（不计算价格折扣）由低到高的顺序推荐。评审得分且最后报价（不计算价格折扣）相同的，按照技术指标优劣顺序推荐</w:t>
      </w:r>
      <w:r>
        <w:rPr>
          <w:rFonts w:hint="eastAsia"/>
          <w:color w:val="auto"/>
          <w:kern w:val="0"/>
          <w:szCs w:val="21"/>
          <w:highlight w:val="none"/>
        </w:rPr>
        <w:t>(按技术分得分由高到低排序，技术分得分相同的按照商务分得分由高到低排序)。评审得分、最后报价(不计算价格折扣)、技术分得分、商务分得分均相同的，由磋商小组随机抽取推荐。</w:t>
      </w:r>
    </w:p>
    <w:p w14:paraId="120ADF01">
      <w:pPr>
        <w:spacing w:line="360" w:lineRule="auto"/>
        <w:ind w:firstLine="420" w:firstLineChars="200"/>
        <w:rPr>
          <w:rFonts w:eastAsia="黑体"/>
          <w:b/>
          <w:bCs/>
          <w:color w:val="auto"/>
          <w:sz w:val="24"/>
          <w:highlight w:val="none"/>
        </w:rPr>
      </w:pPr>
      <w:r>
        <w:rPr>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CA0C4C6">
      <w:pPr>
        <w:spacing w:line="360" w:lineRule="auto"/>
        <w:ind w:firstLine="200"/>
        <w:rPr>
          <w:rFonts w:eastAsia="黑体"/>
          <w:b/>
          <w:bCs/>
          <w:color w:val="auto"/>
          <w:sz w:val="24"/>
          <w:highlight w:val="none"/>
        </w:rPr>
      </w:pPr>
      <w:r>
        <w:rPr>
          <w:rFonts w:eastAsia="黑体"/>
          <w:b/>
          <w:bCs/>
          <w:color w:val="auto"/>
          <w:sz w:val="24"/>
          <w:highlight w:val="none"/>
        </w:rPr>
        <w:t>7.评审标准</w:t>
      </w:r>
    </w:p>
    <w:p w14:paraId="53A36632">
      <w:pPr>
        <w:spacing w:line="360" w:lineRule="auto"/>
        <w:ind w:firstLine="420" w:firstLineChars="200"/>
        <w:rPr>
          <w:bCs/>
          <w:color w:val="auto"/>
          <w:szCs w:val="21"/>
          <w:highlight w:val="none"/>
        </w:rPr>
      </w:pPr>
      <w:r>
        <w:rPr>
          <w:bCs/>
          <w:color w:val="auto"/>
          <w:highlight w:val="none"/>
        </w:rPr>
        <w:t>7.</w:t>
      </w:r>
      <w:r>
        <w:rPr>
          <w:bCs/>
          <w:color w:val="auto"/>
          <w:szCs w:val="21"/>
          <w:highlight w:val="none"/>
        </w:rPr>
        <w:t>1评审依据：磋商小组将以响应文件为评审依据，对供应商的报价、技术、商务等方面内容按百分制打分</w:t>
      </w:r>
      <w:r>
        <w:rPr>
          <w:rFonts w:hint="eastAsia"/>
          <w:bCs/>
          <w:color w:val="auto"/>
          <w:szCs w:val="21"/>
          <w:highlight w:val="none"/>
        </w:rPr>
        <w:t>，供应商总得分=报价分+技术分+商务分</w:t>
      </w:r>
      <w:r>
        <w:rPr>
          <w:bCs/>
          <w:color w:val="auto"/>
          <w:szCs w:val="21"/>
          <w:highlight w:val="none"/>
        </w:rPr>
        <w:t>。（计分方法按四舍五入取至百分位）</w:t>
      </w:r>
    </w:p>
    <w:p w14:paraId="6D6055E3">
      <w:pPr>
        <w:spacing w:line="360" w:lineRule="auto"/>
        <w:ind w:firstLine="420" w:firstLineChars="200"/>
        <w:rPr>
          <w:bCs/>
          <w:color w:val="auto"/>
          <w:szCs w:val="21"/>
          <w:highlight w:val="none"/>
        </w:rPr>
      </w:pPr>
      <w:r>
        <w:rPr>
          <w:rFonts w:hint="eastAsia"/>
          <w:bCs/>
          <w:color w:val="auto"/>
          <w:szCs w:val="21"/>
          <w:highlight w:val="none"/>
        </w:rPr>
        <w:br w:type="page"/>
      </w:r>
    </w:p>
    <w:tbl>
      <w:tblPr>
        <w:tblStyle w:val="28"/>
        <w:tblW w:w="9599"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108"/>
        <w:gridCol w:w="7038"/>
        <w:gridCol w:w="794"/>
      </w:tblGrid>
      <w:tr w14:paraId="49B6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6D321B5">
            <w:pPr>
              <w:spacing w:line="360" w:lineRule="auto"/>
              <w:jc w:val="center"/>
              <w:rPr>
                <w:bCs/>
                <w:color w:val="auto"/>
                <w:szCs w:val="21"/>
                <w:highlight w:val="none"/>
              </w:rPr>
            </w:pPr>
            <w:r>
              <w:rPr>
                <w:rFonts w:hint="eastAsia"/>
                <w:bCs/>
                <w:color w:val="auto"/>
                <w:szCs w:val="21"/>
                <w:highlight w:val="none"/>
              </w:rPr>
              <w:t>序号</w:t>
            </w:r>
          </w:p>
        </w:tc>
        <w:tc>
          <w:tcPr>
            <w:tcW w:w="1108" w:type="dxa"/>
            <w:vAlign w:val="center"/>
          </w:tcPr>
          <w:p w14:paraId="5872C68A">
            <w:pPr>
              <w:spacing w:line="360" w:lineRule="auto"/>
              <w:jc w:val="center"/>
              <w:rPr>
                <w:bCs/>
                <w:color w:val="auto"/>
                <w:szCs w:val="21"/>
                <w:highlight w:val="none"/>
              </w:rPr>
            </w:pPr>
            <w:r>
              <w:rPr>
                <w:rFonts w:hint="eastAsia"/>
                <w:bCs/>
                <w:color w:val="auto"/>
                <w:szCs w:val="21"/>
                <w:highlight w:val="none"/>
              </w:rPr>
              <w:t>评分类型</w:t>
            </w:r>
          </w:p>
        </w:tc>
        <w:tc>
          <w:tcPr>
            <w:tcW w:w="7038" w:type="dxa"/>
            <w:vAlign w:val="center"/>
          </w:tcPr>
          <w:p w14:paraId="714C33E5">
            <w:pPr>
              <w:spacing w:line="360" w:lineRule="auto"/>
              <w:jc w:val="center"/>
              <w:rPr>
                <w:bCs/>
                <w:color w:val="auto"/>
                <w:szCs w:val="21"/>
                <w:highlight w:val="none"/>
              </w:rPr>
            </w:pPr>
            <w:r>
              <w:rPr>
                <w:rFonts w:hint="eastAsia"/>
                <w:bCs/>
                <w:color w:val="auto"/>
                <w:szCs w:val="21"/>
                <w:highlight w:val="none"/>
              </w:rPr>
              <w:t>评分标准</w:t>
            </w:r>
          </w:p>
        </w:tc>
        <w:tc>
          <w:tcPr>
            <w:tcW w:w="794" w:type="dxa"/>
            <w:vAlign w:val="center"/>
          </w:tcPr>
          <w:p w14:paraId="7C58ACEE">
            <w:pPr>
              <w:spacing w:line="360" w:lineRule="auto"/>
              <w:jc w:val="center"/>
              <w:rPr>
                <w:bCs/>
                <w:color w:val="auto"/>
                <w:szCs w:val="21"/>
                <w:highlight w:val="none"/>
              </w:rPr>
            </w:pPr>
            <w:r>
              <w:rPr>
                <w:rFonts w:hint="eastAsia"/>
                <w:bCs/>
                <w:color w:val="auto"/>
                <w:szCs w:val="21"/>
                <w:highlight w:val="none"/>
              </w:rPr>
              <w:t>分值</w:t>
            </w:r>
          </w:p>
        </w:tc>
      </w:tr>
      <w:tr w14:paraId="3921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E6307CC">
            <w:pPr>
              <w:spacing w:line="360" w:lineRule="auto"/>
              <w:jc w:val="center"/>
              <w:rPr>
                <w:b/>
                <w:color w:val="auto"/>
                <w:szCs w:val="21"/>
                <w:highlight w:val="none"/>
              </w:rPr>
            </w:pPr>
            <w:r>
              <w:rPr>
                <w:b/>
                <w:color w:val="auto"/>
                <w:szCs w:val="21"/>
                <w:highlight w:val="none"/>
              </w:rPr>
              <w:t>一</w:t>
            </w:r>
          </w:p>
        </w:tc>
        <w:tc>
          <w:tcPr>
            <w:tcW w:w="8146" w:type="dxa"/>
            <w:gridSpan w:val="2"/>
            <w:vAlign w:val="center"/>
          </w:tcPr>
          <w:p w14:paraId="4630F9B2">
            <w:pPr>
              <w:spacing w:line="360" w:lineRule="auto"/>
              <w:jc w:val="left"/>
              <w:rPr>
                <w:b/>
                <w:color w:val="auto"/>
                <w:szCs w:val="21"/>
                <w:highlight w:val="none"/>
              </w:rPr>
            </w:pPr>
            <w:bookmarkStart w:id="127" w:name="OLE_LINK11"/>
            <w:r>
              <w:rPr>
                <w:rFonts w:hint="eastAsia"/>
                <w:b/>
                <w:color w:val="auto"/>
                <w:szCs w:val="21"/>
                <w:highlight w:val="none"/>
              </w:rPr>
              <w:t>报价</w:t>
            </w:r>
            <w:r>
              <w:rPr>
                <w:b/>
                <w:color w:val="auto"/>
                <w:szCs w:val="21"/>
                <w:highlight w:val="none"/>
              </w:rPr>
              <w:t>分</w:t>
            </w:r>
            <w:bookmarkEnd w:id="127"/>
          </w:p>
        </w:tc>
        <w:tc>
          <w:tcPr>
            <w:tcW w:w="794" w:type="dxa"/>
            <w:vAlign w:val="center"/>
          </w:tcPr>
          <w:p w14:paraId="5E343B86">
            <w:pPr>
              <w:spacing w:line="360" w:lineRule="auto"/>
              <w:jc w:val="center"/>
              <w:rPr>
                <w:b/>
                <w:color w:val="auto"/>
                <w:szCs w:val="21"/>
                <w:highlight w:val="none"/>
              </w:rPr>
            </w:pPr>
            <w:r>
              <w:rPr>
                <w:rFonts w:hint="eastAsia"/>
                <w:b/>
                <w:color w:val="auto"/>
                <w:szCs w:val="21"/>
                <w:highlight w:val="none"/>
              </w:rPr>
              <w:t>30</w:t>
            </w:r>
            <w:r>
              <w:rPr>
                <w:b/>
                <w:color w:val="auto"/>
                <w:szCs w:val="21"/>
                <w:highlight w:val="none"/>
              </w:rPr>
              <w:t>分</w:t>
            </w:r>
          </w:p>
        </w:tc>
      </w:tr>
      <w:tr w14:paraId="7804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9" w:type="dxa"/>
            <w:vAlign w:val="center"/>
          </w:tcPr>
          <w:p w14:paraId="0BAC1AC7">
            <w:pPr>
              <w:spacing w:line="360" w:lineRule="auto"/>
              <w:jc w:val="center"/>
              <w:rPr>
                <w:bCs/>
                <w:color w:val="auto"/>
                <w:szCs w:val="21"/>
                <w:highlight w:val="none"/>
              </w:rPr>
            </w:pPr>
            <w:r>
              <w:rPr>
                <w:rFonts w:hint="eastAsia" w:ascii="宋体" w:hAnsi="宋体" w:cs="宋体"/>
                <w:bCs/>
                <w:color w:val="auto"/>
                <w:szCs w:val="21"/>
                <w:highlight w:val="none"/>
              </w:rPr>
              <w:t>1</w:t>
            </w:r>
          </w:p>
        </w:tc>
        <w:tc>
          <w:tcPr>
            <w:tcW w:w="1108" w:type="dxa"/>
            <w:vAlign w:val="center"/>
          </w:tcPr>
          <w:p w14:paraId="0F66F5A0">
            <w:pPr>
              <w:spacing w:line="360" w:lineRule="auto"/>
              <w:jc w:val="center"/>
              <w:rPr>
                <w:bCs/>
                <w:color w:val="auto"/>
                <w:szCs w:val="21"/>
                <w:highlight w:val="none"/>
              </w:rPr>
            </w:pPr>
            <w:r>
              <w:rPr>
                <w:rFonts w:hint="eastAsia"/>
                <w:bCs/>
                <w:color w:val="auto"/>
                <w:szCs w:val="21"/>
                <w:highlight w:val="none"/>
              </w:rPr>
              <w:t>报</w:t>
            </w:r>
            <w:r>
              <w:rPr>
                <w:bCs/>
                <w:color w:val="auto"/>
                <w:szCs w:val="21"/>
                <w:highlight w:val="none"/>
              </w:rPr>
              <w:t>价</w:t>
            </w:r>
            <w:r>
              <w:rPr>
                <w:bCs/>
                <w:color w:val="auto"/>
                <w:kern w:val="0"/>
                <w:szCs w:val="21"/>
                <w:highlight w:val="none"/>
              </w:rPr>
              <w:t>分</w:t>
            </w:r>
          </w:p>
        </w:tc>
        <w:tc>
          <w:tcPr>
            <w:tcW w:w="7038" w:type="dxa"/>
            <w:vAlign w:val="center"/>
          </w:tcPr>
          <w:p w14:paraId="5AB9256F">
            <w:pPr>
              <w:autoSpaceDE w:val="0"/>
              <w:autoSpaceDN w:val="0"/>
              <w:adjustRightInd w:val="0"/>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highlight w:val="none"/>
              </w:rPr>
              <w:t>评审报价为供应商的最后报价进行政策性扣除后的价格，评审报价只是作为评审时使用。最终成交供应商的成交金额等于最后报价（如有修正，以确认修正后的最后报价为准）</w:t>
            </w:r>
            <w:r>
              <w:rPr>
                <w:rFonts w:hint="eastAsia" w:ascii="宋体" w:hAnsi="宋体" w:cs="宋体"/>
                <w:bCs/>
                <w:color w:val="auto"/>
                <w:szCs w:val="21"/>
                <w:highlight w:val="none"/>
              </w:rPr>
              <w:t>。</w:t>
            </w:r>
          </w:p>
          <w:p w14:paraId="1AB197C8">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（2）按照《政府采购促进中小企业发展管理办法》（财库〔2020〕46号）的规定，</w:t>
            </w:r>
            <w:r>
              <w:rPr>
                <w:rFonts w:hint="eastAsia" w:ascii="宋体" w:hAnsi="宋体" w:cs="宋体"/>
                <w:color w:val="auto"/>
                <w:highlight w:val="none"/>
              </w:rPr>
              <w:t>供应商在其响应文件中提供《中小企业声明函》</w:t>
            </w:r>
            <w:r>
              <w:rPr>
                <w:rFonts w:hint="eastAsia" w:ascii="宋体" w:hAnsi="宋体" w:cs="宋体"/>
                <w:bCs/>
                <w:color w:val="auto"/>
                <w:szCs w:val="21"/>
                <w:highlight w:val="none"/>
              </w:rPr>
              <w:t>，</w:t>
            </w:r>
            <w:r>
              <w:rPr>
                <w:rFonts w:hint="eastAsia" w:ascii="宋体" w:hAnsi="宋体" w:cs="宋体"/>
                <w:color w:val="auto"/>
                <w:highlight w:val="none"/>
              </w:rPr>
              <w:t>且工程全部由符合政策要求的小型、微型企业承接的</w:t>
            </w:r>
            <w:r>
              <w:rPr>
                <w:rFonts w:hint="eastAsia" w:ascii="宋体" w:hAnsi="宋体" w:cs="宋体"/>
                <w:bCs/>
                <w:color w:val="auto"/>
                <w:szCs w:val="21"/>
                <w:highlight w:val="none"/>
              </w:rPr>
              <w:t>，对其最后报价给予5%的扣除。</w:t>
            </w:r>
          </w:p>
          <w:p w14:paraId="41887556">
            <w:pPr>
              <w:autoSpaceDE w:val="0"/>
              <w:autoSpaceDN w:val="0"/>
              <w:adjustRightInd w:val="0"/>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r>
              <w:rPr>
                <w:rFonts w:hint="eastAsia" w:ascii="宋体" w:hAnsi="宋体" w:cs="宋体"/>
                <w:bCs/>
                <w:color w:val="auto"/>
                <w:szCs w:val="21"/>
                <w:highlight w:val="none"/>
              </w:rPr>
              <w:t>。</w:t>
            </w:r>
          </w:p>
          <w:p w14:paraId="4611AE31">
            <w:pPr>
              <w:autoSpaceDE w:val="0"/>
              <w:autoSpaceDN w:val="0"/>
              <w:adjustRightInd w:val="0"/>
              <w:snapToGrid w:val="0"/>
              <w:spacing w:line="360" w:lineRule="auto"/>
              <w:ind w:firstLine="233" w:firstLineChars="111"/>
              <w:rPr>
                <w:rFonts w:ascii="宋体" w:hAnsi="宋体" w:cs="宋体"/>
                <w:bCs/>
                <w:color w:val="auto"/>
                <w:szCs w:val="21"/>
                <w:highlight w:val="none"/>
              </w:rPr>
            </w:pPr>
            <w:r>
              <w:rPr>
                <w:rFonts w:hint="eastAsia" w:ascii="宋体" w:hAnsi="宋体" w:cs="宋体"/>
                <w:color w:val="auto"/>
                <w:szCs w:val="21"/>
                <w:highlight w:val="none"/>
              </w:rPr>
              <w:t>（4）按照</w:t>
            </w:r>
            <w:r>
              <w:rPr>
                <w:rFonts w:hint="eastAsia" w:ascii="宋体"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cs="宋体"/>
                <w:bCs/>
                <w:color w:val="auto"/>
                <w:szCs w:val="21"/>
                <w:highlight w:val="none"/>
              </w:rPr>
              <w:t>残疾人福利性单位属于小型、微型企业的，不重复享受政策。</w:t>
            </w:r>
          </w:p>
          <w:p w14:paraId="2F2718CC">
            <w:pPr>
              <w:autoSpaceDE w:val="0"/>
              <w:autoSpaceDN w:val="0"/>
              <w:adjustRightInd w:val="0"/>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（5）政策性扣除计算方法。</w:t>
            </w:r>
          </w:p>
          <w:p w14:paraId="15FCC7FA">
            <w:pPr>
              <w:autoSpaceDE w:val="0"/>
              <w:autoSpaceDN w:val="0"/>
              <w:adjustRightInd w:val="0"/>
              <w:snapToGrid w:val="0"/>
              <w:spacing w:line="360" w:lineRule="auto"/>
              <w:ind w:firstLine="443" w:firstLineChars="211"/>
              <w:rPr>
                <w:rFonts w:ascii="宋体" w:hAnsi="宋体" w:cs="宋体"/>
                <w:color w:val="auto"/>
                <w:szCs w:val="21"/>
                <w:highlight w:val="none"/>
              </w:rPr>
            </w:pPr>
            <w:r>
              <w:rPr>
                <w:rFonts w:hint="eastAsia" w:ascii="宋体" w:hAnsi="宋体" w:cs="宋体"/>
                <w:color w:val="auto"/>
                <w:highlight w:val="none"/>
              </w:rPr>
              <w:t>供应商被评定为监狱企业或者残疾人福利性单位或者其工程全部由符合政策要求的小型、微型企业承接的</w:t>
            </w:r>
            <w:r>
              <w:rPr>
                <w:rFonts w:hint="eastAsia" w:ascii="宋体" w:hAnsi="宋体" w:cs="宋体"/>
                <w:bCs/>
                <w:color w:val="auto"/>
                <w:szCs w:val="21"/>
                <w:highlight w:val="none"/>
              </w:rPr>
              <w:t>，扣除后的价格为评审报价，</w:t>
            </w:r>
            <w:r>
              <w:rPr>
                <w:rFonts w:hint="eastAsia" w:ascii="宋体" w:hAnsi="宋体" w:cs="宋体"/>
                <w:color w:val="auto"/>
                <w:highlight w:val="none"/>
              </w:rPr>
              <w:t>即评审报价=最后报价×（1-5%）</w:t>
            </w:r>
            <w:r>
              <w:rPr>
                <w:rFonts w:hint="eastAsia" w:ascii="宋体" w:hAnsi="宋体" w:cs="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的扣除，用扣除后的价格参加评审，扣除后的价格为评审报价，即</w:t>
            </w:r>
            <w:r>
              <w:rPr>
                <w:rFonts w:hint="eastAsia" w:ascii="宋体" w:hAnsi="宋体" w:cs="宋体"/>
                <w:color w:val="auto"/>
                <w:highlight w:val="none"/>
              </w:rPr>
              <w:t>评审报价=最后报价×</w:t>
            </w:r>
            <w:r>
              <w:rPr>
                <w:rFonts w:hint="eastAsia" w:ascii="宋体" w:hAnsi="宋体" w:cs="宋体"/>
                <w:bCs/>
                <w:color w:val="auto"/>
                <w:szCs w:val="21"/>
                <w:highlight w:val="none"/>
              </w:rPr>
              <w:t>（1-2%）。除上述情况外，评审报价=</w:t>
            </w:r>
            <w:r>
              <w:rPr>
                <w:rFonts w:hint="eastAsia" w:ascii="宋体" w:hAnsi="宋体" w:cs="宋体"/>
                <w:color w:val="auto"/>
                <w:highlight w:val="none"/>
              </w:rPr>
              <w:t>最后报价</w:t>
            </w:r>
            <w:r>
              <w:rPr>
                <w:rFonts w:hint="eastAsia" w:ascii="宋体" w:hAnsi="宋体" w:cs="宋体"/>
                <w:bCs/>
                <w:color w:val="auto"/>
                <w:szCs w:val="21"/>
                <w:highlight w:val="none"/>
              </w:rPr>
              <w:t>。</w:t>
            </w:r>
          </w:p>
          <w:p w14:paraId="6EB6E294">
            <w:pPr>
              <w:autoSpaceDE w:val="0"/>
              <w:autoSpaceDN w:val="0"/>
              <w:adjustRightInd w:val="0"/>
              <w:snapToGri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highlight w:val="none"/>
              </w:rPr>
              <w:t>以进入比较与评价环节的最低的评审报价为基准价，基准价得分</w:t>
            </w:r>
            <w:r>
              <w:rPr>
                <w:rFonts w:hint="eastAsia" w:ascii="宋体" w:hAnsi="宋体" w:cs="宋体"/>
                <w:bCs/>
                <w:color w:val="auto"/>
                <w:szCs w:val="21"/>
                <w:highlight w:val="none"/>
              </w:rPr>
              <w:t>为满分30分。</w:t>
            </w:r>
          </w:p>
          <w:p w14:paraId="61606029">
            <w:pPr>
              <w:autoSpaceDE w:val="0"/>
              <w:autoSpaceDN w:val="0"/>
              <w:adjustRightInd w:val="0"/>
              <w:spacing w:line="360" w:lineRule="auto"/>
              <w:ind w:firstLine="233" w:firstLineChars="111"/>
              <w:rPr>
                <w:rFonts w:ascii="宋体" w:hAnsi="宋体" w:cs="宋体"/>
                <w:bCs/>
                <w:color w:val="auto"/>
                <w:szCs w:val="21"/>
                <w:highlight w:val="none"/>
              </w:rPr>
            </w:pPr>
            <w:r>
              <w:rPr>
                <w:rFonts w:hint="eastAsia" w:ascii="宋体" w:hAnsi="宋体" w:cs="宋体"/>
                <w:bCs/>
                <w:color w:val="auto"/>
                <w:szCs w:val="21"/>
                <w:highlight w:val="none"/>
              </w:rPr>
              <w:t xml:space="preserve">（7）价格分计算公式：        </w:t>
            </w:r>
          </w:p>
          <w:p w14:paraId="6A181552">
            <w:pPr>
              <w:autoSpaceDE w:val="0"/>
              <w:autoSpaceDN w:val="0"/>
              <w:adjustRightInd w:val="0"/>
              <w:spacing w:line="360" w:lineRule="auto"/>
              <w:rPr>
                <w:color w:val="auto"/>
                <w:highlight w:val="none"/>
              </w:rPr>
            </w:pPr>
            <w:r>
              <w:rPr>
                <w:rFonts w:hint="eastAsia" w:ascii="宋体" w:hAnsi="宋体" w:cs="宋体"/>
                <w:bCs/>
                <w:color w:val="auto"/>
                <w:szCs w:val="21"/>
                <w:highlight w:val="none"/>
              </w:rPr>
              <w:t>价格分=(</w:t>
            </w:r>
            <w:r>
              <w:rPr>
                <w:rFonts w:hint="eastAsia" w:ascii="宋体" w:hAnsi="宋体" w:cs="宋体"/>
                <w:color w:val="auto"/>
                <w:highlight w:val="none"/>
              </w:rPr>
              <w:t>（基准价/评审报价）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30</w:t>
            </w:r>
            <w:r>
              <w:rPr>
                <w:rFonts w:hint="eastAsia" w:ascii="宋体" w:hAnsi="宋体" w:cs="宋体"/>
                <w:bCs/>
                <w:color w:val="auto"/>
                <w:szCs w:val="21"/>
                <w:highlight w:val="none"/>
              </w:rPr>
              <w:t>分</w:t>
            </w:r>
          </w:p>
        </w:tc>
        <w:tc>
          <w:tcPr>
            <w:tcW w:w="794" w:type="dxa"/>
            <w:vAlign w:val="center"/>
          </w:tcPr>
          <w:p w14:paraId="2A5D51DF">
            <w:pPr>
              <w:spacing w:line="360" w:lineRule="auto"/>
              <w:jc w:val="center"/>
              <w:rPr>
                <w:bCs/>
                <w:color w:val="auto"/>
                <w:szCs w:val="21"/>
                <w:highlight w:val="none"/>
              </w:rPr>
            </w:pPr>
            <w:r>
              <w:rPr>
                <w:rFonts w:hint="eastAsia"/>
                <w:color w:val="auto"/>
                <w:kern w:val="0"/>
                <w:szCs w:val="21"/>
                <w:highlight w:val="none"/>
              </w:rPr>
              <w:t>30</w:t>
            </w:r>
            <w:r>
              <w:rPr>
                <w:color w:val="auto"/>
                <w:kern w:val="0"/>
                <w:szCs w:val="21"/>
                <w:highlight w:val="none"/>
              </w:rPr>
              <w:t>分</w:t>
            </w:r>
          </w:p>
        </w:tc>
      </w:tr>
      <w:tr w14:paraId="1262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9" w:type="dxa"/>
            <w:vAlign w:val="center"/>
          </w:tcPr>
          <w:p w14:paraId="3F62B2B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二</w:t>
            </w:r>
          </w:p>
        </w:tc>
        <w:tc>
          <w:tcPr>
            <w:tcW w:w="8146" w:type="dxa"/>
            <w:gridSpan w:val="2"/>
            <w:vAlign w:val="center"/>
          </w:tcPr>
          <w:p w14:paraId="0B5C1154">
            <w:pPr>
              <w:autoSpaceDE w:val="0"/>
              <w:autoSpaceDN w:val="0"/>
              <w:adjustRightInd w:val="0"/>
              <w:spacing w:line="360" w:lineRule="auto"/>
              <w:rPr>
                <w:rFonts w:ascii="宋体" w:hAnsi="宋体" w:cs="宋体"/>
                <w:b/>
                <w:color w:val="auto"/>
                <w:szCs w:val="21"/>
                <w:highlight w:val="none"/>
              </w:rPr>
            </w:pPr>
            <w:r>
              <w:rPr>
                <w:rFonts w:hint="eastAsia" w:ascii="宋体" w:hAnsi="宋体" w:cs="宋体"/>
                <w:b/>
                <w:color w:val="auto"/>
                <w:szCs w:val="21"/>
                <w:highlight w:val="none"/>
              </w:rPr>
              <w:t>技术分</w:t>
            </w:r>
          </w:p>
        </w:tc>
        <w:tc>
          <w:tcPr>
            <w:tcW w:w="794" w:type="dxa"/>
            <w:vAlign w:val="center"/>
          </w:tcPr>
          <w:p w14:paraId="2A49DF82">
            <w:pPr>
              <w:spacing w:line="360" w:lineRule="auto"/>
              <w:jc w:val="center"/>
              <w:rPr>
                <w:b/>
                <w:color w:val="auto"/>
                <w:kern w:val="0"/>
                <w:szCs w:val="21"/>
                <w:highlight w:val="none"/>
              </w:rPr>
            </w:pPr>
            <w:r>
              <w:rPr>
                <w:rFonts w:hint="eastAsia"/>
                <w:b/>
                <w:color w:val="auto"/>
                <w:kern w:val="0"/>
                <w:szCs w:val="21"/>
                <w:highlight w:val="none"/>
              </w:rPr>
              <w:t>62分</w:t>
            </w:r>
          </w:p>
        </w:tc>
      </w:tr>
      <w:tr w14:paraId="272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5BA7993">
            <w:pPr>
              <w:spacing w:line="360" w:lineRule="auto"/>
              <w:jc w:val="center"/>
              <w:rPr>
                <w:bCs/>
                <w:color w:val="auto"/>
                <w:szCs w:val="21"/>
                <w:highlight w:val="none"/>
              </w:rPr>
            </w:pPr>
            <w:r>
              <w:rPr>
                <w:bCs/>
                <w:color w:val="auto"/>
                <w:szCs w:val="21"/>
                <w:highlight w:val="none"/>
              </w:rPr>
              <w:t>2</w:t>
            </w:r>
          </w:p>
        </w:tc>
        <w:tc>
          <w:tcPr>
            <w:tcW w:w="1108" w:type="dxa"/>
            <w:vAlign w:val="center"/>
          </w:tcPr>
          <w:p w14:paraId="3470DC43">
            <w:pPr>
              <w:spacing w:line="360" w:lineRule="auto"/>
              <w:jc w:val="center"/>
              <w:rPr>
                <w:bCs/>
                <w:color w:val="auto"/>
                <w:szCs w:val="21"/>
                <w:highlight w:val="none"/>
              </w:rPr>
            </w:pPr>
            <w:r>
              <w:rPr>
                <w:bCs/>
                <w:color w:val="auto"/>
                <w:szCs w:val="21"/>
                <w:highlight w:val="none"/>
              </w:rPr>
              <w:t>技术分</w:t>
            </w:r>
          </w:p>
        </w:tc>
        <w:tc>
          <w:tcPr>
            <w:tcW w:w="7038" w:type="dxa"/>
          </w:tcPr>
          <w:p w14:paraId="11BC6E0D">
            <w:pPr>
              <w:spacing w:line="360" w:lineRule="auto"/>
              <w:rPr>
                <w:b/>
                <w:bCs/>
                <w:color w:val="auto"/>
                <w:highlight w:val="none"/>
              </w:rPr>
            </w:pPr>
            <w:r>
              <w:rPr>
                <w:rFonts w:hint="eastAsia"/>
                <w:b/>
                <w:bCs/>
                <w:color w:val="auto"/>
                <w:highlight w:val="none"/>
              </w:rPr>
              <w:t>主要施工方法方案分（满分7分）：</w:t>
            </w:r>
          </w:p>
          <w:p w14:paraId="15D54EC1">
            <w:pPr>
              <w:spacing w:line="360" w:lineRule="auto"/>
              <w:ind w:firstLine="420" w:firstLineChars="200"/>
              <w:rPr>
                <w:color w:val="auto"/>
                <w:highlight w:val="none"/>
              </w:rPr>
            </w:pPr>
            <w:r>
              <w:rPr>
                <w:rFonts w:hint="eastAsia"/>
                <w:color w:val="auto"/>
                <w:highlight w:val="none"/>
              </w:rPr>
              <w:t>一档（2分）：各主要分部施工方法符合项目需求，有施工技术方案。</w:t>
            </w:r>
            <w:r>
              <w:rPr>
                <w:rFonts w:hint="eastAsia" w:ascii="宋体" w:hAnsi="宋体" w:cs="宋体"/>
                <w:color w:val="auto"/>
                <w:szCs w:val="21"/>
                <w:highlight w:val="none"/>
              </w:rPr>
              <w:t>技术方案对项目的理解程度基本符合建设单位要求，基本了解建设目标和建设内容，</w:t>
            </w:r>
            <w:r>
              <w:rPr>
                <w:rFonts w:hint="eastAsia" w:hAnsi="宋体" w:cs="宋体"/>
                <w:color w:val="auto"/>
                <w:highlight w:val="none"/>
              </w:rPr>
              <w:t>编制依据规范、有方案内容。</w:t>
            </w:r>
            <w:r>
              <w:rPr>
                <w:rFonts w:hint="eastAsia"/>
                <w:color w:val="auto"/>
                <w:highlight w:val="none"/>
              </w:rPr>
              <w:t xml:space="preserve"> </w:t>
            </w:r>
          </w:p>
          <w:p w14:paraId="3C6CF820">
            <w:pPr>
              <w:spacing w:line="360" w:lineRule="auto"/>
              <w:ind w:firstLine="420" w:firstLineChars="200"/>
              <w:rPr>
                <w:color w:val="auto"/>
                <w:highlight w:val="none"/>
              </w:rPr>
            </w:pPr>
            <w:r>
              <w:rPr>
                <w:rFonts w:hint="eastAsia"/>
                <w:color w:val="auto"/>
                <w:highlight w:val="none"/>
              </w:rPr>
              <w:t>二档（4分）：</w:t>
            </w:r>
            <w:bookmarkStart w:id="128" w:name="OLE_LINK14"/>
            <w:bookmarkStart w:id="129" w:name="OLE_LINK13"/>
            <w:r>
              <w:rPr>
                <w:rFonts w:hint="eastAsia"/>
                <w:color w:val="auto"/>
                <w:highlight w:val="none"/>
              </w:rPr>
              <w:t>在一档的基础上</w:t>
            </w:r>
            <w:bookmarkEnd w:id="128"/>
            <w:r>
              <w:rPr>
                <w:rFonts w:hint="eastAsia"/>
                <w:color w:val="auto"/>
                <w:highlight w:val="none"/>
              </w:rPr>
              <w:t>，</w:t>
            </w:r>
            <w:bookmarkEnd w:id="129"/>
            <w:r>
              <w:rPr>
                <w:rFonts w:hint="eastAsia"/>
                <w:color w:val="auto"/>
                <w:highlight w:val="none"/>
              </w:rPr>
              <w:t>方案内容有主要分部工程施工步骤、施工要点，能指导具体施工并确保安全。</w:t>
            </w:r>
            <w:r>
              <w:rPr>
                <w:rFonts w:hint="eastAsia" w:hAnsi="宋体" w:cs="宋体"/>
                <w:color w:val="auto"/>
                <w:highlight w:val="none"/>
              </w:rPr>
              <w:t>技术方案对项目的理解程度具体到位，所提出的技术方案详细，条理清楚。</w:t>
            </w:r>
            <w:r>
              <w:rPr>
                <w:rFonts w:hint="eastAsia"/>
                <w:color w:val="auto"/>
                <w:highlight w:val="none"/>
              </w:rPr>
              <w:t xml:space="preserve"> </w:t>
            </w:r>
          </w:p>
          <w:p w14:paraId="58AD0AAF">
            <w:pPr>
              <w:spacing w:line="360" w:lineRule="auto"/>
              <w:ind w:firstLine="420" w:firstLineChars="200"/>
              <w:rPr>
                <w:color w:val="auto"/>
                <w:highlight w:val="none"/>
              </w:rPr>
            </w:pPr>
            <w:r>
              <w:rPr>
                <w:rFonts w:hint="eastAsia"/>
                <w:color w:val="auto"/>
                <w:highlight w:val="none"/>
              </w:rPr>
              <w:t>三档（7分）：在二档的基础上，主要分部工程施工工序、施工步骤、施工要点、施工工艺方案具有针对性，施工准备、技术准备或交底、各工种施工配合方案具有针对性。技术方案对项目的理解准确深入，符合项目需求，所提出的技术方案有针对性，思路清晰，充分了解建设目标和建设内容。</w:t>
            </w:r>
          </w:p>
        </w:tc>
        <w:tc>
          <w:tcPr>
            <w:tcW w:w="794" w:type="dxa"/>
            <w:vAlign w:val="center"/>
          </w:tcPr>
          <w:p w14:paraId="4643ECBD">
            <w:pPr>
              <w:spacing w:line="360" w:lineRule="auto"/>
              <w:jc w:val="center"/>
              <w:rPr>
                <w:bCs/>
                <w:color w:val="auto"/>
                <w:szCs w:val="21"/>
                <w:highlight w:val="none"/>
              </w:rPr>
            </w:pPr>
            <w:r>
              <w:rPr>
                <w:rFonts w:hint="eastAsia"/>
                <w:bCs/>
                <w:color w:val="auto"/>
                <w:szCs w:val="21"/>
                <w:highlight w:val="none"/>
              </w:rPr>
              <w:t>7</w:t>
            </w:r>
            <w:r>
              <w:rPr>
                <w:bCs/>
                <w:color w:val="auto"/>
                <w:szCs w:val="21"/>
                <w:highlight w:val="none"/>
              </w:rPr>
              <w:t>分</w:t>
            </w:r>
          </w:p>
        </w:tc>
      </w:tr>
      <w:tr w14:paraId="5ABD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E67336E">
            <w:pPr>
              <w:spacing w:line="360" w:lineRule="auto"/>
              <w:jc w:val="center"/>
              <w:rPr>
                <w:bCs/>
                <w:color w:val="auto"/>
                <w:szCs w:val="21"/>
                <w:highlight w:val="none"/>
              </w:rPr>
            </w:pPr>
            <w:r>
              <w:rPr>
                <w:rFonts w:hint="eastAsia"/>
                <w:bCs/>
                <w:color w:val="auto"/>
                <w:szCs w:val="21"/>
                <w:highlight w:val="none"/>
              </w:rPr>
              <w:t>3</w:t>
            </w:r>
          </w:p>
        </w:tc>
        <w:tc>
          <w:tcPr>
            <w:tcW w:w="1108" w:type="dxa"/>
            <w:vAlign w:val="center"/>
          </w:tcPr>
          <w:p w14:paraId="7E8A5477">
            <w:pPr>
              <w:spacing w:line="360" w:lineRule="auto"/>
              <w:jc w:val="center"/>
              <w:rPr>
                <w:bCs/>
                <w:color w:val="auto"/>
                <w:szCs w:val="21"/>
                <w:highlight w:val="none"/>
              </w:rPr>
            </w:pPr>
            <w:r>
              <w:rPr>
                <w:bCs/>
                <w:color w:val="auto"/>
                <w:szCs w:val="21"/>
                <w:highlight w:val="none"/>
              </w:rPr>
              <w:t>技术分</w:t>
            </w:r>
          </w:p>
        </w:tc>
        <w:tc>
          <w:tcPr>
            <w:tcW w:w="7038" w:type="dxa"/>
          </w:tcPr>
          <w:p w14:paraId="39C507BE">
            <w:pPr>
              <w:spacing w:line="360" w:lineRule="auto"/>
              <w:rPr>
                <w:b/>
                <w:bCs/>
                <w:color w:val="auto"/>
                <w:highlight w:val="none"/>
              </w:rPr>
            </w:pPr>
            <w:r>
              <w:rPr>
                <w:rFonts w:hint="eastAsia"/>
                <w:b/>
                <w:bCs/>
                <w:color w:val="auto"/>
                <w:highlight w:val="none"/>
              </w:rPr>
              <w:t>拟投入的主要物资计划、劳动力安排计划方案分（满分7分）：</w:t>
            </w:r>
          </w:p>
          <w:p w14:paraId="56AC092E">
            <w:pPr>
              <w:spacing w:line="360" w:lineRule="auto"/>
              <w:ind w:firstLine="420" w:firstLineChars="200"/>
              <w:rPr>
                <w:color w:val="auto"/>
                <w:highlight w:val="none"/>
              </w:rPr>
            </w:pPr>
            <w:r>
              <w:rPr>
                <w:rFonts w:hint="eastAsia"/>
                <w:color w:val="auto"/>
                <w:highlight w:val="none"/>
              </w:rPr>
              <w:t>一档（2分）：</w:t>
            </w:r>
            <w:r>
              <w:rPr>
                <w:color w:val="auto"/>
                <w:highlight w:val="none"/>
              </w:rPr>
              <w:t>投入的施工材料有组织计划</w:t>
            </w:r>
            <w:r>
              <w:rPr>
                <w:rFonts w:hint="eastAsia"/>
                <w:color w:val="auto"/>
                <w:highlight w:val="none"/>
              </w:rPr>
              <w:t>，满足施工需要。各主要施工工序有</w:t>
            </w:r>
            <w:bookmarkStart w:id="130" w:name="OLE_LINK15"/>
            <w:r>
              <w:rPr>
                <w:rFonts w:hint="eastAsia"/>
                <w:color w:val="auto"/>
                <w:highlight w:val="none"/>
              </w:rPr>
              <w:t>劳动力安排计划</w:t>
            </w:r>
            <w:bookmarkEnd w:id="130"/>
            <w:r>
              <w:rPr>
                <w:rFonts w:hint="eastAsia"/>
                <w:color w:val="auto"/>
                <w:highlight w:val="none"/>
              </w:rPr>
              <w:t>，有各工种劳动力安排计划，部分满足施工需要。</w:t>
            </w:r>
          </w:p>
          <w:p w14:paraId="20CC6EB7">
            <w:pPr>
              <w:spacing w:line="360" w:lineRule="auto"/>
              <w:ind w:firstLine="420" w:firstLineChars="200"/>
              <w:rPr>
                <w:color w:val="auto"/>
                <w:highlight w:val="none"/>
              </w:rPr>
            </w:pPr>
            <w:r>
              <w:rPr>
                <w:rFonts w:hint="eastAsia"/>
                <w:color w:val="auto"/>
                <w:highlight w:val="none"/>
              </w:rPr>
              <w:t>二档（4分）：</w:t>
            </w:r>
            <w:bookmarkStart w:id="131" w:name="OLE_LINK17"/>
            <w:r>
              <w:rPr>
                <w:rFonts w:hint="eastAsia"/>
                <w:color w:val="auto"/>
                <w:highlight w:val="none"/>
              </w:rPr>
              <w:t>在一档的基础上，</w:t>
            </w:r>
            <w:bookmarkEnd w:id="131"/>
            <w:r>
              <w:rPr>
                <w:rFonts w:hint="eastAsia"/>
                <w:color w:val="auto"/>
                <w:highlight w:val="none"/>
              </w:rPr>
              <w:t>投入的主要物资计划与施工进度计划相呼应，定量定点堆放物资，不窝工。</w:t>
            </w:r>
            <w:bookmarkStart w:id="132" w:name="OLE_LINK19"/>
            <w:r>
              <w:rPr>
                <w:rFonts w:hint="eastAsia"/>
                <w:color w:val="auto"/>
                <w:highlight w:val="none"/>
              </w:rPr>
              <w:t>计划内容</w:t>
            </w:r>
            <w:bookmarkEnd w:id="132"/>
            <w:r>
              <w:rPr>
                <w:rFonts w:hint="eastAsia"/>
                <w:color w:val="auto"/>
                <w:highlight w:val="none"/>
              </w:rPr>
              <w:t>具体、可行，能满足施工需要。</w:t>
            </w:r>
          </w:p>
          <w:p w14:paraId="08B0BDF1">
            <w:pPr>
              <w:spacing w:line="360" w:lineRule="auto"/>
              <w:ind w:firstLine="420" w:firstLineChars="200"/>
              <w:rPr>
                <w:color w:val="auto"/>
                <w:highlight w:val="none"/>
              </w:rPr>
            </w:pPr>
            <w:r>
              <w:rPr>
                <w:rFonts w:hint="eastAsia"/>
                <w:color w:val="auto"/>
                <w:highlight w:val="none"/>
              </w:rPr>
              <w:t>三档（7分）：</w:t>
            </w:r>
            <w:bookmarkStart w:id="133" w:name="OLE_LINK21"/>
            <w:r>
              <w:rPr>
                <w:rFonts w:hint="eastAsia"/>
                <w:color w:val="auto"/>
                <w:highlight w:val="none"/>
              </w:rPr>
              <w:t>在二档的基础上，</w:t>
            </w:r>
            <w:bookmarkEnd w:id="133"/>
            <w:r>
              <w:rPr>
                <w:rFonts w:hint="eastAsia"/>
                <w:color w:val="auto"/>
                <w:highlight w:val="none"/>
              </w:rPr>
              <w:t>材料物资采购及供应有效保证工程质量和工期，堆放物资符合施工规范。计划内容有针对性，切合实际，有切实有效的劳动力保障措施。</w:t>
            </w:r>
          </w:p>
        </w:tc>
        <w:tc>
          <w:tcPr>
            <w:tcW w:w="794" w:type="dxa"/>
            <w:vAlign w:val="center"/>
          </w:tcPr>
          <w:p w14:paraId="36D9ABB6">
            <w:pPr>
              <w:spacing w:line="360" w:lineRule="auto"/>
              <w:jc w:val="center"/>
              <w:rPr>
                <w:bCs/>
                <w:color w:val="auto"/>
                <w:szCs w:val="21"/>
                <w:highlight w:val="none"/>
              </w:rPr>
            </w:pPr>
            <w:r>
              <w:rPr>
                <w:rFonts w:hint="eastAsia"/>
                <w:bCs/>
                <w:color w:val="auto"/>
                <w:szCs w:val="21"/>
                <w:highlight w:val="none"/>
              </w:rPr>
              <w:t>7</w:t>
            </w:r>
            <w:r>
              <w:rPr>
                <w:bCs/>
                <w:color w:val="auto"/>
                <w:szCs w:val="21"/>
                <w:highlight w:val="none"/>
              </w:rPr>
              <w:t>分</w:t>
            </w:r>
          </w:p>
        </w:tc>
      </w:tr>
      <w:tr w14:paraId="3AFC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866F51D">
            <w:pPr>
              <w:spacing w:line="360" w:lineRule="auto"/>
              <w:jc w:val="center"/>
              <w:rPr>
                <w:bCs/>
                <w:color w:val="auto"/>
                <w:szCs w:val="21"/>
                <w:highlight w:val="none"/>
              </w:rPr>
            </w:pPr>
            <w:r>
              <w:rPr>
                <w:rFonts w:hint="eastAsia"/>
                <w:bCs/>
                <w:color w:val="auto"/>
                <w:szCs w:val="21"/>
                <w:highlight w:val="none"/>
              </w:rPr>
              <w:t>4</w:t>
            </w:r>
          </w:p>
        </w:tc>
        <w:tc>
          <w:tcPr>
            <w:tcW w:w="1108" w:type="dxa"/>
            <w:vAlign w:val="center"/>
          </w:tcPr>
          <w:p w14:paraId="6135B7BD">
            <w:pPr>
              <w:spacing w:line="360" w:lineRule="auto"/>
              <w:jc w:val="center"/>
              <w:rPr>
                <w:bCs/>
                <w:color w:val="auto"/>
                <w:szCs w:val="21"/>
                <w:highlight w:val="none"/>
              </w:rPr>
            </w:pPr>
            <w:r>
              <w:rPr>
                <w:bCs/>
                <w:color w:val="auto"/>
                <w:szCs w:val="21"/>
                <w:highlight w:val="none"/>
              </w:rPr>
              <w:t>技术分</w:t>
            </w:r>
          </w:p>
        </w:tc>
        <w:tc>
          <w:tcPr>
            <w:tcW w:w="7038" w:type="dxa"/>
          </w:tcPr>
          <w:p w14:paraId="4A5AA2A6">
            <w:pPr>
              <w:spacing w:line="360" w:lineRule="auto"/>
              <w:rPr>
                <w:b/>
                <w:bCs/>
                <w:color w:val="auto"/>
                <w:highlight w:val="none"/>
              </w:rPr>
            </w:pPr>
            <w:r>
              <w:rPr>
                <w:rFonts w:hint="eastAsia"/>
                <w:b/>
                <w:bCs/>
                <w:color w:val="auto"/>
                <w:highlight w:val="none"/>
              </w:rPr>
              <w:t>确保工程质量的技术组织</w:t>
            </w:r>
            <w:bookmarkStart w:id="134" w:name="OLE_LINK20"/>
            <w:r>
              <w:rPr>
                <w:rFonts w:hint="eastAsia"/>
                <w:b/>
                <w:bCs/>
                <w:color w:val="auto"/>
                <w:highlight w:val="none"/>
              </w:rPr>
              <w:t>措施方案</w:t>
            </w:r>
            <w:bookmarkEnd w:id="134"/>
            <w:r>
              <w:rPr>
                <w:rFonts w:hint="eastAsia"/>
                <w:b/>
                <w:bCs/>
                <w:color w:val="auto"/>
                <w:highlight w:val="none"/>
              </w:rPr>
              <w:t>分（满分7分）：</w:t>
            </w:r>
          </w:p>
          <w:p w14:paraId="5DE43421">
            <w:pPr>
              <w:spacing w:line="360" w:lineRule="auto"/>
              <w:ind w:firstLine="420" w:firstLineChars="200"/>
              <w:rPr>
                <w:color w:val="auto"/>
                <w:highlight w:val="none"/>
              </w:rPr>
            </w:pPr>
            <w:r>
              <w:rPr>
                <w:rFonts w:hint="eastAsia"/>
                <w:color w:val="auto"/>
                <w:highlight w:val="none"/>
              </w:rPr>
              <w:t>一档（2分）：有质量技术管理班子和制度，主要工序有质量技术保证措施和手段。</w:t>
            </w:r>
          </w:p>
          <w:p w14:paraId="6EC44A61">
            <w:pPr>
              <w:spacing w:line="360" w:lineRule="auto"/>
              <w:ind w:firstLine="420" w:firstLineChars="200"/>
              <w:rPr>
                <w:color w:val="auto"/>
                <w:highlight w:val="none"/>
              </w:rPr>
            </w:pPr>
            <w:r>
              <w:rPr>
                <w:rFonts w:hint="eastAsia"/>
                <w:color w:val="auto"/>
                <w:highlight w:val="none"/>
              </w:rPr>
              <w:t>二档（4分）：</w:t>
            </w:r>
            <w:bookmarkStart w:id="135" w:name="OLE_LINK22"/>
            <w:r>
              <w:rPr>
                <w:rFonts w:hint="eastAsia"/>
                <w:color w:val="auto"/>
                <w:highlight w:val="none"/>
              </w:rPr>
              <w:t>在一档的基础上，</w:t>
            </w:r>
            <w:bookmarkEnd w:id="135"/>
            <w:bookmarkStart w:id="136" w:name="OLE_LINK23"/>
            <w:r>
              <w:rPr>
                <w:rFonts w:hint="eastAsia"/>
                <w:color w:val="auto"/>
                <w:highlight w:val="none"/>
              </w:rPr>
              <w:t>措施方案的</w:t>
            </w:r>
            <w:bookmarkEnd w:id="136"/>
            <w:r>
              <w:rPr>
                <w:rFonts w:hint="eastAsia"/>
                <w:color w:val="auto"/>
                <w:highlight w:val="none"/>
              </w:rPr>
              <w:t>自控体系达到国家要求，有施工准备阶段和施工过程质量控制措施，能保证本项目的质量要求及验收规范要求。</w:t>
            </w:r>
          </w:p>
          <w:p w14:paraId="1A3D9C2D">
            <w:pPr>
              <w:spacing w:line="360" w:lineRule="auto"/>
              <w:ind w:firstLine="420" w:firstLineChars="200"/>
              <w:rPr>
                <w:color w:val="auto"/>
                <w:highlight w:val="none"/>
              </w:rPr>
            </w:pPr>
            <w:r>
              <w:rPr>
                <w:rFonts w:hint="eastAsia"/>
                <w:color w:val="auto"/>
                <w:highlight w:val="none"/>
              </w:rPr>
              <w:t>三档（7分）：</w:t>
            </w:r>
            <w:bookmarkStart w:id="137" w:name="OLE_LINK25"/>
            <w:r>
              <w:rPr>
                <w:rFonts w:hint="eastAsia"/>
                <w:color w:val="auto"/>
                <w:highlight w:val="none"/>
              </w:rPr>
              <w:t>在二档的基础上，</w:t>
            </w:r>
            <w:bookmarkEnd w:id="137"/>
            <w:r>
              <w:rPr>
                <w:rFonts w:hint="eastAsia"/>
                <w:color w:val="auto"/>
                <w:highlight w:val="none"/>
              </w:rPr>
              <w:t>措施方案明确管理班子质量责任，主要工序有质量技术保证措施和手段，有施工准备阶段、施工过程、竣工验收及交工阶段质量控制措施，隐蔽工程检查制度，有施工质量验收制度，工程质量保修方案，能有效保证工程质量。</w:t>
            </w:r>
          </w:p>
        </w:tc>
        <w:tc>
          <w:tcPr>
            <w:tcW w:w="794" w:type="dxa"/>
            <w:vAlign w:val="center"/>
          </w:tcPr>
          <w:p w14:paraId="494CBCC5">
            <w:pPr>
              <w:spacing w:line="360" w:lineRule="auto"/>
              <w:jc w:val="center"/>
              <w:rPr>
                <w:bCs/>
                <w:color w:val="auto"/>
                <w:szCs w:val="21"/>
                <w:highlight w:val="none"/>
              </w:rPr>
            </w:pPr>
            <w:r>
              <w:rPr>
                <w:rFonts w:hint="eastAsia"/>
                <w:bCs/>
                <w:color w:val="auto"/>
                <w:szCs w:val="21"/>
                <w:highlight w:val="none"/>
              </w:rPr>
              <w:t>7</w:t>
            </w:r>
            <w:r>
              <w:rPr>
                <w:bCs/>
                <w:color w:val="auto"/>
                <w:szCs w:val="21"/>
                <w:highlight w:val="none"/>
              </w:rPr>
              <w:t>分</w:t>
            </w:r>
          </w:p>
        </w:tc>
      </w:tr>
      <w:tr w14:paraId="1932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55FA924">
            <w:pPr>
              <w:spacing w:line="360" w:lineRule="auto"/>
              <w:jc w:val="center"/>
              <w:rPr>
                <w:bCs/>
                <w:color w:val="auto"/>
                <w:szCs w:val="21"/>
                <w:highlight w:val="none"/>
              </w:rPr>
            </w:pPr>
            <w:r>
              <w:rPr>
                <w:rFonts w:hint="eastAsia"/>
                <w:bCs/>
                <w:color w:val="auto"/>
                <w:szCs w:val="21"/>
                <w:highlight w:val="none"/>
              </w:rPr>
              <w:t>5</w:t>
            </w:r>
          </w:p>
        </w:tc>
        <w:tc>
          <w:tcPr>
            <w:tcW w:w="1108" w:type="dxa"/>
            <w:vAlign w:val="center"/>
          </w:tcPr>
          <w:p w14:paraId="37C6EC5F">
            <w:pPr>
              <w:spacing w:line="360" w:lineRule="auto"/>
              <w:jc w:val="center"/>
              <w:rPr>
                <w:bCs/>
                <w:color w:val="auto"/>
                <w:szCs w:val="21"/>
                <w:highlight w:val="none"/>
              </w:rPr>
            </w:pPr>
            <w:r>
              <w:rPr>
                <w:bCs/>
                <w:color w:val="auto"/>
                <w:szCs w:val="21"/>
                <w:highlight w:val="none"/>
              </w:rPr>
              <w:t>技术分</w:t>
            </w:r>
          </w:p>
        </w:tc>
        <w:tc>
          <w:tcPr>
            <w:tcW w:w="7038" w:type="dxa"/>
          </w:tcPr>
          <w:p w14:paraId="3886B926">
            <w:pPr>
              <w:spacing w:line="360" w:lineRule="auto"/>
              <w:rPr>
                <w:b/>
                <w:bCs/>
                <w:color w:val="auto"/>
                <w:highlight w:val="none"/>
              </w:rPr>
            </w:pPr>
            <w:bookmarkStart w:id="138" w:name="OLE_LINK24"/>
            <w:r>
              <w:rPr>
                <w:rFonts w:hint="eastAsia"/>
                <w:b/>
                <w:bCs/>
                <w:color w:val="auto"/>
                <w:highlight w:val="none"/>
              </w:rPr>
              <w:t>确保安全生产的技术组织措施</w:t>
            </w:r>
            <w:bookmarkEnd w:id="138"/>
            <w:r>
              <w:rPr>
                <w:rFonts w:hint="eastAsia"/>
                <w:b/>
                <w:bCs/>
                <w:color w:val="auto"/>
                <w:highlight w:val="none"/>
              </w:rPr>
              <w:t>方案分（满分7分）：</w:t>
            </w:r>
          </w:p>
          <w:p w14:paraId="27FC27CB">
            <w:pPr>
              <w:spacing w:line="360" w:lineRule="auto"/>
              <w:ind w:firstLine="420" w:firstLineChars="200"/>
              <w:rPr>
                <w:color w:val="auto"/>
                <w:highlight w:val="none"/>
              </w:rPr>
            </w:pPr>
            <w:r>
              <w:rPr>
                <w:rFonts w:hint="eastAsia"/>
                <w:color w:val="auto"/>
                <w:highlight w:val="none"/>
              </w:rPr>
              <w:t>一档（2分）：</w:t>
            </w:r>
            <w:r>
              <w:rPr>
                <w:rFonts w:hint="eastAsia" w:ascii="宋体" w:hAnsi="宋体"/>
                <w:color w:val="auto"/>
                <w:szCs w:val="21"/>
                <w:highlight w:val="none"/>
              </w:rPr>
              <w:t>根据建设单位人员结构、管理模式等特点，制定有安全管理方案，</w:t>
            </w:r>
            <w:r>
              <w:rPr>
                <w:rFonts w:hint="eastAsia" w:ascii="宋体" w:hAnsi="宋体" w:cs="宋体"/>
                <w:color w:val="auto"/>
                <w:szCs w:val="21"/>
                <w:highlight w:val="none"/>
              </w:rPr>
              <w:t>有专门的安全管理人员和制度，有各道工序安全技术措施。</w:t>
            </w:r>
          </w:p>
          <w:p w14:paraId="3339433B">
            <w:pPr>
              <w:spacing w:line="360" w:lineRule="auto"/>
              <w:ind w:firstLine="420" w:firstLineChars="200"/>
              <w:rPr>
                <w:rFonts w:hAnsi="宋体"/>
                <w:bCs/>
                <w:color w:val="auto"/>
                <w:highlight w:val="none"/>
              </w:rPr>
            </w:pPr>
            <w:r>
              <w:rPr>
                <w:rFonts w:hint="eastAsia"/>
                <w:color w:val="auto"/>
                <w:highlight w:val="none"/>
              </w:rPr>
              <w:t>二档（4分）：</w:t>
            </w:r>
            <w:bookmarkStart w:id="139" w:name="OLE_LINK28"/>
            <w:r>
              <w:rPr>
                <w:rFonts w:hint="eastAsia"/>
                <w:color w:val="auto"/>
                <w:highlight w:val="none"/>
              </w:rPr>
              <w:t>在一档的基础上，</w:t>
            </w:r>
            <w:bookmarkEnd w:id="139"/>
            <w:r>
              <w:rPr>
                <w:rFonts w:hint="eastAsia" w:ascii="宋体" w:hAnsi="宋体"/>
                <w:color w:val="auto"/>
                <w:szCs w:val="21"/>
                <w:highlight w:val="none"/>
              </w:rPr>
              <w:t>制定符合学校管理方式的安全管理方案，</w:t>
            </w:r>
            <w:bookmarkStart w:id="140" w:name="OLE_LINK27"/>
            <w:bookmarkStart w:id="141" w:name="OLE_LINK26"/>
            <w:r>
              <w:rPr>
                <w:rFonts w:hint="eastAsia" w:ascii="宋体" w:hAnsi="宋体" w:cs="宋体"/>
                <w:color w:val="auto"/>
                <w:szCs w:val="21"/>
                <w:highlight w:val="none"/>
              </w:rPr>
              <w:t>确保安全生产的技术组织措</w:t>
            </w:r>
            <w:bookmarkEnd w:id="140"/>
            <w:r>
              <w:rPr>
                <w:rFonts w:hint="eastAsia" w:ascii="宋体" w:hAnsi="宋体" w:cs="宋体"/>
                <w:color w:val="auto"/>
                <w:szCs w:val="21"/>
                <w:highlight w:val="none"/>
              </w:rPr>
              <w:t>具</w:t>
            </w:r>
            <w:bookmarkEnd w:id="141"/>
            <w:r>
              <w:rPr>
                <w:rFonts w:hint="eastAsia" w:ascii="宋体" w:hAnsi="宋体" w:cs="宋体"/>
                <w:color w:val="auto"/>
                <w:szCs w:val="21"/>
                <w:highlight w:val="none"/>
              </w:rPr>
              <w:t>体可行，</w:t>
            </w:r>
            <w:r>
              <w:rPr>
                <w:rFonts w:hint="eastAsia" w:hAnsi="宋体"/>
                <w:bCs/>
                <w:color w:val="auto"/>
                <w:highlight w:val="none"/>
              </w:rPr>
              <w:t>措施符合实际且满足有关安全技术标准要求。有现场防火、应急救援、社会治安安全措施。</w:t>
            </w:r>
          </w:p>
          <w:p w14:paraId="759256B7">
            <w:pPr>
              <w:spacing w:line="360" w:lineRule="auto"/>
              <w:ind w:firstLine="420" w:firstLineChars="200"/>
              <w:rPr>
                <w:color w:val="auto"/>
                <w:highlight w:val="none"/>
              </w:rPr>
            </w:pPr>
            <w:r>
              <w:rPr>
                <w:rFonts w:hint="eastAsia" w:hAnsi="宋体"/>
                <w:bCs/>
                <w:color w:val="auto"/>
                <w:highlight w:val="none"/>
              </w:rPr>
              <w:t>三档（7分）：</w:t>
            </w:r>
            <w:bookmarkStart w:id="142" w:name="OLE_LINK29"/>
            <w:r>
              <w:rPr>
                <w:rFonts w:hint="eastAsia"/>
                <w:color w:val="auto"/>
                <w:highlight w:val="none"/>
              </w:rPr>
              <w:t>在二档的基础上，</w:t>
            </w:r>
            <w:bookmarkEnd w:id="142"/>
            <w:r>
              <w:rPr>
                <w:rFonts w:hint="eastAsia" w:ascii="宋体" w:hAnsi="宋体"/>
                <w:color w:val="auto"/>
                <w:szCs w:val="21"/>
                <w:highlight w:val="none"/>
              </w:rPr>
              <w:t>有针对性的制定符合学校管理方式的安全管理方案，</w:t>
            </w:r>
            <w:r>
              <w:rPr>
                <w:rFonts w:hint="eastAsia" w:ascii="宋体" w:hAnsi="宋体" w:cs="宋体"/>
                <w:color w:val="auto"/>
                <w:szCs w:val="21"/>
                <w:highlight w:val="none"/>
              </w:rPr>
              <w:t>确保安全生产的技术组织措</w:t>
            </w:r>
            <w:r>
              <w:rPr>
                <w:rFonts w:hint="eastAsia" w:hAnsi="宋体"/>
                <w:bCs/>
                <w:color w:val="auto"/>
                <w:highlight w:val="none"/>
              </w:rPr>
              <w:t>具有针对性，现场防火、应急救援、社会治安安全措施得力。有安全生产责任、安全生产教育培训制度、施工现场临时用电方案及安全用电措施、安全管理目标。</w:t>
            </w:r>
          </w:p>
        </w:tc>
        <w:tc>
          <w:tcPr>
            <w:tcW w:w="794" w:type="dxa"/>
            <w:vAlign w:val="center"/>
          </w:tcPr>
          <w:p w14:paraId="313CFCA9">
            <w:pPr>
              <w:spacing w:line="360" w:lineRule="auto"/>
              <w:jc w:val="center"/>
              <w:rPr>
                <w:bCs/>
                <w:color w:val="auto"/>
                <w:szCs w:val="21"/>
                <w:highlight w:val="none"/>
              </w:rPr>
            </w:pPr>
            <w:r>
              <w:rPr>
                <w:rFonts w:hint="eastAsia"/>
                <w:bCs/>
                <w:color w:val="auto"/>
                <w:szCs w:val="21"/>
                <w:highlight w:val="none"/>
              </w:rPr>
              <w:t>7</w:t>
            </w:r>
            <w:r>
              <w:rPr>
                <w:bCs/>
                <w:color w:val="auto"/>
                <w:szCs w:val="21"/>
                <w:highlight w:val="none"/>
              </w:rPr>
              <w:t>分</w:t>
            </w:r>
          </w:p>
        </w:tc>
      </w:tr>
      <w:tr w14:paraId="43F8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EDB7E1D">
            <w:pPr>
              <w:spacing w:line="360" w:lineRule="auto"/>
              <w:jc w:val="center"/>
              <w:rPr>
                <w:bCs/>
                <w:color w:val="auto"/>
                <w:szCs w:val="21"/>
                <w:highlight w:val="none"/>
              </w:rPr>
            </w:pPr>
            <w:r>
              <w:rPr>
                <w:rFonts w:hint="eastAsia"/>
                <w:bCs/>
                <w:color w:val="auto"/>
                <w:szCs w:val="21"/>
                <w:highlight w:val="none"/>
              </w:rPr>
              <w:t>6</w:t>
            </w:r>
          </w:p>
        </w:tc>
        <w:tc>
          <w:tcPr>
            <w:tcW w:w="1108" w:type="dxa"/>
            <w:vAlign w:val="center"/>
          </w:tcPr>
          <w:p w14:paraId="3D2D2834">
            <w:pPr>
              <w:spacing w:line="360" w:lineRule="auto"/>
              <w:jc w:val="center"/>
              <w:rPr>
                <w:bCs/>
                <w:color w:val="auto"/>
                <w:szCs w:val="21"/>
                <w:highlight w:val="none"/>
              </w:rPr>
            </w:pPr>
            <w:r>
              <w:rPr>
                <w:bCs/>
                <w:color w:val="auto"/>
                <w:szCs w:val="21"/>
                <w:highlight w:val="none"/>
              </w:rPr>
              <w:t>技术分</w:t>
            </w:r>
          </w:p>
        </w:tc>
        <w:tc>
          <w:tcPr>
            <w:tcW w:w="7038" w:type="dxa"/>
          </w:tcPr>
          <w:p w14:paraId="00BF0F54">
            <w:pPr>
              <w:spacing w:line="360" w:lineRule="auto"/>
              <w:rPr>
                <w:b/>
                <w:bCs/>
                <w:color w:val="auto"/>
                <w:highlight w:val="none"/>
              </w:rPr>
            </w:pPr>
            <w:r>
              <w:rPr>
                <w:rFonts w:hint="eastAsia"/>
                <w:b/>
                <w:bCs/>
                <w:color w:val="auto"/>
                <w:highlight w:val="none"/>
              </w:rPr>
              <w:t>确保工期的技术组织措施方案分（满分7分）：</w:t>
            </w:r>
          </w:p>
          <w:p w14:paraId="772B1F53">
            <w:pPr>
              <w:spacing w:line="360" w:lineRule="auto"/>
              <w:ind w:firstLine="420" w:firstLineChars="200"/>
              <w:rPr>
                <w:color w:val="auto"/>
                <w:highlight w:val="none"/>
              </w:rPr>
            </w:pPr>
            <w:r>
              <w:rPr>
                <w:rFonts w:hint="eastAsia"/>
                <w:color w:val="auto"/>
                <w:highlight w:val="none"/>
              </w:rPr>
              <w:t>一档（2分）：在施工工艺、施工方法、材料选用、劳动力安排、技术方面有保证工期的措施。有控制工期的施工进度计划。</w:t>
            </w:r>
          </w:p>
          <w:p w14:paraId="7181E286">
            <w:pPr>
              <w:spacing w:line="360" w:lineRule="auto"/>
              <w:ind w:firstLine="420" w:firstLineChars="200"/>
              <w:rPr>
                <w:color w:val="auto"/>
                <w:highlight w:val="none"/>
              </w:rPr>
            </w:pPr>
            <w:r>
              <w:rPr>
                <w:rFonts w:hint="eastAsia"/>
                <w:color w:val="auto"/>
                <w:highlight w:val="none"/>
              </w:rPr>
              <w:t>二档（4分）：</w:t>
            </w:r>
            <w:bookmarkStart w:id="143" w:name="OLE_LINK30"/>
            <w:r>
              <w:rPr>
                <w:rFonts w:hint="eastAsia"/>
                <w:color w:val="auto"/>
                <w:highlight w:val="none"/>
              </w:rPr>
              <w:t>在一档的基础上，</w:t>
            </w:r>
            <w:bookmarkEnd w:id="143"/>
            <w:r>
              <w:rPr>
                <w:rFonts w:hint="eastAsia"/>
                <w:color w:val="auto"/>
                <w:highlight w:val="none"/>
              </w:rPr>
              <w:t>进度计划符合项目需求，措施具体可行，有施工总进度表或施工网络图，</w:t>
            </w:r>
            <w:r>
              <w:rPr>
                <w:rFonts w:ascii="宋体" w:hAnsi="宋体" w:cs="宋体"/>
                <w:color w:val="auto"/>
                <w:highlight w:val="none"/>
              </w:rPr>
              <w:t>考虑到本项目影响施工工期的施工难点</w:t>
            </w:r>
            <w:r>
              <w:rPr>
                <w:rFonts w:hint="eastAsia" w:ascii="宋体" w:hAnsi="宋体" w:cs="宋体"/>
                <w:color w:val="auto"/>
                <w:highlight w:val="none"/>
              </w:rPr>
              <w:t>并提出解决方法，</w:t>
            </w:r>
            <w:r>
              <w:rPr>
                <w:rFonts w:hint="eastAsia"/>
                <w:color w:val="auto"/>
                <w:highlight w:val="none"/>
              </w:rPr>
              <w:t>确保施工工期。</w:t>
            </w:r>
          </w:p>
          <w:p w14:paraId="1D17198B">
            <w:pPr>
              <w:spacing w:line="360" w:lineRule="auto"/>
              <w:ind w:firstLine="420" w:firstLineChars="200"/>
              <w:rPr>
                <w:color w:val="auto"/>
                <w:highlight w:val="none"/>
              </w:rPr>
            </w:pPr>
            <w:r>
              <w:rPr>
                <w:rFonts w:hint="eastAsia"/>
                <w:color w:val="auto"/>
                <w:highlight w:val="none"/>
              </w:rPr>
              <w:t>三档（7分）：</w:t>
            </w:r>
            <w:bookmarkStart w:id="144" w:name="OLE_LINK31"/>
            <w:r>
              <w:rPr>
                <w:rFonts w:hint="eastAsia"/>
                <w:color w:val="auto"/>
                <w:highlight w:val="none"/>
              </w:rPr>
              <w:t>在二档的基础上，</w:t>
            </w:r>
            <w:bookmarkEnd w:id="144"/>
            <w:r>
              <w:rPr>
                <w:rFonts w:hint="eastAsia"/>
                <w:color w:val="auto"/>
                <w:highlight w:val="none"/>
              </w:rPr>
              <w:t>保证工期的措施切实符合项目需求且具有针对性。有控制工期的施工进度计划，施工进度计划的执行与控制，进度偏差管理措施。对影响工期的施工难点提出切实有效的解决方案，各项计划图表切实符合项目需求。</w:t>
            </w:r>
          </w:p>
        </w:tc>
        <w:tc>
          <w:tcPr>
            <w:tcW w:w="794" w:type="dxa"/>
            <w:vAlign w:val="center"/>
          </w:tcPr>
          <w:p w14:paraId="54D7D262">
            <w:pPr>
              <w:spacing w:line="360" w:lineRule="auto"/>
              <w:jc w:val="center"/>
              <w:rPr>
                <w:bCs/>
                <w:color w:val="auto"/>
                <w:szCs w:val="21"/>
                <w:highlight w:val="none"/>
              </w:rPr>
            </w:pPr>
            <w:r>
              <w:rPr>
                <w:rFonts w:hint="eastAsia"/>
                <w:bCs/>
                <w:color w:val="auto"/>
                <w:szCs w:val="21"/>
                <w:highlight w:val="none"/>
              </w:rPr>
              <w:t>7</w:t>
            </w:r>
            <w:r>
              <w:rPr>
                <w:bCs/>
                <w:color w:val="auto"/>
                <w:szCs w:val="21"/>
                <w:highlight w:val="none"/>
              </w:rPr>
              <w:t>分</w:t>
            </w:r>
          </w:p>
        </w:tc>
      </w:tr>
      <w:tr w14:paraId="4E2F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6F03C3F">
            <w:pPr>
              <w:spacing w:line="360" w:lineRule="auto"/>
              <w:jc w:val="center"/>
              <w:rPr>
                <w:bCs/>
                <w:color w:val="auto"/>
                <w:szCs w:val="21"/>
                <w:highlight w:val="none"/>
              </w:rPr>
            </w:pPr>
            <w:r>
              <w:rPr>
                <w:rFonts w:hint="eastAsia"/>
                <w:bCs/>
                <w:color w:val="auto"/>
                <w:szCs w:val="21"/>
                <w:highlight w:val="none"/>
              </w:rPr>
              <w:t>7</w:t>
            </w:r>
          </w:p>
        </w:tc>
        <w:tc>
          <w:tcPr>
            <w:tcW w:w="1108" w:type="dxa"/>
            <w:vAlign w:val="center"/>
          </w:tcPr>
          <w:p w14:paraId="6FE0D1EC">
            <w:pPr>
              <w:spacing w:line="360" w:lineRule="auto"/>
              <w:jc w:val="center"/>
              <w:rPr>
                <w:bCs/>
                <w:color w:val="auto"/>
                <w:szCs w:val="21"/>
                <w:highlight w:val="none"/>
              </w:rPr>
            </w:pPr>
            <w:r>
              <w:rPr>
                <w:bCs/>
                <w:color w:val="auto"/>
                <w:szCs w:val="21"/>
                <w:highlight w:val="none"/>
              </w:rPr>
              <w:t>技术分</w:t>
            </w:r>
          </w:p>
        </w:tc>
        <w:tc>
          <w:tcPr>
            <w:tcW w:w="7038" w:type="dxa"/>
          </w:tcPr>
          <w:p w14:paraId="78764E3A">
            <w:pPr>
              <w:spacing w:line="360" w:lineRule="auto"/>
              <w:ind w:firstLine="422" w:firstLineChars="200"/>
              <w:rPr>
                <w:b/>
                <w:bCs/>
                <w:color w:val="auto"/>
                <w:highlight w:val="none"/>
              </w:rPr>
            </w:pPr>
            <w:r>
              <w:rPr>
                <w:rFonts w:hint="eastAsia"/>
                <w:b/>
                <w:bCs/>
                <w:color w:val="auto"/>
                <w:highlight w:val="none"/>
              </w:rPr>
              <w:t>确保文明施工的技术组织措施方案分（满分7分）：</w:t>
            </w:r>
          </w:p>
          <w:p w14:paraId="598A817D">
            <w:pPr>
              <w:spacing w:line="360" w:lineRule="auto"/>
              <w:ind w:firstLine="420" w:firstLineChars="200"/>
              <w:rPr>
                <w:color w:val="auto"/>
                <w:highlight w:val="none"/>
              </w:rPr>
            </w:pPr>
            <w:r>
              <w:rPr>
                <w:rFonts w:hint="eastAsia"/>
                <w:color w:val="auto"/>
                <w:highlight w:val="none"/>
              </w:rPr>
              <w:t>一档（2分）：文明施工方案达到《建筑施工安全生产检查标准》（JGJ59-2011）合格标准。</w:t>
            </w:r>
          </w:p>
          <w:p w14:paraId="556395C8">
            <w:pPr>
              <w:spacing w:line="360" w:lineRule="auto"/>
              <w:ind w:firstLine="420" w:firstLineChars="200"/>
              <w:rPr>
                <w:color w:val="auto"/>
                <w:highlight w:val="none"/>
              </w:rPr>
            </w:pPr>
            <w:r>
              <w:rPr>
                <w:color w:val="auto"/>
                <w:highlight w:val="none"/>
              </w:rPr>
              <w:t>二档（</w:t>
            </w:r>
            <w:r>
              <w:rPr>
                <w:rFonts w:hint="eastAsia"/>
                <w:color w:val="auto"/>
                <w:highlight w:val="none"/>
              </w:rPr>
              <w:t>4</w:t>
            </w:r>
            <w:r>
              <w:rPr>
                <w:color w:val="auto"/>
                <w:highlight w:val="none"/>
              </w:rPr>
              <w:t>分）：</w:t>
            </w:r>
            <w:bookmarkStart w:id="145" w:name="OLE_LINK33"/>
            <w:r>
              <w:rPr>
                <w:rFonts w:hint="eastAsia"/>
                <w:color w:val="auto"/>
                <w:highlight w:val="none"/>
              </w:rPr>
              <w:t>在一档的基础上</w:t>
            </w:r>
            <w:bookmarkEnd w:id="145"/>
            <w:r>
              <w:rPr>
                <w:rFonts w:hint="eastAsia"/>
                <w:color w:val="auto"/>
                <w:highlight w:val="none"/>
              </w:rPr>
              <w:t>，</w:t>
            </w:r>
            <w:r>
              <w:rPr>
                <w:rFonts w:ascii="宋体" w:hAnsi="宋体"/>
                <w:color w:val="auto"/>
                <w:szCs w:val="21"/>
                <w:highlight w:val="none"/>
              </w:rPr>
              <w:t>文明施工</w:t>
            </w:r>
            <w:r>
              <w:rPr>
                <w:rFonts w:hint="eastAsia" w:ascii="宋体" w:hAnsi="宋体"/>
                <w:color w:val="auto"/>
                <w:szCs w:val="21"/>
                <w:highlight w:val="none"/>
              </w:rPr>
              <w:t>方案符合学校管理制度、人员进场管理制度等，有施工围挡平面图。合理分析施工期间可能影响建设单位正常教学工作或师生生活的因素（如：噪音、油漆味、需停电等），并编制有处理方案。</w:t>
            </w:r>
            <w:r>
              <w:rPr>
                <w:color w:val="auto"/>
                <w:highlight w:val="none"/>
              </w:rPr>
              <w:t>针对本工程项目特点</w:t>
            </w:r>
            <w:r>
              <w:rPr>
                <w:rFonts w:hint="eastAsia"/>
                <w:color w:val="auto"/>
                <w:highlight w:val="none"/>
              </w:rPr>
              <w:t>编制的</w:t>
            </w:r>
            <w:r>
              <w:rPr>
                <w:color w:val="auto"/>
                <w:highlight w:val="none"/>
              </w:rPr>
              <w:t>现场文明施工措施符合《广西壮族自治区建筑工程文明施工导则》要求</w:t>
            </w:r>
            <w:r>
              <w:rPr>
                <w:rFonts w:hint="eastAsia"/>
                <w:color w:val="auto"/>
                <w:highlight w:val="none"/>
              </w:rPr>
              <w:t>。</w:t>
            </w:r>
          </w:p>
          <w:p w14:paraId="36C82ACE">
            <w:pPr>
              <w:spacing w:line="360" w:lineRule="auto"/>
              <w:ind w:firstLine="420" w:firstLineChars="200"/>
              <w:rPr>
                <w:color w:val="auto"/>
                <w:highlight w:val="none"/>
              </w:rPr>
            </w:pPr>
            <w:r>
              <w:rPr>
                <w:color w:val="auto"/>
                <w:highlight w:val="none"/>
              </w:rPr>
              <w:t>三档（</w:t>
            </w:r>
            <w:r>
              <w:rPr>
                <w:rFonts w:hint="eastAsia"/>
                <w:color w:val="auto"/>
                <w:highlight w:val="none"/>
              </w:rPr>
              <w:t>7</w:t>
            </w:r>
            <w:r>
              <w:rPr>
                <w:color w:val="auto"/>
                <w:highlight w:val="none"/>
              </w:rPr>
              <w:t>分）：</w:t>
            </w:r>
            <w:bookmarkStart w:id="146" w:name="OLE_LINK34"/>
            <w:r>
              <w:rPr>
                <w:rFonts w:hint="eastAsia"/>
                <w:color w:val="auto"/>
                <w:highlight w:val="none"/>
              </w:rPr>
              <w:t>在二档的基础上，</w:t>
            </w:r>
            <w:bookmarkEnd w:id="146"/>
            <w:r>
              <w:rPr>
                <w:rFonts w:ascii="宋体" w:hAnsi="宋体"/>
                <w:color w:val="auto"/>
                <w:szCs w:val="21"/>
                <w:highlight w:val="none"/>
              </w:rPr>
              <w:t>文明施工</w:t>
            </w:r>
            <w:r>
              <w:rPr>
                <w:rFonts w:hint="eastAsia" w:ascii="宋体" w:hAnsi="宋体"/>
                <w:color w:val="auto"/>
                <w:szCs w:val="21"/>
                <w:highlight w:val="none"/>
              </w:rPr>
              <w:t>方案符合校园道路管制、学校作息时间、在校师生学习生活等特点。施工围挡平面图具有保障性。深入准确的分析施工期间可能影响师生正常的教学生活的各种因素，并有针对性的提出处理方案。</w:t>
            </w:r>
            <w:r>
              <w:rPr>
                <w:color w:val="auto"/>
                <w:highlight w:val="none"/>
              </w:rPr>
              <w:t>各项措施切合项目需求，具有</w:t>
            </w:r>
            <w:r>
              <w:rPr>
                <w:rFonts w:hint="eastAsia"/>
                <w:color w:val="auto"/>
                <w:highlight w:val="none"/>
              </w:rPr>
              <w:t>可操作</w:t>
            </w:r>
            <w:r>
              <w:rPr>
                <w:color w:val="auto"/>
                <w:highlight w:val="none"/>
              </w:rPr>
              <w:t>性。相关措施符合实现现场文明施工目标的承诺。</w:t>
            </w:r>
          </w:p>
        </w:tc>
        <w:tc>
          <w:tcPr>
            <w:tcW w:w="794" w:type="dxa"/>
            <w:vAlign w:val="center"/>
          </w:tcPr>
          <w:p w14:paraId="4D069845">
            <w:pPr>
              <w:spacing w:line="360" w:lineRule="auto"/>
              <w:jc w:val="center"/>
              <w:rPr>
                <w:bCs/>
                <w:color w:val="auto"/>
                <w:szCs w:val="21"/>
                <w:highlight w:val="none"/>
              </w:rPr>
            </w:pPr>
            <w:r>
              <w:rPr>
                <w:rFonts w:hint="eastAsia"/>
                <w:bCs/>
                <w:color w:val="auto"/>
                <w:szCs w:val="21"/>
                <w:highlight w:val="none"/>
              </w:rPr>
              <w:t>7</w:t>
            </w:r>
            <w:r>
              <w:rPr>
                <w:bCs/>
                <w:color w:val="auto"/>
                <w:szCs w:val="21"/>
                <w:highlight w:val="none"/>
              </w:rPr>
              <w:t>分</w:t>
            </w:r>
          </w:p>
        </w:tc>
      </w:tr>
      <w:tr w14:paraId="1034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7370567">
            <w:pPr>
              <w:spacing w:line="360" w:lineRule="auto"/>
              <w:jc w:val="center"/>
              <w:rPr>
                <w:bCs/>
                <w:color w:val="auto"/>
                <w:szCs w:val="21"/>
                <w:highlight w:val="none"/>
              </w:rPr>
            </w:pPr>
            <w:r>
              <w:rPr>
                <w:rFonts w:hint="eastAsia"/>
                <w:bCs/>
                <w:color w:val="auto"/>
                <w:szCs w:val="21"/>
                <w:highlight w:val="none"/>
              </w:rPr>
              <w:t>8</w:t>
            </w:r>
          </w:p>
        </w:tc>
        <w:tc>
          <w:tcPr>
            <w:tcW w:w="1108" w:type="dxa"/>
            <w:vAlign w:val="center"/>
          </w:tcPr>
          <w:p w14:paraId="6BE24FDD">
            <w:pPr>
              <w:spacing w:line="360" w:lineRule="auto"/>
              <w:jc w:val="center"/>
              <w:rPr>
                <w:bCs/>
                <w:color w:val="auto"/>
                <w:szCs w:val="21"/>
                <w:highlight w:val="none"/>
              </w:rPr>
            </w:pPr>
            <w:r>
              <w:rPr>
                <w:bCs/>
                <w:color w:val="auto"/>
                <w:szCs w:val="21"/>
                <w:highlight w:val="none"/>
              </w:rPr>
              <w:t>技术分</w:t>
            </w:r>
          </w:p>
        </w:tc>
        <w:tc>
          <w:tcPr>
            <w:tcW w:w="7038" w:type="dxa"/>
          </w:tcPr>
          <w:p w14:paraId="35F3C678">
            <w:pPr>
              <w:spacing w:line="360" w:lineRule="auto"/>
              <w:rPr>
                <w:b/>
                <w:bCs/>
                <w:color w:val="auto"/>
                <w:highlight w:val="none"/>
              </w:rPr>
            </w:pPr>
            <w:r>
              <w:rPr>
                <w:rFonts w:hint="eastAsia"/>
                <w:b/>
                <w:bCs/>
                <w:color w:val="auto"/>
                <w:highlight w:val="none"/>
              </w:rPr>
              <w:t>工程施工的重点和难点及保证措施（满分7分）：</w:t>
            </w:r>
          </w:p>
          <w:p w14:paraId="6BA6D00B">
            <w:pPr>
              <w:pStyle w:val="37"/>
              <w:spacing w:line="360" w:lineRule="auto"/>
              <w:ind w:firstLine="420" w:firstLineChars="200"/>
              <w:rPr>
                <w:rFonts w:ascii="Times New Roman" w:hAnsi="Times New Roman"/>
                <w:bCs w:val="0"/>
                <w:color w:val="auto"/>
                <w:spacing w:val="0"/>
                <w:kern w:val="2"/>
                <w:sz w:val="21"/>
                <w:highlight w:val="none"/>
              </w:rPr>
            </w:pPr>
            <w:r>
              <w:rPr>
                <w:rFonts w:hint="eastAsia" w:ascii="Times New Roman" w:hAnsi="Times New Roman"/>
                <w:bCs w:val="0"/>
                <w:color w:val="auto"/>
                <w:spacing w:val="0"/>
                <w:kern w:val="2"/>
                <w:sz w:val="21"/>
                <w:highlight w:val="none"/>
              </w:rPr>
              <w:t>一档（2分）：针对本工程的特点，阐述本工程的重点和难点，解决重点和难点问题的方法符合本项目实际。</w:t>
            </w:r>
          </w:p>
          <w:p w14:paraId="0207F5BA">
            <w:pPr>
              <w:autoSpaceDE w:val="0"/>
              <w:autoSpaceDN w:val="0"/>
              <w:adjustRightInd w:val="0"/>
              <w:spacing w:line="360" w:lineRule="auto"/>
              <w:ind w:firstLine="420" w:firstLineChars="200"/>
              <w:rPr>
                <w:color w:val="auto"/>
                <w:highlight w:val="none"/>
              </w:rPr>
            </w:pPr>
            <w:r>
              <w:rPr>
                <w:rFonts w:hint="eastAsia"/>
                <w:color w:val="auto"/>
                <w:highlight w:val="none"/>
              </w:rPr>
              <w:t>二档（4分）：在一档的基础上，</w:t>
            </w:r>
            <w:bookmarkStart w:id="147" w:name="OLE_LINK35"/>
            <w:r>
              <w:rPr>
                <w:rFonts w:hint="eastAsia"/>
                <w:color w:val="auto"/>
                <w:highlight w:val="none"/>
              </w:rPr>
              <w:t>阐述内容具体</w:t>
            </w:r>
            <w:bookmarkEnd w:id="147"/>
            <w:r>
              <w:rPr>
                <w:rFonts w:hint="eastAsia"/>
                <w:color w:val="auto"/>
                <w:highlight w:val="none"/>
              </w:rPr>
              <w:t xml:space="preserve">，符合本项目的特点，对重点、难点有具体可行的建议，解决方案经济、安全。 </w:t>
            </w:r>
          </w:p>
          <w:p w14:paraId="2119D01B">
            <w:pPr>
              <w:autoSpaceDE w:val="0"/>
              <w:autoSpaceDN w:val="0"/>
              <w:adjustRightInd w:val="0"/>
              <w:spacing w:line="360" w:lineRule="auto"/>
              <w:ind w:firstLine="420" w:firstLineChars="200"/>
              <w:rPr>
                <w:color w:val="auto"/>
                <w:highlight w:val="none"/>
              </w:rPr>
            </w:pPr>
            <w:r>
              <w:rPr>
                <w:rFonts w:hint="eastAsia"/>
                <w:color w:val="auto"/>
                <w:highlight w:val="none"/>
              </w:rPr>
              <w:t>三档（7分）：在二档的基础上，阐述内容准确、详细，对</w:t>
            </w:r>
            <w:r>
              <w:rPr>
                <w:rFonts w:hint="eastAsia" w:ascii="宋体" w:hAnsi="宋体" w:cs="宋体"/>
                <w:color w:val="auto"/>
                <w:kern w:val="0"/>
                <w:szCs w:val="21"/>
                <w:highlight w:val="none"/>
              </w:rPr>
              <w:t>重点，难点有针对性的施工措施并有安全措施，解决方案有效、可靠，</w:t>
            </w:r>
            <w:r>
              <w:rPr>
                <w:rFonts w:hint="eastAsia"/>
                <w:color w:val="auto"/>
                <w:highlight w:val="none"/>
              </w:rPr>
              <w:t>有效的保证工程质量</w:t>
            </w:r>
            <w:r>
              <w:rPr>
                <w:rFonts w:hint="eastAsia" w:ascii="宋体" w:hAnsi="宋体" w:cs="宋体"/>
                <w:bCs/>
                <w:color w:val="auto"/>
                <w:szCs w:val="21"/>
                <w:highlight w:val="none"/>
              </w:rPr>
              <w:t xml:space="preserve">。 </w:t>
            </w:r>
          </w:p>
        </w:tc>
        <w:tc>
          <w:tcPr>
            <w:tcW w:w="794" w:type="dxa"/>
            <w:vAlign w:val="center"/>
          </w:tcPr>
          <w:p w14:paraId="5D2D8B46">
            <w:pPr>
              <w:spacing w:line="360" w:lineRule="auto"/>
              <w:jc w:val="center"/>
              <w:rPr>
                <w:bCs/>
                <w:color w:val="auto"/>
                <w:szCs w:val="21"/>
                <w:highlight w:val="none"/>
              </w:rPr>
            </w:pPr>
            <w:r>
              <w:rPr>
                <w:rFonts w:hint="eastAsia"/>
                <w:bCs/>
                <w:color w:val="auto"/>
                <w:szCs w:val="21"/>
                <w:highlight w:val="none"/>
              </w:rPr>
              <w:t>7分</w:t>
            </w:r>
          </w:p>
        </w:tc>
      </w:tr>
      <w:tr w14:paraId="4305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9" w:type="dxa"/>
            <w:vAlign w:val="center"/>
          </w:tcPr>
          <w:p w14:paraId="7B878A8E">
            <w:pPr>
              <w:spacing w:line="360" w:lineRule="auto"/>
              <w:jc w:val="center"/>
              <w:rPr>
                <w:bCs/>
                <w:color w:val="auto"/>
                <w:szCs w:val="21"/>
                <w:highlight w:val="none"/>
              </w:rPr>
            </w:pPr>
            <w:r>
              <w:rPr>
                <w:rFonts w:hint="eastAsia"/>
                <w:bCs/>
                <w:color w:val="auto"/>
                <w:szCs w:val="21"/>
                <w:highlight w:val="none"/>
              </w:rPr>
              <w:t>9</w:t>
            </w:r>
          </w:p>
        </w:tc>
        <w:tc>
          <w:tcPr>
            <w:tcW w:w="1108" w:type="dxa"/>
            <w:vAlign w:val="center"/>
          </w:tcPr>
          <w:p w14:paraId="1BA9C867">
            <w:pPr>
              <w:spacing w:line="360" w:lineRule="auto"/>
              <w:jc w:val="center"/>
              <w:rPr>
                <w:bCs/>
                <w:color w:val="auto"/>
                <w:szCs w:val="21"/>
                <w:highlight w:val="none"/>
              </w:rPr>
            </w:pPr>
            <w:r>
              <w:rPr>
                <w:rFonts w:hint="eastAsia"/>
                <w:bCs/>
                <w:color w:val="auto"/>
                <w:szCs w:val="21"/>
                <w:highlight w:val="none"/>
              </w:rPr>
              <w:t>技术分</w:t>
            </w:r>
          </w:p>
        </w:tc>
        <w:tc>
          <w:tcPr>
            <w:tcW w:w="7038" w:type="dxa"/>
            <w:vAlign w:val="center"/>
          </w:tcPr>
          <w:p w14:paraId="4F59EDDB">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（1）项目经理具有建筑（或建设）类专业中级或以上职称的，得3分。</w:t>
            </w:r>
          </w:p>
          <w:p w14:paraId="62F21988">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（2）技术负责人具有建筑（或建设）类专业副高或以上职称的，得2分，具有建筑（或建设）类专业中级职称的，得1分。</w:t>
            </w:r>
          </w:p>
          <w:p w14:paraId="27B20166">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（3）施工员、质量员、材料员、安全员每类人员中均具有1人（含）以上具备建筑（或建设）类专业中级或以上职称的，得8分，不满足的本项不得分。</w:t>
            </w:r>
          </w:p>
        </w:tc>
        <w:tc>
          <w:tcPr>
            <w:tcW w:w="794" w:type="dxa"/>
            <w:vAlign w:val="center"/>
          </w:tcPr>
          <w:p w14:paraId="2603BD2F">
            <w:pPr>
              <w:spacing w:line="360" w:lineRule="auto"/>
              <w:jc w:val="center"/>
              <w:rPr>
                <w:bCs/>
                <w:color w:val="auto"/>
                <w:szCs w:val="21"/>
                <w:highlight w:val="none"/>
              </w:rPr>
            </w:pPr>
            <w:r>
              <w:rPr>
                <w:rFonts w:hint="eastAsia"/>
                <w:bCs/>
                <w:color w:val="auto"/>
                <w:szCs w:val="21"/>
                <w:highlight w:val="none"/>
              </w:rPr>
              <w:t>13分</w:t>
            </w:r>
          </w:p>
        </w:tc>
      </w:tr>
      <w:tr w14:paraId="0515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59" w:type="dxa"/>
            <w:vAlign w:val="center"/>
          </w:tcPr>
          <w:p w14:paraId="11DE2847">
            <w:pPr>
              <w:spacing w:line="360" w:lineRule="auto"/>
              <w:jc w:val="center"/>
              <w:rPr>
                <w:b/>
                <w:color w:val="auto"/>
                <w:szCs w:val="21"/>
                <w:highlight w:val="none"/>
              </w:rPr>
            </w:pPr>
            <w:r>
              <w:rPr>
                <w:b/>
                <w:color w:val="auto"/>
                <w:szCs w:val="21"/>
                <w:highlight w:val="none"/>
              </w:rPr>
              <w:t>三</w:t>
            </w:r>
          </w:p>
        </w:tc>
        <w:tc>
          <w:tcPr>
            <w:tcW w:w="8146" w:type="dxa"/>
            <w:gridSpan w:val="2"/>
            <w:vAlign w:val="center"/>
          </w:tcPr>
          <w:p w14:paraId="2FBD2EBE">
            <w:pPr>
              <w:pStyle w:val="37"/>
              <w:spacing w:line="360" w:lineRule="auto"/>
              <w:rPr>
                <w:rFonts w:ascii="Times New Roman" w:hAnsi="Times New Roman"/>
                <w:b/>
                <w:bCs w:val="0"/>
                <w:color w:val="auto"/>
                <w:sz w:val="21"/>
                <w:szCs w:val="21"/>
                <w:highlight w:val="none"/>
              </w:rPr>
            </w:pPr>
            <w:r>
              <w:rPr>
                <w:rFonts w:ascii="Times New Roman" w:hAnsi="Times New Roman"/>
                <w:b/>
                <w:color w:val="auto"/>
                <w:szCs w:val="21"/>
                <w:highlight w:val="none"/>
              </w:rPr>
              <w:t>商务分</w:t>
            </w:r>
          </w:p>
        </w:tc>
        <w:tc>
          <w:tcPr>
            <w:tcW w:w="794" w:type="dxa"/>
            <w:vAlign w:val="center"/>
          </w:tcPr>
          <w:p w14:paraId="02A6A825">
            <w:pPr>
              <w:spacing w:line="360" w:lineRule="auto"/>
              <w:jc w:val="center"/>
              <w:rPr>
                <w:b/>
                <w:color w:val="auto"/>
                <w:szCs w:val="21"/>
                <w:highlight w:val="none"/>
              </w:rPr>
            </w:pPr>
            <w:r>
              <w:rPr>
                <w:rFonts w:hint="eastAsia"/>
                <w:b/>
                <w:color w:val="auto"/>
                <w:szCs w:val="21"/>
                <w:highlight w:val="none"/>
              </w:rPr>
              <w:t>8</w:t>
            </w:r>
            <w:r>
              <w:rPr>
                <w:b/>
                <w:color w:val="auto"/>
                <w:szCs w:val="21"/>
                <w:highlight w:val="none"/>
              </w:rPr>
              <w:t>分</w:t>
            </w:r>
          </w:p>
        </w:tc>
      </w:tr>
      <w:tr w14:paraId="783F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A09831F">
            <w:pPr>
              <w:spacing w:line="360" w:lineRule="auto"/>
              <w:jc w:val="center"/>
              <w:rPr>
                <w:bCs/>
                <w:color w:val="auto"/>
                <w:szCs w:val="21"/>
                <w:highlight w:val="none"/>
              </w:rPr>
            </w:pPr>
            <w:r>
              <w:rPr>
                <w:rFonts w:hint="eastAsia"/>
                <w:bCs/>
                <w:color w:val="auto"/>
                <w:szCs w:val="21"/>
                <w:highlight w:val="none"/>
              </w:rPr>
              <w:t>10</w:t>
            </w:r>
          </w:p>
        </w:tc>
        <w:tc>
          <w:tcPr>
            <w:tcW w:w="1108" w:type="dxa"/>
            <w:vAlign w:val="center"/>
          </w:tcPr>
          <w:p w14:paraId="07036AE5">
            <w:pPr>
              <w:spacing w:line="360" w:lineRule="auto"/>
              <w:jc w:val="center"/>
              <w:rPr>
                <w:bCs/>
                <w:color w:val="auto"/>
                <w:szCs w:val="21"/>
                <w:highlight w:val="none"/>
              </w:rPr>
            </w:pPr>
            <w:r>
              <w:rPr>
                <w:bCs/>
                <w:color w:val="auto"/>
                <w:szCs w:val="21"/>
                <w:highlight w:val="none"/>
              </w:rPr>
              <w:t>商务分</w:t>
            </w:r>
          </w:p>
        </w:tc>
        <w:tc>
          <w:tcPr>
            <w:tcW w:w="7038" w:type="dxa"/>
          </w:tcPr>
          <w:p w14:paraId="51ADCD33">
            <w:pPr>
              <w:autoSpaceDE w:val="0"/>
              <w:autoSpaceDN w:val="0"/>
              <w:spacing w:line="360" w:lineRule="auto"/>
              <w:rPr>
                <w:color w:val="auto"/>
                <w:highlight w:val="none"/>
              </w:rPr>
            </w:pPr>
          </w:p>
          <w:p w14:paraId="0EAE3F65">
            <w:pPr>
              <w:autoSpaceDE w:val="0"/>
              <w:autoSpaceDN w:val="0"/>
              <w:spacing w:line="360" w:lineRule="auto"/>
              <w:rPr>
                <w:color w:val="auto"/>
                <w:highlight w:val="none"/>
              </w:rPr>
            </w:pPr>
            <w:r>
              <w:rPr>
                <w:rFonts w:hint="eastAsia"/>
                <w:color w:val="auto"/>
                <w:highlight w:val="none"/>
              </w:rPr>
              <w:t>供应商自2021年1月1日至首次响应文件提交截止时间止，承担过同类施工项目的每个得2分，满分8分。（响应文件中需提供合同复印件或者中标（成交）通知书，合同或者中标（成交）通知书应能体现项目内容、项目实施时间。)</w:t>
            </w:r>
          </w:p>
          <w:p w14:paraId="30FD9A2C">
            <w:pPr>
              <w:pStyle w:val="37"/>
              <w:spacing w:line="360" w:lineRule="auto"/>
              <w:rPr>
                <w:rFonts w:ascii="宋体" w:hAnsi="宋体" w:cs="宋体"/>
                <w:b/>
                <w:bCs w:val="0"/>
                <w:color w:val="auto"/>
                <w:spacing w:val="0"/>
                <w:sz w:val="21"/>
                <w:szCs w:val="21"/>
                <w:highlight w:val="none"/>
              </w:rPr>
            </w:pPr>
            <w:r>
              <w:rPr>
                <w:rFonts w:hint="eastAsia" w:ascii="宋体" w:hAnsi="宋体" w:cs="宋体"/>
                <w:b/>
                <w:bCs w:val="0"/>
                <w:color w:val="auto"/>
                <w:spacing w:val="0"/>
                <w:sz w:val="21"/>
                <w:szCs w:val="21"/>
                <w:highlight w:val="none"/>
              </w:rPr>
              <w:t>同类施工项目：钢结构工程施工项目或房屋建筑工程（须包含钢结构工程施工内容）施工项目。</w:t>
            </w:r>
          </w:p>
          <w:p w14:paraId="771E8260">
            <w:pPr>
              <w:spacing w:line="360" w:lineRule="auto"/>
              <w:rPr>
                <w:color w:val="auto"/>
                <w:highlight w:val="none"/>
              </w:rPr>
            </w:pPr>
          </w:p>
        </w:tc>
        <w:tc>
          <w:tcPr>
            <w:tcW w:w="794" w:type="dxa"/>
            <w:vAlign w:val="center"/>
          </w:tcPr>
          <w:p w14:paraId="1B220C89">
            <w:pPr>
              <w:spacing w:line="360" w:lineRule="auto"/>
              <w:jc w:val="center"/>
              <w:rPr>
                <w:bCs/>
                <w:color w:val="auto"/>
                <w:szCs w:val="21"/>
                <w:highlight w:val="none"/>
              </w:rPr>
            </w:pPr>
            <w:r>
              <w:rPr>
                <w:rFonts w:hint="eastAsia"/>
                <w:bCs/>
                <w:color w:val="auto"/>
                <w:szCs w:val="21"/>
                <w:highlight w:val="none"/>
              </w:rPr>
              <w:t>8</w:t>
            </w:r>
            <w:r>
              <w:rPr>
                <w:bCs/>
                <w:color w:val="auto"/>
                <w:szCs w:val="21"/>
                <w:highlight w:val="none"/>
              </w:rPr>
              <w:t>分</w:t>
            </w:r>
          </w:p>
        </w:tc>
      </w:tr>
      <w:tr w14:paraId="129E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599" w:type="dxa"/>
            <w:gridSpan w:val="4"/>
            <w:vAlign w:val="center"/>
          </w:tcPr>
          <w:p w14:paraId="4E3B215A">
            <w:pPr>
              <w:spacing w:line="360" w:lineRule="auto"/>
              <w:jc w:val="center"/>
              <w:rPr>
                <w:bCs/>
                <w:color w:val="auto"/>
                <w:szCs w:val="21"/>
                <w:highlight w:val="none"/>
              </w:rPr>
            </w:pPr>
            <w:bookmarkStart w:id="148" w:name="_Toc80205935"/>
            <w:r>
              <w:rPr>
                <w:rFonts w:hint="eastAsia"/>
                <w:b/>
                <w:color w:val="auto"/>
                <w:szCs w:val="21"/>
                <w:highlight w:val="none"/>
              </w:rPr>
              <w:t>总得分：报价</w:t>
            </w:r>
            <w:r>
              <w:rPr>
                <w:b/>
                <w:color w:val="auto"/>
                <w:szCs w:val="21"/>
                <w:highlight w:val="none"/>
              </w:rPr>
              <w:t>分</w:t>
            </w:r>
            <w:r>
              <w:rPr>
                <w:rFonts w:hint="eastAsia"/>
                <w:b/>
                <w:color w:val="auto"/>
                <w:szCs w:val="21"/>
                <w:highlight w:val="none"/>
              </w:rPr>
              <w:t>+技术分+商务分</w:t>
            </w:r>
          </w:p>
        </w:tc>
      </w:tr>
    </w:tbl>
    <w:p w14:paraId="32CE2B69">
      <w:pPr>
        <w:spacing w:line="360" w:lineRule="auto"/>
        <w:ind w:firstLine="420" w:firstLineChars="200"/>
        <w:rPr>
          <w:color w:val="auto"/>
          <w:highlight w:val="none"/>
        </w:rPr>
      </w:pPr>
      <w:r>
        <w:rPr>
          <w:color w:val="auto"/>
          <w:highlight w:val="none"/>
        </w:rPr>
        <w:t>7.2终止竞争性磋商采购活动</w:t>
      </w:r>
    </w:p>
    <w:p w14:paraId="4DFF28CF">
      <w:pPr>
        <w:spacing w:line="360" w:lineRule="auto"/>
        <w:ind w:firstLine="420" w:firstLineChars="200"/>
        <w:rPr>
          <w:rFonts w:ascii="宋体" w:hAnsi="宋体"/>
          <w:b/>
          <w:color w:val="auto"/>
          <w:highlight w:val="none"/>
        </w:rPr>
      </w:pPr>
      <w:r>
        <w:rPr>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F767042">
      <w:pPr>
        <w:pStyle w:val="4"/>
        <w:spacing w:before="0" w:after="0" w:line="360" w:lineRule="auto"/>
        <w:jc w:val="center"/>
        <w:rPr>
          <w:rFonts w:ascii="宋体" w:hAnsi="宋体"/>
          <w:b w:val="0"/>
          <w:color w:val="auto"/>
          <w:highlight w:val="none"/>
        </w:rPr>
      </w:pPr>
      <w:bookmarkStart w:id="149" w:name="_Toc22545"/>
      <w:bookmarkStart w:id="150" w:name="_Toc11595"/>
      <w:bookmarkStart w:id="151" w:name="_Toc80886939"/>
      <w:r>
        <w:rPr>
          <w:rFonts w:hint="eastAsia" w:ascii="宋体" w:hAnsi="宋体"/>
          <w:b w:val="0"/>
          <w:color w:val="auto"/>
          <w:highlight w:val="none"/>
        </w:rPr>
        <w:t>第二节 评审报告</w:t>
      </w:r>
      <w:bookmarkEnd w:id="148"/>
      <w:bookmarkEnd w:id="149"/>
      <w:bookmarkEnd w:id="150"/>
      <w:bookmarkEnd w:id="151"/>
    </w:p>
    <w:p w14:paraId="6F570827">
      <w:pPr>
        <w:spacing w:line="360" w:lineRule="auto"/>
        <w:ind w:firstLine="480" w:firstLineChars="200"/>
        <w:rPr>
          <w:rFonts w:eastAsia="黑体"/>
          <w:color w:val="auto"/>
          <w:sz w:val="24"/>
          <w:szCs w:val="32"/>
          <w:highlight w:val="none"/>
        </w:rPr>
      </w:pPr>
      <w:r>
        <w:rPr>
          <w:rFonts w:eastAsia="黑体"/>
          <w:color w:val="auto"/>
          <w:sz w:val="24"/>
          <w:szCs w:val="32"/>
          <w:highlight w:val="none"/>
        </w:rPr>
        <w:t>1.成交标准</w:t>
      </w:r>
    </w:p>
    <w:p w14:paraId="69C3D000">
      <w:pPr>
        <w:spacing w:line="360" w:lineRule="auto"/>
        <w:ind w:firstLine="420" w:firstLineChars="200"/>
        <w:rPr>
          <w:color w:val="auto"/>
          <w:sz w:val="24"/>
          <w:highlight w:val="none"/>
        </w:rPr>
      </w:pPr>
      <w:r>
        <w:rPr>
          <w:bCs/>
          <w:color w:val="auto"/>
          <w:szCs w:val="21"/>
          <w:highlight w:val="none"/>
        </w:rPr>
        <w:t>由磋商小组根据综合评分情况，按照评审得分由高到低顺序推荐3名以上成交候选供应商</w:t>
      </w:r>
      <w:r>
        <w:rPr>
          <w:color w:val="auto"/>
          <w:highlight w:val="none"/>
        </w:rPr>
        <w:t>,并在线编写电子评审报告</w:t>
      </w:r>
      <w:r>
        <w:rPr>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w:t>
      </w:r>
      <w:r>
        <w:rPr>
          <w:rFonts w:hint="eastAsia"/>
          <w:bCs/>
          <w:color w:val="auto"/>
          <w:szCs w:val="21"/>
          <w:highlight w:val="none"/>
        </w:rPr>
        <w:t>，</w:t>
      </w:r>
      <w:r>
        <w:rPr>
          <w:bCs/>
          <w:color w:val="auto"/>
          <w:szCs w:val="21"/>
          <w:highlight w:val="none"/>
        </w:rPr>
        <w:t>按照技术指标优劣顺序推荐</w:t>
      </w:r>
      <w:r>
        <w:rPr>
          <w:rFonts w:hint="eastAsia"/>
          <w:color w:val="auto"/>
          <w:kern w:val="0"/>
          <w:szCs w:val="21"/>
          <w:highlight w:val="none"/>
        </w:rPr>
        <w:t>(按技术分得分由高到低排序，技术分得分相同的按照商务分得分由高到低排序)。评审得分、最后报价(不计算价格折扣)、技术分得分、商务分得分均相同的，由磋商小组随机抽取推荐</w:t>
      </w:r>
      <w:r>
        <w:rPr>
          <w:bCs/>
          <w:color w:val="auto"/>
          <w:szCs w:val="21"/>
          <w:highlight w:val="none"/>
        </w:rPr>
        <w:t>。</w:t>
      </w:r>
    </w:p>
    <w:p w14:paraId="3B44036D">
      <w:pPr>
        <w:spacing w:line="360" w:lineRule="auto"/>
        <w:ind w:firstLine="480" w:firstLineChars="200"/>
        <w:rPr>
          <w:rFonts w:eastAsia="黑体"/>
          <w:color w:val="auto"/>
          <w:sz w:val="24"/>
          <w:szCs w:val="32"/>
          <w:highlight w:val="none"/>
        </w:rPr>
      </w:pPr>
      <w:r>
        <w:rPr>
          <w:rFonts w:eastAsia="黑体"/>
          <w:color w:val="auto"/>
          <w:sz w:val="24"/>
          <w:szCs w:val="32"/>
          <w:highlight w:val="none"/>
        </w:rPr>
        <w:t>2.评标争议事项处理</w:t>
      </w:r>
    </w:p>
    <w:p w14:paraId="7D2DE1E6">
      <w:pPr>
        <w:pStyle w:val="71"/>
        <w:spacing w:before="0"/>
        <w:ind w:firstLine="420"/>
        <w:rPr>
          <w:color w:val="auto"/>
          <w:kern w:val="2"/>
          <w:sz w:val="21"/>
          <w:szCs w:val="24"/>
          <w:highlight w:val="none"/>
        </w:rPr>
      </w:pPr>
      <w:r>
        <w:rPr>
          <w:color w:val="auto"/>
          <w:kern w:val="2"/>
          <w:sz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26403FE3">
      <w:pPr>
        <w:pStyle w:val="4"/>
        <w:spacing w:before="0" w:after="0" w:line="360" w:lineRule="auto"/>
        <w:ind w:firstLine="640" w:firstLineChars="200"/>
        <w:jc w:val="center"/>
        <w:rPr>
          <w:rFonts w:ascii="Times New Roman" w:hAnsi="Times New Roman"/>
          <w:b w:val="0"/>
          <w:color w:val="auto"/>
          <w:highlight w:val="none"/>
        </w:rPr>
      </w:pPr>
      <w:bookmarkStart w:id="152" w:name="_Toc80886940"/>
      <w:bookmarkStart w:id="153" w:name="_Toc2025"/>
      <w:bookmarkStart w:id="154" w:name="_Toc20045"/>
      <w:bookmarkStart w:id="155" w:name="_Toc80205936"/>
    </w:p>
    <w:p w14:paraId="72295C5E">
      <w:pPr>
        <w:pStyle w:val="4"/>
        <w:spacing w:before="0" w:after="0" w:line="360" w:lineRule="auto"/>
        <w:ind w:firstLine="640" w:firstLineChars="200"/>
        <w:jc w:val="center"/>
        <w:rPr>
          <w:rFonts w:ascii="Times New Roman" w:hAnsi="Times New Roman"/>
          <w:b w:val="0"/>
          <w:color w:val="auto"/>
          <w:highlight w:val="none"/>
        </w:rPr>
      </w:pPr>
      <w:r>
        <w:rPr>
          <w:rFonts w:ascii="Times New Roman" w:hAnsi="Times New Roman"/>
          <w:b w:val="0"/>
          <w:color w:val="auto"/>
          <w:highlight w:val="none"/>
        </w:rPr>
        <w:t>第三节 评审过程的保密与录像</w:t>
      </w:r>
      <w:bookmarkEnd w:id="152"/>
      <w:bookmarkEnd w:id="153"/>
      <w:bookmarkEnd w:id="154"/>
      <w:bookmarkEnd w:id="155"/>
    </w:p>
    <w:p w14:paraId="41E05ECE">
      <w:pPr>
        <w:spacing w:line="360" w:lineRule="auto"/>
        <w:ind w:firstLine="480" w:firstLineChars="200"/>
        <w:rPr>
          <w:rFonts w:eastAsia="黑体"/>
          <w:color w:val="auto"/>
          <w:sz w:val="24"/>
          <w:szCs w:val="32"/>
          <w:highlight w:val="none"/>
        </w:rPr>
      </w:pPr>
      <w:r>
        <w:rPr>
          <w:rFonts w:eastAsia="黑体"/>
          <w:color w:val="auto"/>
          <w:sz w:val="24"/>
          <w:szCs w:val="32"/>
          <w:highlight w:val="none"/>
        </w:rPr>
        <w:t>1.保密。</w:t>
      </w:r>
    </w:p>
    <w:p w14:paraId="7FD9A326">
      <w:pPr>
        <w:widowControl/>
        <w:spacing w:line="360" w:lineRule="auto"/>
        <w:ind w:firstLine="420" w:firstLineChars="200"/>
        <w:rPr>
          <w:color w:val="auto"/>
          <w:highlight w:val="none"/>
        </w:rPr>
      </w:pPr>
      <w:r>
        <w:rPr>
          <w:color w:val="auto"/>
          <w:highlight w:val="none"/>
        </w:rPr>
        <w:t>评审活动在严格保密的情况下进行。评审过程中凡是与响应文件评审和比较、成交供应商推荐等评审有关的情况，以及涉及国家秘密和商业秘密等信息，磋商小组成员、采购人和采购代理机构工作人员、相关监督人员等与评审有关的人员应当予以保密。</w:t>
      </w:r>
    </w:p>
    <w:p w14:paraId="64DB1B41">
      <w:pPr>
        <w:widowControl/>
        <w:spacing w:line="360" w:lineRule="auto"/>
        <w:ind w:firstLine="480" w:firstLineChars="200"/>
        <w:rPr>
          <w:rFonts w:eastAsia="黑体"/>
          <w:color w:val="auto"/>
          <w:sz w:val="24"/>
          <w:szCs w:val="32"/>
          <w:highlight w:val="none"/>
        </w:rPr>
      </w:pPr>
      <w:r>
        <w:rPr>
          <w:rFonts w:eastAsia="黑体"/>
          <w:color w:val="auto"/>
          <w:sz w:val="24"/>
          <w:szCs w:val="32"/>
          <w:highlight w:val="none"/>
        </w:rPr>
        <w:t>2.录音录像。</w:t>
      </w:r>
    </w:p>
    <w:p w14:paraId="6295A9FC">
      <w:pPr>
        <w:spacing w:line="360" w:lineRule="auto"/>
        <w:ind w:firstLine="420" w:firstLineChars="200"/>
        <w:rPr>
          <w:color w:val="auto"/>
          <w:highlight w:val="none"/>
        </w:rPr>
      </w:pPr>
      <w:r>
        <w:rPr>
          <w:color w:val="auto"/>
          <w:highlight w:val="none"/>
        </w:rPr>
        <w:t>采购代理机构对评审工作现场及操作屏幕进行全过程录音录像，录音录像资料作为采购项目文件随其他文件一并存档。</w:t>
      </w:r>
    </w:p>
    <w:p w14:paraId="388C89C3">
      <w:pPr>
        <w:widowControl/>
        <w:spacing w:line="360" w:lineRule="auto"/>
        <w:ind w:firstLine="420" w:firstLineChars="200"/>
        <w:rPr>
          <w:color w:val="auto"/>
          <w:highlight w:val="none"/>
        </w:rPr>
      </w:pPr>
    </w:p>
    <w:p w14:paraId="4B280E22">
      <w:pPr>
        <w:widowControl/>
        <w:spacing w:line="360" w:lineRule="auto"/>
        <w:ind w:firstLine="420" w:firstLineChars="200"/>
        <w:rPr>
          <w:color w:val="auto"/>
          <w:highlight w:val="none"/>
        </w:rPr>
      </w:pPr>
    </w:p>
    <w:p w14:paraId="7E659337">
      <w:pPr>
        <w:widowControl/>
        <w:spacing w:line="360" w:lineRule="auto"/>
        <w:ind w:firstLine="420" w:firstLineChars="200"/>
        <w:rPr>
          <w:color w:val="auto"/>
          <w:highlight w:val="none"/>
        </w:rPr>
      </w:pPr>
    </w:p>
    <w:p w14:paraId="4BAEDC7B">
      <w:pPr>
        <w:widowControl/>
        <w:spacing w:line="360" w:lineRule="auto"/>
        <w:ind w:firstLine="420" w:firstLineChars="200"/>
        <w:rPr>
          <w:color w:val="auto"/>
          <w:highlight w:val="none"/>
        </w:rPr>
      </w:pPr>
    </w:p>
    <w:p w14:paraId="522ED1CB">
      <w:pPr>
        <w:widowControl/>
        <w:spacing w:line="360" w:lineRule="auto"/>
        <w:ind w:firstLine="420" w:firstLineChars="200"/>
        <w:rPr>
          <w:color w:val="auto"/>
          <w:highlight w:val="none"/>
        </w:rPr>
      </w:pPr>
    </w:p>
    <w:p w14:paraId="315AF778">
      <w:pPr>
        <w:widowControl/>
        <w:spacing w:line="360" w:lineRule="auto"/>
        <w:ind w:firstLine="420" w:firstLineChars="200"/>
        <w:rPr>
          <w:color w:val="auto"/>
          <w:highlight w:val="none"/>
        </w:rPr>
      </w:pPr>
    </w:p>
    <w:p w14:paraId="5C354DFF">
      <w:pPr>
        <w:widowControl/>
        <w:spacing w:line="360" w:lineRule="auto"/>
        <w:ind w:firstLine="420" w:firstLineChars="200"/>
        <w:rPr>
          <w:color w:val="auto"/>
          <w:highlight w:val="none"/>
        </w:rPr>
      </w:pPr>
    </w:p>
    <w:p w14:paraId="4DF05173">
      <w:pPr>
        <w:widowControl/>
        <w:spacing w:line="360" w:lineRule="auto"/>
        <w:ind w:firstLine="420" w:firstLineChars="200"/>
        <w:rPr>
          <w:color w:val="auto"/>
          <w:highlight w:val="none"/>
        </w:rPr>
      </w:pPr>
    </w:p>
    <w:p w14:paraId="2D9C42AB">
      <w:pPr>
        <w:widowControl/>
        <w:spacing w:line="360" w:lineRule="auto"/>
        <w:ind w:firstLine="420" w:firstLineChars="200"/>
        <w:rPr>
          <w:color w:val="auto"/>
          <w:highlight w:val="none"/>
        </w:rPr>
      </w:pPr>
    </w:p>
    <w:p w14:paraId="4AAA9A45">
      <w:pPr>
        <w:widowControl/>
        <w:spacing w:line="360" w:lineRule="auto"/>
        <w:ind w:firstLine="420" w:firstLineChars="200"/>
        <w:rPr>
          <w:color w:val="auto"/>
          <w:highlight w:val="none"/>
        </w:rPr>
      </w:pPr>
    </w:p>
    <w:p w14:paraId="011A2D2B">
      <w:pPr>
        <w:widowControl/>
        <w:spacing w:line="360" w:lineRule="auto"/>
        <w:ind w:firstLine="420" w:firstLineChars="200"/>
        <w:rPr>
          <w:color w:val="auto"/>
          <w:highlight w:val="none"/>
        </w:rPr>
      </w:pPr>
    </w:p>
    <w:p w14:paraId="259F136B">
      <w:pPr>
        <w:widowControl/>
        <w:spacing w:line="360" w:lineRule="auto"/>
        <w:ind w:firstLine="420" w:firstLineChars="200"/>
        <w:rPr>
          <w:color w:val="auto"/>
          <w:highlight w:val="none"/>
        </w:rPr>
      </w:pPr>
    </w:p>
    <w:p w14:paraId="1BE6C33C">
      <w:pPr>
        <w:widowControl/>
        <w:spacing w:line="360" w:lineRule="auto"/>
        <w:ind w:firstLine="420" w:firstLineChars="200"/>
        <w:rPr>
          <w:color w:val="auto"/>
          <w:highlight w:val="none"/>
        </w:rPr>
      </w:pPr>
    </w:p>
    <w:p w14:paraId="58D900FF">
      <w:pPr>
        <w:widowControl/>
        <w:spacing w:line="360" w:lineRule="auto"/>
        <w:ind w:firstLine="420" w:firstLineChars="200"/>
        <w:rPr>
          <w:color w:val="auto"/>
          <w:highlight w:val="none"/>
        </w:rPr>
      </w:pPr>
    </w:p>
    <w:p w14:paraId="5E692394">
      <w:pPr>
        <w:widowControl/>
        <w:spacing w:line="360" w:lineRule="auto"/>
        <w:ind w:firstLine="420" w:firstLineChars="200"/>
        <w:rPr>
          <w:color w:val="auto"/>
          <w:highlight w:val="none"/>
        </w:rPr>
      </w:pPr>
    </w:p>
    <w:p w14:paraId="0C5F90D2">
      <w:pPr>
        <w:widowControl/>
        <w:spacing w:line="360" w:lineRule="auto"/>
        <w:ind w:firstLine="420" w:firstLineChars="200"/>
        <w:rPr>
          <w:color w:val="auto"/>
          <w:highlight w:val="none"/>
        </w:rPr>
      </w:pPr>
    </w:p>
    <w:p w14:paraId="50AB0066">
      <w:pPr>
        <w:pStyle w:val="14"/>
        <w:rPr>
          <w:color w:val="auto"/>
          <w:highlight w:val="none"/>
        </w:rPr>
      </w:pPr>
    </w:p>
    <w:p w14:paraId="7B892088">
      <w:pPr>
        <w:rPr>
          <w:color w:val="auto"/>
          <w:highlight w:val="none"/>
        </w:rPr>
      </w:pPr>
    </w:p>
    <w:p w14:paraId="3E014F74">
      <w:pPr>
        <w:pStyle w:val="14"/>
        <w:rPr>
          <w:color w:val="auto"/>
          <w:highlight w:val="none"/>
        </w:rPr>
      </w:pPr>
    </w:p>
    <w:p w14:paraId="3316DC8C">
      <w:pPr>
        <w:rPr>
          <w:color w:val="auto"/>
          <w:highlight w:val="none"/>
        </w:rPr>
      </w:pPr>
    </w:p>
    <w:p w14:paraId="4AE57B74">
      <w:pPr>
        <w:pStyle w:val="14"/>
        <w:rPr>
          <w:color w:val="auto"/>
          <w:highlight w:val="none"/>
        </w:rPr>
      </w:pPr>
    </w:p>
    <w:p w14:paraId="5C33CC68">
      <w:pPr>
        <w:rPr>
          <w:color w:val="auto"/>
          <w:highlight w:val="none"/>
        </w:rPr>
      </w:pPr>
    </w:p>
    <w:p w14:paraId="671C9FDA">
      <w:pPr>
        <w:pStyle w:val="14"/>
        <w:rPr>
          <w:color w:val="auto"/>
          <w:highlight w:val="none"/>
        </w:rPr>
      </w:pPr>
    </w:p>
    <w:p w14:paraId="628AB04C">
      <w:pPr>
        <w:rPr>
          <w:color w:val="auto"/>
          <w:highlight w:val="none"/>
        </w:rPr>
      </w:pPr>
    </w:p>
    <w:p w14:paraId="38C4EC42">
      <w:pPr>
        <w:pStyle w:val="14"/>
        <w:rPr>
          <w:color w:val="auto"/>
          <w:highlight w:val="none"/>
        </w:rPr>
      </w:pPr>
    </w:p>
    <w:p w14:paraId="0ACFF17A">
      <w:pPr>
        <w:rPr>
          <w:color w:val="auto"/>
          <w:highlight w:val="none"/>
        </w:rPr>
      </w:pPr>
    </w:p>
    <w:p w14:paraId="2A5E0A9D">
      <w:pPr>
        <w:rPr>
          <w:color w:val="auto"/>
          <w:highlight w:val="none"/>
        </w:rPr>
      </w:pPr>
    </w:p>
    <w:p w14:paraId="1D4EB158">
      <w:pPr>
        <w:rPr>
          <w:color w:val="auto"/>
          <w:highlight w:val="none"/>
        </w:rPr>
      </w:pPr>
    </w:p>
    <w:p w14:paraId="6AAAEC3F">
      <w:pPr>
        <w:rPr>
          <w:color w:val="auto"/>
          <w:highlight w:val="none"/>
        </w:rPr>
      </w:pPr>
    </w:p>
    <w:p w14:paraId="3649907A">
      <w:pPr>
        <w:rPr>
          <w:color w:val="auto"/>
          <w:highlight w:val="none"/>
        </w:rPr>
      </w:pPr>
    </w:p>
    <w:p w14:paraId="7EF9A745">
      <w:pPr>
        <w:rPr>
          <w:color w:val="auto"/>
          <w:highlight w:val="none"/>
        </w:rPr>
      </w:pPr>
    </w:p>
    <w:p w14:paraId="3B52004C">
      <w:pPr>
        <w:rPr>
          <w:color w:val="auto"/>
          <w:highlight w:val="none"/>
        </w:rPr>
      </w:pPr>
    </w:p>
    <w:p w14:paraId="76F18252">
      <w:pPr>
        <w:rPr>
          <w:color w:val="auto"/>
          <w:highlight w:val="none"/>
        </w:rPr>
      </w:pPr>
    </w:p>
    <w:p w14:paraId="5A416EF3">
      <w:pPr>
        <w:rPr>
          <w:color w:val="auto"/>
          <w:highlight w:val="none"/>
        </w:rPr>
      </w:pPr>
    </w:p>
    <w:p w14:paraId="74DDE781">
      <w:pPr>
        <w:rPr>
          <w:color w:val="auto"/>
          <w:highlight w:val="none"/>
        </w:rPr>
      </w:pPr>
    </w:p>
    <w:p w14:paraId="21AA075A">
      <w:pPr>
        <w:rPr>
          <w:color w:val="auto"/>
          <w:highlight w:val="none"/>
        </w:rPr>
      </w:pPr>
    </w:p>
    <w:p w14:paraId="2820FA81">
      <w:pPr>
        <w:rPr>
          <w:color w:val="auto"/>
          <w:highlight w:val="none"/>
        </w:rPr>
      </w:pPr>
    </w:p>
    <w:p w14:paraId="6096C662">
      <w:pPr>
        <w:rPr>
          <w:color w:val="auto"/>
          <w:highlight w:val="none"/>
        </w:rPr>
      </w:pPr>
    </w:p>
    <w:p w14:paraId="008D0F80">
      <w:pPr>
        <w:rPr>
          <w:color w:val="auto"/>
          <w:highlight w:val="none"/>
        </w:rPr>
      </w:pPr>
    </w:p>
    <w:p w14:paraId="2DCA72C0">
      <w:pPr>
        <w:pStyle w:val="3"/>
        <w:jc w:val="center"/>
        <w:rPr>
          <w:color w:val="auto"/>
          <w:highlight w:val="none"/>
        </w:rPr>
        <w:sectPr>
          <w:footerReference r:id="rId13" w:type="first"/>
          <w:footerReference r:id="rId12" w:type="default"/>
          <w:pgSz w:w="11911" w:h="16838"/>
          <w:pgMar w:top="1134" w:right="1134" w:bottom="1134" w:left="1134" w:header="720" w:footer="720" w:gutter="0"/>
          <w:cols w:space="720" w:num="1"/>
        </w:sectPr>
      </w:pPr>
      <w:bookmarkStart w:id="156" w:name="_Toc6476"/>
      <w:bookmarkStart w:id="157" w:name="_Toc27282"/>
      <w:bookmarkStart w:id="158" w:name="_Toc7776"/>
      <w:bookmarkStart w:id="159" w:name="_Toc26272"/>
      <w:bookmarkStart w:id="160" w:name="_Toc5005"/>
      <w:bookmarkStart w:id="161" w:name="_Toc80886941"/>
      <w:bookmarkStart w:id="162" w:name="_Toc12792"/>
      <w:bookmarkStart w:id="163" w:name="_Toc12890"/>
      <w:r>
        <w:rPr>
          <w:rFonts w:hint="eastAsia" w:ascii="Calibri" w:hAnsi="Calibri"/>
          <w:color w:val="auto"/>
          <w:highlight w:val="none"/>
        </w:rPr>
        <w:t>第五章 响应文件格式</w:t>
      </w:r>
      <w:bookmarkEnd w:id="156"/>
      <w:bookmarkEnd w:id="157"/>
      <w:bookmarkEnd w:id="158"/>
      <w:bookmarkEnd w:id="159"/>
      <w:bookmarkEnd w:id="160"/>
      <w:bookmarkEnd w:id="161"/>
      <w:bookmarkEnd w:id="162"/>
      <w:bookmarkEnd w:id="163"/>
    </w:p>
    <w:p w14:paraId="333E3687">
      <w:pPr>
        <w:pStyle w:val="4"/>
        <w:jc w:val="center"/>
        <w:rPr>
          <w:rFonts w:ascii="Times New Roman" w:hAnsi="Times New Roman"/>
          <w:bCs w:val="0"/>
          <w:color w:val="auto"/>
          <w:highlight w:val="none"/>
        </w:rPr>
      </w:pPr>
      <w:bookmarkStart w:id="164" w:name="_Toc80886943"/>
      <w:bookmarkStart w:id="165" w:name="_Toc80205939"/>
      <w:bookmarkStart w:id="166" w:name="_Toc12994"/>
      <w:bookmarkStart w:id="167" w:name="_Toc22245"/>
      <w:r>
        <w:rPr>
          <w:rFonts w:ascii="Times New Roman" w:hAnsi="Times New Roman"/>
          <w:bCs w:val="0"/>
          <w:color w:val="auto"/>
          <w:highlight w:val="none"/>
        </w:rPr>
        <w:t>第一节 资格证明文件格式</w:t>
      </w:r>
      <w:bookmarkEnd w:id="164"/>
      <w:bookmarkEnd w:id="165"/>
      <w:bookmarkEnd w:id="166"/>
      <w:bookmarkEnd w:id="167"/>
    </w:p>
    <w:p w14:paraId="770C167A">
      <w:pPr>
        <w:snapToGrid w:val="0"/>
        <w:spacing w:before="120" w:beforeLines="50" w:after="50"/>
        <w:jc w:val="left"/>
        <w:rPr>
          <w:color w:val="auto"/>
          <w:sz w:val="24"/>
          <w:highlight w:val="none"/>
        </w:rPr>
      </w:pPr>
      <w:r>
        <w:rPr>
          <w:b/>
          <w:bCs/>
          <w:color w:val="auto"/>
          <w:sz w:val="28"/>
          <w:szCs w:val="28"/>
          <w:highlight w:val="none"/>
        </w:rPr>
        <w:t>1.资格证明文件封面的格式：</w:t>
      </w:r>
      <w:r>
        <w:rPr>
          <w:color w:val="auto"/>
          <w:sz w:val="24"/>
          <w:highlight w:val="none"/>
        </w:rPr>
        <w:t xml:space="preserve">                                      </w:t>
      </w:r>
    </w:p>
    <w:p w14:paraId="4B08F552">
      <w:pPr>
        <w:snapToGrid w:val="0"/>
        <w:spacing w:before="120" w:beforeLines="50" w:after="50"/>
        <w:ind w:firstLine="6930" w:firstLineChars="3300"/>
        <w:rPr>
          <w:bCs/>
          <w:color w:val="auto"/>
          <w:sz w:val="32"/>
          <w:szCs w:val="20"/>
          <w:highlight w:val="none"/>
        </w:rPr>
      </w:pPr>
      <w:r>
        <w:rPr>
          <w:bCs/>
          <w:color w:val="auto"/>
          <w:highlight w:val="none"/>
        </w:rPr>
        <w:t>全流程电子文件</w:t>
      </w:r>
    </w:p>
    <w:p w14:paraId="0C90F7A2">
      <w:pPr>
        <w:snapToGrid w:val="0"/>
        <w:spacing w:before="120" w:beforeLines="50" w:after="50"/>
        <w:rPr>
          <w:color w:val="auto"/>
          <w:sz w:val="24"/>
          <w:szCs w:val="20"/>
          <w:highlight w:val="none"/>
        </w:rPr>
      </w:pPr>
    </w:p>
    <w:p w14:paraId="0E6BFD00">
      <w:pPr>
        <w:snapToGrid w:val="0"/>
        <w:spacing w:before="120" w:beforeLines="50" w:after="50"/>
        <w:rPr>
          <w:color w:val="auto"/>
          <w:sz w:val="24"/>
          <w:szCs w:val="20"/>
          <w:highlight w:val="none"/>
        </w:rPr>
      </w:pPr>
    </w:p>
    <w:p w14:paraId="132732FC">
      <w:pPr>
        <w:snapToGrid w:val="0"/>
        <w:spacing w:before="120" w:beforeLines="50" w:after="50"/>
        <w:jc w:val="center"/>
        <w:rPr>
          <w:rFonts w:ascii="宋体" w:hAnsi="宋体" w:cs="宋体"/>
          <w:b/>
          <w:color w:val="auto"/>
          <w:sz w:val="44"/>
          <w:szCs w:val="44"/>
          <w:highlight w:val="none"/>
        </w:rPr>
      </w:pPr>
      <w:r>
        <w:rPr>
          <w:rFonts w:hint="eastAsia" w:ascii="宋体" w:hAnsi="宋体" w:cs="宋体"/>
          <w:b/>
          <w:color w:val="auto"/>
          <w:sz w:val="44"/>
          <w:szCs w:val="44"/>
          <w:highlight w:val="none"/>
        </w:rPr>
        <w:t>资  格  证  明  文  件</w:t>
      </w:r>
    </w:p>
    <w:p w14:paraId="2D814AC4">
      <w:pPr>
        <w:snapToGrid w:val="0"/>
        <w:spacing w:before="120" w:beforeLines="50" w:after="50"/>
        <w:rPr>
          <w:bCs/>
          <w:color w:val="auto"/>
          <w:sz w:val="24"/>
          <w:szCs w:val="20"/>
          <w:highlight w:val="none"/>
        </w:rPr>
      </w:pPr>
    </w:p>
    <w:p w14:paraId="69AF3986">
      <w:pPr>
        <w:snapToGrid w:val="0"/>
        <w:spacing w:before="120" w:beforeLines="50" w:after="50"/>
        <w:rPr>
          <w:bCs/>
          <w:color w:val="auto"/>
          <w:sz w:val="24"/>
          <w:szCs w:val="20"/>
          <w:highlight w:val="none"/>
        </w:rPr>
      </w:pPr>
    </w:p>
    <w:p w14:paraId="254B73C9">
      <w:pPr>
        <w:snapToGrid w:val="0"/>
        <w:spacing w:before="120" w:beforeLines="50" w:after="50"/>
        <w:rPr>
          <w:bCs/>
          <w:color w:val="auto"/>
          <w:sz w:val="24"/>
          <w:szCs w:val="20"/>
          <w:highlight w:val="none"/>
        </w:rPr>
      </w:pPr>
    </w:p>
    <w:p w14:paraId="02334210">
      <w:pPr>
        <w:snapToGrid w:val="0"/>
        <w:spacing w:before="120" w:beforeLines="50" w:after="50"/>
        <w:rPr>
          <w:bCs/>
          <w:color w:val="auto"/>
          <w:sz w:val="24"/>
          <w:szCs w:val="20"/>
          <w:highlight w:val="none"/>
        </w:rPr>
      </w:pPr>
    </w:p>
    <w:p w14:paraId="47DDE7B2">
      <w:pPr>
        <w:snapToGrid w:val="0"/>
        <w:spacing w:before="120" w:beforeLines="50" w:after="50"/>
        <w:rPr>
          <w:bCs/>
          <w:color w:val="auto"/>
          <w:sz w:val="24"/>
          <w:szCs w:val="20"/>
          <w:highlight w:val="none"/>
        </w:rPr>
      </w:pPr>
    </w:p>
    <w:p w14:paraId="2B0FF9F7">
      <w:pPr>
        <w:snapToGrid w:val="0"/>
        <w:spacing w:before="120" w:beforeLines="50" w:after="50"/>
        <w:ind w:firstLine="640" w:firstLineChars="200"/>
        <w:rPr>
          <w:bCs/>
          <w:color w:val="auto"/>
          <w:sz w:val="32"/>
          <w:szCs w:val="32"/>
          <w:highlight w:val="none"/>
        </w:rPr>
      </w:pPr>
      <w:r>
        <w:rPr>
          <w:bCs/>
          <w:color w:val="auto"/>
          <w:sz w:val="32"/>
          <w:szCs w:val="32"/>
          <w:highlight w:val="none"/>
        </w:rPr>
        <w:t>项目名称：</w:t>
      </w:r>
    </w:p>
    <w:p w14:paraId="4A13A3EF">
      <w:pPr>
        <w:snapToGrid w:val="0"/>
        <w:spacing w:before="120" w:beforeLines="50" w:after="50"/>
        <w:ind w:firstLine="720" w:firstLineChars="225"/>
        <w:rPr>
          <w:bCs/>
          <w:color w:val="auto"/>
          <w:sz w:val="32"/>
          <w:szCs w:val="32"/>
          <w:highlight w:val="none"/>
        </w:rPr>
      </w:pPr>
    </w:p>
    <w:p w14:paraId="0AF2DD51">
      <w:pPr>
        <w:snapToGrid w:val="0"/>
        <w:spacing w:before="120" w:beforeLines="50" w:after="50"/>
        <w:ind w:firstLine="720" w:firstLineChars="225"/>
        <w:rPr>
          <w:bCs/>
          <w:color w:val="auto"/>
          <w:sz w:val="32"/>
          <w:szCs w:val="32"/>
          <w:highlight w:val="none"/>
        </w:rPr>
      </w:pPr>
      <w:r>
        <w:rPr>
          <w:bCs/>
          <w:color w:val="auto"/>
          <w:sz w:val="32"/>
          <w:szCs w:val="32"/>
          <w:highlight w:val="none"/>
        </w:rPr>
        <w:t>项目编号：</w:t>
      </w:r>
    </w:p>
    <w:p w14:paraId="6D877170">
      <w:pPr>
        <w:snapToGrid w:val="0"/>
        <w:spacing w:before="120" w:beforeLines="50" w:after="50"/>
        <w:ind w:firstLine="720" w:firstLineChars="225"/>
        <w:rPr>
          <w:bCs/>
          <w:color w:val="auto"/>
          <w:sz w:val="32"/>
          <w:szCs w:val="32"/>
          <w:highlight w:val="none"/>
        </w:rPr>
      </w:pPr>
      <w:r>
        <w:rPr>
          <w:bCs/>
          <w:color w:val="auto"/>
          <w:sz w:val="32"/>
          <w:szCs w:val="32"/>
          <w:highlight w:val="none"/>
        </w:rPr>
        <w:t xml:space="preserve"> </w:t>
      </w:r>
    </w:p>
    <w:p w14:paraId="4AFE66C2">
      <w:pPr>
        <w:snapToGrid w:val="0"/>
        <w:spacing w:before="120" w:beforeLines="50" w:after="50"/>
        <w:ind w:firstLine="720" w:firstLineChars="225"/>
        <w:rPr>
          <w:bCs/>
          <w:color w:val="auto"/>
          <w:sz w:val="32"/>
          <w:szCs w:val="32"/>
          <w:highlight w:val="none"/>
        </w:rPr>
      </w:pPr>
      <w:r>
        <w:rPr>
          <w:bCs/>
          <w:color w:val="auto"/>
          <w:sz w:val="32"/>
          <w:szCs w:val="32"/>
          <w:highlight w:val="none"/>
        </w:rPr>
        <w:t>所竞分标（如有则填写，无分标时填写“无”或者留空）：</w:t>
      </w:r>
    </w:p>
    <w:p w14:paraId="6EA21F5E">
      <w:pPr>
        <w:snapToGrid w:val="0"/>
        <w:spacing w:before="120" w:beforeLines="50" w:after="50"/>
        <w:ind w:firstLine="720" w:firstLineChars="225"/>
        <w:rPr>
          <w:bCs/>
          <w:color w:val="auto"/>
          <w:sz w:val="32"/>
          <w:szCs w:val="32"/>
          <w:highlight w:val="none"/>
        </w:rPr>
      </w:pPr>
    </w:p>
    <w:p w14:paraId="65BAB206">
      <w:pPr>
        <w:pStyle w:val="8"/>
        <w:snapToGrid w:val="0"/>
        <w:spacing w:before="50" w:after="50"/>
        <w:ind w:firstLine="720" w:firstLineChars="225"/>
        <w:rPr>
          <w:bCs/>
          <w:color w:val="auto"/>
          <w:sz w:val="32"/>
          <w:szCs w:val="32"/>
          <w:highlight w:val="none"/>
        </w:rPr>
      </w:pPr>
      <w:r>
        <w:rPr>
          <w:bCs/>
          <w:color w:val="auto"/>
          <w:sz w:val="32"/>
          <w:szCs w:val="32"/>
          <w:highlight w:val="none"/>
        </w:rPr>
        <w:t>供应商名称：</w:t>
      </w:r>
    </w:p>
    <w:p w14:paraId="271A981B">
      <w:pPr>
        <w:pStyle w:val="8"/>
        <w:snapToGrid w:val="0"/>
        <w:spacing w:before="50" w:after="50"/>
        <w:ind w:firstLine="720" w:firstLineChars="225"/>
        <w:rPr>
          <w:bCs/>
          <w:color w:val="auto"/>
          <w:sz w:val="32"/>
          <w:szCs w:val="32"/>
          <w:highlight w:val="none"/>
        </w:rPr>
      </w:pPr>
    </w:p>
    <w:p w14:paraId="4DD37E4D">
      <w:pPr>
        <w:pStyle w:val="8"/>
        <w:snapToGrid w:val="0"/>
        <w:spacing w:before="50" w:after="50"/>
        <w:ind w:firstLine="720" w:firstLineChars="225"/>
        <w:rPr>
          <w:bCs/>
          <w:color w:val="auto"/>
          <w:sz w:val="32"/>
          <w:szCs w:val="32"/>
          <w:highlight w:val="none"/>
        </w:rPr>
      </w:pPr>
    </w:p>
    <w:p w14:paraId="581CB963">
      <w:pPr>
        <w:pStyle w:val="8"/>
        <w:snapToGrid w:val="0"/>
        <w:spacing w:before="50" w:after="50"/>
        <w:ind w:firstLine="720" w:firstLineChars="225"/>
        <w:rPr>
          <w:bCs/>
          <w:color w:val="auto"/>
          <w:sz w:val="32"/>
          <w:szCs w:val="32"/>
          <w:highlight w:val="none"/>
        </w:rPr>
      </w:pPr>
    </w:p>
    <w:p w14:paraId="08A261B0">
      <w:pPr>
        <w:pStyle w:val="8"/>
        <w:snapToGrid w:val="0"/>
        <w:spacing w:before="50" w:after="50"/>
        <w:ind w:firstLine="1280" w:firstLineChars="400"/>
        <w:rPr>
          <w:bCs/>
          <w:color w:val="auto"/>
          <w:sz w:val="32"/>
          <w:szCs w:val="32"/>
          <w:highlight w:val="none"/>
        </w:rPr>
      </w:pPr>
    </w:p>
    <w:p w14:paraId="24F61FC7">
      <w:pPr>
        <w:snapToGrid w:val="0"/>
        <w:spacing w:before="120" w:beforeLines="50" w:after="50"/>
        <w:jc w:val="center"/>
        <w:rPr>
          <w:color w:val="auto"/>
          <w:sz w:val="32"/>
          <w:szCs w:val="32"/>
          <w:highlight w:val="none"/>
        </w:rPr>
      </w:pPr>
      <w:r>
        <w:rPr>
          <w:color w:val="auto"/>
          <w:sz w:val="32"/>
          <w:szCs w:val="32"/>
          <w:highlight w:val="none"/>
        </w:rPr>
        <w:t>年    月    日</w:t>
      </w:r>
    </w:p>
    <w:p w14:paraId="42877C52">
      <w:pPr>
        <w:snapToGrid w:val="0"/>
        <w:spacing w:before="120" w:beforeLines="50" w:after="50" w:line="360" w:lineRule="auto"/>
        <w:jc w:val="left"/>
        <w:rPr>
          <w:b/>
          <w:bCs/>
          <w:color w:val="auto"/>
          <w:sz w:val="28"/>
          <w:szCs w:val="28"/>
          <w:highlight w:val="none"/>
        </w:rPr>
      </w:pPr>
      <w:r>
        <w:rPr>
          <w:color w:val="auto"/>
          <w:sz w:val="24"/>
          <w:highlight w:val="none"/>
        </w:rPr>
        <w:br w:type="page"/>
      </w:r>
      <w:r>
        <w:rPr>
          <w:b/>
          <w:bCs/>
          <w:color w:val="auto"/>
          <w:sz w:val="28"/>
          <w:szCs w:val="28"/>
          <w:highlight w:val="none"/>
        </w:rPr>
        <w:t>2.资格证明文件目录</w:t>
      </w:r>
    </w:p>
    <w:p w14:paraId="6878A37E">
      <w:pPr>
        <w:spacing w:line="360" w:lineRule="auto"/>
        <w:rPr>
          <w:rFonts w:ascii="宋体" w:hAnsi="宋体" w:cs="宋体"/>
          <w:b/>
          <w:bCs/>
          <w:color w:val="auto"/>
          <w:sz w:val="24"/>
          <w:highlight w:val="none"/>
        </w:rPr>
      </w:pPr>
      <w:r>
        <w:rPr>
          <w:color w:val="auto"/>
          <w:sz w:val="28"/>
          <w:szCs w:val="28"/>
          <w:highlight w:val="none"/>
        </w:rPr>
        <w:t xml:space="preserve">  </w:t>
      </w:r>
      <w:r>
        <w:rPr>
          <w:rFonts w:hint="eastAsia" w:ascii="宋体" w:hAnsi="宋体" w:cs="宋体"/>
          <w:color w:val="auto"/>
          <w:sz w:val="24"/>
          <w:highlight w:val="none"/>
        </w:rPr>
        <w:t xml:space="preserve">  根据竞争性磋商文件规定及供应商提供的材料自行编写目录（部分格式后附）。</w:t>
      </w:r>
    </w:p>
    <w:p w14:paraId="770E0706">
      <w:pPr>
        <w:spacing w:line="320" w:lineRule="exact"/>
        <w:jc w:val="left"/>
        <w:rPr>
          <w:b/>
          <w:bCs/>
          <w:color w:val="auto"/>
          <w:sz w:val="28"/>
          <w:szCs w:val="28"/>
          <w:highlight w:val="none"/>
        </w:rPr>
      </w:pPr>
      <w:r>
        <w:rPr>
          <w:color w:val="auto"/>
          <w:szCs w:val="21"/>
          <w:highlight w:val="none"/>
        </w:rPr>
        <w:br w:type="page"/>
      </w:r>
      <w:r>
        <w:rPr>
          <w:b/>
          <w:bCs/>
          <w:color w:val="auto"/>
          <w:kern w:val="0"/>
          <w:sz w:val="28"/>
          <w:szCs w:val="28"/>
          <w:highlight w:val="none"/>
        </w:rPr>
        <w:t>3.</w:t>
      </w:r>
      <w:r>
        <w:rPr>
          <w:rFonts w:hint="eastAsia"/>
          <w:b/>
          <w:bCs/>
          <w:color w:val="auto"/>
          <w:kern w:val="0"/>
          <w:sz w:val="28"/>
          <w:szCs w:val="28"/>
          <w:highlight w:val="none"/>
        </w:rPr>
        <w:t>声明函</w:t>
      </w:r>
      <w:r>
        <w:rPr>
          <w:b/>
          <w:bCs/>
          <w:color w:val="auto"/>
          <w:kern w:val="0"/>
          <w:sz w:val="28"/>
          <w:szCs w:val="28"/>
          <w:highlight w:val="none"/>
        </w:rPr>
        <w:t>的格式：</w:t>
      </w:r>
    </w:p>
    <w:p w14:paraId="2A60AA3F">
      <w:pPr>
        <w:spacing w:line="320" w:lineRule="exact"/>
        <w:jc w:val="center"/>
        <w:rPr>
          <w:b/>
          <w:color w:val="auto"/>
          <w:sz w:val="32"/>
          <w:szCs w:val="32"/>
          <w:highlight w:val="none"/>
        </w:rPr>
      </w:pPr>
    </w:p>
    <w:p w14:paraId="2589A957">
      <w:pPr>
        <w:spacing w:line="320" w:lineRule="exact"/>
        <w:jc w:val="center"/>
        <w:rPr>
          <w:b/>
          <w:color w:val="auto"/>
          <w:sz w:val="32"/>
          <w:szCs w:val="32"/>
          <w:highlight w:val="none"/>
        </w:rPr>
      </w:pPr>
      <w:r>
        <w:rPr>
          <w:rFonts w:hint="eastAsia"/>
          <w:b/>
          <w:color w:val="auto"/>
          <w:sz w:val="32"/>
          <w:szCs w:val="32"/>
          <w:highlight w:val="none"/>
        </w:rPr>
        <w:t>声明函</w:t>
      </w:r>
    </w:p>
    <w:p w14:paraId="10BC98A6">
      <w:pPr>
        <w:spacing w:line="320" w:lineRule="exact"/>
        <w:jc w:val="center"/>
        <w:rPr>
          <w:color w:val="auto"/>
          <w:sz w:val="24"/>
          <w:szCs w:val="20"/>
          <w:highlight w:val="none"/>
        </w:rPr>
      </w:pPr>
    </w:p>
    <w:p w14:paraId="09EA9931">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（采购代理机构名称）</w:t>
      </w:r>
      <w:r>
        <w:rPr>
          <w:rFonts w:hint="eastAsia" w:ascii="宋体" w:hAnsi="宋体" w:cs="宋体"/>
          <w:color w:val="auto"/>
          <w:szCs w:val="21"/>
          <w:highlight w:val="none"/>
        </w:rPr>
        <w:t>：</w:t>
      </w:r>
    </w:p>
    <w:p w14:paraId="37AFEF56">
      <w:pPr>
        <w:spacing w:line="400" w:lineRule="exact"/>
        <w:ind w:firstLine="420" w:firstLineChars="200"/>
        <w:contextualSpacing/>
        <w:rPr>
          <w:rFonts w:ascii="宋体" w:hAnsi="宋体" w:cs="宋体"/>
          <w:color w:val="auto"/>
          <w:szCs w:val="21"/>
          <w:highlight w:val="none"/>
        </w:rPr>
      </w:pP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A0021C">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2319984E">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455593E">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4F19F5E">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11136945">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6B2C5DCA">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（2）已详细审查磋商文件的全部内容，包括澄清或者更正公告（如有）；</w:t>
      </w:r>
    </w:p>
    <w:p w14:paraId="60DFBDA5">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3DC470CA">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786C25A0">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0EDC8A91">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E7F3136">
      <w:pPr>
        <w:spacing w:line="4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8B0092">
      <w:pPr>
        <w:pStyle w:val="16"/>
        <w:tabs>
          <w:tab w:val="left" w:pos="939"/>
        </w:tabs>
        <w:spacing w:line="400" w:lineRule="exact"/>
        <w:ind w:left="0" w:leftChars="0" w:firstLine="420" w:firstLineChars="200"/>
        <w:rPr>
          <w:rFonts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以上事项如有虚假或者隐瞒，我方愿意承担一切后果，并不再寻求任何旨在减轻或者免除法律责任的辩解。</w:t>
      </w:r>
    </w:p>
    <w:p w14:paraId="0E9C5D15">
      <w:pPr>
        <w:pStyle w:val="16"/>
        <w:tabs>
          <w:tab w:val="left" w:pos="939"/>
        </w:tabs>
        <w:spacing w:line="400" w:lineRule="exact"/>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644D7A61">
      <w:pPr>
        <w:pStyle w:val="16"/>
        <w:tabs>
          <w:tab w:val="left" w:pos="939"/>
        </w:tabs>
        <w:spacing w:line="4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注：如为联合体竞标，盖章处须加盖联合体各方公章，否则其响应文件按无效响应处理。</w:t>
      </w:r>
    </w:p>
    <w:p w14:paraId="61B6872C">
      <w:pPr>
        <w:pStyle w:val="16"/>
        <w:tabs>
          <w:tab w:val="left" w:pos="939"/>
        </w:tabs>
        <w:spacing w:line="400" w:lineRule="exact"/>
        <w:ind w:left="0" w:leftChars="0" w:firstLine="420" w:firstLineChars="200"/>
        <w:rPr>
          <w:rFonts w:ascii="宋体" w:hAnsi="宋体" w:cs="宋体"/>
          <w:color w:val="auto"/>
          <w:szCs w:val="21"/>
          <w:highlight w:val="none"/>
        </w:rPr>
      </w:pPr>
    </w:p>
    <w:p w14:paraId="2C734214">
      <w:pPr>
        <w:autoSpaceDE w:val="0"/>
        <w:autoSpaceDN w:val="0"/>
        <w:ind w:left="4305" w:leftChars="1850" w:hanging="420" w:hangingChars="200"/>
        <w:rPr>
          <w:rFonts w:ascii="宋体" w:hAnsi="宋体" w:cs="宋体"/>
          <w:color w:val="auto"/>
          <w:kern w:val="0"/>
          <w:szCs w:val="21"/>
          <w:highlight w:val="none"/>
        </w:rPr>
      </w:pPr>
    </w:p>
    <w:p w14:paraId="13D50974">
      <w:pPr>
        <w:autoSpaceDE w:val="0"/>
        <w:autoSpaceDN w:val="0"/>
        <w:ind w:left="4305" w:leftChars="1850" w:hanging="420" w:hangingChars="200"/>
        <w:rPr>
          <w:rFonts w:ascii="宋体" w:hAnsi="宋体" w:cs="宋体"/>
          <w:color w:val="auto"/>
          <w:kern w:val="0"/>
          <w:szCs w:val="21"/>
          <w:highlight w:val="none"/>
        </w:rPr>
      </w:pPr>
    </w:p>
    <w:p w14:paraId="7DD48FA1">
      <w:pPr>
        <w:autoSpaceDE w:val="0"/>
        <w:autoSpaceDN w:val="0"/>
        <w:spacing w:line="360" w:lineRule="auto"/>
        <w:ind w:left="4305" w:leftChars="1850" w:hanging="420" w:hangingChars="200"/>
        <w:rPr>
          <w:rFonts w:ascii="宋体" w:hAnsi="宋体" w:cs="宋体"/>
          <w:color w:val="auto"/>
          <w:kern w:val="0"/>
          <w:szCs w:val="21"/>
          <w:highlight w:val="none"/>
        </w:rPr>
      </w:pPr>
      <w:r>
        <w:rPr>
          <w:rFonts w:hint="eastAsia" w:ascii="宋体" w:hAnsi="宋体" w:cs="宋体"/>
          <w:color w:val="auto"/>
          <w:kern w:val="0"/>
          <w:szCs w:val="21"/>
          <w:highlight w:val="none"/>
        </w:rPr>
        <w:t>供应商名称（盖公章）：</w:t>
      </w:r>
    </w:p>
    <w:p w14:paraId="46B9C565">
      <w:pPr>
        <w:autoSpaceDE w:val="0"/>
        <w:autoSpaceDN w:val="0"/>
        <w:spacing w:line="360" w:lineRule="auto"/>
        <w:ind w:firstLine="5355" w:firstLineChars="2550"/>
        <w:rPr>
          <w:rFonts w:ascii="宋体" w:hAnsi="宋体" w:cs="宋体"/>
          <w:color w:val="auto"/>
          <w:kern w:val="0"/>
          <w:szCs w:val="21"/>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Cs w:val="21"/>
          <w:highlight w:val="none"/>
          <w:lang w:val="zh-CN"/>
        </w:rPr>
        <w:t>日期：  年  月   日</w:t>
      </w:r>
    </w:p>
    <w:p w14:paraId="5938FAE0">
      <w:pPr>
        <w:pStyle w:val="8"/>
        <w:overflowPunct w:val="0"/>
        <w:spacing w:line="520" w:lineRule="exact"/>
        <w:ind w:firstLine="0"/>
        <w:rPr>
          <w:b/>
          <w:bCs/>
          <w:color w:val="auto"/>
          <w:sz w:val="28"/>
          <w:szCs w:val="28"/>
          <w:highlight w:val="none"/>
        </w:rPr>
      </w:pPr>
      <w:r>
        <w:rPr>
          <w:b/>
          <w:color w:val="auto"/>
          <w:kern w:val="0"/>
          <w:sz w:val="28"/>
          <w:szCs w:val="28"/>
          <w:highlight w:val="none"/>
        </w:rPr>
        <w:t>4.联合体竞标协议书的格式：</w:t>
      </w:r>
    </w:p>
    <w:p w14:paraId="5F0B5128">
      <w:pPr>
        <w:spacing w:line="600" w:lineRule="exact"/>
        <w:jc w:val="center"/>
        <w:rPr>
          <w:rFonts w:ascii="方正小标宋简体" w:hAnsi="方正小标宋简体" w:eastAsia="方正小标宋简体" w:cs="方正小标宋简体"/>
          <w:color w:val="auto"/>
          <w:sz w:val="44"/>
          <w:szCs w:val="44"/>
          <w:highlight w:val="none"/>
        </w:rPr>
      </w:pPr>
    </w:p>
    <w:p w14:paraId="159D8EC2">
      <w:pPr>
        <w:spacing w:line="600" w:lineRule="exact"/>
        <w:jc w:val="center"/>
        <w:rPr>
          <w:b/>
          <w:bCs/>
          <w:color w:val="auto"/>
          <w:sz w:val="32"/>
          <w:szCs w:val="32"/>
          <w:highlight w:val="none"/>
        </w:rPr>
      </w:pPr>
      <w:r>
        <w:rPr>
          <w:b/>
          <w:bCs/>
          <w:color w:val="auto"/>
          <w:sz w:val="32"/>
          <w:szCs w:val="32"/>
          <w:highlight w:val="none"/>
        </w:rPr>
        <w:t>联合体竞标协议书</w:t>
      </w:r>
    </w:p>
    <w:p w14:paraId="1B08C560">
      <w:pPr>
        <w:autoSpaceDE w:val="0"/>
        <w:autoSpaceDN w:val="0"/>
        <w:adjustRightInd w:val="0"/>
        <w:spacing w:line="360" w:lineRule="auto"/>
        <w:jc w:val="left"/>
        <w:rPr>
          <w:color w:val="auto"/>
          <w:kern w:val="0"/>
          <w:szCs w:val="21"/>
          <w:highlight w:val="none"/>
          <w:u w:val="single"/>
        </w:rPr>
      </w:pPr>
    </w:p>
    <w:p w14:paraId="793924C0">
      <w:pPr>
        <w:autoSpaceDE w:val="0"/>
        <w:autoSpaceDN w:val="0"/>
        <w:adjustRightInd w:val="0"/>
        <w:spacing w:line="360" w:lineRule="exact"/>
        <w:jc w:val="left"/>
        <w:rPr>
          <w:color w:val="auto"/>
          <w:kern w:val="0"/>
          <w:szCs w:val="21"/>
          <w:highlight w:val="none"/>
        </w:rPr>
      </w:pPr>
      <w:r>
        <w:rPr>
          <w:color w:val="auto"/>
          <w:kern w:val="0"/>
          <w:szCs w:val="21"/>
          <w:highlight w:val="none"/>
          <w:u w:val="single"/>
        </w:rPr>
        <w:t xml:space="preserve">        </w:t>
      </w:r>
      <w:r>
        <w:rPr>
          <w:rFonts w:hint="eastAsia"/>
          <w:color w:val="auto"/>
          <w:kern w:val="0"/>
          <w:szCs w:val="21"/>
          <w:highlight w:val="none"/>
          <w:u w:val="single"/>
        </w:rPr>
        <w:t xml:space="preserve">   </w:t>
      </w:r>
      <w:r>
        <w:rPr>
          <w:color w:val="auto"/>
          <w:kern w:val="0"/>
          <w:szCs w:val="21"/>
          <w:highlight w:val="none"/>
          <w:u w:val="single"/>
        </w:rPr>
        <w:t xml:space="preserve">   </w:t>
      </w:r>
      <w:r>
        <w:rPr>
          <w:color w:val="auto"/>
          <w:kern w:val="0"/>
          <w:szCs w:val="21"/>
          <w:highlight w:val="none"/>
        </w:rPr>
        <w:t>（所有成员单位名称）自愿组成联合体，共同参加</w:t>
      </w:r>
      <w:r>
        <w:rPr>
          <w:color w:val="auto"/>
          <w:kern w:val="0"/>
          <w:szCs w:val="21"/>
          <w:highlight w:val="none"/>
          <w:u w:val="single"/>
        </w:rPr>
        <w:t xml:space="preserve">     </w:t>
      </w:r>
      <w:r>
        <w:rPr>
          <w:i/>
          <w:iCs/>
          <w:color w:val="auto"/>
          <w:kern w:val="0"/>
          <w:szCs w:val="21"/>
          <w:highlight w:val="none"/>
          <w:u w:val="single"/>
        </w:rPr>
        <w:t>（采购代理机构名称）</w:t>
      </w:r>
      <w:r>
        <w:rPr>
          <w:color w:val="auto"/>
          <w:kern w:val="0"/>
          <w:szCs w:val="21"/>
          <w:highlight w:val="none"/>
          <w:u w:val="single"/>
        </w:rPr>
        <w:t xml:space="preserve">    </w:t>
      </w:r>
      <w:r>
        <w:rPr>
          <w:color w:val="auto"/>
          <w:kern w:val="0"/>
          <w:szCs w:val="21"/>
          <w:highlight w:val="none"/>
        </w:rPr>
        <w:t>组织的</w:t>
      </w:r>
      <w:r>
        <w:rPr>
          <w:color w:val="auto"/>
          <w:kern w:val="0"/>
          <w:szCs w:val="21"/>
          <w:highlight w:val="none"/>
          <w:u w:val="single"/>
        </w:rPr>
        <w:t xml:space="preserve">        </w:t>
      </w:r>
      <w:r>
        <w:rPr>
          <w:i/>
          <w:iCs/>
          <w:color w:val="auto"/>
          <w:kern w:val="0"/>
          <w:szCs w:val="21"/>
          <w:highlight w:val="none"/>
          <w:u w:val="single"/>
        </w:rPr>
        <w:t xml:space="preserve"> （项目名称）</w:t>
      </w:r>
      <w:r>
        <w:rPr>
          <w:color w:val="auto"/>
          <w:kern w:val="0"/>
          <w:szCs w:val="21"/>
          <w:highlight w:val="none"/>
          <w:u w:val="single"/>
        </w:rPr>
        <w:t xml:space="preserve">         </w:t>
      </w:r>
      <w:r>
        <w:rPr>
          <w:color w:val="auto"/>
          <w:kern w:val="0"/>
          <w:szCs w:val="21"/>
          <w:highlight w:val="none"/>
        </w:rPr>
        <w:t>（项目编号：</w:t>
      </w:r>
      <w:r>
        <w:rPr>
          <w:i/>
          <w:iCs/>
          <w:color w:val="auto"/>
          <w:kern w:val="0"/>
          <w:szCs w:val="21"/>
          <w:highlight w:val="none"/>
          <w:u w:val="single"/>
        </w:rPr>
        <w:t>（项目编号）</w:t>
      </w:r>
      <w:r>
        <w:rPr>
          <w:color w:val="auto"/>
          <w:kern w:val="0"/>
          <w:szCs w:val="21"/>
          <w:highlight w:val="none"/>
          <w:u w:val="single"/>
        </w:rPr>
        <w:t xml:space="preserve"> </w:t>
      </w:r>
      <w:r>
        <w:rPr>
          <w:color w:val="auto"/>
          <w:kern w:val="0"/>
          <w:szCs w:val="21"/>
          <w:highlight w:val="none"/>
        </w:rPr>
        <w:t>）竞争性磋商采购。现就联合体竞标事宜订立如下协议：</w:t>
      </w:r>
    </w:p>
    <w:p w14:paraId="66D84226">
      <w:pPr>
        <w:autoSpaceDE w:val="0"/>
        <w:autoSpaceDN w:val="0"/>
        <w:adjustRightInd w:val="0"/>
        <w:spacing w:line="360" w:lineRule="exact"/>
        <w:ind w:firstLine="420"/>
        <w:jc w:val="left"/>
        <w:rPr>
          <w:color w:val="auto"/>
          <w:kern w:val="0"/>
          <w:szCs w:val="21"/>
          <w:highlight w:val="none"/>
        </w:rPr>
      </w:pPr>
      <w:r>
        <w:rPr>
          <w:color w:val="auto"/>
          <w:kern w:val="0"/>
          <w:szCs w:val="21"/>
          <w:highlight w:val="none"/>
        </w:rPr>
        <w:t>1、</w:t>
      </w:r>
      <w:r>
        <w:rPr>
          <w:color w:val="auto"/>
          <w:kern w:val="0"/>
          <w:szCs w:val="21"/>
          <w:highlight w:val="none"/>
          <w:u w:val="single"/>
        </w:rPr>
        <w:t xml:space="preserve">                         </w:t>
      </w:r>
      <w:r>
        <w:rPr>
          <w:color w:val="auto"/>
          <w:kern w:val="0"/>
          <w:szCs w:val="21"/>
          <w:highlight w:val="none"/>
        </w:rPr>
        <w:t>（某成员单位名称）为联合体名称牵头人。</w:t>
      </w:r>
    </w:p>
    <w:p w14:paraId="695CB6D7">
      <w:pPr>
        <w:autoSpaceDE w:val="0"/>
        <w:autoSpaceDN w:val="0"/>
        <w:adjustRightInd w:val="0"/>
        <w:spacing w:line="360" w:lineRule="exact"/>
        <w:ind w:firstLine="420"/>
        <w:jc w:val="left"/>
        <w:rPr>
          <w:color w:val="auto"/>
          <w:kern w:val="0"/>
          <w:szCs w:val="21"/>
          <w:highlight w:val="none"/>
        </w:rPr>
      </w:pPr>
      <w:r>
        <w:rPr>
          <w:color w:val="auto"/>
          <w:kern w:val="0"/>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F9B3AC5">
      <w:pPr>
        <w:autoSpaceDE w:val="0"/>
        <w:autoSpaceDN w:val="0"/>
        <w:adjustRightInd w:val="0"/>
        <w:spacing w:line="360" w:lineRule="exact"/>
        <w:ind w:firstLine="420"/>
        <w:jc w:val="left"/>
        <w:rPr>
          <w:color w:val="auto"/>
          <w:kern w:val="0"/>
          <w:szCs w:val="21"/>
          <w:highlight w:val="none"/>
        </w:rPr>
      </w:pPr>
      <w:r>
        <w:rPr>
          <w:color w:val="auto"/>
          <w:kern w:val="0"/>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B324277">
      <w:pPr>
        <w:autoSpaceDE w:val="0"/>
        <w:autoSpaceDN w:val="0"/>
        <w:adjustRightInd w:val="0"/>
        <w:spacing w:line="360" w:lineRule="exact"/>
        <w:ind w:left="479" w:leftChars="228"/>
        <w:jc w:val="left"/>
        <w:rPr>
          <w:color w:val="auto"/>
          <w:kern w:val="0"/>
          <w:szCs w:val="21"/>
          <w:highlight w:val="none"/>
        </w:rPr>
      </w:pPr>
      <w:r>
        <w:rPr>
          <w:color w:val="auto"/>
          <w:kern w:val="0"/>
          <w:szCs w:val="21"/>
          <w:highlight w:val="none"/>
        </w:rPr>
        <w:t>4、联合体各成员单位内部的职责分工如下：</w:t>
      </w:r>
      <w:r>
        <w:rPr>
          <w:color w:val="auto"/>
          <w:kern w:val="0"/>
          <w:szCs w:val="21"/>
          <w:highlight w:val="none"/>
          <w:u w:val="single"/>
        </w:rPr>
        <w:t xml:space="preserve">                                       </w:t>
      </w:r>
      <w:r>
        <w:rPr>
          <w:color w:val="auto"/>
          <w:kern w:val="0"/>
          <w:szCs w:val="21"/>
          <w:highlight w:val="none"/>
        </w:rPr>
        <w:t>。</w:t>
      </w:r>
    </w:p>
    <w:p w14:paraId="1388D723">
      <w:pPr>
        <w:spacing w:line="360" w:lineRule="exact"/>
        <w:ind w:firstLine="420" w:firstLineChars="200"/>
        <w:rPr>
          <w:color w:val="auto"/>
          <w:kern w:val="0"/>
          <w:szCs w:val="21"/>
          <w:highlight w:val="none"/>
        </w:rPr>
      </w:pPr>
      <w:r>
        <w:rPr>
          <w:color w:val="auto"/>
          <w:kern w:val="0"/>
          <w:szCs w:val="21"/>
          <w:highlight w:val="none"/>
        </w:rPr>
        <w:t>5、本联合体中，</w:t>
      </w:r>
      <w:r>
        <w:rPr>
          <w:color w:val="auto"/>
          <w:kern w:val="0"/>
          <w:szCs w:val="21"/>
          <w:highlight w:val="none"/>
          <w:u w:val="single"/>
        </w:rPr>
        <w:t xml:space="preserve">                         （某成员单位名称）为       </w:t>
      </w:r>
      <w:r>
        <w:rPr>
          <w:color w:val="auto"/>
          <w:kern w:val="0"/>
          <w:szCs w:val="21"/>
          <w:highlight w:val="none"/>
        </w:rPr>
        <w:t>（请填写：中型、小型、微型）企业，其协议合同金额占联合体协议合同总金额的</w:t>
      </w:r>
      <w:r>
        <w:rPr>
          <w:color w:val="auto"/>
          <w:kern w:val="0"/>
          <w:szCs w:val="21"/>
          <w:highlight w:val="none"/>
          <w:u w:val="single"/>
        </w:rPr>
        <w:t xml:space="preserve">       </w:t>
      </w:r>
      <w:r>
        <w:rPr>
          <w:color w:val="auto"/>
          <w:kern w:val="0"/>
          <w:szCs w:val="21"/>
          <w:highlight w:val="none"/>
        </w:rPr>
        <w:t>%。【如联合体成员中有小型、微型企业的，请填写此条，否则无需填写；如联合体成员中有多个小型、微型企业的，请逐一列出。】</w:t>
      </w:r>
    </w:p>
    <w:p w14:paraId="412C1AB5">
      <w:pPr>
        <w:autoSpaceDE w:val="0"/>
        <w:autoSpaceDN w:val="0"/>
        <w:adjustRightInd w:val="0"/>
        <w:spacing w:line="360" w:lineRule="exact"/>
        <w:ind w:firstLine="420"/>
        <w:jc w:val="left"/>
        <w:rPr>
          <w:color w:val="auto"/>
          <w:kern w:val="0"/>
          <w:szCs w:val="21"/>
          <w:highlight w:val="none"/>
        </w:rPr>
      </w:pPr>
      <w:r>
        <w:rPr>
          <w:color w:val="auto"/>
          <w:kern w:val="0"/>
          <w:szCs w:val="21"/>
          <w:highlight w:val="none"/>
        </w:rPr>
        <w:t>6、本协议书自签署之日起生效，合同履行完毕后自动失效。</w:t>
      </w:r>
    </w:p>
    <w:p w14:paraId="43794616">
      <w:pPr>
        <w:autoSpaceDE w:val="0"/>
        <w:autoSpaceDN w:val="0"/>
        <w:adjustRightInd w:val="0"/>
        <w:spacing w:line="360" w:lineRule="exact"/>
        <w:ind w:firstLine="420"/>
        <w:jc w:val="left"/>
        <w:rPr>
          <w:color w:val="auto"/>
          <w:kern w:val="0"/>
          <w:szCs w:val="21"/>
          <w:highlight w:val="none"/>
        </w:rPr>
      </w:pPr>
      <w:r>
        <w:rPr>
          <w:color w:val="auto"/>
          <w:kern w:val="0"/>
          <w:szCs w:val="21"/>
          <w:highlight w:val="none"/>
        </w:rPr>
        <w:t>7、本协议书一式</w:t>
      </w:r>
      <w:r>
        <w:rPr>
          <w:color w:val="auto"/>
          <w:kern w:val="0"/>
          <w:szCs w:val="21"/>
          <w:highlight w:val="none"/>
          <w:u w:val="single"/>
        </w:rPr>
        <w:t xml:space="preserve">    </w:t>
      </w:r>
      <w:r>
        <w:rPr>
          <w:color w:val="auto"/>
          <w:kern w:val="0"/>
          <w:szCs w:val="21"/>
          <w:highlight w:val="none"/>
        </w:rPr>
        <w:t>份，联合体成员和采购代理机构各执一份。</w:t>
      </w:r>
    </w:p>
    <w:p w14:paraId="081B11C8">
      <w:pPr>
        <w:autoSpaceDE w:val="0"/>
        <w:autoSpaceDN w:val="0"/>
        <w:adjustRightInd w:val="0"/>
        <w:spacing w:line="360" w:lineRule="exact"/>
        <w:ind w:firstLine="420"/>
        <w:jc w:val="left"/>
        <w:rPr>
          <w:color w:val="auto"/>
          <w:kern w:val="0"/>
          <w:szCs w:val="21"/>
          <w:highlight w:val="none"/>
        </w:rPr>
      </w:pPr>
      <w:r>
        <w:rPr>
          <w:color w:val="auto"/>
          <w:kern w:val="0"/>
          <w:szCs w:val="21"/>
          <w:highlight w:val="none"/>
        </w:rPr>
        <w:t>注：本协议书由法定代表人签字的，应附法定代表人身份证明；本协议书由委托代理人签字的，应附法定代表人授权委托书。</w:t>
      </w:r>
    </w:p>
    <w:p w14:paraId="468D57C6">
      <w:pPr>
        <w:pStyle w:val="8"/>
        <w:rPr>
          <w:color w:val="auto"/>
          <w:kern w:val="0"/>
          <w:szCs w:val="21"/>
          <w:highlight w:val="none"/>
        </w:rPr>
      </w:pPr>
    </w:p>
    <w:p w14:paraId="596EBC8D">
      <w:pPr>
        <w:pStyle w:val="8"/>
        <w:rPr>
          <w:color w:val="auto"/>
          <w:kern w:val="0"/>
          <w:szCs w:val="21"/>
          <w:highlight w:val="none"/>
        </w:rPr>
      </w:pPr>
    </w:p>
    <w:p w14:paraId="4A2E2093">
      <w:pPr>
        <w:pStyle w:val="8"/>
        <w:rPr>
          <w:color w:val="auto"/>
          <w:kern w:val="0"/>
          <w:szCs w:val="21"/>
          <w:highlight w:val="none"/>
        </w:rPr>
      </w:pPr>
    </w:p>
    <w:p w14:paraId="224811CD">
      <w:pPr>
        <w:pStyle w:val="8"/>
        <w:rPr>
          <w:color w:val="auto"/>
          <w:kern w:val="0"/>
          <w:szCs w:val="21"/>
          <w:highlight w:val="none"/>
        </w:rPr>
      </w:pPr>
    </w:p>
    <w:p w14:paraId="73A1B712">
      <w:pPr>
        <w:pStyle w:val="8"/>
        <w:rPr>
          <w:color w:val="auto"/>
          <w:kern w:val="0"/>
          <w:szCs w:val="21"/>
          <w:highlight w:val="none"/>
        </w:rPr>
      </w:pPr>
    </w:p>
    <w:p w14:paraId="5102FE6C">
      <w:pPr>
        <w:autoSpaceDE w:val="0"/>
        <w:autoSpaceDN w:val="0"/>
        <w:adjustRightInd w:val="0"/>
        <w:spacing w:line="360" w:lineRule="exact"/>
        <w:jc w:val="left"/>
        <w:rPr>
          <w:color w:val="auto"/>
          <w:kern w:val="0"/>
          <w:szCs w:val="21"/>
          <w:highlight w:val="none"/>
        </w:rPr>
      </w:pPr>
      <w:r>
        <w:rPr>
          <w:color w:val="auto"/>
          <w:kern w:val="0"/>
          <w:szCs w:val="21"/>
          <w:highlight w:val="none"/>
        </w:rPr>
        <w:t>牵头人名称：</w:t>
      </w:r>
      <w:r>
        <w:rPr>
          <w:color w:val="auto"/>
          <w:kern w:val="0"/>
          <w:szCs w:val="21"/>
          <w:highlight w:val="none"/>
          <w:u w:val="single"/>
        </w:rPr>
        <w:t xml:space="preserve">                                       </w:t>
      </w:r>
      <w:r>
        <w:rPr>
          <w:color w:val="auto"/>
          <w:kern w:val="0"/>
          <w:szCs w:val="21"/>
          <w:highlight w:val="none"/>
        </w:rPr>
        <w:t>（盖公章）</w:t>
      </w:r>
    </w:p>
    <w:p w14:paraId="5247AF9C">
      <w:pPr>
        <w:autoSpaceDE w:val="0"/>
        <w:autoSpaceDN w:val="0"/>
        <w:adjustRightInd w:val="0"/>
        <w:spacing w:line="360" w:lineRule="exact"/>
        <w:jc w:val="left"/>
        <w:rPr>
          <w:color w:val="auto"/>
          <w:kern w:val="0"/>
          <w:szCs w:val="21"/>
          <w:highlight w:val="none"/>
        </w:rPr>
      </w:pPr>
      <w:r>
        <w:rPr>
          <w:color w:val="auto"/>
          <w:kern w:val="0"/>
          <w:szCs w:val="21"/>
          <w:highlight w:val="none"/>
        </w:rPr>
        <w:t>法定代表人或其委托代理人：</w:t>
      </w:r>
      <w:r>
        <w:rPr>
          <w:color w:val="auto"/>
          <w:kern w:val="0"/>
          <w:szCs w:val="21"/>
          <w:highlight w:val="none"/>
          <w:u w:val="single"/>
        </w:rPr>
        <w:t xml:space="preserve">                         </w:t>
      </w:r>
      <w:r>
        <w:rPr>
          <w:color w:val="auto"/>
          <w:kern w:val="0"/>
          <w:szCs w:val="21"/>
          <w:highlight w:val="none"/>
        </w:rPr>
        <w:t>（签字）</w:t>
      </w:r>
    </w:p>
    <w:p w14:paraId="6DBEEAC8">
      <w:pPr>
        <w:autoSpaceDE w:val="0"/>
        <w:autoSpaceDN w:val="0"/>
        <w:adjustRightInd w:val="0"/>
        <w:spacing w:line="360" w:lineRule="exact"/>
        <w:jc w:val="left"/>
        <w:rPr>
          <w:color w:val="auto"/>
          <w:kern w:val="0"/>
          <w:szCs w:val="21"/>
          <w:highlight w:val="none"/>
        </w:rPr>
      </w:pPr>
    </w:p>
    <w:p w14:paraId="08B6C482">
      <w:pPr>
        <w:autoSpaceDE w:val="0"/>
        <w:autoSpaceDN w:val="0"/>
        <w:adjustRightInd w:val="0"/>
        <w:spacing w:line="360" w:lineRule="exact"/>
        <w:jc w:val="left"/>
        <w:rPr>
          <w:color w:val="auto"/>
          <w:kern w:val="0"/>
          <w:szCs w:val="21"/>
          <w:highlight w:val="none"/>
        </w:rPr>
      </w:pPr>
      <w:r>
        <w:rPr>
          <w:color w:val="auto"/>
          <w:kern w:val="0"/>
          <w:szCs w:val="21"/>
          <w:highlight w:val="none"/>
        </w:rPr>
        <w:t>成员一名称：</w:t>
      </w:r>
      <w:r>
        <w:rPr>
          <w:color w:val="auto"/>
          <w:kern w:val="0"/>
          <w:szCs w:val="21"/>
          <w:highlight w:val="none"/>
          <w:u w:val="single"/>
        </w:rPr>
        <w:t xml:space="preserve">                                       </w:t>
      </w:r>
      <w:r>
        <w:rPr>
          <w:color w:val="auto"/>
          <w:kern w:val="0"/>
          <w:szCs w:val="21"/>
          <w:highlight w:val="none"/>
        </w:rPr>
        <w:t>（盖公章）</w:t>
      </w:r>
    </w:p>
    <w:p w14:paraId="2CD80725">
      <w:pPr>
        <w:autoSpaceDE w:val="0"/>
        <w:autoSpaceDN w:val="0"/>
        <w:adjustRightInd w:val="0"/>
        <w:spacing w:line="360" w:lineRule="exact"/>
        <w:jc w:val="left"/>
        <w:rPr>
          <w:color w:val="auto"/>
          <w:kern w:val="0"/>
          <w:szCs w:val="21"/>
          <w:highlight w:val="none"/>
        </w:rPr>
      </w:pPr>
      <w:r>
        <w:rPr>
          <w:color w:val="auto"/>
          <w:kern w:val="0"/>
          <w:szCs w:val="21"/>
          <w:highlight w:val="none"/>
        </w:rPr>
        <w:t>法定代表人或其委托代理人：</w:t>
      </w:r>
      <w:r>
        <w:rPr>
          <w:color w:val="auto"/>
          <w:kern w:val="0"/>
          <w:szCs w:val="21"/>
          <w:highlight w:val="none"/>
          <w:u w:val="single"/>
        </w:rPr>
        <w:t xml:space="preserve">                         </w:t>
      </w:r>
      <w:r>
        <w:rPr>
          <w:color w:val="auto"/>
          <w:kern w:val="0"/>
          <w:szCs w:val="21"/>
          <w:highlight w:val="none"/>
        </w:rPr>
        <w:t>（签字）</w:t>
      </w:r>
    </w:p>
    <w:p w14:paraId="01C11DD9">
      <w:pPr>
        <w:autoSpaceDE w:val="0"/>
        <w:autoSpaceDN w:val="0"/>
        <w:adjustRightInd w:val="0"/>
        <w:spacing w:line="360" w:lineRule="exact"/>
        <w:jc w:val="left"/>
        <w:rPr>
          <w:color w:val="auto"/>
          <w:kern w:val="0"/>
          <w:szCs w:val="21"/>
          <w:highlight w:val="none"/>
        </w:rPr>
      </w:pPr>
    </w:p>
    <w:p w14:paraId="2D5277A1">
      <w:pPr>
        <w:autoSpaceDE w:val="0"/>
        <w:autoSpaceDN w:val="0"/>
        <w:adjustRightInd w:val="0"/>
        <w:spacing w:line="360" w:lineRule="exact"/>
        <w:jc w:val="left"/>
        <w:rPr>
          <w:color w:val="auto"/>
          <w:kern w:val="0"/>
          <w:szCs w:val="21"/>
          <w:highlight w:val="none"/>
        </w:rPr>
      </w:pPr>
      <w:r>
        <w:rPr>
          <w:color w:val="auto"/>
          <w:kern w:val="0"/>
          <w:szCs w:val="21"/>
          <w:highlight w:val="none"/>
        </w:rPr>
        <w:t>成员二名称：</w:t>
      </w:r>
      <w:r>
        <w:rPr>
          <w:color w:val="auto"/>
          <w:kern w:val="0"/>
          <w:szCs w:val="21"/>
          <w:highlight w:val="none"/>
          <w:u w:val="single"/>
        </w:rPr>
        <w:t xml:space="preserve">                                       </w:t>
      </w:r>
      <w:r>
        <w:rPr>
          <w:color w:val="auto"/>
          <w:kern w:val="0"/>
          <w:szCs w:val="21"/>
          <w:highlight w:val="none"/>
        </w:rPr>
        <w:t>（盖公章）</w:t>
      </w:r>
    </w:p>
    <w:p w14:paraId="017B77BB">
      <w:pPr>
        <w:autoSpaceDE w:val="0"/>
        <w:autoSpaceDN w:val="0"/>
        <w:adjustRightInd w:val="0"/>
        <w:spacing w:line="360" w:lineRule="exact"/>
        <w:jc w:val="left"/>
        <w:rPr>
          <w:color w:val="auto"/>
          <w:kern w:val="0"/>
          <w:szCs w:val="21"/>
          <w:highlight w:val="none"/>
        </w:rPr>
      </w:pPr>
      <w:r>
        <w:rPr>
          <w:color w:val="auto"/>
          <w:kern w:val="0"/>
          <w:szCs w:val="21"/>
          <w:highlight w:val="none"/>
        </w:rPr>
        <w:t>法定代表人或其委托代理人：                         （签字）</w:t>
      </w:r>
    </w:p>
    <w:p w14:paraId="228C865E">
      <w:pPr>
        <w:autoSpaceDE w:val="0"/>
        <w:autoSpaceDN w:val="0"/>
        <w:adjustRightInd w:val="0"/>
        <w:spacing w:line="360" w:lineRule="exact"/>
        <w:jc w:val="left"/>
        <w:rPr>
          <w:color w:val="auto"/>
          <w:kern w:val="0"/>
          <w:szCs w:val="21"/>
          <w:highlight w:val="none"/>
        </w:rPr>
      </w:pPr>
    </w:p>
    <w:p w14:paraId="6CDB32FD">
      <w:pPr>
        <w:autoSpaceDE w:val="0"/>
        <w:autoSpaceDN w:val="0"/>
        <w:adjustRightInd w:val="0"/>
        <w:spacing w:line="360" w:lineRule="exact"/>
        <w:jc w:val="left"/>
        <w:rPr>
          <w:color w:val="auto"/>
          <w:kern w:val="0"/>
          <w:szCs w:val="21"/>
          <w:highlight w:val="none"/>
        </w:rPr>
      </w:pPr>
      <w:r>
        <w:rPr>
          <w:color w:val="auto"/>
          <w:kern w:val="0"/>
          <w:szCs w:val="21"/>
          <w:highlight w:val="none"/>
        </w:rPr>
        <w:t>......</w:t>
      </w:r>
    </w:p>
    <w:p w14:paraId="61D7CBA5">
      <w:pPr>
        <w:autoSpaceDE w:val="0"/>
        <w:autoSpaceDN w:val="0"/>
        <w:spacing w:line="360" w:lineRule="exact"/>
        <w:ind w:left="4305" w:leftChars="1850" w:hanging="420" w:hangingChars="200"/>
        <w:rPr>
          <w:color w:val="auto"/>
          <w:kern w:val="0"/>
          <w:szCs w:val="21"/>
          <w:highlight w:val="none"/>
        </w:rPr>
      </w:pPr>
    </w:p>
    <w:p w14:paraId="14835836">
      <w:pPr>
        <w:autoSpaceDE w:val="0"/>
        <w:autoSpaceDN w:val="0"/>
        <w:spacing w:line="360" w:lineRule="exact"/>
        <w:ind w:firstLine="5355" w:firstLineChars="2550"/>
        <w:rPr>
          <w:color w:val="auto"/>
          <w:kern w:val="0"/>
          <w:szCs w:val="21"/>
          <w:highlight w:val="none"/>
          <w:lang w:val="zh-CN"/>
        </w:rPr>
      </w:pPr>
      <w:r>
        <w:rPr>
          <w:color w:val="auto"/>
          <w:kern w:val="0"/>
          <w:szCs w:val="21"/>
          <w:highlight w:val="none"/>
          <w:lang w:val="zh-CN"/>
        </w:rPr>
        <w:t>日期：  年  月   日</w:t>
      </w:r>
    </w:p>
    <w:p w14:paraId="306A6EB2">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14:paraId="1FBD2F95">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14:paraId="610DDC0C">
      <w:pPr>
        <w:pStyle w:val="4"/>
        <w:jc w:val="center"/>
        <w:rPr>
          <w:rFonts w:ascii="宋体" w:hAnsi="宋体"/>
          <w:b w:val="0"/>
          <w:color w:val="auto"/>
          <w:highlight w:val="none"/>
        </w:rPr>
      </w:pPr>
      <w:bookmarkStart w:id="168" w:name="_Toc80205940"/>
      <w:bookmarkStart w:id="169" w:name="_Toc20562"/>
      <w:bookmarkStart w:id="170" w:name="_Toc80886944"/>
      <w:bookmarkStart w:id="171" w:name="_Toc15951"/>
      <w:r>
        <w:rPr>
          <w:rFonts w:hint="eastAsia" w:ascii="宋体" w:hAnsi="宋体"/>
          <w:b w:val="0"/>
          <w:bCs w:val="0"/>
          <w:color w:val="auto"/>
          <w:highlight w:val="none"/>
        </w:rPr>
        <w:t xml:space="preserve">第二节 </w:t>
      </w:r>
      <w:r>
        <w:rPr>
          <w:rFonts w:hint="eastAsia" w:ascii="宋体" w:hAnsi="宋体"/>
          <w:b w:val="0"/>
          <w:color w:val="auto"/>
          <w:highlight w:val="none"/>
        </w:rPr>
        <w:t>商务技术文件格式</w:t>
      </w:r>
      <w:bookmarkEnd w:id="168"/>
      <w:bookmarkEnd w:id="169"/>
      <w:bookmarkEnd w:id="170"/>
      <w:bookmarkEnd w:id="171"/>
    </w:p>
    <w:p w14:paraId="4B3C9CDB">
      <w:pPr>
        <w:snapToGrid w:val="0"/>
        <w:spacing w:before="120" w:beforeLines="50" w:after="50" w:line="360" w:lineRule="auto"/>
        <w:jc w:val="left"/>
        <w:rPr>
          <w:b/>
          <w:color w:val="auto"/>
          <w:sz w:val="32"/>
          <w:szCs w:val="32"/>
          <w:highlight w:val="none"/>
        </w:rPr>
      </w:pPr>
      <w:r>
        <w:rPr>
          <w:b/>
          <w:color w:val="auto"/>
          <w:sz w:val="28"/>
          <w:szCs w:val="28"/>
          <w:highlight w:val="none"/>
        </w:rPr>
        <w:t>1.商务技术文件封面的格式：</w:t>
      </w:r>
    </w:p>
    <w:p w14:paraId="6FC3C2A2">
      <w:pPr>
        <w:snapToGrid w:val="0"/>
        <w:spacing w:before="120" w:beforeLines="50" w:after="50"/>
        <w:rPr>
          <w:color w:val="auto"/>
          <w:sz w:val="24"/>
          <w:highlight w:val="none"/>
        </w:rPr>
      </w:pPr>
      <w:r>
        <w:rPr>
          <w:color w:val="auto"/>
          <w:sz w:val="24"/>
          <w:highlight w:val="none"/>
        </w:rPr>
        <w:t xml:space="preserve">                                             </w:t>
      </w:r>
    </w:p>
    <w:p w14:paraId="0ECB00FD">
      <w:pPr>
        <w:snapToGrid w:val="0"/>
        <w:spacing w:before="120" w:beforeLines="50" w:after="50"/>
        <w:ind w:firstLine="6720" w:firstLineChars="3200"/>
        <w:rPr>
          <w:bCs/>
          <w:color w:val="auto"/>
          <w:sz w:val="32"/>
          <w:szCs w:val="20"/>
          <w:highlight w:val="none"/>
        </w:rPr>
      </w:pPr>
      <w:r>
        <w:rPr>
          <w:bCs/>
          <w:color w:val="auto"/>
          <w:highlight w:val="none"/>
        </w:rPr>
        <w:t>全流程电子文件</w:t>
      </w:r>
    </w:p>
    <w:p w14:paraId="0278A925">
      <w:pPr>
        <w:snapToGrid w:val="0"/>
        <w:spacing w:before="120" w:beforeLines="50" w:after="50"/>
        <w:rPr>
          <w:color w:val="auto"/>
          <w:sz w:val="24"/>
          <w:szCs w:val="20"/>
          <w:highlight w:val="none"/>
        </w:rPr>
      </w:pPr>
    </w:p>
    <w:p w14:paraId="7E645B68">
      <w:pPr>
        <w:snapToGrid w:val="0"/>
        <w:spacing w:before="120" w:beforeLines="50" w:after="50"/>
        <w:rPr>
          <w:color w:val="auto"/>
          <w:sz w:val="24"/>
          <w:szCs w:val="20"/>
          <w:highlight w:val="none"/>
        </w:rPr>
      </w:pPr>
    </w:p>
    <w:p w14:paraId="7D5BDC9C">
      <w:pPr>
        <w:snapToGrid w:val="0"/>
        <w:spacing w:before="120" w:beforeLines="50" w:after="50"/>
        <w:rPr>
          <w:color w:val="auto"/>
          <w:sz w:val="24"/>
          <w:szCs w:val="20"/>
          <w:highlight w:val="none"/>
        </w:rPr>
      </w:pPr>
    </w:p>
    <w:p w14:paraId="0017DE3D">
      <w:pPr>
        <w:snapToGrid w:val="0"/>
        <w:spacing w:before="120" w:beforeLines="50" w:after="50"/>
        <w:jc w:val="center"/>
        <w:rPr>
          <w:rFonts w:ascii="宋体" w:hAnsi="宋体" w:cs="宋体"/>
          <w:b/>
          <w:color w:val="auto"/>
          <w:sz w:val="44"/>
          <w:szCs w:val="44"/>
          <w:highlight w:val="none"/>
        </w:rPr>
      </w:pPr>
      <w:r>
        <w:rPr>
          <w:rFonts w:hint="eastAsia" w:ascii="宋体" w:hAnsi="宋体" w:cs="宋体"/>
          <w:b/>
          <w:color w:val="auto"/>
          <w:sz w:val="44"/>
          <w:szCs w:val="44"/>
          <w:highlight w:val="none"/>
        </w:rPr>
        <w:t>商  务  技  术  文  件</w:t>
      </w:r>
    </w:p>
    <w:p w14:paraId="7DE9339C">
      <w:pPr>
        <w:snapToGrid w:val="0"/>
        <w:spacing w:before="120" w:beforeLines="50" w:after="50"/>
        <w:rPr>
          <w:bCs/>
          <w:color w:val="auto"/>
          <w:sz w:val="24"/>
          <w:szCs w:val="20"/>
          <w:highlight w:val="none"/>
        </w:rPr>
      </w:pPr>
    </w:p>
    <w:p w14:paraId="511C1022">
      <w:pPr>
        <w:snapToGrid w:val="0"/>
        <w:spacing w:before="120" w:beforeLines="50" w:after="50"/>
        <w:rPr>
          <w:bCs/>
          <w:color w:val="auto"/>
          <w:sz w:val="24"/>
          <w:szCs w:val="20"/>
          <w:highlight w:val="none"/>
        </w:rPr>
      </w:pPr>
    </w:p>
    <w:p w14:paraId="012FA164">
      <w:pPr>
        <w:snapToGrid w:val="0"/>
        <w:spacing w:before="120" w:beforeLines="50" w:after="50"/>
        <w:rPr>
          <w:bCs/>
          <w:color w:val="auto"/>
          <w:sz w:val="24"/>
          <w:szCs w:val="20"/>
          <w:highlight w:val="none"/>
        </w:rPr>
      </w:pPr>
    </w:p>
    <w:p w14:paraId="1CDD4C01">
      <w:pPr>
        <w:snapToGrid w:val="0"/>
        <w:spacing w:before="120" w:beforeLines="50" w:after="50"/>
        <w:rPr>
          <w:bCs/>
          <w:color w:val="auto"/>
          <w:sz w:val="24"/>
          <w:szCs w:val="20"/>
          <w:highlight w:val="none"/>
        </w:rPr>
      </w:pPr>
    </w:p>
    <w:p w14:paraId="3405157D">
      <w:pPr>
        <w:snapToGrid w:val="0"/>
        <w:spacing w:before="120" w:beforeLines="50" w:after="50"/>
        <w:rPr>
          <w:bCs/>
          <w:color w:val="auto"/>
          <w:sz w:val="24"/>
          <w:szCs w:val="20"/>
          <w:highlight w:val="none"/>
        </w:rPr>
      </w:pPr>
    </w:p>
    <w:p w14:paraId="336CE22F">
      <w:pPr>
        <w:snapToGrid w:val="0"/>
        <w:spacing w:before="120" w:beforeLines="50" w:after="50"/>
        <w:ind w:firstLine="640" w:firstLineChars="200"/>
        <w:rPr>
          <w:bCs/>
          <w:color w:val="auto"/>
          <w:sz w:val="32"/>
          <w:szCs w:val="32"/>
          <w:highlight w:val="none"/>
        </w:rPr>
      </w:pPr>
      <w:r>
        <w:rPr>
          <w:bCs/>
          <w:color w:val="auto"/>
          <w:sz w:val="32"/>
          <w:szCs w:val="32"/>
          <w:highlight w:val="none"/>
        </w:rPr>
        <w:t>项目名称：</w:t>
      </w:r>
    </w:p>
    <w:p w14:paraId="32EAD8B1">
      <w:pPr>
        <w:snapToGrid w:val="0"/>
        <w:spacing w:before="120" w:beforeLines="50" w:after="50"/>
        <w:ind w:firstLine="720" w:firstLineChars="225"/>
        <w:rPr>
          <w:bCs/>
          <w:color w:val="auto"/>
          <w:sz w:val="32"/>
          <w:szCs w:val="32"/>
          <w:highlight w:val="none"/>
        </w:rPr>
      </w:pPr>
    </w:p>
    <w:p w14:paraId="0EF7CDDF">
      <w:pPr>
        <w:snapToGrid w:val="0"/>
        <w:spacing w:before="120" w:beforeLines="50" w:after="50"/>
        <w:ind w:firstLine="640" w:firstLineChars="200"/>
        <w:rPr>
          <w:bCs/>
          <w:color w:val="auto"/>
          <w:sz w:val="32"/>
          <w:szCs w:val="32"/>
          <w:highlight w:val="none"/>
        </w:rPr>
      </w:pPr>
      <w:r>
        <w:rPr>
          <w:bCs/>
          <w:color w:val="auto"/>
          <w:sz w:val="32"/>
          <w:szCs w:val="32"/>
          <w:highlight w:val="none"/>
        </w:rPr>
        <w:t>项目编号：</w:t>
      </w:r>
    </w:p>
    <w:p w14:paraId="49980BA1">
      <w:pPr>
        <w:snapToGrid w:val="0"/>
        <w:spacing w:before="120" w:beforeLines="50" w:after="50"/>
        <w:ind w:firstLine="720" w:firstLineChars="225"/>
        <w:rPr>
          <w:bCs/>
          <w:color w:val="auto"/>
          <w:sz w:val="32"/>
          <w:szCs w:val="32"/>
          <w:highlight w:val="none"/>
        </w:rPr>
      </w:pPr>
      <w:r>
        <w:rPr>
          <w:bCs/>
          <w:color w:val="auto"/>
          <w:sz w:val="32"/>
          <w:szCs w:val="32"/>
          <w:highlight w:val="none"/>
        </w:rPr>
        <w:t xml:space="preserve"> </w:t>
      </w:r>
    </w:p>
    <w:p w14:paraId="22CF4979">
      <w:pPr>
        <w:snapToGrid w:val="0"/>
        <w:spacing w:before="120" w:beforeLines="50" w:after="50"/>
        <w:ind w:firstLine="640" w:firstLineChars="200"/>
        <w:rPr>
          <w:bCs/>
          <w:color w:val="auto"/>
          <w:sz w:val="32"/>
          <w:szCs w:val="32"/>
          <w:highlight w:val="none"/>
        </w:rPr>
      </w:pPr>
      <w:r>
        <w:rPr>
          <w:bCs/>
          <w:color w:val="auto"/>
          <w:sz w:val="32"/>
          <w:szCs w:val="32"/>
          <w:highlight w:val="none"/>
        </w:rPr>
        <w:t>所竞分标（如有则填写，无分标时填写“无”或者留空）：</w:t>
      </w:r>
    </w:p>
    <w:p w14:paraId="527F4237">
      <w:pPr>
        <w:snapToGrid w:val="0"/>
        <w:spacing w:before="120" w:beforeLines="50" w:after="50"/>
        <w:ind w:firstLine="720" w:firstLineChars="225"/>
        <w:rPr>
          <w:bCs/>
          <w:color w:val="auto"/>
          <w:sz w:val="32"/>
          <w:szCs w:val="32"/>
          <w:highlight w:val="none"/>
        </w:rPr>
      </w:pPr>
    </w:p>
    <w:p w14:paraId="248350FA">
      <w:pPr>
        <w:pStyle w:val="8"/>
        <w:snapToGrid w:val="0"/>
        <w:spacing w:before="50" w:after="50"/>
        <w:ind w:firstLine="640" w:firstLineChars="200"/>
        <w:rPr>
          <w:bCs/>
          <w:color w:val="auto"/>
          <w:sz w:val="32"/>
          <w:szCs w:val="32"/>
          <w:highlight w:val="none"/>
        </w:rPr>
      </w:pPr>
      <w:r>
        <w:rPr>
          <w:bCs/>
          <w:color w:val="auto"/>
          <w:sz w:val="32"/>
          <w:szCs w:val="32"/>
          <w:highlight w:val="none"/>
        </w:rPr>
        <w:t>供应商名称：</w:t>
      </w:r>
    </w:p>
    <w:p w14:paraId="7881E600">
      <w:pPr>
        <w:pStyle w:val="8"/>
        <w:snapToGrid w:val="0"/>
        <w:spacing w:before="50" w:after="50"/>
        <w:ind w:firstLine="720" w:firstLineChars="225"/>
        <w:rPr>
          <w:bCs/>
          <w:color w:val="auto"/>
          <w:sz w:val="32"/>
          <w:szCs w:val="32"/>
          <w:highlight w:val="none"/>
        </w:rPr>
      </w:pPr>
    </w:p>
    <w:p w14:paraId="1B4F5C86">
      <w:pPr>
        <w:pStyle w:val="8"/>
        <w:snapToGrid w:val="0"/>
        <w:spacing w:before="50" w:after="50"/>
        <w:ind w:firstLine="720" w:firstLineChars="225"/>
        <w:rPr>
          <w:bCs/>
          <w:color w:val="auto"/>
          <w:sz w:val="32"/>
          <w:szCs w:val="32"/>
          <w:highlight w:val="none"/>
        </w:rPr>
      </w:pPr>
    </w:p>
    <w:p w14:paraId="71F749E6">
      <w:pPr>
        <w:pStyle w:val="8"/>
        <w:snapToGrid w:val="0"/>
        <w:spacing w:before="50" w:after="50"/>
        <w:ind w:firstLine="1280" w:firstLineChars="400"/>
        <w:rPr>
          <w:bCs/>
          <w:color w:val="auto"/>
          <w:sz w:val="32"/>
          <w:szCs w:val="32"/>
          <w:highlight w:val="none"/>
        </w:rPr>
      </w:pPr>
    </w:p>
    <w:p w14:paraId="6C86B6E1">
      <w:pPr>
        <w:snapToGrid w:val="0"/>
        <w:spacing w:before="120" w:beforeLines="50" w:after="50"/>
        <w:jc w:val="center"/>
        <w:rPr>
          <w:color w:val="auto"/>
          <w:sz w:val="32"/>
          <w:szCs w:val="32"/>
          <w:highlight w:val="none"/>
        </w:rPr>
      </w:pPr>
      <w:r>
        <w:rPr>
          <w:color w:val="auto"/>
          <w:sz w:val="32"/>
          <w:szCs w:val="32"/>
          <w:highlight w:val="none"/>
        </w:rPr>
        <w:t>年    月    日</w:t>
      </w:r>
    </w:p>
    <w:p w14:paraId="0AA91B5E">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cols w:space="720" w:num="1"/>
        </w:sectPr>
      </w:pPr>
    </w:p>
    <w:p w14:paraId="155C16D9">
      <w:pPr>
        <w:spacing w:line="360" w:lineRule="auto"/>
        <w:ind w:right="420"/>
        <w:rPr>
          <w:color w:val="auto"/>
          <w:sz w:val="24"/>
          <w:szCs w:val="20"/>
          <w:highlight w:val="none"/>
        </w:rPr>
      </w:pPr>
      <w:r>
        <w:rPr>
          <w:b/>
          <w:bCs/>
          <w:color w:val="auto"/>
          <w:sz w:val="28"/>
          <w:szCs w:val="28"/>
          <w:highlight w:val="none"/>
        </w:rPr>
        <w:t>2.商务技术文件目录</w:t>
      </w:r>
    </w:p>
    <w:p w14:paraId="1760F2C4">
      <w:pPr>
        <w:spacing w:line="400" w:lineRule="exact"/>
        <w:rPr>
          <w:rFonts w:eastAsia="仿宋_GB2312"/>
          <w:color w:val="auto"/>
          <w:sz w:val="32"/>
          <w:szCs w:val="32"/>
          <w:highlight w:val="none"/>
        </w:rPr>
      </w:pPr>
      <w:r>
        <w:rPr>
          <w:color w:val="auto"/>
          <w:kern w:val="0"/>
          <w:sz w:val="24"/>
          <w:highlight w:val="none"/>
        </w:rPr>
        <w:t xml:space="preserve">  根据竞争性磋商文件规定及供应商提供的材料自行编写目录（部分格式后附）。</w:t>
      </w:r>
    </w:p>
    <w:p w14:paraId="7E711D5D">
      <w:pPr>
        <w:spacing w:line="520" w:lineRule="exact"/>
        <w:jc w:val="left"/>
        <w:rPr>
          <w:color w:val="auto"/>
          <w:sz w:val="28"/>
          <w:szCs w:val="28"/>
          <w:highlight w:val="none"/>
        </w:rPr>
      </w:pPr>
      <w:r>
        <w:rPr>
          <w:rFonts w:eastAsia="方正小标宋简体"/>
          <w:color w:val="auto"/>
          <w:sz w:val="44"/>
          <w:szCs w:val="44"/>
          <w:highlight w:val="none"/>
        </w:rPr>
        <w:br w:type="page"/>
      </w:r>
      <w:r>
        <w:rPr>
          <w:b/>
          <w:color w:val="auto"/>
          <w:sz w:val="28"/>
          <w:szCs w:val="28"/>
          <w:highlight w:val="none"/>
        </w:rPr>
        <w:t>3.无串通竞标行为的承诺函的格式：</w:t>
      </w:r>
    </w:p>
    <w:p w14:paraId="4C909E95">
      <w:pPr>
        <w:spacing w:line="520" w:lineRule="exact"/>
        <w:jc w:val="center"/>
        <w:rPr>
          <w:rFonts w:eastAsia="方正小标宋简体"/>
          <w:color w:val="auto"/>
          <w:sz w:val="44"/>
          <w:szCs w:val="44"/>
          <w:highlight w:val="none"/>
        </w:rPr>
      </w:pPr>
    </w:p>
    <w:p w14:paraId="6A7E3BA7">
      <w:pPr>
        <w:spacing w:line="500" w:lineRule="exact"/>
        <w:jc w:val="center"/>
        <w:rPr>
          <w:rFonts w:ascii="宋体" w:hAnsi="宋体" w:cs="宋体"/>
          <w:b/>
          <w:bCs/>
          <w:color w:val="auto"/>
          <w:sz w:val="32"/>
          <w:szCs w:val="32"/>
          <w:highlight w:val="none"/>
        </w:rPr>
      </w:pPr>
      <w:r>
        <w:rPr>
          <w:rFonts w:ascii="宋体" w:hAnsi="宋体" w:cs="宋体"/>
          <w:b/>
          <w:bCs/>
          <w:color w:val="auto"/>
          <w:sz w:val="32"/>
          <w:szCs w:val="32"/>
          <w:highlight w:val="none"/>
        </w:rPr>
        <w:t>无串通竞标行为的承诺函</w:t>
      </w:r>
    </w:p>
    <w:p w14:paraId="4D249606">
      <w:pPr>
        <w:spacing w:line="520" w:lineRule="exact"/>
        <w:ind w:firstLine="640" w:firstLineChars="200"/>
        <w:rPr>
          <w:rFonts w:eastAsia="仿宋_GB2312"/>
          <w:color w:val="auto"/>
          <w:sz w:val="32"/>
          <w:szCs w:val="32"/>
          <w:highlight w:val="none"/>
        </w:rPr>
      </w:pPr>
    </w:p>
    <w:p w14:paraId="29E9C7C7">
      <w:pPr>
        <w:spacing w:line="360" w:lineRule="auto"/>
        <w:ind w:firstLine="422" w:firstLineChars="200"/>
        <w:contextualSpacing/>
        <w:rPr>
          <w:b/>
          <w:bCs/>
          <w:color w:val="auto"/>
          <w:szCs w:val="21"/>
          <w:highlight w:val="none"/>
        </w:rPr>
      </w:pPr>
      <w:r>
        <w:rPr>
          <w:b/>
          <w:bCs/>
          <w:color w:val="auto"/>
          <w:szCs w:val="21"/>
          <w:highlight w:val="none"/>
        </w:rPr>
        <w:t>一、我方承诺无下列相互串通竞标的情形：</w:t>
      </w:r>
    </w:p>
    <w:p w14:paraId="12B7AB95">
      <w:pPr>
        <w:spacing w:line="360" w:lineRule="auto"/>
        <w:ind w:firstLine="420" w:firstLineChars="200"/>
        <w:contextualSpacing/>
        <w:rPr>
          <w:color w:val="auto"/>
          <w:szCs w:val="21"/>
          <w:highlight w:val="none"/>
        </w:rPr>
      </w:pPr>
      <w:r>
        <w:rPr>
          <w:color w:val="auto"/>
          <w:szCs w:val="21"/>
          <w:highlight w:val="none"/>
        </w:rPr>
        <w:t>1.不同供应商的响应文件由同一单位或者个人编制</w:t>
      </w:r>
      <w:r>
        <w:rPr>
          <w:rFonts w:hint="eastAsia"/>
          <w:color w:val="auto"/>
          <w:szCs w:val="21"/>
          <w:highlight w:val="none"/>
        </w:rPr>
        <w:t>，</w:t>
      </w:r>
      <w:r>
        <w:rPr>
          <w:rFonts w:hint="eastAsia"/>
          <w:color w:val="auto"/>
          <w:highlight w:val="none"/>
        </w:rPr>
        <w:t>或者不同供应商报名的IP地址一致的</w:t>
      </w:r>
      <w:r>
        <w:rPr>
          <w:color w:val="auto"/>
          <w:szCs w:val="21"/>
          <w:highlight w:val="none"/>
        </w:rPr>
        <w:t>；</w:t>
      </w:r>
    </w:p>
    <w:p w14:paraId="3287FF27">
      <w:pPr>
        <w:spacing w:line="360" w:lineRule="auto"/>
        <w:ind w:firstLine="420" w:firstLineChars="200"/>
        <w:contextualSpacing/>
        <w:rPr>
          <w:color w:val="auto"/>
          <w:szCs w:val="21"/>
          <w:highlight w:val="none"/>
        </w:rPr>
      </w:pPr>
      <w:r>
        <w:rPr>
          <w:color w:val="auto"/>
          <w:szCs w:val="21"/>
          <w:highlight w:val="none"/>
        </w:rPr>
        <w:t>2.不同供应商委托同一单位或者个人办理竞标事宜；</w:t>
      </w:r>
    </w:p>
    <w:p w14:paraId="011B7B8B">
      <w:pPr>
        <w:spacing w:line="360" w:lineRule="auto"/>
        <w:ind w:firstLine="420" w:firstLineChars="200"/>
        <w:contextualSpacing/>
        <w:rPr>
          <w:color w:val="auto"/>
          <w:szCs w:val="21"/>
          <w:highlight w:val="none"/>
        </w:rPr>
      </w:pPr>
      <w:r>
        <w:rPr>
          <w:color w:val="auto"/>
          <w:szCs w:val="21"/>
          <w:highlight w:val="none"/>
        </w:rPr>
        <w:t>3.不同供应商的响应文件载明的项目管理员为同一个人；</w:t>
      </w:r>
    </w:p>
    <w:p w14:paraId="067C7B33">
      <w:pPr>
        <w:spacing w:line="360" w:lineRule="auto"/>
        <w:ind w:firstLine="420" w:firstLineChars="200"/>
        <w:contextualSpacing/>
        <w:rPr>
          <w:color w:val="auto"/>
          <w:szCs w:val="21"/>
          <w:highlight w:val="none"/>
        </w:rPr>
      </w:pPr>
      <w:r>
        <w:rPr>
          <w:color w:val="auto"/>
          <w:szCs w:val="21"/>
          <w:highlight w:val="none"/>
        </w:rPr>
        <w:t>4.不</w:t>
      </w:r>
      <w:r>
        <w:rPr>
          <w:color w:val="auto"/>
          <w:spacing w:val="-6"/>
          <w:szCs w:val="21"/>
          <w:highlight w:val="none"/>
        </w:rPr>
        <w:t>同供应商的响应文件异常一致或者响应报价呈规律性差异；</w:t>
      </w:r>
    </w:p>
    <w:p w14:paraId="3DCB7A63">
      <w:pPr>
        <w:spacing w:line="360" w:lineRule="auto"/>
        <w:ind w:firstLine="420" w:firstLineChars="200"/>
        <w:contextualSpacing/>
        <w:rPr>
          <w:color w:val="auto"/>
          <w:szCs w:val="21"/>
          <w:highlight w:val="none"/>
        </w:rPr>
      </w:pPr>
      <w:r>
        <w:rPr>
          <w:color w:val="auto"/>
          <w:szCs w:val="21"/>
          <w:highlight w:val="none"/>
        </w:rPr>
        <w:t>5.不同供应商的响应文件相互混装；</w:t>
      </w:r>
    </w:p>
    <w:p w14:paraId="46FC6875">
      <w:pPr>
        <w:pStyle w:val="14"/>
        <w:ind w:firstLine="420" w:firstLineChars="200"/>
        <w:rPr>
          <w:color w:val="auto"/>
          <w:szCs w:val="21"/>
          <w:highlight w:val="none"/>
        </w:rPr>
      </w:pPr>
      <w:r>
        <w:rPr>
          <w:color w:val="auto"/>
          <w:szCs w:val="21"/>
          <w:highlight w:val="none"/>
        </w:rPr>
        <w:t>6.不同供应商的磋商保证金从同一单位或者个人账户转出。</w:t>
      </w:r>
    </w:p>
    <w:p w14:paraId="58C0F9FF">
      <w:pPr>
        <w:spacing w:line="360" w:lineRule="auto"/>
        <w:ind w:firstLine="422" w:firstLineChars="200"/>
        <w:contextualSpacing/>
        <w:rPr>
          <w:b/>
          <w:bCs/>
          <w:color w:val="auto"/>
          <w:szCs w:val="21"/>
          <w:highlight w:val="none"/>
        </w:rPr>
      </w:pPr>
      <w:r>
        <w:rPr>
          <w:b/>
          <w:bCs/>
          <w:color w:val="auto"/>
          <w:szCs w:val="21"/>
          <w:highlight w:val="none"/>
        </w:rPr>
        <w:t>二、我方承诺无下列恶意串通的情形：</w:t>
      </w:r>
    </w:p>
    <w:p w14:paraId="020551BC">
      <w:pPr>
        <w:spacing w:line="360" w:lineRule="auto"/>
        <w:ind w:firstLine="420" w:firstLineChars="200"/>
        <w:contextualSpacing/>
        <w:rPr>
          <w:color w:val="auto"/>
          <w:szCs w:val="21"/>
          <w:highlight w:val="none"/>
        </w:rPr>
      </w:pPr>
      <w:r>
        <w:rPr>
          <w:color w:val="auto"/>
          <w:szCs w:val="21"/>
          <w:highlight w:val="none"/>
        </w:rPr>
        <w:t>1.供应商直接或者间接从采购人或者采购代理机构处获得其他供应商的相关信息并修改其响应文件；</w:t>
      </w:r>
    </w:p>
    <w:p w14:paraId="1CC2A436">
      <w:pPr>
        <w:spacing w:line="360" w:lineRule="auto"/>
        <w:ind w:firstLine="420" w:firstLineChars="200"/>
        <w:contextualSpacing/>
        <w:rPr>
          <w:color w:val="auto"/>
          <w:szCs w:val="21"/>
          <w:highlight w:val="none"/>
        </w:rPr>
      </w:pPr>
      <w:r>
        <w:rPr>
          <w:color w:val="auto"/>
          <w:szCs w:val="21"/>
          <w:highlight w:val="none"/>
        </w:rPr>
        <w:t>2.供应商按照采购人或者采购代理机构的授意撤换、修改响应文件；</w:t>
      </w:r>
    </w:p>
    <w:p w14:paraId="34900665">
      <w:pPr>
        <w:spacing w:line="360" w:lineRule="auto"/>
        <w:ind w:firstLine="420" w:firstLineChars="200"/>
        <w:contextualSpacing/>
        <w:rPr>
          <w:color w:val="auto"/>
          <w:szCs w:val="21"/>
          <w:highlight w:val="none"/>
        </w:rPr>
      </w:pPr>
      <w:r>
        <w:rPr>
          <w:color w:val="auto"/>
          <w:szCs w:val="21"/>
          <w:highlight w:val="none"/>
        </w:rPr>
        <w:t>3.供</w:t>
      </w:r>
      <w:r>
        <w:rPr>
          <w:color w:val="auto"/>
          <w:spacing w:val="-6"/>
          <w:szCs w:val="21"/>
          <w:highlight w:val="none"/>
        </w:rPr>
        <w:t>应商之间协商报价、技术方案等响应文件的实质性内容；</w:t>
      </w:r>
    </w:p>
    <w:p w14:paraId="0C7E7D36">
      <w:pPr>
        <w:spacing w:line="360" w:lineRule="auto"/>
        <w:ind w:firstLine="420" w:firstLineChars="200"/>
        <w:contextualSpacing/>
        <w:rPr>
          <w:color w:val="auto"/>
          <w:szCs w:val="21"/>
          <w:highlight w:val="none"/>
        </w:rPr>
      </w:pPr>
      <w:r>
        <w:rPr>
          <w:color w:val="auto"/>
          <w:szCs w:val="21"/>
          <w:highlight w:val="none"/>
        </w:rPr>
        <w:t>4.属于同一集团、协会、商会等组织成员的供应商按照该组织要求协同参加政府采购活动；</w:t>
      </w:r>
    </w:p>
    <w:p w14:paraId="3F807A24">
      <w:pPr>
        <w:spacing w:line="360" w:lineRule="auto"/>
        <w:ind w:firstLine="420" w:firstLineChars="200"/>
        <w:contextualSpacing/>
        <w:rPr>
          <w:color w:val="auto"/>
          <w:szCs w:val="21"/>
          <w:highlight w:val="none"/>
        </w:rPr>
      </w:pPr>
      <w:r>
        <w:rPr>
          <w:color w:val="auto"/>
          <w:szCs w:val="21"/>
          <w:highlight w:val="none"/>
        </w:rPr>
        <w:t>5.供应商之间事先约定一致抬高或者压低响应报价，或者在竞争性磋商项目中事先约定轮流以高价位或者低价位成交，或者事先约定由某一特定供应商成交，然后再参加竞标；</w:t>
      </w:r>
    </w:p>
    <w:p w14:paraId="63566D5D">
      <w:pPr>
        <w:spacing w:line="360" w:lineRule="auto"/>
        <w:ind w:firstLine="420" w:firstLineChars="200"/>
        <w:contextualSpacing/>
        <w:rPr>
          <w:color w:val="auto"/>
          <w:szCs w:val="21"/>
          <w:highlight w:val="none"/>
        </w:rPr>
      </w:pPr>
      <w:r>
        <w:rPr>
          <w:color w:val="auto"/>
          <w:szCs w:val="21"/>
          <w:highlight w:val="none"/>
        </w:rPr>
        <w:t>6.供应商之间商定部分供应商放弃参加政府采购活动或者放弃成交；</w:t>
      </w:r>
    </w:p>
    <w:p w14:paraId="50C3147B">
      <w:pPr>
        <w:spacing w:line="360" w:lineRule="auto"/>
        <w:ind w:firstLine="420" w:firstLineChars="200"/>
        <w:contextualSpacing/>
        <w:rPr>
          <w:color w:val="auto"/>
          <w:szCs w:val="21"/>
          <w:highlight w:val="none"/>
        </w:rPr>
      </w:pPr>
      <w:r>
        <w:rPr>
          <w:color w:val="auto"/>
          <w:szCs w:val="21"/>
          <w:highlight w:val="none"/>
        </w:rPr>
        <w:t>7.供应商与采购人或者采购代理机构之间、供应商相互之间，为</w:t>
      </w:r>
      <w:r>
        <w:rPr>
          <w:color w:val="auto"/>
          <w:spacing w:val="-6"/>
          <w:szCs w:val="21"/>
          <w:highlight w:val="none"/>
        </w:rPr>
        <w:t>谋求特定供应商成交或者排斥其他供应商的其他串通行为。</w:t>
      </w:r>
    </w:p>
    <w:p w14:paraId="16678128">
      <w:pPr>
        <w:spacing w:line="360" w:lineRule="auto"/>
        <w:ind w:firstLine="420" w:firstLineChars="200"/>
        <w:contextualSpacing/>
        <w:rPr>
          <w:color w:val="auto"/>
          <w:szCs w:val="21"/>
          <w:highlight w:val="none"/>
        </w:rPr>
      </w:pPr>
    </w:p>
    <w:p w14:paraId="79618FB3">
      <w:pPr>
        <w:spacing w:line="360" w:lineRule="auto"/>
        <w:ind w:firstLine="422" w:firstLineChars="200"/>
        <w:contextualSpacing/>
        <w:rPr>
          <w:b/>
          <w:bCs/>
          <w:color w:val="auto"/>
          <w:szCs w:val="21"/>
          <w:highlight w:val="none"/>
        </w:rPr>
      </w:pPr>
      <w:r>
        <w:rPr>
          <w:b/>
          <w:bCs/>
          <w:color w:val="auto"/>
          <w:szCs w:val="21"/>
          <w:highlight w:val="none"/>
        </w:rPr>
        <w:t>以上情形一经核查属实，接受政府采购监管部门对我方认定存在围标串标行为，我方愿意承担一切后果，并不再寻求任何旨在减轻或者免除法律责任的辩解。</w:t>
      </w:r>
    </w:p>
    <w:p w14:paraId="13340E1E">
      <w:pPr>
        <w:pStyle w:val="2"/>
        <w:rPr>
          <w:b/>
          <w:bCs/>
          <w:color w:val="auto"/>
          <w:sz w:val="21"/>
          <w:szCs w:val="21"/>
          <w:highlight w:val="none"/>
        </w:rPr>
      </w:pPr>
    </w:p>
    <w:p w14:paraId="04715177">
      <w:pPr>
        <w:pStyle w:val="2"/>
        <w:rPr>
          <w:b/>
          <w:bCs/>
          <w:color w:val="auto"/>
          <w:sz w:val="21"/>
          <w:szCs w:val="21"/>
          <w:highlight w:val="none"/>
        </w:rPr>
      </w:pPr>
    </w:p>
    <w:p w14:paraId="3279D5F7">
      <w:pPr>
        <w:pStyle w:val="2"/>
        <w:rPr>
          <w:b/>
          <w:bCs/>
          <w:color w:val="auto"/>
          <w:sz w:val="21"/>
          <w:szCs w:val="21"/>
          <w:highlight w:val="none"/>
        </w:rPr>
      </w:pPr>
    </w:p>
    <w:p w14:paraId="5C11E1C4">
      <w:pPr>
        <w:pStyle w:val="2"/>
        <w:rPr>
          <w:b/>
          <w:bCs/>
          <w:color w:val="auto"/>
          <w:sz w:val="21"/>
          <w:szCs w:val="21"/>
          <w:highlight w:val="none"/>
        </w:rPr>
      </w:pPr>
    </w:p>
    <w:p w14:paraId="250AE5FA">
      <w:pPr>
        <w:pStyle w:val="2"/>
        <w:rPr>
          <w:b/>
          <w:bCs/>
          <w:color w:val="auto"/>
          <w:sz w:val="21"/>
          <w:szCs w:val="21"/>
          <w:highlight w:val="none"/>
        </w:rPr>
      </w:pPr>
    </w:p>
    <w:p w14:paraId="65372469">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612B56EC">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3350A63">
      <w:pPr>
        <w:spacing w:line="480" w:lineRule="auto"/>
        <w:jc w:val="left"/>
        <w:rPr>
          <w:b/>
          <w:bCs/>
          <w:color w:val="auto"/>
          <w:sz w:val="28"/>
          <w:szCs w:val="28"/>
          <w:highlight w:val="none"/>
        </w:rPr>
      </w:pPr>
      <w:r>
        <w:rPr>
          <w:b/>
          <w:bCs/>
          <w:color w:val="auto"/>
          <w:szCs w:val="21"/>
          <w:highlight w:val="none"/>
        </w:rPr>
        <w:br w:type="page"/>
      </w:r>
      <w:r>
        <w:rPr>
          <w:b/>
          <w:bCs/>
          <w:color w:val="auto"/>
          <w:sz w:val="28"/>
          <w:szCs w:val="28"/>
          <w:highlight w:val="none"/>
        </w:rPr>
        <w:t>4.法定代表人身份证明的格式：</w:t>
      </w:r>
    </w:p>
    <w:p w14:paraId="48BBEF9A">
      <w:pPr>
        <w:spacing w:line="500" w:lineRule="exact"/>
        <w:jc w:val="center"/>
        <w:rPr>
          <w:rFonts w:ascii="宋体" w:hAnsi="宋体" w:cs="宋体"/>
          <w:b/>
          <w:bCs/>
          <w:color w:val="auto"/>
          <w:sz w:val="32"/>
          <w:szCs w:val="32"/>
          <w:highlight w:val="none"/>
        </w:rPr>
      </w:pPr>
      <w:r>
        <w:rPr>
          <w:rFonts w:ascii="宋体" w:hAnsi="宋体" w:cs="宋体"/>
          <w:b/>
          <w:bCs/>
          <w:color w:val="auto"/>
          <w:sz w:val="32"/>
          <w:szCs w:val="32"/>
          <w:highlight w:val="none"/>
        </w:rPr>
        <w:t>法定代表人身份证明</w:t>
      </w:r>
    </w:p>
    <w:p w14:paraId="51CE13A2">
      <w:pPr>
        <w:spacing w:line="360" w:lineRule="auto"/>
        <w:ind w:left="540"/>
        <w:contextualSpacing/>
        <w:rPr>
          <w:rFonts w:eastAsia="仿宋_GB2312"/>
          <w:color w:val="auto"/>
          <w:sz w:val="32"/>
          <w:szCs w:val="32"/>
          <w:highlight w:val="none"/>
        </w:rPr>
      </w:pPr>
    </w:p>
    <w:p w14:paraId="5409F3B4">
      <w:pPr>
        <w:spacing w:line="560" w:lineRule="exact"/>
        <w:ind w:firstLine="525" w:firstLineChars="250"/>
        <w:rPr>
          <w:color w:val="auto"/>
          <w:szCs w:val="21"/>
          <w:highlight w:val="none"/>
        </w:rPr>
      </w:pPr>
      <w:r>
        <w:rPr>
          <w:rFonts w:hint="eastAsia"/>
          <w:color w:val="auto"/>
          <w:szCs w:val="21"/>
          <w:highlight w:val="none"/>
        </w:rPr>
        <w:t>供 应 商</w:t>
      </w:r>
      <w:r>
        <w:rPr>
          <w:color w:val="auto"/>
          <w:szCs w:val="21"/>
          <w:highlight w:val="none"/>
        </w:rPr>
        <w:t>：</w:t>
      </w:r>
      <w:r>
        <w:rPr>
          <w:color w:val="auto"/>
          <w:szCs w:val="21"/>
          <w:highlight w:val="none"/>
          <w:u w:val="single"/>
        </w:rPr>
        <w:t xml:space="preserve">                                                        </w:t>
      </w:r>
    </w:p>
    <w:p w14:paraId="14F86478">
      <w:pPr>
        <w:spacing w:line="560" w:lineRule="exact"/>
        <w:ind w:firstLine="525" w:firstLineChars="250"/>
        <w:rPr>
          <w:color w:val="auto"/>
          <w:szCs w:val="21"/>
          <w:highlight w:val="none"/>
        </w:rPr>
      </w:pPr>
      <w:r>
        <w:rPr>
          <w:color w:val="auto"/>
          <w:szCs w:val="21"/>
          <w:highlight w:val="none"/>
        </w:rPr>
        <w:t>单位性质：</w:t>
      </w:r>
      <w:r>
        <w:rPr>
          <w:color w:val="auto"/>
          <w:szCs w:val="21"/>
          <w:highlight w:val="none"/>
          <w:u w:val="single"/>
        </w:rPr>
        <w:t xml:space="preserve">                                                        </w:t>
      </w:r>
    </w:p>
    <w:p w14:paraId="7794A994">
      <w:pPr>
        <w:spacing w:line="560" w:lineRule="exact"/>
        <w:ind w:firstLine="525" w:firstLineChars="250"/>
        <w:rPr>
          <w:color w:val="auto"/>
          <w:szCs w:val="21"/>
          <w:highlight w:val="none"/>
        </w:rPr>
      </w:pPr>
      <w:r>
        <w:rPr>
          <w:color w:val="auto"/>
          <w:szCs w:val="21"/>
          <w:highlight w:val="none"/>
        </w:rPr>
        <w:t>地    址：</w:t>
      </w:r>
      <w:r>
        <w:rPr>
          <w:color w:val="auto"/>
          <w:szCs w:val="21"/>
          <w:highlight w:val="none"/>
          <w:u w:val="single"/>
        </w:rPr>
        <w:t xml:space="preserve">                                                        </w:t>
      </w:r>
    </w:p>
    <w:p w14:paraId="077B0A39">
      <w:pPr>
        <w:spacing w:line="560" w:lineRule="exact"/>
        <w:ind w:firstLine="525" w:firstLineChars="250"/>
        <w:rPr>
          <w:color w:val="auto"/>
          <w:szCs w:val="21"/>
          <w:highlight w:val="none"/>
        </w:rPr>
      </w:pPr>
      <w:r>
        <w:rPr>
          <w:color w:val="auto"/>
          <w:szCs w:val="21"/>
          <w:highlight w:val="none"/>
        </w:rPr>
        <w:t>成立时间：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50D412C">
      <w:pPr>
        <w:spacing w:line="560" w:lineRule="exact"/>
        <w:ind w:firstLine="525" w:firstLineChars="250"/>
        <w:rPr>
          <w:color w:val="auto"/>
          <w:szCs w:val="21"/>
          <w:highlight w:val="none"/>
        </w:rPr>
      </w:pPr>
      <w:r>
        <w:rPr>
          <w:color w:val="auto"/>
          <w:szCs w:val="21"/>
          <w:highlight w:val="none"/>
        </w:rPr>
        <w:t>经营期限：</w:t>
      </w:r>
      <w:r>
        <w:rPr>
          <w:color w:val="auto"/>
          <w:szCs w:val="21"/>
          <w:highlight w:val="none"/>
          <w:u w:val="single"/>
        </w:rPr>
        <w:t xml:space="preserve">                                                        </w:t>
      </w:r>
    </w:p>
    <w:p w14:paraId="51F6D1A5">
      <w:pPr>
        <w:spacing w:line="560" w:lineRule="exact"/>
        <w:ind w:firstLine="525" w:firstLineChars="250"/>
        <w:rPr>
          <w:color w:val="auto"/>
          <w:szCs w:val="21"/>
          <w:highlight w:val="none"/>
        </w:rPr>
      </w:pPr>
      <w:r>
        <w:rPr>
          <w:color w:val="auto"/>
          <w:szCs w:val="21"/>
          <w:highlight w:val="none"/>
        </w:rPr>
        <w:t>姓    名：</w:t>
      </w:r>
      <w:r>
        <w:rPr>
          <w:color w:val="auto"/>
          <w:szCs w:val="21"/>
          <w:highlight w:val="none"/>
          <w:u w:val="single"/>
        </w:rPr>
        <w:t xml:space="preserve">                          </w:t>
      </w:r>
      <w:r>
        <w:rPr>
          <w:color w:val="auto"/>
          <w:szCs w:val="21"/>
          <w:highlight w:val="none"/>
        </w:rPr>
        <w:t>性     别：</w:t>
      </w:r>
      <w:r>
        <w:rPr>
          <w:color w:val="auto"/>
          <w:szCs w:val="21"/>
          <w:highlight w:val="none"/>
          <w:u w:val="single"/>
        </w:rPr>
        <w:t xml:space="preserve">                   </w:t>
      </w:r>
    </w:p>
    <w:p w14:paraId="4DE3005A">
      <w:pPr>
        <w:spacing w:line="560" w:lineRule="exact"/>
        <w:ind w:firstLine="525" w:firstLineChars="250"/>
        <w:rPr>
          <w:color w:val="auto"/>
          <w:szCs w:val="21"/>
          <w:highlight w:val="none"/>
        </w:rPr>
      </w:pPr>
      <w:r>
        <w:rPr>
          <w:color w:val="auto"/>
          <w:szCs w:val="21"/>
          <w:highlight w:val="none"/>
        </w:rPr>
        <w:t>年    龄：</w:t>
      </w:r>
      <w:r>
        <w:rPr>
          <w:color w:val="auto"/>
          <w:szCs w:val="21"/>
          <w:highlight w:val="none"/>
          <w:u w:val="single"/>
        </w:rPr>
        <w:t xml:space="preserve">                          </w:t>
      </w:r>
      <w:r>
        <w:rPr>
          <w:color w:val="auto"/>
          <w:szCs w:val="21"/>
          <w:highlight w:val="none"/>
        </w:rPr>
        <w:t>职     务：</w:t>
      </w:r>
      <w:r>
        <w:rPr>
          <w:color w:val="auto"/>
          <w:szCs w:val="21"/>
          <w:highlight w:val="none"/>
          <w:u w:val="single"/>
        </w:rPr>
        <w:t xml:space="preserve">                   </w:t>
      </w:r>
    </w:p>
    <w:p w14:paraId="067F3DDB">
      <w:pPr>
        <w:spacing w:line="560" w:lineRule="exact"/>
        <w:ind w:firstLine="525" w:firstLineChars="250"/>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w:t>
      </w:r>
      <w:r>
        <w:rPr>
          <w:rFonts w:hint="eastAsia"/>
          <w:color w:val="auto"/>
          <w:szCs w:val="21"/>
          <w:highlight w:val="none"/>
        </w:rPr>
        <w:t>供应商</w:t>
      </w:r>
      <w:r>
        <w:rPr>
          <w:color w:val="auto"/>
          <w:szCs w:val="21"/>
          <w:highlight w:val="none"/>
        </w:rPr>
        <w:t>名称）的法定代表人。</w:t>
      </w:r>
    </w:p>
    <w:p w14:paraId="42000FED">
      <w:pPr>
        <w:spacing w:line="560" w:lineRule="exact"/>
        <w:ind w:firstLine="525" w:firstLineChars="250"/>
        <w:rPr>
          <w:color w:val="auto"/>
          <w:szCs w:val="21"/>
          <w:highlight w:val="none"/>
        </w:rPr>
      </w:pPr>
      <w:r>
        <w:rPr>
          <w:color w:val="auto"/>
          <w:szCs w:val="21"/>
          <w:highlight w:val="none"/>
        </w:rPr>
        <w:t>特此证明。</w:t>
      </w:r>
    </w:p>
    <w:p w14:paraId="565A01B5">
      <w:pPr>
        <w:spacing w:line="360" w:lineRule="auto"/>
        <w:ind w:left="540"/>
        <w:contextualSpacing/>
        <w:rPr>
          <w:color w:val="auto"/>
          <w:szCs w:val="21"/>
          <w:highlight w:val="none"/>
        </w:rPr>
      </w:pPr>
    </w:p>
    <w:p w14:paraId="27C9C433">
      <w:pPr>
        <w:spacing w:line="360" w:lineRule="auto"/>
        <w:ind w:left="540"/>
        <w:contextualSpacing/>
        <w:rPr>
          <w:color w:val="auto"/>
          <w:szCs w:val="21"/>
          <w:highlight w:val="none"/>
        </w:rPr>
      </w:pPr>
    </w:p>
    <w:p w14:paraId="76EE0AF8">
      <w:pPr>
        <w:spacing w:line="360" w:lineRule="auto"/>
        <w:ind w:left="540"/>
        <w:contextualSpacing/>
        <w:rPr>
          <w:color w:val="auto"/>
          <w:szCs w:val="21"/>
          <w:highlight w:val="none"/>
        </w:rPr>
      </w:pPr>
    </w:p>
    <w:p w14:paraId="01BD6DCD">
      <w:pPr>
        <w:spacing w:line="360" w:lineRule="auto"/>
        <w:ind w:left="540"/>
        <w:contextualSpacing/>
        <w:rPr>
          <w:color w:val="auto"/>
          <w:szCs w:val="21"/>
          <w:highlight w:val="none"/>
        </w:rPr>
      </w:pPr>
      <w:r>
        <w:rPr>
          <w:color w:val="auto"/>
          <w:szCs w:val="21"/>
          <w:highlight w:val="none"/>
        </w:rPr>
        <w:t>附件：法定代表人有效身份证正反面复印件</w:t>
      </w:r>
    </w:p>
    <w:p w14:paraId="59FE1275">
      <w:pPr>
        <w:spacing w:line="360" w:lineRule="auto"/>
        <w:ind w:left="540"/>
        <w:contextualSpacing/>
        <w:rPr>
          <w:color w:val="auto"/>
          <w:szCs w:val="21"/>
          <w:highlight w:val="none"/>
        </w:rPr>
      </w:pPr>
    </w:p>
    <w:p w14:paraId="5CC02F79">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0B650805">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5F08A24">
      <w:pPr>
        <w:spacing w:line="360" w:lineRule="auto"/>
        <w:contextualSpacing/>
        <w:jc w:val="left"/>
        <w:rPr>
          <w:color w:val="auto"/>
          <w:sz w:val="24"/>
          <w:highlight w:val="none"/>
        </w:rPr>
      </w:pPr>
    </w:p>
    <w:p w14:paraId="3C519BC9">
      <w:pPr>
        <w:spacing w:line="360" w:lineRule="auto"/>
        <w:contextualSpacing/>
        <w:jc w:val="left"/>
        <w:rPr>
          <w:rFonts w:ascii="宋体" w:hAnsi="宋体" w:cs="宋体"/>
          <w:color w:val="auto"/>
          <w:sz w:val="24"/>
          <w:highlight w:val="none"/>
        </w:rPr>
      </w:pPr>
    </w:p>
    <w:p w14:paraId="487ED190">
      <w:pPr>
        <w:spacing w:line="360" w:lineRule="auto"/>
        <w:ind w:firstLine="420" w:firstLineChars="200"/>
        <w:contextualSpacing/>
        <w:jc w:val="left"/>
        <w:rPr>
          <w:color w:val="auto"/>
          <w:szCs w:val="21"/>
          <w:highlight w:val="none"/>
        </w:rPr>
      </w:pPr>
      <w:r>
        <w:rPr>
          <w:color w:val="auto"/>
          <w:szCs w:val="21"/>
          <w:highlight w:val="none"/>
        </w:rPr>
        <w:t>注：</w:t>
      </w:r>
    </w:p>
    <w:p w14:paraId="34782EDF">
      <w:pPr>
        <w:spacing w:line="360" w:lineRule="auto"/>
        <w:ind w:firstLine="420" w:firstLineChars="200"/>
        <w:contextualSpacing/>
        <w:jc w:val="left"/>
        <w:rPr>
          <w:color w:val="auto"/>
          <w:szCs w:val="21"/>
          <w:highlight w:val="none"/>
        </w:rPr>
      </w:pPr>
      <w:r>
        <w:rPr>
          <w:color w:val="auto"/>
          <w:szCs w:val="21"/>
          <w:highlight w:val="none"/>
        </w:rPr>
        <w:t>1.自然人竞标的无需提供，联合体竞标的只需牵头人出具。</w:t>
      </w:r>
    </w:p>
    <w:p w14:paraId="0C0B6997">
      <w:pPr>
        <w:spacing w:line="360" w:lineRule="auto"/>
        <w:ind w:firstLine="420" w:firstLineChars="200"/>
        <w:contextualSpacing/>
        <w:jc w:val="left"/>
        <w:rPr>
          <w:color w:val="auto"/>
          <w:szCs w:val="21"/>
          <w:highlight w:val="none"/>
        </w:rPr>
        <w:sectPr>
          <w:pgSz w:w="11911" w:h="16838"/>
          <w:pgMar w:top="1134" w:right="1134" w:bottom="1134" w:left="1134" w:header="720" w:footer="720" w:gutter="0"/>
          <w:cols w:space="720" w:num="1"/>
        </w:sectPr>
      </w:pPr>
      <w:r>
        <w:rPr>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542AF3">
      <w:pPr>
        <w:spacing w:line="360" w:lineRule="auto"/>
        <w:ind w:firstLine="482" w:firstLineChars="200"/>
        <w:contextualSpacing/>
        <w:jc w:val="left"/>
        <w:rPr>
          <w:rFonts w:ascii="仿宋_GB2312" w:hAnsi="仿宋_GB2312" w:eastAsia="仿宋_GB2312" w:cs="仿宋_GB2312"/>
          <w:b/>
          <w:color w:val="auto"/>
          <w:sz w:val="32"/>
          <w:szCs w:val="32"/>
          <w:highlight w:val="none"/>
        </w:rPr>
      </w:pPr>
      <w:r>
        <w:rPr>
          <w:rFonts w:hint="eastAsia" w:ascii="Calibri"/>
          <w:b/>
          <w:color w:val="auto"/>
          <w:sz w:val="24"/>
          <w:highlight w:val="none"/>
        </w:rPr>
        <w:t>附件：</w:t>
      </w:r>
    </w:p>
    <w:p w14:paraId="727848F6">
      <w:pPr>
        <w:adjustRightInd w:val="0"/>
        <w:snapToGrid w:val="0"/>
        <w:spacing w:line="300" w:lineRule="auto"/>
        <w:jc w:val="left"/>
        <w:rPr>
          <w:b/>
          <w:color w:val="auto"/>
          <w:szCs w:val="21"/>
          <w:highlight w:val="none"/>
        </w:rPr>
      </w:pPr>
    </w:p>
    <w:tbl>
      <w:tblPr>
        <w:tblStyle w:val="28"/>
        <w:tblpPr w:leftFromText="180" w:rightFromText="180" w:vertAnchor="text" w:horzAnchor="page" w:tblpX="1957" w:tblpY="335"/>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3F5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1DEB743F">
            <w:pPr>
              <w:spacing w:line="360" w:lineRule="auto"/>
              <w:rPr>
                <w:rFonts w:hAnsi="Calibri"/>
                <w:b/>
                <w:color w:val="auto"/>
                <w:sz w:val="24"/>
                <w:highlight w:val="none"/>
              </w:rPr>
            </w:pPr>
          </w:p>
          <w:p w14:paraId="21967A73">
            <w:pPr>
              <w:spacing w:line="360" w:lineRule="auto"/>
              <w:rPr>
                <w:rFonts w:hAnsi="Calibri"/>
                <w:b/>
                <w:color w:val="auto"/>
                <w:sz w:val="24"/>
                <w:highlight w:val="none"/>
              </w:rPr>
            </w:pPr>
            <w:r>
              <w:rPr>
                <w:rFonts w:hint="eastAsia" w:hAnsi="Calibri"/>
                <w:b/>
                <w:color w:val="auto"/>
                <w:sz w:val="24"/>
                <w:highlight w:val="none"/>
              </w:rPr>
              <w:t>法定代表人身份证复印件粘贴处（正、反面）</w:t>
            </w:r>
          </w:p>
        </w:tc>
      </w:tr>
    </w:tbl>
    <w:p w14:paraId="6DED0B36">
      <w:pPr>
        <w:spacing w:line="520" w:lineRule="exact"/>
        <w:ind w:firstLine="880"/>
        <w:jc w:val="left"/>
        <w:rPr>
          <w:rFonts w:ascii="宋体" w:hAnsi="宋体" w:cs="宋体"/>
          <w:color w:val="auto"/>
          <w:szCs w:val="21"/>
          <w:highlight w:val="none"/>
        </w:rPr>
      </w:pPr>
    </w:p>
    <w:p w14:paraId="56DCF45C">
      <w:pPr>
        <w:spacing w:line="520" w:lineRule="exact"/>
        <w:ind w:firstLine="880"/>
        <w:jc w:val="left"/>
        <w:rPr>
          <w:rFonts w:ascii="宋体" w:hAnsi="宋体" w:cs="宋体"/>
          <w:color w:val="auto"/>
          <w:szCs w:val="21"/>
          <w:highlight w:val="none"/>
        </w:rPr>
      </w:pPr>
    </w:p>
    <w:p w14:paraId="6B16FC5A">
      <w:pPr>
        <w:spacing w:line="520" w:lineRule="exact"/>
        <w:ind w:firstLine="880"/>
        <w:jc w:val="left"/>
        <w:rPr>
          <w:rFonts w:ascii="宋体" w:hAnsi="宋体" w:cs="宋体"/>
          <w:color w:val="auto"/>
          <w:szCs w:val="21"/>
          <w:highlight w:val="none"/>
        </w:rPr>
      </w:pPr>
    </w:p>
    <w:p w14:paraId="553F1040">
      <w:pPr>
        <w:spacing w:line="520" w:lineRule="exact"/>
        <w:ind w:firstLine="880"/>
        <w:jc w:val="left"/>
        <w:rPr>
          <w:rFonts w:ascii="宋体" w:hAnsi="宋体" w:cs="宋体"/>
          <w:color w:val="auto"/>
          <w:szCs w:val="21"/>
          <w:highlight w:val="none"/>
        </w:rPr>
      </w:pPr>
    </w:p>
    <w:p w14:paraId="24D9575D">
      <w:pPr>
        <w:spacing w:line="520" w:lineRule="exact"/>
        <w:ind w:firstLine="880"/>
        <w:jc w:val="left"/>
        <w:rPr>
          <w:rFonts w:ascii="宋体" w:hAnsi="宋体" w:cs="宋体"/>
          <w:color w:val="auto"/>
          <w:szCs w:val="21"/>
          <w:highlight w:val="none"/>
        </w:rPr>
      </w:pPr>
    </w:p>
    <w:p w14:paraId="1411007A">
      <w:pPr>
        <w:spacing w:line="520" w:lineRule="exact"/>
        <w:ind w:firstLine="880"/>
        <w:jc w:val="left"/>
        <w:rPr>
          <w:rFonts w:ascii="宋体" w:hAnsi="宋体" w:cs="宋体"/>
          <w:color w:val="auto"/>
          <w:szCs w:val="21"/>
          <w:highlight w:val="none"/>
        </w:rPr>
      </w:pPr>
    </w:p>
    <w:p w14:paraId="0D0BB958">
      <w:pPr>
        <w:spacing w:line="520" w:lineRule="exact"/>
        <w:ind w:firstLine="880"/>
        <w:jc w:val="left"/>
        <w:rPr>
          <w:rFonts w:ascii="宋体" w:hAnsi="宋体" w:cs="宋体"/>
          <w:color w:val="auto"/>
          <w:szCs w:val="21"/>
          <w:highlight w:val="none"/>
        </w:rPr>
      </w:pPr>
    </w:p>
    <w:p w14:paraId="30EF70D5">
      <w:pPr>
        <w:spacing w:line="520" w:lineRule="exact"/>
        <w:ind w:firstLine="880"/>
        <w:jc w:val="left"/>
        <w:rPr>
          <w:rFonts w:ascii="宋体" w:hAnsi="宋体" w:cs="宋体"/>
          <w:color w:val="auto"/>
          <w:szCs w:val="21"/>
          <w:highlight w:val="none"/>
        </w:rPr>
      </w:pPr>
    </w:p>
    <w:p w14:paraId="0A273E9A">
      <w:pPr>
        <w:spacing w:line="520" w:lineRule="exact"/>
        <w:jc w:val="left"/>
        <w:rPr>
          <w:rFonts w:eastAsia="仿宋"/>
          <w:bCs/>
          <w:color w:val="auto"/>
          <w:sz w:val="44"/>
          <w:szCs w:val="44"/>
          <w:highlight w:val="none"/>
        </w:rPr>
      </w:pPr>
      <w:r>
        <w:rPr>
          <w:b/>
          <w:bCs/>
          <w:color w:val="auto"/>
          <w:sz w:val="28"/>
          <w:szCs w:val="28"/>
          <w:highlight w:val="none"/>
        </w:rPr>
        <w:t>5.法定代表人授权委托书的格式：</w:t>
      </w:r>
    </w:p>
    <w:p w14:paraId="11E53F0B">
      <w:pPr>
        <w:spacing w:line="500" w:lineRule="exact"/>
        <w:jc w:val="center"/>
        <w:rPr>
          <w:rFonts w:eastAsia="方正小标宋简体"/>
          <w:color w:val="auto"/>
          <w:sz w:val="44"/>
          <w:szCs w:val="44"/>
          <w:highlight w:val="none"/>
        </w:rPr>
      </w:pPr>
    </w:p>
    <w:p w14:paraId="11F084B7">
      <w:pPr>
        <w:spacing w:line="500" w:lineRule="exact"/>
        <w:jc w:val="center"/>
        <w:rPr>
          <w:rFonts w:ascii="宋体" w:hAnsi="宋体" w:cs="宋体"/>
          <w:b/>
          <w:bCs/>
          <w:color w:val="auto"/>
          <w:sz w:val="32"/>
          <w:szCs w:val="32"/>
          <w:highlight w:val="none"/>
        </w:rPr>
      </w:pPr>
      <w:r>
        <w:rPr>
          <w:rFonts w:ascii="宋体" w:hAnsi="宋体" w:cs="宋体"/>
          <w:b/>
          <w:bCs/>
          <w:color w:val="auto"/>
          <w:sz w:val="32"/>
          <w:szCs w:val="32"/>
          <w:highlight w:val="none"/>
        </w:rPr>
        <w:t>授权委托书（非联合体竞标格式）</w:t>
      </w:r>
    </w:p>
    <w:p w14:paraId="7D09FD1C">
      <w:pPr>
        <w:spacing w:line="500" w:lineRule="exact"/>
        <w:jc w:val="center"/>
        <w:rPr>
          <w:rFonts w:ascii="宋体" w:hAnsi="宋体" w:cs="宋体"/>
          <w:b/>
          <w:bCs/>
          <w:color w:val="auto"/>
          <w:sz w:val="32"/>
          <w:szCs w:val="32"/>
          <w:highlight w:val="none"/>
        </w:rPr>
      </w:pPr>
      <w:r>
        <w:rPr>
          <w:rFonts w:ascii="宋体" w:hAnsi="宋体" w:cs="宋体"/>
          <w:b/>
          <w:bCs/>
          <w:color w:val="auto"/>
          <w:sz w:val="32"/>
          <w:szCs w:val="32"/>
          <w:highlight w:val="none"/>
        </w:rPr>
        <w:t>（如有委托时）</w:t>
      </w:r>
    </w:p>
    <w:p w14:paraId="368A6EC5">
      <w:pPr>
        <w:spacing w:line="520" w:lineRule="exact"/>
        <w:rPr>
          <w:rFonts w:eastAsia="仿宋_GB2312"/>
          <w:color w:val="auto"/>
          <w:sz w:val="32"/>
          <w:szCs w:val="32"/>
          <w:highlight w:val="none"/>
        </w:rPr>
      </w:pPr>
    </w:p>
    <w:p w14:paraId="71E57B2D">
      <w:pPr>
        <w:spacing w:line="360" w:lineRule="auto"/>
        <w:rPr>
          <w:color w:val="auto"/>
          <w:szCs w:val="21"/>
          <w:highlight w:val="none"/>
        </w:rPr>
      </w:pPr>
      <w:r>
        <w:rPr>
          <w:color w:val="auto"/>
          <w:szCs w:val="21"/>
          <w:highlight w:val="none"/>
        </w:rPr>
        <w:t>致：</w:t>
      </w:r>
      <w:r>
        <w:rPr>
          <w:color w:val="auto"/>
          <w:szCs w:val="21"/>
          <w:highlight w:val="none"/>
          <w:u w:val="single"/>
        </w:rPr>
        <w:t>（采购人名称）</w:t>
      </w:r>
      <w:r>
        <w:rPr>
          <w:color w:val="auto"/>
          <w:szCs w:val="21"/>
          <w:highlight w:val="none"/>
        </w:rPr>
        <w:t>：</w:t>
      </w:r>
    </w:p>
    <w:p w14:paraId="7F2EC3D4">
      <w:pPr>
        <w:spacing w:line="360" w:lineRule="auto"/>
        <w:ind w:firstLine="420" w:firstLineChars="200"/>
        <w:rPr>
          <w:color w:val="auto"/>
          <w:szCs w:val="21"/>
          <w:highlight w:val="none"/>
        </w:rPr>
      </w:pPr>
      <w:r>
        <w:rPr>
          <w:color w:val="auto"/>
          <w:szCs w:val="21"/>
          <w:highlight w:val="none"/>
        </w:rPr>
        <w:t>我</w:t>
      </w:r>
      <w:r>
        <w:rPr>
          <w:color w:val="auto"/>
          <w:szCs w:val="21"/>
          <w:highlight w:val="none"/>
          <w:u w:val="single"/>
        </w:rPr>
        <w:t xml:space="preserve">  </w:t>
      </w:r>
      <w:r>
        <w:rPr>
          <w:i/>
          <w:iCs/>
          <w:color w:val="auto"/>
          <w:szCs w:val="21"/>
          <w:highlight w:val="none"/>
          <w:u w:val="single"/>
        </w:rPr>
        <w:t>（姓名）</w:t>
      </w:r>
      <w:r>
        <w:rPr>
          <w:color w:val="auto"/>
          <w:szCs w:val="21"/>
          <w:highlight w:val="none"/>
          <w:u w:val="single"/>
        </w:rPr>
        <w:t xml:space="preserve">  </w:t>
      </w:r>
      <w:r>
        <w:rPr>
          <w:color w:val="auto"/>
          <w:szCs w:val="21"/>
          <w:highlight w:val="none"/>
        </w:rPr>
        <w:t>系</w:t>
      </w:r>
      <w:r>
        <w:rPr>
          <w:color w:val="auto"/>
          <w:szCs w:val="21"/>
          <w:highlight w:val="none"/>
          <w:u w:val="single"/>
        </w:rPr>
        <w:t xml:space="preserve">  </w:t>
      </w:r>
      <w:r>
        <w:rPr>
          <w:i/>
          <w:iCs/>
          <w:color w:val="auto"/>
          <w:szCs w:val="21"/>
          <w:highlight w:val="none"/>
          <w:u w:val="single"/>
        </w:rPr>
        <w:t>（供应商名称）</w:t>
      </w:r>
      <w:r>
        <w:rPr>
          <w:color w:val="auto"/>
          <w:szCs w:val="21"/>
          <w:highlight w:val="none"/>
          <w:u w:val="single"/>
        </w:rPr>
        <w:t xml:space="preserve">  </w:t>
      </w:r>
      <w:r>
        <w:rPr>
          <w:color w:val="auto"/>
          <w:szCs w:val="21"/>
          <w:highlight w:val="none"/>
        </w:rPr>
        <w:t>的（</w:t>
      </w:r>
      <w:r>
        <w:rPr>
          <w:rFonts w:hint="eastAsia" w:ascii="宋体" w:hAnsi="宋体" w:cs="宋体"/>
          <w:color w:val="auto"/>
          <w:szCs w:val="21"/>
          <w:highlight w:val="none"/>
          <w:u w:val="single"/>
        </w:rPr>
        <w:t>□</w:t>
      </w:r>
      <w:r>
        <w:rPr>
          <w:color w:val="auto"/>
          <w:szCs w:val="21"/>
          <w:highlight w:val="none"/>
          <w:u w:val="single"/>
        </w:rPr>
        <w:t>法定代表人/</w:t>
      </w:r>
      <w:r>
        <w:rPr>
          <w:rFonts w:hint="eastAsia" w:ascii="宋体" w:hAnsi="宋体" w:cs="宋体"/>
          <w:color w:val="auto"/>
          <w:szCs w:val="21"/>
          <w:highlight w:val="none"/>
          <w:u w:val="single"/>
        </w:rPr>
        <w:t>□</w:t>
      </w:r>
      <w:r>
        <w:rPr>
          <w:color w:val="auto"/>
          <w:szCs w:val="21"/>
          <w:highlight w:val="none"/>
          <w:u w:val="single"/>
        </w:rPr>
        <w:t>负责人/</w:t>
      </w:r>
      <w:r>
        <w:rPr>
          <w:rFonts w:hint="eastAsia"/>
          <w:color w:val="auto"/>
          <w:szCs w:val="21"/>
          <w:highlight w:val="none"/>
          <w:u w:val="single"/>
        </w:rPr>
        <w:t>□</w:t>
      </w:r>
      <w:r>
        <w:rPr>
          <w:color w:val="auto"/>
          <w:szCs w:val="21"/>
          <w:highlight w:val="none"/>
          <w:u w:val="single"/>
        </w:rPr>
        <w:t>自然人本人</w:t>
      </w:r>
      <w:r>
        <w:rPr>
          <w:color w:val="auto"/>
          <w:szCs w:val="21"/>
          <w:highlight w:val="none"/>
        </w:rPr>
        <w:t>），现授权</w:t>
      </w:r>
      <w:r>
        <w:rPr>
          <w:color w:val="auto"/>
          <w:szCs w:val="21"/>
          <w:highlight w:val="none"/>
          <w:u w:val="single"/>
        </w:rPr>
        <w:t xml:space="preserve"> </w:t>
      </w:r>
      <w:r>
        <w:rPr>
          <w:i/>
          <w:iCs/>
          <w:color w:val="auto"/>
          <w:szCs w:val="21"/>
          <w:highlight w:val="none"/>
          <w:u w:val="single"/>
        </w:rPr>
        <w:t>（姓名）</w:t>
      </w:r>
      <w:r>
        <w:rPr>
          <w:color w:val="auto"/>
          <w:szCs w:val="21"/>
          <w:highlight w:val="none"/>
          <w:u w:val="single"/>
        </w:rPr>
        <w:t xml:space="preserve"> </w:t>
      </w:r>
      <w:r>
        <w:rPr>
          <w:color w:val="auto"/>
          <w:szCs w:val="21"/>
          <w:highlight w:val="none"/>
        </w:rPr>
        <w:t>以我方的名义参加</w:t>
      </w:r>
      <w:r>
        <w:rPr>
          <w:color w:val="auto"/>
          <w:szCs w:val="21"/>
          <w:highlight w:val="none"/>
          <w:u w:val="single"/>
        </w:rPr>
        <w:t xml:space="preserve">      </w:t>
      </w:r>
      <w:r>
        <w:rPr>
          <w:i/>
          <w:iCs/>
          <w:color w:val="auto"/>
          <w:szCs w:val="21"/>
          <w:highlight w:val="none"/>
          <w:u w:val="single"/>
        </w:rPr>
        <w:t>（项目名称）</w:t>
      </w:r>
      <w:r>
        <w:rPr>
          <w:color w:val="auto"/>
          <w:szCs w:val="21"/>
          <w:highlight w:val="none"/>
          <w:u w:val="single"/>
        </w:rPr>
        <w:t xml:space="preserve">        </w:t>
      </w:r>
      <w:r>
        <w:rPr>
          <w:color w:val="auto"/>
          <w:szCs w:val="21"/>
          <w:highlight w:val="none"/>
        </w:rPr>
        <w:t>项目的竞标活动，并代表我方全权办理针对上述项目的所有采购程序和环节的具体事务和签署相关文件。</w:t>
      </w:r>
    </w:p>
    <w:p w14:paraId="488808D8">
      <w:pPr>
        <w:spacing w:line="360" w:lineRule="auto"/>
        <w:rPr>
          <w:color w:val="auto"/>
          <w:szCs w:val="21"/>
          <w:highlight w:val="none"/>
        </w:rPr>
      </w:pPr>
      <w:r>
        <w:rPr>
          <w:color w:val="auto"/>
          <w:szCs w:val="21"/>
          <w:highlight w:val="none"/>
        </w:rPr>
        <w:t xml:space="preserve">    我方对委托代理人的签字事项负全部责任。</w:t>
      </w:r>
    </w:p>
    <w:p w14:paraId="3961BB9F">
      <w:pPr>
        <w:spacing w:line="360" w:lineRule="auto"/>
        <w:ind w:firstLine="420" w:firstLineChars="200"/>
        <w:rPr>
          <w:color w:val="auto"/>
          <w:szCs w:val="21"/>
          <w:highlight w:val="none"/>
        </w:rPr>
      </w:pPr>
      <w:r>
        <w:rPr>
          <w:color w:val="auto"/>
          <w:szCs w:val="21"/>
          <w:highlight w:val="none"/>
        </w:rPr>
        <w:t>本授权书自签署之日起生效，在撤销授权的书面通知以前，本授权书一直有效。委托代理人在授权书有效期内签署的所有文件不因授权的撤销而失效。</w:t>
      </w:r>
    </w:p>
    <w:p w14:paraId="6620BEC7">
      <w:pPr>
        <w:spacing w:line="360" w:lineRule="auto"/>
        <w:ind w:firstLine="420" w:firstLineChars="200"/>
        <w:rPr>
          <w:color w:val="auto"/>
          <w:szCs w:val="21"/>
          <w:highlight w:val="none"/>
        </w:rPr>
      </w:pPr>
      <w:r>
        <w:rPr>
          <w:color w:val="auto"/>
          <w:szCs w:val="21"/>
          <w:highlight w:val="none"/>
        </w:rPr>
        <w:t>委托代理人无转委托权，特此委托。</w:t>
      </w:r>
    </w:p>
    <w:p w14:paraId="1DE5D292">
      <w:pPr>
        <w:spacing w:line="360" w:lineRule="auto"/>
        <w:ind w:firstLine="420" w:firstLineChars="200"/>
        <w:rPr>
          <w:color w:val="auto"/>
          <w:szCs w:val="21"/>
          <w:highlight w:val="none"/>
        </w:rPr>
      </w:pPr>
      <w:r>
        <w:rPr>
          <w:color w:val="auto"/>
          <w:szCs w:val="21"/>
          <w:highlight w:val="none"/>
        </w:rPr>
        <w:t>附：委托代理人有效身份证正反面复印件</w:t>
      </w:r>
    </w:p>
    <w:p w14:paraId="33750E29">
      <w:pPr>
        <w:spacing w:line="360" w:lineRule="auto"/>
        <w:rPr>
          <w:color w:val="auto"/>
          <w:szCs w:val="21"/>
          <w:highlight w:val="none"/>
        </w:rPr>
      </w:pPr>
    </w:p>
    <w:p w14:paraId="3D1454FC">
      <w:pPr>
        <w:spacing w:line="360" w:lineRule="auto"/>
        <w:rPr>
          <w:color w:val="auto"/>
          <w:szCs w:val="21"/>
          <w:highlight w:val="none"/>
        </w:rPr>
      </w:pPr>
      <w:r>
        <w:rPr>
          <w:color w:val="auto"/>
          <w:szCs w:val="21"/>
          <w:highlight w:val="none"/>
        </w:rPr>
        <w:t xml:space="preserve">委托代理人（签字）：         法定代表人（签字）：                    </w:t>
      </w:r>
    </w:p>
    <w:p w14:paraId="1D492FC7">
      <w:pPr>
        <w:spacing w:line="360" w:lineRule="auto"/>
        <w:rPr>
          <w:color w:val="auto"/>
          <w:szCs w:val="21"/>
          <w:highlight w:val="none"/>
        </w:rPr>
      </w:pPr>
      <w:r>
        <w:rPr>
          <w:color w:val="auto"/>
          <w:szCs w:val="21"/>
          <w:highlight w:val="none"/>
        </w:rPr>
        <w:t xml:space="preserve">委托代理人身份证号码：                              </w:t>
      </w:r>
    </w:p>
    <w:p w14:paraId="1BC5B2F3">
      <w:pPr>
        <w:spacing w:line="360" w:lineRule="auto"/>
        <w:rPr>
          <w:color w:val="auto"/>
          <w:szCs w:val="21"/>
          <w:highlight w:val="none"/>
        </w:rPr>
      </w:pPr>
      <w:r>
        <w:rPr>
          <w:color w:val="auto"/>
          <w:szCs w:val="21"/>
          <w:highlight w:val="none"/>
        </w:rPr>
        <w:t xml:space="preserve">                                </w:t>
      </w:r>
    </w:p>
    <w:p w14:paraId="75A2B620">
      <w:pPr>
        <w:spacing w:line="360" w:lineRule="auto"/>
        <w:rPr>
          <w:color w:val="auto"/>
          <w:szCs w:val="21"/>
          <w:highlight w:val="none"/>
        </w:rPr>
      </w:pPr>
      <w:r>
        <w:rPr>
          <w:color w:val="auto"/>
          <w:szCs w:val="21"/>
          <w:highlight w:val="none"/>
        </w:rPr>
        <w:t xml:space="preserve">                         </w:t>
      </w:r>
      <w:r>
        <w:rPr>
          <w:color w:val="auto"/>
          <w:kern w:val="0"/>
          <w:szCs w:val="21"/>
          <w:highlight w:val="none"/>
        </w:rPr>
        <w:t>供应商名称（盖公章）：</w:t>
      </w:r>
    </w:p>
    <w:p w14:paraId="0D9999B5">
      <w:pPr>
        <w:spacing w:line="360" w:lineRule="auto"/>
        <w:contextualSpacing/>
        <w:jc w:val="center"/>
        <w:rPr>
          <w:b/>
          <w:color w:val="auto"/>
          <w:szCs w:val="21"/>
          <w:highlight w:val="none"/>
        </w:rPr>
      </w:pPr>
      <w:r>
        <w:rPr>
          <w:color w:val="auto"/>
          <w:kern w:val="0"/>
          <w:szCs w:val="21"/>
          <w:highlight w:val="none"/>
          <w:lang w:val="zh-CN"/>
        </w:rPr>
        <w:t xml:space="preserve">                                                   日期：  年  月   日</w:t>
      </w:r>
    </w:p>
    <w:p w14:paraId="133D726E">
      <w:pPr>
        <w:spacing w:line="360" w:lineRule="auto"/>
        <w:rPr>
          <w:color w:val="auto"/>
          <w:szCs w:val="21"/>
          <w:highlight w:val="none"/>
        </w:rPr>
      </w:pPr>
    </w:p>
    <w:p w14:paraId="44D3E19D">
      <w:pPr>
        <w:spacing w:line="360" w:lineRule="auto"/>
        <w:ind w:firstLine="420" w:firstLineChars="200"/>
        <w:rPr>
          <w:color w:val="auto"/>
          <w:szCs w:val="21"/>
          <w:highlight w:val="none"/>
        </w:rPr>
      </w:pPr>
      <w:r>
        <w:rPr>
          <w:color w:val="auto"/>
          <w:szCs w:val="21"/>
          <w:highlight w:val="none"/>
        </w:rPr>
        <w:t>注：</w:t>
      </w:r>
    </w:p>
    <w:p w14:paraId="573ECB1D">
      <w:pPr>
        <w:spacing w:line="360" w:lineRule="auto"/>
        <w:ind w:firstLine="420" w:firstLineChars="200"/>
        <w:rPr>
          <w:color w:val="auto"/>
          <w:szCs w:val="21"/>
          <w:highlight w:val="none"/>
        </w:rPr>
      </w:pPr>
      <w:r>
        <w:rPr>
          <w:color w:val="auto"/>
          <w:szCs w:val="21"/>
          <w:highlight w:val="none"/>
        </w:rPr>
        <w:t>1. 法定代表人和委托代理人必须在授权委托书上签字，</w:t>
      </w:r>
      <w:r>
        <w:rPr>
          <w:b/>
          <w:color w:val="auto"/>
          <w:szCs w:val="21"/>
          <w:highlight w:val="none"/>
        </w:rPr>
        <w:t>否则其响应文件按无效响应处理。</w:t>
      </w:r>
    </w:p>
    <w:p w14:paraId="562A6FF4">
      <w:pPr>
        <w:spacing w:line="360" w:lineRule="auto"/>
        <w:ind w:firstLine="420" w:firstLineChars="200"/>
        <w:jc w:val="left"/>
        <w:rPr>
          <w:color w:val="auto"/>
          <w:szCs w:val="21"/>
          <w:highlight w:val="none"/>
        </w:rPr>
      </w:pPr>
      <w:r>
        <w:rPr>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33C2515">
      <w:pPr>
        <w:spacing w:line="360" w:lineRule="auto"/>
        <w:ind w:firstLine="420" w:firstLineChars="200"/>
        <w:jc w:val="left"/>
        <w:rPr>
          <w:color w:val="auto"/>
          <w:szCs w:val="21"/>
          <w:highlight w:val="none"/>
        </w:rPr>
      </w:pPr>
      <w:r>
        <w:rPr>
          <w:color w:val="auto"/>
          <w:szCs w:val="21"/>
          <w:highlight w:val="none"/>
        </w:rPr>
        <w:t>3. 法人、其他组织竞标时“我方”是指“我单位”，自然人竞标时“我方”是指“本人”。</w:t>
      </w:r>
    </w:p>
    <w:p w14:paraId="1D196E25">
      <w:pPr>
        <w:spacing w:line="500" w:lineRule="exact"/>
        <w:jc w:val="center"/>
        <w:rPr>
          <w:rFonts w:ascii="宋体" w:hAnsi="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cs="宋体"/>
          <w:b/>
          <w:bCs/>
          <w:color w:val="auto"/>
          <w:sz w:val="32"/>
          <w:szCs w:val="32"/>
          <w:highlight w:val="none"/>
        </w:rPr>
        <w:t>授权委托书（联合体竞标格式）</w:t>
      </w:r>
    </w:p>
    <w:p w14:paraId="704C08BA">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3350BDFA">
      <w:pPr>
        <w:spacing w:line="500" w:lineRule="exact"/>
        <w:jc w:val="center"/>
        <w:rPr>
          <w:rFonts w:ascii="方正小标宋简体" w:hAnsi="方正小标宋简体" w:eastAsia="方正小标宋简体" w:cs="方正小标宋简体"/>
          <w:color w:val="auto"/>
          <w:sz w:val="44"/>
          <w:szCs w:val="44"/>
          <w:highlight w:val="none"/>
        </w:rPr>
      </w:pPr>
    </w:p>
    <w:p w14:paraId="7A450070">
      <w:pPr>
        <w:spacing w:line="500" w:lineRule="exact"/>
        <w:jc w:val="center"/>
        <w:rPr>
          <w:rFonts w:ascii="仿宋_GB2312" w:hAnsi="仿宋_GB2312" w:eastAsia="仿宋_GB2312" w:cs="仿宋_GB2312"/>
          <w:color w:val="auto"/>
          <w:sz w:val="32"/>
          <w:szCs w:val="32"/>
          <w:highlight w:val="none"/>
        </w:rPr>
      </w:pPr>
    </w:p>
    <w:p w14:paraId="4E99587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本授权委托书声明：根据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（联合体其他成员名称）签订的《联合体竞标协议书》的内容，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（牵头人名称）的法定代表人</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（姓名）</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 xml:space="preserve"> （姓名）</w:t>
      </w:r>
      <w:r>
        <w:rPr>
          <w:rFonts w:hint="eastAsia" w:ascii="宋体" w:hAnsi="宋体" w:cs="宋体"/>
          <w:color w:val="auto"/>
          <w:szCs w:val="21"/>
          <w:highlight w:val="none"/>
        </w:rPr>
        <w:t>为联合委托代理人，并代表我方全权办理针对上述项目的所有采购程序和环节的具体事务和签署相关文件。</w:t>
      </w:r>
    </w:p>
    <w:p w14:paraId="45977B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1D0DFB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76926A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2D24E34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3FFF5050">
      <w:pPr>
        <w:spacing w:line="360" w:lineRule="auto"/>
        <w:ind w:firstLine="1365" w:firstLineChars="650"/>
        <w:rPr>
          <w:rFonts w:ascii="宋体" w:hAnsi="宋体" w:cs="宋体"/>
          <w:color w:val="auto"/>
          <w:szCs w:val="21"/>
          <w:highlight w:val="none"/>
        </w:rPr>
      </w:pPr>
      <w:r>
        <w:rPr>
          <w:rFonts w:hint="eastAsia" w:ascii="宋体" w:hAnsi="宋体" w:cs="宋体"/>
          <w:color w:val="auto"/>
          <w:szCs w:val="21"/>
          <w:highlight w:val="none"/>
        </w:rPr>
        <w:t>牵头人法定代表人（签字）：</w:t>
      </w:r>
    </w:p>
    <w:p w14:paraId="7CE4ADB7">
      <w:pPr>
        <w:spacing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牵头人名称（盖公章）：</w:t>
      </w:r>
    </w:p>
    <w:p w14:paraId="3AED7107">
      <w:pPr>
        <w:spacing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日期：    年   月   日</w:t>
      </w:r>
    </w:p>
    <w:p w14:paraId="1DCFD1BA">
      <w:pPr>
        <w:spacing w:line="360" w:lineRule="auto"/>
        <w:rPr>
          <w:rFonts w:ascii="宋体" w:hAnsi="宋体" w:cs="宋体"/>
          <w:color w:val="auto"/>
          <w:szCs w:val="21"/>
          <w:highlight w:val="none"/>
        </w:rPr>
      </w:pPr>
    </w:p>
    <w:p w14:paraId="6D58698C">
      <w:pPr>
        <w:spacing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委托代理人（签字）：</w:t>
      </w:r>
    </w:p>
    <w:p w14:paraId="32B331F9">
      <w:pPr>
        <w:spacing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日期：    年   月   日</w:t>
      </w:r>
    </w:p>
    <w:p w14:paraId="38E485A4">
      <w:pPr>
        <w:spacing w:line="360" w:lineRule="auto"/>
        <w:rPr>
          <w:rFonts w:ascii="宋体" w:hAnsi="宋体" w:cs="宋体"/>
          <w:color w:val="auto"/>
          <w:szCs w:val="21"/>
          <w:highlight w:val="none"/>
        </w:rPr>
      </w:pPr>
    </w:p>
    <w:p w14:paraId="12F7B7F6">
      <w:pPr>
        <w:spacing w:line="360" w:lineRule="auto"/>
        <w:ind w:firstLine="420" w:firstLineChars="200"/>
        <w:rPr>
          <w:color w:val="auto"/>
          <w:szCs w:val="21"/>
          <w:highlight w:val="none"/>
        </w:rPr>
      </w:pPr>
      <w:r>
        <w:rPr>
          <w:color w:val="auto"/>
          <w:szCs w:val="21"/>
          <w:highlight w:val="none"/>
        </w:rPr>
        <w:t>注：</w:t>
      </w:r>
    </w:p>
    <w:p w14:paraId="68D49D6F">
      <w:pPr>
        <w:spacing w:line="360" w:lineRule="auto"/>
        <w:ind w:firstLine="420" w:firstLineChars="200"/>
        <w:rPr>
          <w:color w:val="auto"/>
          <w:szCs w:val="21"/>
          <w:highlight w:val="none"/>
        </w:rPr>
      </w:pPr>
      <w:r>
        <w:rPr>
          <w:color w:val="auto"/>
          <w:szCs w:val="21"/>
          <w:highlight w:val="none"/>
        </w:rPr>
        <w:t>1. 法定代表人和委托代理人必须在授权委托书上签字，</w:t>
      </w:r>
      <w:r>
        <w:rPr>
          <w:b/>
          <w:color w:val="auto"/>
          <w:szCs w:val="21"/>
          <w:highlight w:val="none"/>
        </w:rPr>
        <w:t>否则其响应文件按无效响应处理。</w:t>
      </w:r>
    </w:p>
    <w:p w14:paraId="51254E30">
      <w:pPr>
        <w:spacing w:line="360" w:lineRule="auto"/>
        <w:ind w:firstLine="420" w:firstLineChars="200"/>
        <w:jc w:val="left"/>
        <w:rPr>
          <w:color w:val="auto"/>
          <w:szCs w:val="21"/>
          <w:highlight w:val="none"/>
        </w:rPr>
      </w:pPr>
      <w:r>
        <w:rPr>
          <w:color w:val="auto"/>
          <w:szCs w:val="21"/>
          <w:highlight w:val="none"/>
        </w:rPr>
        <w:t>2.本授权委托书应由联合体牵头人的法定代表人按上述规定签署。</w:t>
      </w:r>
    </w:p>
    <w:p w14:paraId="3851000C">
      <w:pPr>
        <w:spacing w:line="360" w:lineRule="auto"/>
        <w:ind w:firstLine="420" w:firstLineChars="200"/>
        <w:jc w:val="left"/>
        <w:rPr>
          <w:color w:val="auto"/>
          <w:szCs w:val="21"/>
          <w:highlight w:val="none"/>
        </w:rPr>
      </w:pPr>
      <w:r>
        <w:rPr>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EA9A041">
      <w:pPr>
        <w:spacing w:line="360" w:lineRule="auto"/>
        <w:ind w:firstLine="420" w:firstLineChars="200"/>
        <w:jc w:val="left"/>
        <w:rPr>
          <w:color w:val="auto"/>
          <w:szCs w:val="21"/>
          <w:highlight w:val="none"/>
        </w:rPr>
      </w:pPr>
      <w:r>
        <w:rPr>
          <w:color w:val="auto"/>
          <w:szCs w:val="21"/>
          <w:highlight w:val="none"/>
        </w:rPr>
        <w:t>4.法人、其他组织竞标时“我方”是指“我单位”，自然人竞标时“我方”是指“本人”。</w:t>
      </w:r>
    </w:p>
    <w:p w14:paraId="79FEA165">
      <w:pPr>
        <w:spacing w:line="360" w:lineRule="auto"/>
        <w:ind w:firstLine="420" w:firstLineChars="200"/>
        <w:jc w:val="left"/>
        <w:rPr>
          <w:rFonts w:ascii="仿宋_GB2312" w:hAnsi="仿宋_GB2312" w:eastAsia="仿宋_GB2312" w:cs="仿宋_GB2312"/>
          <w:color w:val="auto"/>
          <w:szCs w:val="21"/>
          <w:highlight w:val="none"/>
        </w:rPr>
      </w:pPr>
    </w:p>
    <w:p w14:paraId="17102030">
      <w:pPr>
        <w:spacing w:line="520" w:lineRule="exact"/>
        <w:jc w:val="left"/>
        <w:rPr>
          <w:rFonts w:eastAsia="仿宋"/>
          <w:b/>
          <w:color w:val="auto"/>
          <w:sz w:val="30"/>
          <w:szCs w:val="30"/>
          <w:highlight w:val="none"/>
        </w:rPr>
      </w:pPr>
      <w:r>
        <w:rPr>
          <w:rFonts w:hint="eastAsia" w:ascii="仿宋_GB2312" w:hAnsi="仿宋_GB2312" w:eastAsia="仿宋_GB2312" w:cs="仿宋_GB2312"/>
          <w:color w:val="auto"/>
          <w:sz w:val="32"/>
          <w:szCs w:val="32"/>
          <w:highlight w:val="none"/>
        </w:rPr>
        <w:br w:type="page"/>
      </w:r>
      <w:r>
        <w:rPr>
          <w:b/>
          <w:color w:val="auto"/>
          <w:sz w:val="28"/>
          <w:szCs w:val="28"/>
          <w:highlight w:val="none"/>
        </w:rPr>
        <w:t>6.商务条款偏离表的格式：</w:t>
      </w:r>
    </w:p>
    <w:p w14:paraId="28E0C935">
      <w:pPr>
        <w:pStyle w:val="2"/>
        <w:rPr>
          <w:color w:val="auto"/>
          <w:highlight w:val="none"/>
        </w:rPr>
      </w:pPr>
    </w:p>
    <w:p w14:paraId="14FFC5AA">
      <w:pPr>
        <w:spacing w:line="500" w:lineRule="exact"/>
        <w:jc w:val="center"/>
        <w:rPr>
          <w:rFonts w:ascii="宋体" w:hAnsi="宋体" w:cs="宋体"/>
          <w:b/>
          <w:bCs/>
          <w:color w:val="auto"/>
          <w:sz w:val="32"/>
          <w:szCs w:val="32"/>
          <w:highlight w:val="none"/>
        </w:rPr>
      </w:pPr>
      <w:r>
        <w:rPr>
          <w:rFonts w:ascii="宋体" w:hAnsi="宋体" w:cs="宋体"/>
          <w:b/>
          <w:bCs/>
          <w:color w:val="auto"/>
          <w:sz w:val="32"/>
          <w:szCs w:val="32"/>
          <w:highlight w:val="none"/>
        </w:rPr>
        <w:t>商务条款偏离表</w:t>
      </w:r>
    </w:p>
    <w:p w14:paraId="784715DF">
      <w:pPr>
        <w:spacing w:line="520" w:lineRule="exact"/>
        <w:rPr>
          <w:color w:val="auto"/>
          <w:sz w:val="32"/>
          <w:szCs w:val="32"/>
          <w:highlight w:val="none"/>
        </w:rPr>
      </w:pPr>
    </w:p>
    <w:p w14:paraId="2E333E8A">
      <w:pPr>
        <w:spacing w:line="360" w:lineRule="auto"/>
        <w:contextualSpacing/>
        <w:rPr>
          <w:color w:val="auto"/>
          <w:szCs w:val="21"/>
          <w:highlight w:val="none"/>
          <w:u w:val="single"/>
        </w:rPr>
      </w:pPr>
      <w:r>
        <w:rPr>
          <w:color w:val="auto"/>
          <w:szCs w:val="21"/>
          <w:highlight w:val="none"/>
        </w:rPr>
        <w:t>项目名称：</w:t>
      </w:r>
      <w:r>
        <w:rPr>
          <w:color w:val="auto"/>
          <w:szCs w:val="21"/>
          <w:highlight w:val="none"/>
          <w:u w:val="single"/>
        </w:rPr>
        <w:t xml:space="preserve">                 </w:t>
      </w:r>
    </w:p>
    <w:p w14:paraId="4ADE2982">
      <w:pPr>
        <w:spacing w:line="360" w:lineRule="auto"/>
        <w:contextualSpacing/>
        <w:rPr>
          <w:color w:val="auto"/>
          <w:szCs w:val="21"/>
          <w:highlight w:val="none"/>
        </w:rPr>
      </w:pPr>
      <w:r>
        <w:rPr>
          <w:color w:val="auto"/>
          <w:szCs w:val="21"/>
          <w:highlight w:val="none"/>
        </w:rPr>
        <w:t>项目编号：</w:t>
      </w:r>
      <w:r>
        <w:rPr>
          <w:color w:val="auto"/>
          <w:szCs w:val="21"/>
          <w:highlight w:val="none"/>
          <w:u w:val="single"/>
        </w:rPr>
        <w:t xml:space="preserve">                 </w:t>
      </w:r>
    </w:p>
    <w:p w14:paraId="5680AD0D">
      <w:pPr>
        <w:spacing w:line="360" w:lineRule="auto"/>
        <w:contextualSpacing/>
        <w:rPr>
          <w:color w:val="auto"/>
          <w:szCs w:val="21"/>
          <w:highlight w:val="none"/>
          <w:u w:val="single"/>
        </w:rPr>
      </w:pPr>
      <w:r>
        <w:rPr>
          <w:color w:val="auto"/>
          <w:szCs w:val="21"/>
          <w:highlight w:val="none"/>
        </w:rPr>
        <w:t>所竞分标（如有则填写，无分标时填写“无”或者留空）：</w:t>
      </w:r>
      <w:r>
        <w:rPr>
          <w:color w:val="auto"/>
          <w:szCs w:val="21"/>
          <w:highlight w:val="none"/>
          <w:u w:val="single"/>
        </w:rPr>
        <w:t xml:space="preserve">                </w:t>
      </w:r>
    </w:p>
    <w:tbl>
      <w:tblPr>
        <w:tblStyle w:val="28"/>
        <w:tblpPr w:leftFromText="180" w:rightFromText="180" w:vertAnchor="text" w:horzAnchor="margin" w:tblpY="215"/>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3FD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vAlign w:val="center"/>
          </w:tcPr>
          <w:p w14:paraId="7E38354B">
            <w:pPr>
              <w:spacing w:line="340" w:lineRule="exact"/>
              <w:jc w:val="center"/>
              <w:rPr>
                <w:color w:val="auto"/>
                <w:szCs w:val="21"/>
                <w:highlight w:val="none"/>
              </w:rPr>
            </w:pPr>
            <w:r>
              <w:rPr>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D773F4E">
            <w:pPr>
              <w:spacing w:line="340" w:lineRule="exact"/>
              <w:jc w:val="center"/>
              <w:rPr>
                <w:color w:val="auto"/>
                <w:szCs w:val="21"/>
                <w:highlight w:val="none"/>
              </w:rPr>
            </w:pPr>
            <w:r>
              <w:rPr>
                <w:color w:val="auto"/>
                <w:szCs w:val="21"/>
                <w:highlight w:val="none"/>
              </w:rPr>
              <w:t>竞争性磋商文件的商务</w:t>
            </w:r>
            <w:r>
              <w:rPr>
                <w:rFonts w:hint="eastAsia"/>
                <w:color w:val="auto"/>
                <w:szCs w:val="21"/>
                <w:highlight w:val="none"/>
              </w:rPr>
              <w:t>条款</w:t>
            </w:r>
          </w:p>
        </w:tc>
        <w:tc>
          <w:tcPr>
            <w:tcW w:w="3589" w:type="dxa"/>
            <w:tcBorders>
              <w:top w:val="single" w:color="auto" w:sz="4" w:space="0"/>
              <w:left w:val="single" w:color="auto" w:sz="4" w:space="0"/>
              <w:bottom w:val="single" w:color="auto" w:sz="4" w:space="0"/>
              <w:right w:val="single" w:color="auto" w:sz="4" w:space="0"/>
            </w:tcBorders>
            <w:vAlign w:val="center"/>
          </w:tcPr>
          <w:p w14:paraId="38DB2E25">
            <w:pPr>
              <w:spacing w:line="340" w:lineRule="exact"/>
              <w:jc w:val="center"/>
              <w:rPr>
                <w:color w:val="auto"/>
                <w:szCs w:val="21"/>
                <w:highlight w:val="none"/>
              </w:rPr>
            </w:pPr>
            <w:r>
              <w:rPr>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602C0DE2">
            <w:pPr>
              <w:spacing w:line="340" w:lineRule="exact"/>
              <w:jc w:val="center"/>
              <w:rPr>
                <w:color w:val="auto"/>
                <w:szCs w:val="21"/>
                <w:highlight w:val="none"/>
              </w:rPr>
            </w:pPr>
            <w:r>
              <w:rPr>
                <w:color w:val="auto"/>
                <w:szCs w:val="21"/>
                <w:highlight w:val="none"/>
              </w:rPr>
              <w:t>偏离说明</w:t>
            </w:r>
          </w:p>
        </w:tc>
      </w:tr>
      <w:tr w14:paraId="4BBB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1" w:type="dxa"/>
            <w:tcBorders>
              <w:top w:val="single" w:color="auto" w:sz="4" w:space="0"/>
              <w:left w:val="single" w:color="auto" w:sz="4" w:space="0"/>
              <w:bottom w:val="single" w:color="auto" w:sz="4" w:space="0"/>
              <w:right w:val="single" w:color="auto" w:sz="4" w:space="0"/>
            </w:tcBorders>
            <w:vAlign w:val="center"/>
          </w:tcPr>
          <w:p w14:paraId="39CA17F4">
            <w:pPr>
              <w:spacing w:line="340" w:lineRule="exact"/>
              <w:jc w:val="center"/>
              <w:rPr>
                <w:color w:val="auto"/>
                <w:szCs w:val="21"/>
                <w:highlight w:val="none"/>
              </w:rPr>
            </w:pPr>
            <w:r>
              <w:rPr>
                <w:rFonts w:hint="eastAsia"/>
                <w:color w:val="auto"/>
                <w:szCs w:val="21"/>
                <w:highlight w:val="none"/>
              </w:rPr>
              <w:t>1</w:t>
            </w:r>
          </w:p>
        </w:tc>
        <w:tc>
          <w:tcPr>
            <w:tcW w:w="3926" w:type="dxa"/>
            <w:tcBorders>
              <w:top w:val="single" w:color="auto" w:sz="4" w:space="0"/>
              <w:left w:val="single" w:color="auto" w:sz="4" w:space="0"/>
              <w:bottom w:val="single" w:color="auto" w:sz="4" w:space="0"/>
              <w:right w:val="single" w:color="auto" w:sz="4" w:space="0"/>
            </w:tcBorders>
            <w:vAlign w:val="center"/>
          </w:tcPr>
          <w:p w14:paraId="4FA8F3AC">
            <w:pPr>
              <w:spacing w:line="340" w:lineRule="exact"/>
              <w:rPr>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vAlign w:val="center"/>
          </w:tcPr>
          <w:p w14:paraId="7B7A718D">
            <w:pPr>
              <w:spacing w:line="340" w:lineRule="exact"/>
              <w:rPr>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C130AA6">
            <w:pPr>
              <w:spacing w:line="300" w:lineRule="exact"/>
              <w:rPr>
                <w:color w:val="auto"/>
                <w:szCs w:val="21"/>
                <w:highlight w:val="none"/>
              </w:rPr>
            </w:pPr>
          </w:p>
        </w:tc>
      </w:tr>
      <w:tr w14:paraId="4F4D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1" w:type="dxa"/>
            <w:tcBorders>
              <w:top w:val="single" w:color="auto" w:sz="4" w:space="0"/>
              <w:left w:val="single" w:color="auto" w:sz="4" w:space="0"/>
              <w:bottom w:val="single" w:color="auto" w:sz="4" w:space="0"/>
              <w:right w:val="single" w:color="auto" w:sz="4" w:space="0"/>
            </w:tcBorders>
            <w:vAlign w:val="center"/>
          </w:tcPr>
          <w:p w14:paraId="514E2CB7">
            <w:pPr>
              <w:spacing w:line="340" w:lineRule="exact"/>
              <w:jc w:val="center"/>
              <w:rPr>
                <w:color w:val="auto"/>
                <w:szCs w:val="21"/>
                <w:highlight w:val="none"/>
              </w:rPr>
            </w:pPr>
            <w:r>
              <w:rPr>
                <w:rFonts w:hint="eastAsia"/>
                <w:color w:val="auto"/>
                <w:szCs w:val="21"/>
                <w:highlight w:val="none"/>
              </w:rPr>
              <w:t>2</w:t>
            </w:r>
          </w:p>
        </w:tc>
        <w:tc>
          <w:tcPr>
            <w:tcW w:w="3926" w:type="dxa"/>
            <w:tcBorders>
              <w:top w:val="single" w:color="auto" w:sz="4" w:space="0"/>
              <w:left w:val="single" w:color="auto" w:sz="4" w:space="0"/>
              <w:bottom w:val="single" w:color="auto" w:sz="4" w:space="0"/>
              <w:right w:val="single" w:color="auto" w:sz="4" w:space="0"/>
            </w:tcBorders>
            <w:vAlign w:val="center"/>
          </w:tcPr>
          <w:p w14:paraId="25688AB7">
            <w:pPr>
              <w:spacing w:line="340" w:lineRule="exact"/>
              <w:rPr>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vAlign w:val="center"/>
          </w:tcPr>
          <w:p w14:paraId="739C6488">
            <w:pPr>
              <w:spacing w:line="340" w:lineRule="exact"/>
              <w:rPr>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0A8C0678">
            <w:pPr>
              <w:spacing w:line="300" w:lineRule="exact"/>
              <w:rPr>
                <w:color w:val="auto"/>
                <w:szCs w:val="21"/>
                <w:highlight w:val="none"/>
              </w:rPr>
            </w:pPr>
          </w:p>
        </w:tc>
      </w:tr>
      <w:tr w14:paraId="662B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1" w:type="dxa"/>
            <w:tcBorders>
              <w:top w:val="single" w:color="auto" w:sz="4" w:space="0"/>
              <w:left w:val="single" w:color="auto" w:sz="4" w:space="0"/>
              <w:bottom w:val="single" w:color="auto" w:sz="4" w:space="0"/>
              <w:right w:val="single" w:color="auto" w:sz="4" w:space="0"/>
            </w:tcBorders>
            <w:vAlign w:val="center"/>
          </w:tcPr>
          <w:p w14:paraId="52DF43CD">
            <w:pPr>
              <w:spacing w:line="340" w:lineRule="exact"/>
              <w:jc w:val="center"/>
              <w:rPr>
                <w:color w:val="auto"/>
                <w:szCs w:val="21"/>
                <w:highlight w:val="none"/>
              </w:rPr>
            </w:pPr>
            <w:r>
              <w:rPr>
                <w:rFonts w:hint="eastAsia"/>
                <w:color w:val="auto"/>
                <w:szCs w:val="21"/>
                <w:highlight w:val="none"/>
              </w:rPr>
              <w:t>3</w:t>
            </w:r>
          </w:p>
        </w:tc>
        <w:tc>
          <w:tcPr>
            <w:tcW w:w="3926" w:type="dxa"/>
            <w:tcBorders>
              <w:top w:val="single" w:color="auto" w:sz="4" w:space="0"/>
              <w:left w:val="single" w:color="auto" w:sz="4" w:space="0"/>
              <w:bottom w:val="single" w:color="auto" w:sz="4" w:space="0"/>
              <w:right w:val="single" w:color="auto" w:sz="4" w:space="0"/>
            </w:tcBorders>
            <w:vAlign w:val="center"/>
          </w:tcPr>
          <w:p w14:paraId="5E669880">
            <w:pPr>
              <w:spacing w:line="340" w:lineRule="exact"/>
              <w:rPr>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vAlign w:val="center"/>
          </w:tcPr>
          <w:p w14:paraId="6A4A9DFA">
            <w:pPr>
              <w:spacing w:line="340" w:lineRule="exact"/>
              <w:rPr>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1248712D">
            <w:pPr>
              <w:spacing w:line="300" w:lineRule="exact"/>
              <w:rPr>
                <w:color w:val="auto"/>
                <w:szCs w:val="21"/>
                <w:highlight w:val="none"/>
              </w:rPr>
            </w:pPr>
          </w:p>
        </w:tc>
      </w:tr>
      <w:tr w14:paraId="3E3E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91" w:type="dxa"/>
            <w:tcBorders>
              <w:top w:val="single" w:color="auto" w:sz="4" w:space="0"/>
              <w:left w:val="single" w:color="auto" w:sz="4" w:space="0"/>
              <w:bottom w:val="single" w:color="auto" w:sz="4" w:space="0"/>
              <w:right w:val="single" w:color="auto" w:sz="4" w:space="0"/>
            </w:tcBorders>
            <w:vAlign w:val="center"/>
          </w:tcPr>
          <w:p w14:paraId="68F46AF8">
            <w:pPr>
              <w:spacing w:line="340" w:lineRule="exact"/>
              <w:jc w:val="center"/>
              <w:rPr>
                <w:color w:val="auto"/>
                <w:szCs w:val="21"/>
                <w:highlight w:val="none"/>
              </w:rPr>
            </w:pPr>
            <w:r>
              <w:rPr>
                <w:rFonts w:hint="eastAsia"/>
                <w:color w:val="auto"/>
                <w:szCs w:val="21"/>
                <w:highlight w:val="none"/>
              </w:rPr>
              <w:t>4</w:t>
            </w:r>
          </w:p>
        </w:tc>
        <w:tc>
          <w:tcPr>
            <w:tcW w:w="3926" w:type="dxa"/>
            <w:tcBorders>
              <w:top w:val="single" w:color="auto" w:sz="4" w:space="0"/>
              <w:left w:val="single" w:color="auto" w:sz="4" w:space="0"/>
              <w:bottom w:val="single" w:color="auto" w:sz="4" w:space="0"/>
              <w:right w:val="single" w:color="auto" w:sz="4" w:space="0"/>
            </w:tcBorders>
            <w:vAlign w:val="center"/>
          </w:tcPr>
          <w:p w14:paraId="28E50AD0">
            <w:pPr>
              <w:spacing w:line="340" w:lineRule="exact"/>
              <w:rPr>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vAlign w:val="center"/>
          </w:tcPr>
          <w:p w14:paraId="29D84691">
            <w:pPr>
              <w:spacing w:line="340" w:lineRule="exact"/>
              <w:rPr>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3C109275">
            <w:pPr>
              <w:spacing w:line="300" w:lineRule="exact"/>
              <w:rPr>
                <w:color w:val="auto"/>
                <w:szCs w:val="21"/>
                <w:highlight w:val="none"/>
              </w:rPr>
            </w:pPr>
          </w:p>
        </w:tc>
      </w:tr>
      <w:tr w14:paraId="1242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91" w:type="dxa"/>
            <w:tcBorders>
              <w:top w:val="single" w:color="auto" w:sz="4" w:space="0"/>
              <w:left w:val="single" w:color="auto" w:sz="4" w:space="0"/>
              <w:bottom w:val="single" w:color="auto" w:sz="4" w:space="0"/>
              <w:right w:val="single" w:color="auto" w:sz="4" w:space="0"/>
            </w:tcBorders>
            <w:vAlign w:val="center"/>
          </w:tcPr>
          <w:p w14:paraId="232E89E8">
            <w:pPr>
              <w:spacing w:line="340" w:lineRule="exact"/>
              <w:jc w:val="center"/>
              <w:rPr>
                <w:color w:val="auto"/>
                <w:szCs w:val="21"/>
                <w:highlight w:val="none"/>
              </w:rPr>
            </w:pPr>
            <w:r>
              <w:rPr>
                <w:rFonts w:hint="eastAsia"/>
                <w:color w:val="auto"/>
                <w:szCs w:val="21"/>
                <w:highlight w:val="none"/>
              </w:rPr>
              <w:t>5</w:t>
            </w:r>
          </w:p>
        </w:tc>
        <w:tc>
          <w:tcPr>
            <w:tcW w:w="3926" w:type="dxa"/>
            <w:tcBorders>
              <w:top w:val="single" w:color="auto" w:sz="4" w:space="0"/>
              <w:left w:val="single" w:color="auto" w:sz="4" w:space="0"/>
              <w:bottom w:val="single" w:color="auto" w:sz="4" w:space="0"/>
              <w:right w:val="single" w:color="auto" w:sz="4" w:space="0"/>
            </w:tcBorders>
            <w:vAlign w:val="center"/>
          </w:tcPr>
          <w:p w14:paraId="4DE01F37">
            <w:pPr>
              <w:spacing w:line="340" w:lineRule="exact"/>
              <w:rPr>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vAlign w:val="center"/>
          </w:tcPr>
          <w:p w14:paraId="57C7C77E">
            <w:pPr>
              <w:spacing w:line="340" w:lineRule="exact"/>
              <w:rPr>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6C1004BC">
            <w:pPr>
              <w:spacing w:line="300" w:lineRule="exact"/>
              <w:rPr>
                <w:color w:val="auto"/>
                <w:szCs w:val="21"/>
                <w:highlight w:val="none"/>
              </w:rPr>
            </w:pPr>
          </w:p>
        </w:tc>
      </w:tr>
      <w:tr w14:paraId="56D6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91" w:type="dxa"/>
            <w:tcBorders>
              <w:top w:val="single" w:color="auto" w:sz="4" w:space="0"/>
              <w:left w:val="single" w:color="auto" w:sz="4" w:space="0"/>
              <w:bottom w:val="single" w:color="auto" w:sz="4" w:space="0"/>
              <w:right w:val="single" w:color="auto" w:sz="4" w:space="0"/>
            </w:tcBorders>
            <w:vAlign w:val="center"/>
          </w:tcPr>
          <w:p w14:paraId="5E374B6E">
            <w:pPr>
              <w:spacing w:line="340" w:lineRule="exact"/>
              <w:jc w:val="center"/>
              <w:rPr>
                <w:color w:val="auto"/>
                <w:szCs w:val="21"/>
                <w:highlight w:val="none"/>
              </w:rPr>
            </w:pPr>
          </w:p>
        </w:tc>
        <w:tc>
          <w:tcPr>
            <w:tcW w:w="3926" w:type="dxa"/>
            <w:tcBorders>
              <w:top w:val="single" w:color="auto" w:sz="4" w:space="0"/>
              <w:left w:val="single" w:color="auto" w:sz="4" w:space="0"/>
              <w:bottom w:val="single" w:color="auto" w:sz="4" w:space="0"/>
              <w:right w:val="single" w:color="auto" w:sz="4" w:space="0"/>
            </w:tcBorders>
            <w:vAlign w:val="center"/>
          </w:tcPr>
          <w:p w14:paraId="3FBFCCE4">
            <w:pPr>
              <w:spacing w:line="340" w:lineRule="exact"/>
              <w:rPr>
                <w:color w:val="auto"/>
                <w:szCs w:val="21"/>
                <w:highlight w:val="none"/>
              </w:rPr>
            </w:pPr>
            <w:r>
              <w:rPr>
                <w:rFonts w:hint="eastAsia"/>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center"/>
          </w:tcPr>
          <w:p w14:paraId="2AA6FE03">
            <w:pPr>
              <w:spacing w:line="340" w:lineRule="exact"/>
              <w:rPr>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414FB8A0">
            <w:pPr>
              <w:spacing w:line="300" w:lineRule="exact"/>
              <w:rPr>
                <w:color w:val="auto"/>
                <w:szCs w:val="21"/>
                <w:highlight w:val="none"/>
              </w:rPr>
            </w:pPr>
          </w:p>
        </w:tc>
      </w:tr>
    </w:tbl>
    <w:p w14:paraId="019AA8CF">
      <w:pPr>
        <w:pStyle w:val="15"/>
        <w:spacing w:line="400" w:lineRule="exact"/>
        <w:ind w:firstLine="0" w:firstLineChars="0"/>
        <w:contextualSpacing/>
        <w:rPr>
          <w:rFonts w:ascii="Times New Roman" w:eastAsia="宋体"/>
          <w:color w:val="auto"/>
          <w:sz w:val="21"/>
          <w:szCs w:val="21"/>
          <w:highlight w:val="none"/>
        </w:rPr>
      </w:pPr>
      <w:r>
        <w:rPr>
          <w:rFonts w:ascii="Times New Roman" w:eastAsia="宋体"/>
          <w:color w:val="auto"/>
          <w:sz w:val="21"/>
          <w:szCs w:val="21"/>
          <w:highlight w:val="none"/>
        </w:rPr>
        <w:t>注：</w:t>
      </w:r>
    </w:p>
    <w:p w14:paraId="339741C3">
      <w:pPr>
        <w:pStyle w:val="15"/>
        <w:spacing w:line="400" w:lineRule="exact"/>
        <w:ind w:firstLine="420" w:firstLineChars="200"/>
        <w:contextualSpacing/>
        <w:rPr>
          <w:rFonts w:ascii="宋体" w:hAnsi="宋体" w:eastAsia="宋体"/>
          <w:color w:val="auto"/>
          <w:sz w:val="21"/>
          <w:szCs w:val="21"/>
          <w:highlight w:val="none"/>
        </w:rPr>
      </w:pPr>
      <w:r>
        <w:rPr>
          <w:rFonts w:ascii="宋体" w:hAnsi="宋体" w:eastAsia="宋体"/>
          <w:color w:val="auto"/>
          <w:sz w:val="21"/>
          <w:szCs w:val="21"/>
          <w:highlight w:val="none"/>
        </w:rPr>
        <w:t>1.应对照磋商文件“第二章 采购需求”中的商务条款逐条作出明确响应，并作出偏离说明。</w:t>
      </w:r>
    </w:p>
    <w:p w14:paraId="3D6E8B45">
      <w:pPr>
        <w:pStyle w:val="15"/>
        <w:spacing w:line="400" w:lineRule="exact"/>
        <w:ind w:firstLine="420" w:firstLineChars="200"/>
        <w:contextualSpacing/>
        <w:rPr>
          <w:rFonts w:ascii="宋体" w:hAnsi="宋体" w:eastAsia="宋体"/>
          <w:color w:val="auto"/>
          <w:sz w:val="21"/>
          <w:szCs w:val="21"/>
          <w:highlight w:val="none"/>
        </w:rPr>
      </w:pPr>
      <w:r>
        <w:rPr>
          <w:rFonts w:ascii="宋体" w:hAnsi="宋体" w:eastAsia="宋体"/>
          <w:color w:val="auto"/>
          <w:sz w:val="21"/>
          <w:szCs w:val="21"/>
          <w:highlight w:val="none"/>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r>
        <w:rPr>
          <w:rFonts w:hint="eastAsia" w:ascii="宋体" w:hAnsi="宋体" w:eastAsia="宋体"/>
          <w:color w:val="auto"/>
          <w:sz w:val="21"/>
          <w:szCs w:val="21"/>
          <w:highlight w:val="none"/>
        </w:rPr>
        <w:t>。</w:t>
      </w:r>
    </w:p>
    <w:p w14:paraId="38B561D5">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3.表格内容均需按要求填写，不得留空，</w:t>
      </w:r>
      <w:r>
        <w:rPr>
          <w:rFonts w:ascii="宋体" w:hAnsi="宋体"/>
          <w:b/>
          <w:bCs/>
          <w:color w:val="auto"/>
          <w:kern w:val="0"/>
          <w:szCs w:val="21"/>
          <w:highlight w:val="none"/>
        </w:rPr>
        <w:t>否则按竞标无效处理。</w:t>
      </w:r>
    </w:p>
    <w:p w14:paraId="177415E4">
      <w:pPr>
        <w:spacing w:line="400" w:lineRule="exact"/>
        <w:ind w:firstLine="420" w:firstLineChars="200"/>
        <w:contextualSpacing/>
        <w:rPr>
          <w:color w:val="auto"/>
          <w:kern w:val="0"/>
          <w:szCs w:val="21"/>
          <w:highlight w:val="none"/>
        </w:rPr>
      </w:pPr>
    </w:p>
    <w:p w14:paraId="761E8A9D">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44A63934">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3EA4F59">
      <w:pPr>
        <w:snapToGrid w:val="0"/>
        <w:spacing w:line="360" w:lineRule="auto"/>
        <w:ind w:firstLine="602" w:firstLineChars="200"/>
        <w:rPr>
          <w:rFonts w:ascii="仿宋" w:hAnsi="仿宋" w:eastAsia="仿宋" w:cs="仿宋_GB2312"/>
          <w:b/>
          <w:color w:val="auto"/>
          <w:sz w:val="30"/>
          <w:szCs w:val="30"/>
          <w:highlight w:val="none"/>
        </w:rPr>
      </w:pPr>
    </w:p>
    <w:p w14:paraId="7C510B10">
      <w:pPr>
        <w:snapToGrid w:val="0"/>
        <w:spacing w:line="360" w:lineRule="auto"/>
        <w:ind w:firstLine="602" w:firstLineChars="200"/>
        <w:rPr>
          <w:rFonts w:ascii="仿宋" w:hAnsi="仿宋" w:eastAsia="仿宋" w:cs="仿宋_GB2312"/>
          <w:b/>
          <w:color w:val="auto"/>
          <w:sz w:val="30"/>
          <w:szCs w:val="30"/>
          <w:highlight w:val="none"/>
        </w:rPr>
      </w:pPr>
    </w:p>
    <w:p w14:paraId="549D82BB">
      <w:pPr>
        <w:pStyle w:val="8"/>
        <w:rPr>
          <w:rFonts w:ascii="仿宋" w:hAnsi="仿宋" w:eastAsia="仿宋" w:cs="仿宋_GB2312"/>
          <w:b/>
          <w:color w:val="auto"/>
          <w:sz w:val="30"/>
          <w:szCs w:val="30"/>
          <w:highlight w:val="none"/>
        </w:rPr>
      </w:pPr>
    </w:p>
    <w:p w14:paraId="4E768C1B">
      <w:pPr>
        <w:pStyle w:val="8"/>
        <w:rPr>
          <w:rFonts w:ascii="仿宋" w:hAnsi="仿宋" w:eastAsia="仿宋" w:cs="仿宋_GB2312"/>
          <w:b/>
          <w:color w:val="auto"/>
          <w:sz w:val="30"/>
          <w:szCs w:val="30"/>
          <w:highlight w:val="none"/>
        </w:rPr>
      </w:pPr>
    </w:p>
    <w:p w14:paraId="286EAB77">
      <w:pPr>
        <w:snapToGrid w:val="0"/>
        <w:spacing w:before="120" w:beforeLines="50" w:after="50"/>
        <w:rPr>
          <w:b/>
          <w:color w:val="auto"/>
          <w:sz w:val="28"/>
          <w:szCs w:val="28"/>
          <w:highlight w:val="none"/>
        </w:rPr>
        <w:sectPr>
          <w:pgSz w:w="11911" w:h="16838"/>
          <w:pgMar w:top="1134" w:right="1134" w:bottom="1134" w:left="1134" w:header="720" w:footer="720" w:gutter="0"/>
          <w:cols w:space="720" w:num="1"/>
        </w:sectPr>
      </w:pPr>
    </w:p>
    <w:p w14:paraId="190EB367">
      <w:pPr>
        <w:snapToGrid w:val="0"/>
        <w:spacing w:before="120" w:beforeLines="50" w:after="50"/>
        <w:rPr>
          <w:b/>
          <w:color w:val="auto"/>
          <w:sz w:val="28"/>
          <w:szCs w:val="28"/>
          <w:highlight w:val="none"/>
        </w:rPr>
      </w:pPr>
      <w:r>
        <w:rPr>
          <w:b/>
          <w:color w:val="auto"/>
          <w:sz w:val="28"/>
          <w:szCs w:val="28"/>
          <w:highlight w:val="none"/>
        </w:rPr>
        <w:t>7.</w:t>
      </w:r>
      <w:r>
        <w:rPr>
          <w:color w:val="auto"/>
          <w:highlight w:val="none"/>
        </w:rPr>
        <w:t xml:space="preserve"> </w:t>
      </w:r>
      <w:r>
        <w:rPr>
          <w:b/>
          <w:color w:val="auto"/>
          <w:sz w:val="28"/>
          <w:szCs w:val="28"/>
          <w:highlight w:val="none"/>
        </w:rPr>
        <w:t>建设工程项目管理承诺书的格式：</w:t>
      </w:r>
    </w:p>
    <w:p w14:paraId="03FE9C5E">
      <w:pPr>
        <w:rPr>
          <w:rFonts w:cs="宋体"/>
          <w:b/>
          <w:bCs/>
          <w:color w:val="auto"/>
          <w:sz w:val="28"/>
          <w:szCs w:val="28"/>
          <w:highlight w:val="none"/>
        </w:rPr>
      </w:pPr>
    </w:p>
    <w:p w14:paraId="163E784B">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建设工程项目管理承诺书</w:t>
      </w:r>
    </w:p>
    <w:p w14:paraId="36425715">
      <w:pPr>
        <w:spacing w:line="400" w:lineRule="exact"/>
        <w:rPr>
          <w:rFonts w:ascii="宋体" w:hAnsi="宋体"/>
          <w:color w:val="auto"/>
          <w:sz w:val="24"/>
          <w:highlight w:val="none"/>
        </w:rPr>
      </w:pPr>
    </w:p>
    <w:p w14:paraId="0E3895B9">
      <w:pPr>
        <w:spacing w:line="400" w:lineRule="exact"/>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（采购人名称）：</w:t>
      </w:r>
    </w:p>
    <w:p w14:paraId="17AB1EFC">
      <w:pPr>
        <w:spacing w:line="400" w:lineRule="exact"/>
        <w:ind w:firstLine="420" w:firstLineChars="200"/>
        <w:rPr>
          <w:color w:val="auto"/>
          <w:szCs w:val="21"/>
          <w:highlight w:val="none"/>
        </w:rPr>
      </w:pPr>
      <w:r>
        <w:rPr>
          <w:color w:val="auto"/>
          <w:szCs w:val="21"/>
          <w:highlight w:val="none"/>
        </w:rPr>
        <w:t>作为参与</w:t>
      </w:r>
      <w:r>
        <w:rPr>
          <w:color w:val="auto"/>
          <w:szCs w:val="21"/>
          <w:highlight w:val="none"/>
          <w:u w:val="single"/>
        </w:rPr>
        <w:t xml:space="preserve">                  </w:t>
      </w:r>
      <w:r>
        <w:rPr>
          <w:color w:val="auto"/>
          <w:szCs w:val="21"/>
          <w:highlight w:val="none"/>
        </w:rPr>
        <w:t>（项目名称）项目的供应商，根据国家、自治区相关文件规定，我方在此向采购人承诺：</w:t>
      </w:r>
    </w:p>
    <w:p w14:paraId="31F4FE81">
      <w:pPr>
        <w:spacing w:line="400" w:lineRule="exact"/>
        <w:ind w:firstLine="420" w:firstLineChars="200"/>
        <w:rPr>
          <w:color w:val="auto"/>
          <w:szCs w:val="21"/>
          <w:highlight w:val="none"/>
        </w:rPr>
      </w:pPr>
      <w:r>
        <w:rPr>
          <w:color w:val="auto"/>
          <w:szCs w:val="21"/>
          <w:highlight w:val="none"/>
        </w:rPr>
        <w:t>1、一旦成交，我方保证按照政府相关部门的规定，在成交后7个工作日内，按照《保障农民工工资支付条例》规定及广西壮族自治区有关规定开设农民工工资专用账户，并按</w:t>
      </w:r>
      <w:r>
        <w:rPr>
          <w:color w:val="auto"/>
          <w:szCs w:val="21"/>
          <w:highlight w:val="none"/>
          <w:u w:val="single"/>
        </w:rPr>
        <w:t>要求</w:t>
      </w:r>
      <w:r>
        <w:rPr>
          <w:color w:val="auto"/>
          <w:szCs w:val="21"/>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0BAB87C1">
      <w:pPr>
        <w:spacing w:line="400" w:lineRule="exact"/>
        <w:ind w:firstLine="420" w:firstLineChars="200"/>
        <w:rPr>
          <w:color w:val="auto"/>
          <w:szCs w:val="21"/>
          <w:highlight w:val="none"/>
        </w:rPr>
      </w:pPr>
      <w:r>
        <w:rPr>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3CA6AA2C">
      <w:pPr>
        <w:spacing w:line="400" w:lineRule="exact"/>
        <w:ind w:firstLine="420" w:firstLineChars="200"/>
        <w:rPr>
          <w:color w:val="auto"/>
          <w:szCs w:val="21"/>
          <w:highlight w:val="none"/>
        </w:rPr>
      </w:pPr>
      <w:r>
        <w:rPr>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90A2774">
      <w:pPr>
        <w:spacing w:line="400" w:lineRule="exact"/>
        <w:ind w:firstLine="420" w:firstLineChars="200"/>
        <w:rPr>
          <w:color w:val="auto"/>
          <w:szCs w:val="21"/>
          <w:highlight w:val="none"/>
        </w:rPr>
      </w:pPr>
      <w:r>
        <w:rPr>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EB42C6C">
      <w:pPr>
        <w:spacing w:line="400" w:lineRule="exact"/>
        <w:ind w:firstLine="420" w:firstLineChars="200"/>
        <w:rPr>
          <w:color w:val="auto"/>
          <w:szCs w:val="21"/>
          <w:highlight w:val="none"/>
        </w:rPr>
      </w:pPr>
      <w:r>
        <w:rPr>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1599B97A">
      <w:pPr>
        <w:spacing w:line="400" w:lineRule="exact"/>
        <w:ind w:firstLine="420" w:firstLineChars="200"/>
        <w:rPr>
          <w:color w:val="auto"/>
          <w:szCs w:val="21"/>
          <w:highlight w:val="none"/>
        </w:rPr>
      </w:pPr>
    </w:p>
    <w:p w14:paraId="0DE3D09E">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6E0CE56F">
      <w:pPr>
        <w:spacing w:line="400" w:lineRule="exact"/>
        <w:ind w:firstLine="420" w:firstLineChars="200"/>
        <w:jc w:val="center"/>
        <w:rPr>
          <w:color w:val="auto"/>
          <w:szCs w:val="21"/>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r>
        <w:rPr>
          <w:color w:val="auto"/>
          <w:szCs w:val="21"/>
          <w:highlight w:val="none"/>
        </w:rPr>
        <w:br w:type="page"/>
      </w:r>
      <w:r>
        <w:rPr>
          <w:b/>
          <w:bCs/>
          <w:color w:val="auto"/>
          <w:szCs w:val="21"/>
          <w:highlight w:val="none"/>
        </w:rPr>
        <w:t>广西壮族自治区建筑工程安全文明施工措施项目清单内容</w:t>
      </w:r>
    </w:p>
    <w:p w14:paraId="0C47F8FF">
      <w:pPr>
        <w:jc w:val="center"/>
        <w:rPr>
          <w:color w:val="auto"/>
          <w:szCs w:val="21"/>
          <w:highlight w:val="none"/>
        </w:rPr>
      </w:pPr>
      <w:r>
        <w:rPr>
          <w:color w:val="auto"/>
          <w:szCs w:val="21"/>
          <w:highlight w:val="none"/>
        </w:rPr>
        <w:t>（桂建质〔2015〕16号文附件一）</w:t>
      </w:r>
    </w:p>
    <w:p w14:paraId="4C182094">
      <w:pPr>
        <w:jc w:val="center"/>
        <w:rPr>
          <w:b/>
          <w:bCs/>
          <w:color w:val="auto"/>
          <w:szCs w:val="21"/>
          <w:highlight w:val="none"/>
        </w:rPr>
      </w:pPr>
      <w:r>
        <w:rPr>
          <w:b/>
          <w:bCs/>
          <w:color w:val="auto"/>
          <w:szCs w:val="21"/>
          <w:highlight w:val="none"/>
        </w:rPr>
        <w:t>广西壮族自治区</w:t>
      </w:r>
    </w:p>
    <w:p w14:paraId="20A3C609">
      <w:pPr>
        <w:jc w:val="center"/>
        <w:rPr>
          <w:b/>
          <w:bCs/>
          <w:color w:val="auto"/>
          <w:w w:val="90"/>
          <w:szCs w:val="21"/>
          <w:highlight w:val="none"/>
        </w:rPr>
      </w:pPr>
      <w:r>
        <w:rPr>
          <w:b/>
          <w:bCs/>
          <w:color w:val="auto"/>
          <w:w w:val="90"/>
          <w:szCs w:val="21"/>
          <w:highlight w:val="none"/>
        </w:rPr>
        <w:t>建设工程安全文明施工措施项目清单内容</w:t>
      </w:r>
    </w:p>
    <w:p w14:paraId="61DAA57F">
      <w:pPr>
        <w:rPr>
          <w:b/>
          <w:bCs/>
          <w:color w:val="auto"/>
          <w:w w:val="90"/>
          <w:szCs w:val="21"/>
          <w:highlight w:val="none"/>
        </w:rPr>
      </w:pPr>
    </w:p>
    <w:tbl>
      <w:tblPr>
        <w:tblStyle w:val="28"/>
        <w:tblW w:w="945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186B2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vAlign w:val="center"/>
          </w:tcPr>
          <w:p w14:paraId="3406979E">
            <w:pPr>
              <w:rPr>
                <w:b/>
                <w:bCs/>
                <w:color w:val="auto"/>
                <w:szCs w:val="21"/>
                <w:highlight w:val="none"/>
              </w:rPr>
            </w:pPr>
            <w:r>
              <w:rPr>
                <w:b/>
                <w:bCs/>
                <w:color w:val="auto"/>
                <w:szCs w:val="21"/>
                <w:highlight w:val="none"/>
              </w:rPr>
              <w:t>类别</w:t>
            </w:r>
          </w:p>
        </w:tc>
        <w:tc>
          <w:tcPr>
            <w:tcW w:w="2070" w:type="dxa"/>
            <w:gridSpan w:val="2"/>
            <w:tcBorders>
              <w:top w:val="single" w:color="auto" w:sz="12" w:space="0"/>
            </w:tcBorders>
            <w:vAlign w:val="center"/>
          </w:tcPr>
          <w:p w14:paraId="4F7585C4">
            <w:pPr>
              <w:rPr>
                <w:b/>
                <w:bCs/>
                <w:color w:val="auto"/>
                <w:szCs w:val="21"/>
                <w:highlight w:val="none"/>
              </w:rPr>
            </w:pPr>
            <w:r>
              <w:rPr>
                <w:b/>
                <w:bCs/>
                <w:color w:val="auto"/>
                <w:szCs w:val="21"/>
                <w:highlight w:val="none"/>
              </w:rPr>
              <w:t>项目名称</w:t>
            </w:r>
          </w:p>
        </w:tc>
        <w:tc>
          <w:tcPr>
            <w:tcW w:w="6645" w:type="dxa"/>
            <w:tcBorders>
              <w:top w:val="single" w:color="auto" w:sz="12" w:space="0"/>
            </w:tcBorders>
            <w:vAlign w:val="center"/>
          </w:tcPr>
          <w:p w14:paraId="28C04E91">
            <w:pPr>
              <w:rPr>
                <w:b/>
                <w:bCs/>
                <w:color w:val="auto"/>
                <w:szCs w:val="21"/>
                <w:highlight w:val="none"/>
              </w:rPr>
            </w:pPr>
            <w:r>
              <w:rPr>
                <w:b/>
                <w:bCs/>
                <w:color w:val="auto"/>
                <w:szCs w:val="21"/>
                <w:highlight w:val="none"/>
              </w:rPr>
              <w:t>主要内容和要求</w:t>
            </w:r>
          </w:p>
        </w:tc>
      </w:tr>
      <w:tr w14:paraId="12470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30063F23">
            <w:pPr>
              <w:rPr>
                <w:color w:val="auto"/>
                <w:szCs w:val="21"/>
                <w:highlight w:val="none"/>
              </w:rPr>
            </w:pPr>
            <w:r>
              <w:rPr>
                <w:color w:val="auto"/>
                <w:szCs w:val="21"/>
                <w:highlight w:val="none"/>
              </w:rPr>
              <w:t>文明</w:t>
            </w:r>
          </w:p>
          <w:p w14:paraId="01FD5B6B">
            <w:pPr>
              <w:rPr>
                <w:color w:val="auto"/>
                <w:szCs w:val="21"/>
                <w:highlight w:val="none"/>
              </w:rPr>
            </w:pPr>
            <w:r>
              <w:rPr>
                <w:color w:val="auto"/>
                <w:szCs w:val="21"/>
                <w:highlight w:val="none"/>
              </w:rPr>
              <w:t>施工</w:t>
            </w:r>
          </w:p>
          <w:p w14:paraId="05D0C7C7">
            <w:pPr>
              <w:rPr>
                <w:color w:val="auto"/>
                <w:szCs w:val="21"/>
                <w:highlight w:val="none"/>
              </w:rPr>
            </w:pPr>
            <w:r>
              <w:rPr>
                <w:color w:val="auto"/>
                <w:szCs w:val="21"/>
                <w:highlight w:val="none"/>
              </w:rPr>
              <w:t>与</w:t>
            </w:r>
          </w:p>
          <w:p w14:paraId="56D2F434">
            <w:pPr>
              <w:rPr>
                <w:color w:val="auto"/>
                <w:szCs w:val="21"/>
                <w:highlight w:val="none"/>
              </w:rPr>
            </w:pPr>
            <w:r>
              <w:rPr>
                <w:color w:val="auto"/>
                <w:szCs w:val="21"/>
                <w:highlight w:val="none"/>
              </w:rPr>
              <w:t>环境</w:t>
            </w:r>
          </w:p>
          <w:p w14:paraId="2F6B2F36">
            <w:pPr>
              <w:rPr>
                <w:color w:val="auto"/>
                <w:szCs w:val="21"/>
                <w:highlight w:val="none"/>
              </w:rPr>
            </w:pPr>
            <w:r>
              <w:rPr>
                <w:color w:val="auto"/>
                <w:szCs w:val="21"/>
                <w:highlight w:val="none"/>
              </w:rPr>
              <w:t>保护</w:t>
            </w:r>
          </w:p>
        </w:tc>
        <w:tc>
          <w:tcPr>
            <w:tcW w:w="2070" w:type="dxa"/>
            <w:gridSpan w:val="2"/>
            <w:vAlign w:val="center"/>
          </w:tcPr>
          <w:p w14:paraId="6E4D9267">
            <w:pPr>
              <w:rPr>
                <w:color w:val="auto"/>
                <w:szCs w:val="21"/>
                <w:highlight w:val="none"/>
              </w:rPr>
            </w:pPr>
            <w:r>
              <w:rPr>
                <w:color w:val="auto"/>
                <w:szCs w:val="21"/>
                <w:highlight w:val="none"/>
              </w:rPr>
              <w:t>安全警示</w:t>
            </w:r>
          </w:p>
          <w:p w14:paraId="3213543D">
            <w:pPr>
              <w:rPr>
                <w:color w:val="auto"/>
                <w:szCs w:val="21"/>
                <w:highlight w:val="none"/>
              </w:rPr>
            </w:pPr>
            <w:r>
              <w:rPr>
                <w:color w:val="auto"/>
                <w:szCs w:val="21"/>
                <w:highlight w:val="none"/>
              </w:rPr>
              <w:t>标志牌</w:t>
            </w:r>
          </w:p>
        </w:tc>
        <w:tc>
          <w:tcPr>
            <w:tcW w:w="6645" w:type="dxa"/>
            <w:vAlign w:val="center"/>
          </w:tcPr>
          <w:p w14:paraId="77D6F059">
            <w:pPr>
              <w:rPr>
                <w:color w:val="auto"/>
                <w:szCs w:val="21"/>
                <w:highlight w:val="none"/>
              </w:rPr>
            </w:pPr>
            <w:r>
              <w:rPr>
                <w:color w:val="auto"/>
                <w:szCs w:val="21"/>
                <w:highlight w:val="none"/>
              </w:rPr>
              <w:t>在易发伤亡事故（或危险）处设置明显的、符合国家标准要求的安全警示标志牌。</w:t>
            </w:r>
          </w:p>
        </w:tc>
      </w:tr>
      <w:tr w14:paraId="475E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B716B77">
            <w:pPr>
              <w:rPr>
                <w:color w:val="auto"/>
                <w:szCs w:val="21"/>
                <w:highlight w:val="none"/>
              </w:rPr>
            </w:pPr>
          </w:p>
        </w:tc>
        <w:tc>
          <w:tcPr>
            <w:tcW w:w="2070" w:type="dxa"/>
            <w:gridSpan w:val="2"/>
            <w:vAlign w:val="center"/>
          </w:tcPr>
          <w:p w14:paraId="602F2914">
            <w:pPr>
              <w:rPr>
                <w:color w:val="auto"/>
                <w:szCs w:val="21"/>
                <w:highlight w:val="none"/>
              </w:rPr>
            </w:pPr>
            <w:r>
              <w:rPr>
                <w:color w:val="auto"/>
                <w:szCs w:val="21"/>
                <w:highlight w:val="none"/>
              </w:rPr>
              <w:t>现场围挡</w:t>
            </w:r>
          </w:p>
        </w:tc>
        <w:tc>
          <w:tcPr>
            <w:tcW w:w="6645" w:type="dxa"/>
            <w:vAlign w:val="center"/>
          </w:tcPr>
          <w:p w14:paraId="478B493B">
            <w:pPr>
              <w:rPr>
                <w:color w:val="auto"/>
                <w:szCs w:val="21"/>
                <w:highlight w:val="none"/>
              </w:rPr>
            </w:pPr>
            <w:r>
              <w:rPr>
                <w:color w:val="auto"/>
                <w:szCs w:val="21"/>
                <w:highlight w:val="none"/>
              </w:rPr>
              <w:t>1. 现场采用封闭围挡，高度不小于1.8m。</w:t>
            </w:r>
          </w:p>
          <w:p w14:paraId="076281AB">
            <w:pPr>
              <w:rPr>
                <w:color w:val="auto"/>
                <w:szCs w:val="21"/>
                <w:highlight w:val="none"/>
              </w:rPr>
            </w:pPr>
            <w:r>
              <w:rPr>
                <w:color w:val="auto"/>
                <w:szCs w:val="21"/>
                <w:highlight w:val="none"/>
              </w:rPr>
              <w:t>2. 围挡材料可用彩色、定型钢板，砌块等墙体。</w:t>
            </w:r>
          </w:p>
        </w:tc>
      </w:tr>
      <w:tr w14:paraId="7CA27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8C7C924">
            <w:pPr>
              <w:rPr>
                <w:color w:val="auto"/>
                <w:szCs w:val="21"/>
                <w:highlight w:val="none"/>
              </w:rPr>
            </w:pPr>
          </w:p>
        </w:tc>
        <w:tc>
          <w:tcPr>
            <w:tcW w:w="2070" w:type="dxa"/>
            <w:gridSpan w:val="2"/>
            <w:vAlign w:val="center"/>
          </w:tcPr>
          <w:p w14:paraId="601534CF">
            <w:pPr>
              <w:rPr>
                <w:color w:val="auto"/>
                <w:szCs w:val="21"/>
                <w:highlight w:val="none"/>
              </w:rPr>
            </w:pPr>
            <w:r>
              <w:rPr>
                <w:color w:val="auto"/>
                <w:szCs w:val="21"/>
                <w:highlight w:val="none"/>
              </w:rPr>
              <w:t>七牌二图</w:t>
            </w:r>
          </w:p>
        </w:tc>
        <w:tc>
          <w:tcPr>
            <w:tcW w:w="6645" w:type="dxa"/>
            <w:vAlign w:val="center"/>
          </w:tcPr>
          <w:p w14:paraId="4793686A">
            <w:pPr>
              <w:rPr>
                <w:color w:val="auto"/>
                <w:szCs w:val="21"/>
                <w:highlight w:val="none"/>
              </w:rPr>
            </w:pPr>
            <w:r>
              <w:rPr>
                <w:color w:val="auto"/>
                <w:szCs w:val="21"/>
                <w:highlight w:val="none"/>
              </w:rPr>
              <w:t>在进门处悬挂工程概况、现场出入制度、管理人员名单及监督电话、安全生产规定、文明施工、消防保卫、节能公示等七牌以及施工现场总平面图、工程效果图。</w:t>
            </w:r>
          </w:p>
        </w:tc>
      </w:tr>
      <w:tr w14:paraId="72002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1390ED1A">
            <w:pPr>
              <w:rPr>
                <w:color w:val="auto"/>
                <w:szCs w:val="21"/>
                <w:highlight w:val="none"/>
              </w:rPr>
            </w:pPr>
          </w:p>
        </w:tc>
        <w:tc>
          <w:tcPr>
            <w:tcW w:w="2070" w:type="dxa"/>
            <w:gridSpan w:val="2"/>
            <w:vAlign w:val="center"/>
          </w:tcPr>
          <w:p w14:paraId="6DDDC653">
            <w:pPr>
              <w:rPr>
                <w:color w:val="auto"/>
                <w:szCs w:val="21"/>
                <w:highlight w:val="none"/>
              </w:rPr>
            </w:pPr>
            <w:r>
              <w:rPr>
                <w:color w:val="auto"/>
                <w:szCs w:val="21"/>
                <w:highlight w:val="none"/>
              </w:rPr>
              <w:t>企业标志</w:t>
            </w:r>
          </w:p>
        </w:tc>
        <w:tc>
          <w:tcPr>
            <w:tcW w:w="6645" w:type="dxa"/>
            <w:vAlign w:val="center"/>
          </w:tcPr>
          <w:p w14:paraId="0AB249BA">
            <w:pPr>
              <w:rPr>
                <w:color w:val="auto"/>
                <w:szCs w:val="21"/>
                <w:highlight w:val="none"/>
              </w:rPr>
            </w:pPr>
            <w:r>
              <w:rPr>
                <w:color w:val="auto"/>
                <w:szCs w:val="21"/>
                <w:highlight w:val="none"/>
              </w:rPr>
              <w:t>现场出入的大门应设有本企业标志或企业标识。</w:t>
            </w:r>
          </w:p>
        </w:tc>
      </w:tr>
      <w:tr w14:paraId="60D1D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EF90282">
            <w:pPr>
              <w:rPr>
                <w:color w:val="auto"/>
                <w:szCs w:val="21"/>
                <w:highlight w:val="none"/>
              </w:rPr>
            </w:pPr>
          </w:p>
        </w:tc>
        <w:tc>
          <w:tcPr>
            <w:tcW w:w="2070" w:type="dxa"/>
            <w:gridSpan w:val="2"/>
            <w:vAlign w:val="center"/>
          </w:tcPr>
          <w:p w14:paraId="59BB8276">
            <w:pPr>
              <w:rPr>
                <w:color w:val="auto"/>
                <w:szCs w:val="21"/>
                <w:highlight w:val="none"/>
              </w:rPr>
            </w:pPr>
            <w:r>
              <w:rPr>
                <w:color w:val="auto"/>
                <w:szCs w:val="21"/>
                <w:highlight w:val="none"/>
              </w:rPr>
              <w:t>场容场貌</w:t>
            </w:r>
          </w:p>
        </w:tc>
        <w:tc>
          <w:tcPr>
            <w:tcW w:w="6645" w:type="dxa"/>
            <w:vAlign w:val="center"/>
          </w:tcPr>
          <w:p w14:paraId="2599616F">
            <w:pPr>
              <w:rPr>
                <w:color w:val="auto"/>
                <w:szCs w:val="21"/>
                <w:highlight w:val="none"/>
              </w:rPr>
            </w:pPr>
            <w:r>
              <w:rPr>
                <w:color w:val="auto"/>
                <w:szCs w:val="21"/>
                <w:highlight w:val="none"/>
              </w:rPr>
              <w:t>1. 道路畅通。</w:t>
            </w:r>
          </w:p>
          <w:p w14:paraId="619239B7">
            <w:pPr>
              <w:rPr>
                <w:color w:val="auto"/>
                <w:szCs w:val="21"/>
                <w:highlight w:val="none"/>
              </w:rPr>
            </w:pPr>
            <w:r>
              <w:rPr>
                <w:color w:val="auto"/>
                <w:szCs w:val="21"/>
                <w:highlight w:val="none"/>
              </w:rPr>
              <w:t>2. 排水设施齐全畅通。</w:t>
            </w:r>
          </w:p>
          <w:p w14:paraId="6FA3432B">
            <w:pPr>
              <w:rPr>
                <w:color w:val="auto"/>
                <w:szCs w:val="21"/>
                <w:highlight w:val="none"/>
              </w:rPr>
            </w:pPr>
            <w:r>
              <w:rPr>
                <w:color w:val="auto"/>
                <w:szCs w:val="21"/>
                <w:highlight w:val="none"/>
              </w:rPr>
              <w:t>3. 工地地面硬化处理（办公区、生活区、现场道路、材料堆放、混凝土搅拌、砂浆搅拌、钢筋加工等场地和外脚手架基础等）。</w:t>
            </w:r>
          </w:p>
        </w:tc>
      </w:tr>
      <w:tr w14:paraId="7347D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5E1CF5C">
            <w:pPr>
              <w:rPr>
                <w:color w:val="auto"/>
                <w:szCs w:val="21"/>
                <w:highlight w:val="none"/>
              </w:rPr>
            </w:pPr>
          </w:p>
        </w:tc>
        <w:tc>
          <w:tcPr>
            <w:tcW w:w="2070" w:type="dxa"/>
            <w:gridSpan w:val="2"/>
            <w:vAlign w:val="center"/>
          </w:tcPr>
          <w:p w14:paraId="19942343">
            <w:pPr>
              <w:rPr>
                <w:color w:val="auto"/>
                <w:szCs w:val="21"/>
                <w:highlight w:val="none"/>
              </w:rPr>
            </w:pPr>
            <w:r>
              <w:rPr>
                <w:color w:val="auto"/>
                <w:szCs w:val="21"/>
                <w:highlight w:val="none"/>
              </w:rPr>
              <w:t>材料堆放</w:t>
            </w:r>
          </w:p>
        </w:tc>
        <w:tc>
          <w:tcPr>
            <w:tcW w:w="6645" w:type="dxa"/>
            <w:vAlign w:val="center"/>
          </w:tcPr>
          <w:p w14:paraId="69FDB166">
            <w:pPr>
              <w:rPr>
                <w:color w:val="auto"/>
                <w:szCs w:val="21"/>
                <w:highlight w:val="none"/>
              </w:rPr>
            </w:pPr>
            <w:r>
              <w:rPr>
                <w:color w:val="auto"/>
                <w:szCs w:val="21"/>
                <w:highlight w:val="none"/>
              </w:rPr>
              <w:t>材料、构件、料具等堆放时，应有名称、品种、规格等标牌。</w:t>
            </w:r>
          </w:p>
          <w:p w14:paraId="7F051244">
            <w:pPr>
              <w:rPr>
                <w:color w:val="auto"/>
                <w:szCs w:val="21"/>
                <w:highlight w:val="none"/>
              </w:rPr>
            </w:pPr>
            <w:r>
              <w:rPr>
                <w:color w:val="auto"/>
                <w:szCs w:val="21"/>
                <w:highlight w:val="none"/>
              </w:rPr>
              <w:t>2. 水泥和其它易飞扬细颗粒建筑材料应封闭存放或采取覆盖等措施。</w:t>
            </w:r>
          </w:p>
          <w:p w14:paraId="41663243">
            <w:pPr>
              <w:rPr>
                <w:color w:val="auto"/>
                <w:szCs w:val="21"/>
                <w:highlight w:val="none"/>
              </w:rPr>
            </w:pPr>
            <w:r>
              <w:rPr>
                <w:color w:val="auto"/>
                <w:szCs w:val="21"/>
                <w:highlight w:val="none"/>
              </w:rPr>
              <w:t>3. 易燃、易爆和有毒有害物品分类存放。</w:t>
            </w:r>
          </w:p>
        </w:tc>
      </w:tr>
      <w:tr w14:paraId="7A2F2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098F2C8A">
            <w:pPr>
              <w:rPr>
                <w:color w:val="auto"/>
                <w:szCs w:val="21"/>
                <w:highlight w:val="none"/>
              </w:rPr>
            </w:pPr>
          </w:p>
        </w:tc>
        <w:tc>
          <w:tcPr>
            <w:tcW w:w="2070" w:type="dxa"/>
            <w:gridSpan w:val="2"/>
            <w:vAlign w:val="center"/>
          </w:tcPr>
          <w:p w14:paraId="14C474E7">
            <w:pPr>
              <w:rPr>
                <w:color w:val="auto"/>
                <w:szCs w:val="21"/>
                <w:highlight w:val="none"/>
              </w:rPr>
            </w:pPr>
            <w:r>
              <w:rPr>
                <w:color w:val="auto"/>
                <w:szCs w:val="21"/>
                <w:highlight w:val="none"/>
              </w:rPr>
              <w:t>现场防火</w:t>
            </w:r>
          </w:p>
        </w:tc>
        <w:tc>
          <w:tcPr>
            <w:tcW w:w="6645" w:type="dxa"/>
            <w:vAlign w:val="center"/>
          </w:tcPr>
          <w:p w14:paraId="31F01424">
            <w:pPr>
              <w:rPr>
                <w:color w:val="auto"/>
                <w:szCs w:val="21"/>
                <w:highlight w:val="none"/>
              </w:rPr>
            </w:pPr>
            <w:r>
              <w:rPr>
                <w:color w:val="auto"/>
                <w:szCs w:val="21"/>
                <w:highlight w:val="none"/>
              </w:rPr>
              <w:t>消防器材配置合理，符合消防要求。</w:t>
            </w:r>
          </w:p>
        </w:tc>
      </w:tr>
      <w:tr w14:paraId="166C7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AD4388D">
            <w:pPr>
              <w:rPr>
                <w:color w:val="auto"/>
                <w:szCs w:val="21"/>
                <w:highlight w:val="none"/>
              </w:rPr>
            </w:pPr>
          </w:p>
        </w:tc>
        <w:tc>
          <w:tcPr>
            <w:tcW w:w="2070" w:type="dxa"/>
            <w:gridSpan w:val="2"/>
            <w:vAlign w:val="center"/>
          </w:tcPr>
          <w:p w14:paraId="2CC5F819">
            <w:pPr>
              <w:rPr>
                <w:color w:val="auto"/>
                <w:szCs w:val="21"/>
                <w:highlight w:val="none"/>
              </w:rPr>
            </w:pPr>
            <w:r>
              <w:rPr>
                <w:color w:val="auto"/>
                <w:szCs w:val="21"/>
                <w:highlight w:val="none"/>
              </w:rPr>
              <w:t>垃圾清运</w:t>
            </w:r>
          </w:p>
        </w:tc>
        <w:tc>
          <w:tcPr>
            <w:tcW w:w="6645" w:type="dxa"/>
            <w:vAlign w:val="center"/>
          </w:tcPr>
          <w:p w14:paraId="77CE4CFB">
            <w:pPr>
              <w:rPr>
                <w:color w:val="auto"/>
                <w:szCs w:val="21"/>
                <w:highlight w:val="none"/>
              </w:rPr>
            </w:pPr>
            <w:r>
              <w:rPr>
                <w:color w:val="auto"/>
                <w:szCs w:val="21"/>
                <w:highlight w:val="none"/>
              </w:rPr>
              <w:t>1. 施工现场应设置密闭式垃圾站，施工垃圾、生活垃圾应分类存放。</w:t>
            </w:r>
          </w:p>
          <w:p w14:paraId="0F5521E3">
            <w:pPr>
              <w:rPr>
                <w:color w:val="auto"/>
                <w:szCs w:val="21"/>
                <w:highlight w:val="none"/>
              </w:rPr>
            </w:pPr>
            <w:r>
              <w:rPr>
                <w:color w:val="auto"/>
                <w:szCs w:val="21"/>
                <w:highlight w:val="none"/>
              </w:rPr>
              <w:t>2. 施工垃圾必须采用相应容器或管道运输。</w:t>
            </w:r>
          </w:p>
        </w:tc>
      </w:tr>
      <w:tr w14:paraId="0BF00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4AC6EA7">
            <w:pPr>
              <w:rPr>
                <w:color w:val="auto"/>
                <w:szCs w:val="21"/>
                <w:highlight w:val="none"/>
              </w:rPr>
            </w:pPr>
          </w:p>
        </w:tc>
        <w:tc>
          <w:tcPr>
            <w:tcW w:w="2070" w:type="dxa"/>
            <w:gridSpan w:val="2"/>
            <w:vAlign w:val="center"/>
          </w:tcPr>
          <w:p w14:paraId="22EB027F">
            <w:pPr>
              <w:rPr>
                <w:color w:val="auto"/>
                <w:szCs w:val="21"/>
                <w:highlight w:val="none"/>
              </w:rPr>
            </w:pPr>
            <w:r>
              <w:rPr>
                <w:color w:val="auto"/>
                <w:szCs w:val="21"/>
                <w:highlight w:val="none"/>
              </w:rPr>
              <w:t>宣传栏、环保及不扰民措施</w:t>
            </w:r>
          </w:p>
        </w:tc>
        <w:tc>
          <w:tcPr>
            <w:tcW w:w="6645" w:type="dxa"/>
            <w:vAlign w:val="center"/>
          </w:tcPr>
          <w:p w14:paraId="6B7FBB2D">
            <w:pPr>
              <w:rPr>
                <w:color w:val="auto"/>
                <w:szCs w:val="21"/>
                <w:highlight w:val="none"/>
              </w:rPr>
            </w:pPr>
            <w:r>
              <w:rPr>
                <w:color w:val="auto"/>
                <w:szCs w:val="21"/>
                <w:highlight w:val="none"/>
              </w:rPr>
              <w:t>宣传栏、安全宣传标语等，洗车（防止污染市区道路）、粉尘、噪声控制和排污（污水、废气）措施等。</w:t>
            </w:r>
          </w:p>
        </w:tc>
      </w:tr>
      <w:tr w14:paraId="20FFB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02048F2F">
            <w:pPr>
              <w:jc w:val="left"/>
              <w:rPr>
                <w:color w:val="auto"/>
                <w:szCs w:val="21"/>
                <w:highlight w:val="none"/>
              </w:rPr>
            </w:pPr>
            <w:r>
              <w:rPr>
                <w:rFonts w:hint="eastAsia"/>
                <w:color w:val="auto"/>
                <w:szCs w:val="21"/>
                <w:highlight w:val="none"/>
              </w:rPr>
              <w:t>临时</w:t>
            </w:r>
            <w:r>
              <w:rPr>
                <w:color w:val="auto"/>
                <w:szCs w:val="21"/>
                <w:highlight w:val="none"/>
              </w:rPr>
              <w:t>设施</w:t>
            </w:r>
          </w:p>
        </w:tc>
        <w:tc>
          <w:tcPr>
            <w:tcW w:w="2070" w:type="dxa"/>
            <w:gridSpan w:val="2"/>
            <w:vAlign w:val="center"/>
          </w:tcPr>
          <w:p w14:paraId="6A69E5F9">
            <w:pPr>
              <w:rPr>
                <w:color w:val="auto"/>
                <w:szCs w:val="21"/>
                <w:highlight w:val="none"/>
              </w:rPr>
            </w:pPr>
            <w:r>
              <w:rPr>
                <w:color w:val="auto"/>
                <w:szCs w:val="21"/>
                <w:highlight w:val="none"/>
              </w:rPr>
              <w:t>现场办公</w:t>
            </w:r>
          </w:p>
          <w:p w14:paraId="38B4EC6D">
            <w:pPr>
              <w:rPr>
                <w:color w:val="auto"/>
                <w:szCs w:val="21"/>
                <w:highlight w:val="none"/>
              </w:rPr>
            </w:pPr>
            <w:r>
              <w:rPr>
                <w:color w:val="auto"/>
                <w:szCs w:val="21"/>
                <w:highlight w:val="none"/>
              </w:rPr>
              <w:t>生活设施</w:t>
            </w:r>
          </w:p>
        </w:tc>
        <w:tc>
          <w:tcPr>
            <w:tcW w:w="6645" w:type="dxa"/>
            <w:vAlign w:val="center"/>
          </w:tcPr>
          <w:p w14:paraId="3AC0E7C7">
            <w:pPr>
              <w:rPr>
                <w:color w:val="auto"/>
                <w:szCs w:val="21"/>
                <w:highlight w:val="none"/>
              </w:rPr>
            </w:pPr>
            <w:r>
              <w:rPr>
                <w:color w:val="auto"/>
                <w:szCs w:val="21"/>
                <w:highlight w:val="none"/>
              </w:rPr>
              <w:t>1. 施工现场办公、生活区与作业区分开设置，保持安全距离。</w:t>
            </w:r>
          </w:p>
          <w:p w14:paraId="05455A1B">
            <w:pPr>
              <w:rPr>
                <w:color w:val="auto"/>
                <w:szCs w:val="21"/>
                <w:highlight w:val="none"/>
              </w:rPr>
            </w:pPr>
            <w:r>
              <w:rPr>
                <w:color w:val="auto"/>
                <w:szCs w:val="21"/>
                <w:highlight w:val="none"/>
              </w:rPr>
              <w:t>2. 工地办公室、现场宿舍、食堂、厕所、饮水、沐浴、休息场所等符合卫生、消防安全要求。</w:t>
            </w:r>
          </w:p>
        </w:tc>
      </w:tr>
      <w:tr w14:paraId="5005D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21A7D37">
            <w:pPr>
              <w:rPr>
                <w:color w:val="auto"/>
                <w:szCs w:val="21"/>
                <w:highlight w:val="none"/>
              </w:rPr>
            </w:pPr>
          </w:p>
        </w:tc>
        <w:tc>
          <w:tcPr>
            <w:tcW w:w="525" w:type="dxa"/>
            <w:vMerge w:val="restart"/>
            <w:vAlign w:val="center"/>
          </w:tcPr>
          <w:p w14:paraId="55796495">
            <w:pPr>
              <w:rPr>
                <w:color w:val="auto"/>
                <w:szCs w:val="21"/>
                <w:highlight w:val="none"/>
              </w:rPr>
            </w:pPr>
            <w:r>
              <w:rPr>
                <w:color w:val="auto"/>
                <w:szCs w:val="21"/>
                <w:highlight w:val="none"/>
              </w:rPr>
              <w:t>施工现场</w:t>
            </w:r>
          </w:p>
          <w:p w14:paraId="2ADCF937">
            <w:pPr>
              <w:rPr>
                <w:color w:val="auto"/>
                <w:szCs w:val="21"/>
                <w:highlight w:val="none"/>
              </w:rPr>
            </w:pPr>
            <w:r>
              <w:rPr>
                <w:color w:val="auto"/>
                <w:szCs w:val="21"/>
                <w:highlight w:val="none"/>
              </w:rPr>
              <w:t>临时用电</w:t>
            </w:r>
          </w:p>
        </w:tc>
        <w:tc>
          <w:tcPr>
            <w:tcW w:w="1545" w:type="dxa"/>
            <w:vAlign w:val="center"/>
          </w:tcPr>
          <w:p w14:paraId="641A89AB">
            <w:pPr>
              <w:rPr>
                <w:color w:val="auto"/>
                <w:szCs w:val="21"/>
                <w:highlight w:val="none"/>
              </w:rPr>
            </w:pPr>
            <w:r>
              <w:rPr>
                <w:color w:val="auto"/>
                <w:szCs w:val="21"/>
                <w:highlight w:val="none"/>
              </w:rPr>
              <w:t>配电线路</w:t>
            </w:r>
          </w:p>
        </w:tc>
        <w:tc>
          <w:tcPr>
            <w:tcW w:w="6645" w:type="dxa"/>
            <w:vAlign w:val="center"/>
          </w:tcPr>
          <w:p w14:paraId="0FF4C23D">
            <w:pPr>
              <w:rPr>
                <w:color w:val="auto"/>
                <w:szCs w:val="21"/>
                <w:highlight w:val="none"/>
              </w:rPr>
            </w:pPr>
            <w:r>
              <w:rPr>
                <w:color w:val="auto"/>
                <w:szCs w:val="21"/>
                <w:highlight w:val="none"/>
              </w:rPr>
              <w:t>1. 按照TN-S系统要求配备五芯电缆、四芯电缆和三芯电缆。</w:t>
            </w:r>
          </w:p>
          <w:p w14:paraId="70A09A4B">
            <w:pPr>
              <w:rPr>
                <w:color w:val="auto"/>
                <w:szCs w:val="21"/>
                <w:highlight w:val="none"/>
              </w:rPr>
            </w:pPr>
            <w:r>
              <w:rPr>
                <w:color w:val="auto"/>
                <w:szCs w:val="21"/>
                <w:highlight w:val="none"/>
              </w:rPr>
              <w:t>2. 按要求架设临时用电线路的电杆、横担、瓷夹、瓷瓶等，或电缆埋地的地沟。</w:t>
            </w:r>
          </w:p>
          <w:p w14:paraId="59D29AC7">
            <w:pPr>
              <w:rPr>
                <w:color w:val="auto"/>
                <w:szCs w:val="21"/>
                <w:highlight w:val="none"/>
              </w:rPr>
            </w:pPr>
            <w:r>
              <w:rPr>
                <w:color w:val="auto"/>
                <w:szCs w:val="21"/>
                <w:highlight w:val="none"/>
              </w:rPr>
              <w:t>3. 对靠近施工现场的外电线路，设置木质、塑料等绝缘体的防护设施。</w:t>
            </w:r>
          </w:p>
        </w:tc>
      </w:tr>
      <w:tr w14:paraId="4459A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BC3D723">
            <w:pPr>
              <w:rPr>
                <w:color w:val="auto"/>
                <w:szCs w:val="21"/>
                <w:highlight w:val="none"/>
              </w:rPr>
            </w:pPr>
          </w:p>
        </w:tc>
        <w:tc>
          <w:tcPr>
            <w:tcW w:w="525" w:type="dxa"/>
            <w:vMerge w:val="continue"/>
            <w:vAlign w:val="center"/>
          </w:tcPr>
          <w:p w14:paraId="76B1251D">
            <w:pPr>
              <w:rPr>
                <w:color w:val="auto"/>
                <w:szCs w:val="21"/>
                <w:highlight w:val="none"/>
              </w:rPr>
            </w:pPr>
          </w:p>
        </w:tc>
        <w:tc>
          <w:tcPr>
            <w:tcW w:w="1545" w:type="dxa"/>
            <w:vAlign w:val="center"/>
          </w:tcPr>
          <w:p w14:paraId="0EC089D9">
            <w:pPr>
              <w:rPr>
                <w:color w:val="auto"/>
                <w:szCs w:val="21"/>
                <w:highlight w:val="none"/>
              </w:rPr>
            </w:pPr>
            <w:r>
              <w:rPr>
                <w:color w:val="auto"/>
                <w:szCs w:val="21"/>
                <w:highlight w:val="none"/>
              </w:rPr>
              <w:t>配电箱</w:t>
            </w:r>
          </w:p>
          <w:p w14:paraId="093082E7">
            <w:pPr>
              <w:rPr>
                <w:color w:val="auto"/>
                <w:szCs w:val="21"/>
                <w:highlight w:val="none"/>
              </w:rPr>
            </w:pPr>
            <w:r>
              <w:rPr>
                <w:color w:val="auto"/>
                <w:szCs w:val="21"/>
                <w:highlight w:val="none"/>
              </w:rPr>
              <w:t>开关箱</w:t>
            </w:r>
          </w:p>
        </w:tc>
        <w:tc>
          <w:tcPr>
            <w:tcW w:w="6645" w:type="dxa"/>
            <w:vAlign w:val="center"/>
          </w:tcPr>
          <w:p w14:paraId="21C98B54">
            <w:pPr>
              <w:rPr>
                <w:color w:val="auto"/>
                <w:szCs w:val="21"/>
                <w:highlight w:val="none"/>
              </w:rPr>
            </w:pPr>
            <w:r>
              <w:rPr>
                <w:color w:val="auto"/>
                <w:szCs w:val="21"/>
                <w:highlight w:val="none"/>
              </w:rPr>
              <w:t>1. 按三级配电要求，配备总配电箱、分配电箱、开关箱三类（铁质）标准电箱，开关箱应符合“一机、一箱、一闸、一漏”，三类电箱中的各类电器应是合格品。</w:t>
            </w:r>
          </w:p>
          <w:p w14:paraId="6C8DEA41">
            <w:pPr>
              <w:rPr>
                <w:color w:val="auto"/>
                <w:szCs w:val="21"/>
                <w:highlight w:val="none"/>
              </w:rPr>
            </w:pPr>
            <w:r>
              <w:rPr>
                <w:color w:val="auto"/>
                <w:szCs w:val="21"/>
                <w:highlight w:val="none"/>
              </w:rPr>
              <w:t>2. 按两级保护的要求，选取符合容量要求和质量合格的总配电箱和开关箱中的漏电保护器。</w:t>
            </w:r>
          </w:p>
          <w:p w14:paraId="6A8B637F">
            <w:pPr>
              <w:rPr>
                <w:color w:val="auto"/>
                <w:szCs w:val="21"/>
                <w:highlight w:val="none"/>
              </w:rPr>
            </w:pPr>
            <w:r>
              <w:rPr>
                <w:color w:val="auto"/>
                <w:szCs w:val="21"/>
                <w:highlight w:val="none"/>
              </w:rPr>
              <w:t>3. 对大型、落地式分配电箱、开关箱设置防护棚和通透式围挡。</w:t>
            </w:r>
          </w:p>
        </w:tc>
      </w:tr>
      <w:tr w14:paraId="48CC3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53551A0D">
            <w:pPr>
              <w:rPr>
                <w:color w:val="auto"/>
                <w:szCs w:val="21"/>
                <w:highlight w:val="none"/>
              </w:rPr>
            </w:pPr>
          </w:p>
        </w:tc>
        <w:tc>
          <w:tcPr>
            <w:tcW w:w="525" w:type="dxa"/>
            <w:vMerge w:val="continue"/>
            <w:vAlign w:val="center"/>
          </w:tcPr>
          <w:p w14:paraId="55900675">
            <w:pPr>
              <w:rPr>
                <w:color w:val="auto"/>
                <w:szCs w:val="21"/>
                <w:highlight w:val="none"/>
              </w:rPr>
            </w:pPr>
          </w:p>
        </w:tc>
        <w:tc>
          <w:tcPr>
            <w:tcW w:w="1545" w:type="dxa"/>
            <w:vAlign w:val="center"/>
          </w:tcPr>
          <w:p w14:paraId="3F104191">
            <w:pPr>
              <w:rPr>
                <w:color w:val="auto"/>
                <w:szCs w:val="21"/>
                <w:highlight w:val="none"/>
              </w:rPr>
            </w:pPr>
            <w:r>
              <w:rPr>
                <w:color w:val="auto"/>
                <w:szCs w:val="21"/>
                <w:highlight w:val="none"/>
              </w:rPr>
              <w:t>接地装置</w:t>
            </w:r>
          </w:p>
        </w:tc>
        <w:tc>
          <w:tcPr>
            <w:tcW w:w="6645" w:type="dxa"/>
            <w:vAlign w:val="center"/>
          </w:tcPr>
          <w:p w14:paraId="5B8CED28">
            <w:pPr>
              <w:rPr>
                <w:color w:val="auto"/>
                <w:szCs w:val="21"/>
                <w:highlight w:val="none"/>
              </w:rPr>
            </w:pPr>
            <w:r>
              <w:rPr>
                <w:color w:val="auto"/>
                <w:szCs w:val="21"/>
                <w:highlight w:val="none"/>
              </w:rPr>
              <w:t>施工现场应设置不少于三处的重复接地装置。</w:t>
            </w:r>
          </w:p>
        </w:tc>
      </w:tr>
      <w:tr w14:paraId="14831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25590335">
            <w:pPr>
              <w:rPr>
                <w:color w:val="auto"/>
                <w:szCs w:val="21"/>
                <w:highlight w:val="none"/>
              </w:rPr>
            </w:pPr>
          </w:p>
        </w:tc>
        <w:tc>
          <w:tcPr>
            <w:tcW w:w="525" w:type="dxa"/>
            <w:vMerge w:val="continue"/>
            <w:vAlign w:val="center"/>
          </w:tcPr>
          <w:p w14:paraId="595F0594">
            <w:pPr>
              <w:rPr>
                <w:color w:val="auto"/>
                <w:szCs w:val="21"/>
                <w:highlight w:val="none"/>
              </w:rPr>
            </w:pPr>
          </w:p>
        </w:tc>
        <w:tc>
          <w:tcPr>
            <w:tcW w:w="1545" w:type="dxa"/>
            <w:vAlign w:val="center"/>
          </w:tcPr>
          <w:p w14:paraId="498C58FC">
            <w:pPr>
              <w:rPr>
                <w:color w:val="auto"/>
                <w:szCs w:val="21"/>
                <w:highlight w:val="none"/>
              </w:rPr>
            </w:pPr>
            <w:r>
              <w:rPr>
                <w:color w:val="auto"/>
                <w:szCs w:val="21"/>
                <w:highlight w:val="none"/>
              </w:rPr>
              <w:t>现场变配电装置</w:t>
            </w:r>
          </w:p>
        </w:tc>
        <w:tc>
          <w:tcPr>
            <w:tcW w:w="6645" w:type="dxa"/>
            <w:vAlign w:val="center"/>
          </w:tcPr>
          <w:p w14:paraId="2F8BA14E">
            <w:pPr>
              <w:rPr>
                <w:color w:val="auto"/>
                <w:szCs w:val="21"/>
                <w:highlight w:val="none"/>
              </w:rPr>
            </w:pPr>
            <w:r>
              <w:rPr>
                <w:color w:val="auto"/>
                <w:szCs w:val="21"/>
                <w:highlight w:val="none"/>
              </w:rPr>
              <w:t>总配电房建筑材料必须达到消防防火要求，室内做硬地坪、电缆沟。</w:t>
            </w:r>
          </w:p>
        </w:tc>
      </w:tr>
      <w:tr w14:paraId="038C1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vAlign w:val="center"/>
          </w:tcPr>
          <w:p w14:paraId="3F336C25">
            <w:pPr>
              <w:rPr>
                <w:b/>
                <w:bCs/>
                <w:color w:val="auto"/>
                <w:szCs w:val="21"/>
                <w:highlight w:val="none"/>
              </w:rPr>
            </w:pPr>
            <w:r>
              <w:rPr>
                <w:b/>
                <w:bCs/>
                <w:color w:val="auto"/>
                <w:szCs w:val="21"/>
                <w:highlight w:val="none"/>
              </w:rPr>
              <w:t>类别</w:t>
            </w:r>
          </w:p>
        </w:tc>
        <w:tc>
          <w:tcPr>
            <w:tcW w:w="2070" w:type="dxa"/>
            <w:gridSpan w:val="2"/>
            <w:vAlign w:val="center"/>
          </w:tcPr>
          <w:p w14:paraId="3B361CA1">
            <w:pPr>
              <w:rPr>
                <w:b/>
                <w:bCs/>
                <w:color w:val="auto"/>
                <w:szCs w:val="21"/>
                <w:highlight w:val="none"/>
              </w:rPr>
            </w:pPr>
            <w:r>
              <w:rPr>
                <w:b/>
                <w:bCs/>
                <w:color w:val="auto"/>
                <w:szCs w:val="21"/>
                <w:highlight w:val="none"/>
              </w:rPr>
              <w:t>项目名称</w:t>
            </w:r>
          </w:p>
        </w:tc>
        <w:tc>
          <w:tcPr>
            <w:tcW w:w="6645" w:type="dxa"/>
            <w:vAlign w:val="center"/>
          </w:tcPr>
          <w:p w14:paraId="5AD701E0">
            <w:pPr>
              <w:rPr>
                <w:b/>
                <w:bCs/>
                <w:color w:val="auto"/>
                <w:szCs w:val="21"/>
                <w:highlight w:val="none"/>
              </w:rPr>
            </w:pPr>
            <w:r>
              <w:rPr>
                <w:b/>
                <w:bCs/>
                <w:color w:val="auto"/>
                <w:szCs w:val="21"/>
                <w:highlight w:val="none"/>
              </w:rPr>
              <w:t>主要内容和要求</w:t>
            </w:r>
          </w:p>
        </w:tc>
      </w:tr>
      <w:tr w14:paraId="2ED64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63EDA67A">
            <w:pPr>
              <w:rPr>
                <w:color w:val="auto"/>
                <w:szCs w:val="21"/>
                <w:highlight w:val="none"/>
              </w:rPr>
            </w:pPr>
            <w:r>
              <w:rPr>
                <w:color w:val="auto"/>
                <w:szCs w:val="21"/>
                <w:highlight w:val="none"/>
              </w:rPr>
              <w:t>安全施工</w:t>
            </w:r>
          </w:p>
        </w:tc>
        <w:tc>
          <w:tcPr>
            <w:tcW w:w="525" w:type="dxa"/>
            <w:vMerge w:val="restart"/>
            <w:vAlign w:val="center"/>
          </w:tcPr>
          <w:p w14:paraId="0DDF4CA3">
            <w:pPr>
              <w:rPr>
                <w:color w:val="auto"/>
                <w:szCs w:val="21"/>
                <w:highlight w:val="none"/>
              </w:rPr>
            </w:pPr>
            <w:r>
              <w:rPr>
                <w:color w:val="auto"/>
                <w:szCs w:val="21"/>
                <w:highlight w:val="none"/>
              </w:rPr>
              <w:t>高处作业防护</w:t>
            </w:r>
          </w:p>
        </w:tc>
        <w:tc>
          <w:tcPr>
            <w:tcW w:w="1545" w:type="dxa"/>
            <w:vAlign w:val="center"/>
          </w:tcPr>
          <w:p w14:paraId="71DD414F">
            <w:pPr>
              <w:rPr>
                <w:color w:val="auto"/>
                <w:szCs w:val="21"/>
                <w:highlight w:val="none"/>
              </w:rPr>
            </w:pPr>
            <w:r>
              <w:rPr>
                <w:color w:val="auto"/>
                <w:szCs w:val="21"/>
                <w:highlight w:val="none"/>
              </w:rPr>
              <w:t>楼层、屋面、阳台等临边</w:t>
            </w:r>
          </w:p>
        </w:tc>
        <w:tc>
          <w:tcPr>
            <w:tcW w:w="6645" w:type="dxa"/>
            <w:vAlign w:val="center"/>
          </w:tcPr>
          <w:p w14:paraId="11D46F47">
            <w:pPr>
              <w:rPr>
                <w:color w:val="auto"/>
                <w:szCs w:val="21"/>
                <w:highlight w:val="none"/>
              </w:rPr>
            </w:pPr>
            <w:r>
              <w:rPr>
                <w:color w:val="auto"/>
                <w:szCs w:val="21"/>
                <w:highlight w:val="none"/>
              </w:rPr>
              <w:t>设两道防护栏杆和18cm高的踢脚板，用密目式安全立网全封闭。</w:t>
            </w:r>
          </w:p>
        </w:tc>
      </w:tr>
      <w:tr w14:paraId="71B9B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1C1BD76">
            <w:pPr>
              <w:rPr>
                <w:color w:val="auto"/>
                <w:szCs w:val="21"/>
                <w:highlight w:val="none"/>
              </w:rPr>
            </w:pPr>
          </w:p>
        </w:tc>
        <w:tc>
          <w:tcPr>
            <w:tcW w:w="525" w:type="dxa"/>
            <w:vMerge w:val="continue"/>
            <w:vAlign w:val="center"/>
          </w:tcPr>
          <w:p w14:paraId="6164EB49">
            <w:pPr>
              <w:rPr>
                <w:color w:val="auto"/>
                <w:szCs w:val="21"/>
                <w:highlight w:val="none"/>
              </w:rPr>
            </w:pPr>
          </w:p>
        </w:tc>
        <w:tc>
          <w:tcPr>
            <w:tcW w:w="1545" w:type="dxa"/>
            <w:vAlign w:val="center"/>
          </w:tcPr>
          <w:p w14:paraId="10AD0694">
            <w:pPr>
              <w:rPr>
                <w:color w:val="auto"/>
                <w:szCs w:val="21"/>
                <w:highlight w:val="none"/>
              </w:rPr>
            </w:pPr>
            <w:r>
              <w:rPr>
                <w:color w:val="auto"/>
                <w:szCs w:val="21"/>
                <w:highlight w:val="none"/>
              </w:rPr>
              <w:t>通道口</w:t>
            </w:r>
          </w:p>
        </w:tc>
        <w:tc>
          <w:tcPr>
            <w:tcW w:w="6645" w:type="dxa"/>
            <w:vAlign w:val="center"/>
          </w:tcPr>
          <w:p w14:paraId="3C759462">
            <w:pPr>
              <w:rPr>
                <w:color w:val="auto"/>
                <w:szCs w:val="21"/>
                <w:highlight w:val="none"/>
              </w:rPr>
            </w:pPr>
            <w:r>
              <w:rPr>
                <w:color w:val="auto"/>
                <w:szCs w:val="21"/>
                <w:highlight w:val="none"/>
              </w:rPr>
              <w:t>设防护棚，防护棚应为不小于5cm厚的木板或两道相距50cm的竹笆。两侧应沿栏杆架用密目式安全网封闭。</w:t>
            </w:r>
          </w:p>
        </w:tc>
      </w:tr>
      <w:tr w14:paraId="18BCE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52CE787">
            <w:pPr>
              <w:rPr>
                <w:color w:val="auto"/>
                <w:szCs w:val="21"/>
                <w:highlight w:val="none"/>
              </w:rPr>
            </w:pPr>
          </w:p>
        </w:tc>
        <w:tc>
          <w:tcPr>
            <w:tcW w:w="525" w:type="dxa"/>
            <w:vMerge w:val="continue"/>
            <w:vAlign w:val="center"/>
          </w:tcPr>
          <w:p w14:paraId="0CCA7BA7">
            <w:pPr>
              <w:rPr>
                <w:color w:val="auto"/>
                <w:szCs w:val="21"/>
                <w:highlight w:val="none"/>
              </w:rPr>
            </w:pPr>
          </w:p>
        </w:tc>
        <w:tc>
          <w:tcPr>
            <w:tcW w:w="1545" w:type="dxa"/>
            <w:vAlign w:val="center"/>
          </w:tcPr>
          <w:p w14:paraId="1EADE244">
            <w:pPr>
              <w:rPr>
                <w:color w:val="auto"/>
                <w:szCs w:val="21"/>
                <w:highlight w:val="none"/>
              </w:rPr>
            </w:pPr>
            <w:r>
              <w:rPr>
                <w:color w:val="auto"/>
                <w:szCs w:val="21"/>
                <w:highlight w:val="none"/>
              </w:rPr>
              <w:t>预留洞口</w:t>
            </w:r>
          </w:p>
        </w:tc>
        <w:tc>
          <w:tcPr>
            <w:tcW w:w="6645" w:type="dxa"/>
            <w:vAlign w:val="center"/>
          </w:tcPr>
          <w:p w14:paraId="315E8EF5">
            <w:pPr>
              <w:rPr>
                <w:color w:val="auto"/>
                <w:szCs w:val="21"/>
                <w:highlight w:val="none"/>
              </w:rPr>
            </w:pPr>
            <w:r>
              <w:rPr>
                <w:color w:val="auto"/>
                <w:szCs w:val="21"/>
                <w:highlight w:val="none"/>
              </w:rPr>
              <w:t>用硬质材料全封闭，短边超过1.5m长的洞口，除封闭外四周还应设有防护栏杆。</w:t>
            </w:r>
          </w:p>
        </w:tc>
      </w:tr>
      <w:tr w14:paraId="0723F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3A1A083F">
            <w:pPr>
              <w:rPr>
                <w:color w:val="auto"/>
                <w:szCs w:val="21"/>
                <w:highlight w:val="none"/>
              </w:rPr>
            </w:pPr>
          </w:p>
        </w:tc>
        <w:tc>
          <w:tcPr>
            <w:tcW w:w="525" w:type="dxa"/>
            <w:vMerge w:val="continue"/>
            <w:vAlign w:val="center"/>
          </w:tcPr>
          <w:p w14:paraId="023E5F32">
            <w:pPr>
              <w:rPr>
                <w:color w:val="auto"/>
                <w:szCs w:val="21"/>
                <w:highlight w:val="none"/>
              </w:rPr>
            </w:pPr>
          </w:p>
        </w:tc>
        <w:tc>
          <w:tcPr>
            <w:tcW w:w="1545" w:type="dxa"/>
            <w:vAlign w:val="center"/>
          </w:tcPr>
          <w:p w14:paraId="7CF00C8D">
            <w:pPr>
              <w:rPr>
                <w:color w:val="auto"/>
                <w:szCs w:val="21"/>
                <w:highlight w:val="none"/>
              </w:rPr>
            </w:pPr>
            <w:r>
              <w:rPr>
                <w:color w:val="auto"/>
                <w:szCs w:val="21"/>
                <w:highlight w:val="none"/>
              </w:rPr>
              <w:t>电梯井口</w:t>
            </w:r>
          </w:p>
        </w:tc>
        <w:tc>
          <w:tcPr>
            <w:tcW w:w="6645" w:type="dxa"/>
            <w:vAlign w:val="center"/>
          </w:tcPr>
          <w:p w14:paraId="2E368051">
            <w:pPr>
              <w:rPr>
                <w:color w:val="auto"/>
                <w:szCs w:val="21"/>
                <w:highlight w:val="none"/>
              </w:rPr>
            </w:pPr>
            <w:r>
              <w:rPr>
                <w:color w:val="auto"/>
                <w:szCs w:val="21"/>
                <w:highlight w:val="none"/>
              </w:rPr>
              <w:t>设置定型化、工具化的防护门，在电梯井内每隔2层（不大于10m）设置一道水平防护。</w:t>
            </w:r>
          </w:p>
        </w:tc>
      </w:tr>
      <w:tr w14:paraId="76B8E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357C722">
            <w:pPr>
              <w:rPr>
                <w:color w:val="auto"/>
                <w:szCs w:val="21"/>
                <w:highlight w:val="none"/>
              </w:rPr>
            </w:pPr>
          </w:p>
        </w:tc>
        <w:tc>
          <w:tcPr>
            <w:tcW w:w="525" w:type="dxa"/>
            <w:vMerge w:val="continue"/>
            <w:vAlign w:val="center"/>
          </w:tcPr>
          <w:p w14:paraId="3C56AFE5">
            <w:pPr>
              <w:rPr>
                <w:color w:val="auto"/>
                <w:szCs w:val="21"/>
                <w:highlight w:val="none"/>
              </w:rPr>
            </w:pPr>
          </w:p>
        </w:tc>
        <w:tc>
          <w:tcPr>
            <w:tcW w:w="1545" w:type="dxa"/>
            <w:vAlign w:val="center"/>
          </w:tcPr>
          <w:p w14:paraId="27A2BFD6">
            <w:pPr>
              <w:rPr>
                <w:color w:val="auto"/>
                <w:szCs w:val="21"/>
                <w:highlight w:val="none"/>
              </w:rPr>
            </w:pPr>
            <w:r>
              <w:rPr>
                <w:color w:val="auto"/>
                <w:szCs w:val="21"/>
                <w:highlight w:val="none"/>
              </w:rPr>
              <w:t>楼梯边</w:t>
            </w:r>
          </w:p>
        </w:tc>
        <w:tc>
          <w:tcPr>
            <w:tcW w:w="6645" w:type="dxa"/>
            <w:vAlign w:val="center"/>
          </w:tcPr>
          <w:p w14:paraId="0DE5835A">
            <w:pPr>
              <w:rPr>
                <w:color w:val="auto"/>
                <w:szCs w:val="21"/>
                <w:highlight w:val="none"/>
              </w:rPr>
            </w:pPr>
            <w:r>
              <w:rPr>
                <w:color w:val="auto"/>
                <w:szCs w:val="21"/>
                <w:highlight w:val="none"/>
              </w:rPr>
              <w:t>设1.2m高的定型化、工具化的防护栏，18cm高的踢脚板。</w:t>
            </w:r>
          </w:p>
        </w:tc>
      </w:tr>
      <w:tr w14:paraId="485E4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354AEC8">
            <w:pPr>
              <w:rPr>
                <w:color w:val="auto"/>
                <w:szCs w:val="21"/>
                <w:highlight w:val="none"/>
              </w:rPr>
            </w:pPr>
          </w:p>
        </w:tc>
        <w:tc>
          <w:tcPr>
            <w:tcW w:w="525" w:type="dxa"/>
            <w:vMerge w:val="continue"/>
            <w:vAlign w:val="center"/>
          </w:tcPr>
          <w:p w14:paraId="06726C1E">
            <w:pPr>
              <w:rPr>
                <w:color w:val="auto"/>
                <w:szCs w:val="21"/>
                <w:highlight w:val="none"/>
              </w:rPr>
            </w:pPr>
          </w:p>
        </w:tc>
        <w:tc>
          <w:tcPr>
            <w:tcW w:w="1545" w:type="dxa"/>
            <w:vAlign w:val="center"/>
          </w:tcPr>
          <w:p w14:paraId="4431C06F">
            <w:pPr>
              <w:rPr>
                <w:color w:val="auto"/>
                <w:szCs w:val="21"/>
                <w:highlight w:val="none"/>
              </w:rPr>
            </w:pPr>
            <w:r>
              <w:rPr>
                <w:color w:val="auto"/>
                <w:szCs w:val="21"/>
                <w:highlight w:val="none"/>
              </w:rPr>
              <w:t>垂直方向交叉作业</w:t>
            </w:r>
          </w:p>
        </w:tc>
        <w:tc>
          <w:tcPr>
            <w:tcW w:w="6645" w:type="dxa"/>
            <w:vAlign w:val="center"/>
          </w:tcPr>
          <w:p w14:paraId="3EB78F8C">
            <w:pPr>
              <w:rPr>
                <w:color w:val="auto"/>
                <w:szCs w:val="21"/>
                <w:highlight w:val="none"/>
              </w:rPr>
            </w:pPr>
            <w:r>
              <w:rPr>
                <w:color w:val="auto"/>
                <w:szCs w:val="21"/>
                <w:highlight w:val="none"/>
              </w:rPr>
              <w:t>设置防护隔离棚或其它设施。</w:t>
            </w:r>
          </w:p>
        </w:tc>
      </w:tr>
      <w:tr w14:paraId="2AFB9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5A39747">
            <w:pPr>
              <w:rPr>
                <w:color w:val="auto"/>
                <w:szCs w:val="21"/>
                <w:highlight w:val="none"/>
              </w:rPr>
            </w:pPr>
          </w:p>
        </w:tc>
        <w:tc>
          <w:tcPr>
            <w:tcW w:w="525" w:type="dxa"/>
            <w:vMerge w:val="continue"/>
            <w:vAlign w:val="center"/>
          </w:tcPr>
          <w:p w14:paraId="382D0B52">
            <w:pPr>
              <w:rPr>
                <w:color w:val="auto"/>
                <w:szCs w:val="21"/>
                <w:highlight w:val="none"/>
              </w:rPr>
            </w:pPr>
          </w:p>
        </w:tc>
        <w:tc>
          <w:tcPr>
            <w:tcW w:w="1545" w:type="dxa"/>
            <w:vAlign w:val="center"/>
          </w:tcPr>
          <w:p w14:paraId="1482CCF3">
            <w:pPr>
              <w:rPr>
                <w:color w:val="auto"/>
                <w:szCs w:val="21"/>
                <w:highlight w:val="none"/>
              </w:rPr>
            </w:pPr>
            <w:r>
              <w:rPr>
                <w:color w:val="auto"/>
                <w:szCs w:val="21"/>
                <w:highlight w:val="none"/>
              </w:rPr>
              <w:t>高处作业</w:t>
            </w:r>
          </w:p>
        </w:tc>
        <w:tc>
          <w:tcPr>
            <w:tcW w:w="6645" w:type="dxa"/>
            <w:vAlign w:val="center"/>
          </w:tcPr>
          <w:p w14:paraId="19F96FF1">
            <w:pPr>
              <w:rPr>
                <w:color w:val="auto"/>
                <w:szCs w:val="21"/>
                <w:highlight w:val="none"/>
              </w:rPr>
            </w:pPr>
            <w:r>
              <w:rPr>
                <w:color w:val="auto"/>
                <w:szCs w:val="21"/>
                <w:highlight w:val="none"/>
              </w:rPr>
              <w:t>有悬挂安全带的悬索或其它设施，有操作平台，有上下的梯子或其它形式的通道。</w:t>
            </w:r>
          </w:p>
        </w:tc>
      </w:tr>
      <w:tr w14:paraId="24725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8554544">
            <w:pPr>
              <w:rPr>
                <w:color w:val="auto"/>
                <w:szCs w:val="21"/>
                <w:highlight w:val="none"/>
              </w:rPr>
            </w:pPr>
          </w:p>
        </w:tc>
        <w:tc>
          <w:tcPr>
            <w:tcW w:w="525" w:type="dxa"/>
            <w:vMerge w:val="continue"/>
            <w:vAlign w:val="center"/>
          </w:tcPr>
          <w:p w14:paraId="775A5D4D">
            <w:pPr>
              <w:rPr>
                <w:color w:val="auto"/>
                <w:szCs w:val="21"/>
                <w:highlight w:val="none"/>
              </w:rPr>
            </w:pPr>
          </w:p>
        </w:tc>
        <w:tc>
          <w:tcPr>
            <w:tcW w:w="1545" w:type="dxa"/>
            <w:vAlign w:val="center"/>
          </w:tcPr>
          <w:p w14:paraId="09678A12">
            <w:pPr>
              <w:rPr>
                <w:color w:val="auto"/>
                <w:szCs w:val="21"/>
                <w:highlight w:val="none"/>
              </w:rPr>
            </w:pPr>
            <w:r>
              <w:rPr>
                <w:color w:val="auto"/>
                <w:szCs w:val="21"/>
                <w:highlight w:val="none"/>
              </w:rPr>
              <w:t>基坑、物料平台</w:t>
            </w:r>
          </w:p>
        </w:tc>
        <w:tc>
          <w:tcPr>
            <w:tcW w:w="6645" w:type="dxa"/>
            <w:vAlign w:val="center"/>
          </w:tcPr>
          <w:p w14:paraId="33FAEE0B">
            <w:pPr>
              <w:rPr>
                <w:color w:val="auto"/>
                <w:szCs w:val="21"/>
                <w:highlight w:val="none"/>
              </w:rPr>
            </w:pPr>
            <w:r>
              <w:rPr>
                <w:color w:val="auto"/>
                <w:szCs w:val="21"/>
                <w:highlight w:val="none"/>
              </w:rPr>
              <w:t>设1.2m高标准化的防护栏，用密目式安全立网封闭，悬挂标识。</w:t>
            </w:r>
          </w:p>
        </w:tc>
      </w:tr>
      <w:tr w14:paraId="76FFB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1143D58">
            <w:pPr>
              <w:rPr>
                <w:color w:val="auto"/>
                <w:szCs w:val="21"/>
                <w:highlight w:val="none"/>
              </w:rPr>
            </w:pPr>
          </w:p>
        </w:tc>
        <w:tc>
          <w:tcPr>
            <w:tcW w:w="2070" w:type="dxa"/>
            <w:gridSpan w:val="2"/>
            <w:vAlign w:val="center"/>
          </w:tcPr>
          <w:p w14:paraId="16DFD558">
            <w:pPr>
              <w:rPr>
                <w:color w:val="auto"/>
                <w:szCs w:val="21"/>
                <w:highlight w:val="none"/>
              </w:rPr>
            </w:pPr>
            <w:r>
              <w:rPr>
                <w:color w:val="auto"/>
                <w:szCs w:val="21"/>
                <w:highlight w:val="none"/>
              </w:rPr>
              <w:t>安全防护用品</w:t>
            </w:r>
          </w:p>
        </w:tc>
        <w:tc>
          <w:tcPr>
            <w:tcW w:w="6645" w:type="dxa"/>
            <w:vAlign w:val="center"/>
          </w:tcPr>
          <w:p w14:paraId="195B4ED9">
            <w:pPr>
              <w:rPr>
                <w:color w:val="auto"/>
                <w:szCs w:val="21"/>
                <w:highlight w:val="none"/>
              </w:rPr>
            </w:pPr>
            <w:r>
              <w:rPr>
                <w:color w:val="auto"/>
                <w:szCs w:val="21"/>
                <w:highlight w:val="none"/>
              </w:rPr>
              <w:t>安全帽、安全带、特种作业人员（电工、焊工、架子工等）防护服装、用品等。</w:t>
            </w:r>
          </w:p>
        </w:tc>
      </w:tr>
      <w:tr w14:paraId="336A2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30625225">
            <w:pPr>
              <w:rPr>
                <w:color w:val="auto"/>
                <w:szCs w:val="21"/>
                <w:highlight w:val="none"/>
              </w:rPr>
            </w:pPr>
            <w:r>
              <w:rPr>
                <w:color w:val="auto"/>
                <w:szCs w:val="21"/>
                <w:highlight w:val="none"/>
              </w:rPr>
              <w:t>其它</w:t>
            </w:r>
          </w:p>
        </w:tc>
        <w:tc>
          <w:tcPr>
            <w:tcW w:w="525" w:type="dxa"/>
            <w:vMerge w:val="restart"/>
            <w:vAlign w:val="center"/>
          </w:tcPr>
          <w:p w14:paraId="65C3999C">
            <w:pPr>
              <w:rPr>
                <w:color w:val="auto"/>
                <w:szCs w:val="21"/>
                <w:highlight w:val="none"/>
              </w:rPr>
            </w:pPr>
            <w:r>
              <w:rPr>
                <w:color w:val="auto"/>
                <w:szCs w:val="21"/>
                <w:highlight w:val="none"/>
              </w:rPr>
              <w:t>机械设备防护</w:t>
            </w:r>
          </w:p>
        </w:tc>
        <w:tc>
          <w:tcPr>
            <w:tcW w:w="1545" w:type="dxa"/>
            <w:vAlign w:val="center"/>
          </w:tcPr>
          <w:p w14:paraId="4B0C8ADC">
            <w:pPr>
              <w:rPr>
                <w:color w:val="auto"/>
                <w:szCs w:val="21"/>
                <w:highlight w:val="none"/>
              </w:rPr>
            </w:pPr>
            <w:r>
              <w:rPr>
                <w:color w:val="auto"/>
                <w:szCs w:val="21"/>
                <w:highlight w:val="none"/>
              </w:rPr>
              <w:t>中小型机械</w:t>
            </w:r>
          </w:p>
        </w:tc>
        <w:tc>
          <w:tcPr>
            <w:tcW w:w="6645" w:type="dxa"/>
            <w:vAlign w:val="center"/>
          </w:tcPr>
          <w:p w14:paraId="043BA29C">
            <w:pPr>
              <w:rPr>
                <w:color w:val="auto"/>
                <w:szCs w:val="21"/>
                <w:highlight w:val="none"/>
              </w:rPr>
            </w:pPr>
            <w:r>
              <w:rPr>
                <w:color w:val="auto"/>
                <w:szCs w:val="21"/>
                <w:highlight w:val="none"/>
              </w:rPr>
              <w:t>设防护棚（同通道口防护并有防雨措施）。</w:t>
            </w:r>
          </w:p>
        </w:tc>
      </w:tr>
      <w:tr w14:paraId="3AA05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1683906">
            <w:pPr>
              <w:rPr>
                <w:color w:val="auto"/>
                <w:szCs w:val="21"/>
                <w:highlight w:val="none"/>
              </w:rPr>
            </w:pPr>
          </w:p>
        </w:tc>
        <w:tc>
          <w:tcPr>
            <w:tcW w:w="525" w:type="dxa"/>
            <w:vMerge w:val="continue"/>
            <w:vAlign w:val="center"/>
          </w:tcPr>
          <w:p w14:paraId="4E8C69FF">
            <w:pPr>
              <w:rPr>
                <w:color w:val="auto"/>
                <w:szCs w:val="21"/>
                <w:highlight w:val="none"/>
              </w:rPr>
            </w:pPr>
          </w:p>
        </w:tc>
        <w:tc>
          <w:tcPr>
            <w:tcW w:w="1545" w:type="dxa"/>
            <w:vAlign w:val="center"/>
          </w:tcPr>
          <w:p w14:paraId="29973894">
            <w:pPr>
              <w:rPr>
                <w:color w:val="auto"/>
                <w:szCs w:val="21"/>
                <w:highlight w:val="none"/>
              </w:rPr>
            </w:pPr>
            <w:r>
              <w:rPr>
                <w:color w:val="auto"/>
                <w:szCs w:val="21"/>
                <w:highlight w:val="none"/>
              </w:rPr>
              <w:t>垂直运输设备</w:t>
            </w:r>
          </w:p>
        </w:tc>
        <w:tc>
          <w:tcPr>
            <w:tcW w:w="6645" w:type="dxa"/>
            <w:vAlign w:val="center"/>
          </w:tcPr>
          <w:p w14:paraId="142C626F">
            <w:pPr>
              <w:rPr>
                <w:color w:val="auto"/>
                <w:szCs w:val="21"/>
                <w:highlight w:val="none"/>
              </w:rPr>
            </w:pPr>
            <w:r>
              <w:rPr>
                <w:color w:val="auto"/>
                <w:szCs w:val="21"/>
                <w:highlight w:val="none"/>
              </w:rPr>
              <w:t>1. 垂直运输设备检测、检验、日常维护、保养等。</w:t>
            </w:r>
          </w:p>
          <w:p w14:paraId="362F0092">
            <w:pPr>
              <w:rPr>
                <w:color w:val="auto"/>
                <w:szCs w:val="21"/>
                <w:highlight w:val="none"/>
              </w:rPr>
            </w:pPr>
            <w:r>
              <w:rPr>
                <w:color w:val="auto"/>
                <w:szCs w:val="21"/>
                <w:highlight w:val="none"/>
              </w:rPr>
              <w:t>2. 物料提升机、施工电梯等物料平台搭设、外侧用密目式安全立网全封闭，有安全通道、安全防护门、防护棚等。</w:t>
            </w:r>
          </w:p>
        </w:tc>
      </w:tr>
      <w:tr w14:paraId="08444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7A4F50CF">
            <w:pPr>
              <w:rPr>
                <w:color w:val="auto"/>
                <w:szCs w:val="21"/>
                <w:highlight w:val="none"/>
              </w:rPr>
            </w:pPr>
          </w:p>
        </w:tc>
        <w:tc>
          <w:tcPr>
            <w:tcW w:w="2070" w:type="dxa"/>
            <w:gridSpan w:val="2"/>
            <w:vAlign w:val="center"/>
          </w:tcPr>
          <w:p w14:paraId="613CAA6F">
            <w:pPr>
              <w:rPr>
                <w:color w:val="auto"/>
                <w:szCs w:val="21"/>
                <w:highlight w:val="none"/>
              </w:rPr>
            </w:pPr>
            <w:r>
              <w:rPr>
                <w:color w:val="auto"/>
                <w:szCs w:val="21"/>
                <w:highlight w:val="none"/>
              </w:rPr>
              <w:t>专家论证审查</w:t>
            </w:r>
          </w:p>
        </w:tc>
        <w:tc>
          <w:tcPr>
            <w:tcW w:w="6645" w:type="dxa"/>
            <w:vAlign w:val="center"/>
          </w:tcPr>
          <w:p w14:paraId="66DA6519">
            <w:pPr>
              <w:rPr>
                <w:color w:val="auto"/>
                <w:szCs w:val="21"/>
                <w:highlight w:val="none"/>
              </w:rPr>
            </w:pPr>
            <w:r>
              <w:rPr>
                <w:color w:val="auto"/>
                <w:szCs w:val="21"/>
                <w:highlight w:val="none"/>
              </w:rPr>
              <w:t>超过一定规模的危险性较大分部分项工程专家论证审查。</w:t>
            </w:r>
          </w:p>
        </w:tc>
      </w:tr>
      <w:tr w14:paraId="7332B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741F5BA1">
            <w:pPr>
              <w:rPr>
                <w:color w:val="auto"/>
                <w:szCs w:val="21"/>
                <w:highlight w:val="none"/>
              </w:rPr>
            </w:pPr>
          </w:p>
        </w:tc>
        <w:tc>
          <w:tcPr>
            <w:tcW w:w="2070" w:type="dxa"/>
            <w:gridSpan w:val="2"/>
            <w:vAlign w:val="center"/>
          </w:tcPr>
          <w:p w14:paraId="438079AB">
            <w:pPr>
              <w:rPr>
                <w:color w:val="auto"/>
                <w:szCs w:val="21"/>
                <w:highlight w:val="none"/>
              </w:rPr>
            </w:pPr>
            <w:r>
              <w:rPr>
                <w:color w:val="auto"/>
                <w:szCs w:val="21"/>
                <w:highlight w:val="none"/>
              </w:rPr>
              <w:t>应急救援预案</w:t>
            </w:r>
          </w:p>
        </w:tc>
        <w:tc>
          <w:tcPr>
            <w:tcW w:w="6645" w:type="dxa"/>
            <w:vAlign w:val="center"/>
          </w:tcPr>
          <w:p w14:paraId="172866DB">
            <w:pPr>
              <w:rPr>
                <w:color w:val="auto"/>
                <w:szCs w:val="21"/>
                <w:highlight w:val="none"/>
              </w:rPr>
            </w:pPr>
            <w:r>
              <w:rPr>
                <w:color w:val="auto"/>
                <w:szCs w:val="21"/>
                <w:highlight w:val="none"/>
              </w:rPr>
              <w:t>救援器材准备及演练等。</w:t>
            </w:r>
          </w:p>
        </w:tc>
      </w:tr>
      <w:tr w14:paraId="0F6C7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vAlign w:val="center"/>
          </w:tcPr>
          <w:p w14:paraId="1F9A296C">
            <w:pPr>
              <w:rPr>
                <w:color w:val="auto"/>
                <w:szCs w:val="21"/>
                <w:highlight w:val="none"/>
              </w:rPr>
            </w:pPr>
          </w:p>
        </w:tc>
        <w:tc>
          <w:tcPr>
            <w:tcW w:w="2070" w:type="dxa"/>
            <w:gridSpan w:val="2"/>
            <w:tcBorders>
              <w:bottom w:val="single" w:color="auto" w:sz="12" w:space="0"/>
            </w:tcBorders>
            <w:vAlign w:val="center"/>
          </w:tcPr>
          <w:p w14:paraId="55F8F398">
            <w:pPr>
              <w:rPr>
                <w:color w:val="auto"/>
                <w:szCs w:val="21"/>
                <w:highlight w:val="none"/>
              </w:rPr>
            </w:pPr>
            <w:r>
              <w:rPr>
                <w:color w:val="auto"/>
                <w:szCs w:val="21"/>
                <w:highlight w:val="none"/>
              </w:rPr>
              <w:t>非正常情况施工</w:t>
            </w:r>
          </w:p>
        </w:tc>
        <w:tc>
          <w:tcPr>
            <w:tcW w:w="6645" w:type="dxa"/>
            <w:tcBorders>
              <w:bottom w:val="single" w:color="auto" w:sz="12" w:space="0"/>
            </w:tcBorders>
            <w:vAlign w:val="center"/>
          </w:tcPr>
          <w:p w14:paraId="6D6542E4">
            <w:pPr>
              <w:rPr>
                <w:color w:val="auto"/>
                <w:szCs w:val="21"/>
                <w:highlight w:val="none"/>
              </w:rPr>
            </w:pPr>
            <w:r>
              <w:rPr>
                <w:color w:val="auto"/>
                <w:szCs w:val="21"/>
                <w:highlight w:val="none"/>
              </w:rPr>
              <w:t>其它特殊情况下的防护费用，如：城市主干道、人流密集、河边等处施工及文物、古建筑、古树保护等。</w:t>
            </w:r>
          </w:p>
        </w:tc>
      </w:tr>
    </w:tbl>
    <w:p w14:paraId="5C4635FA">
      <w:pPr>
        <w:rPr>
          <w:b/>
          <w:bCs/>
          <w:color w:val="auto"/>
          <w:w w:val="90"/>
          <w:szCs w:val="21"/>
          <w:highlight w:val="none"/>
        </w:rPr>
      </w:pPr>
    </w:p>
    <w:p w14:paraId="687D4BE1">
      <w:pPr>
        <w:rPr>
          <w:b/>
          <w:color w:val="auto"/>
          <w:szCs w:val="21"/>
          <w:highlight w:val="none"/>
        </w:rPr>
      </w:pPr>
      <w:r>
        <w:rPr>
          <w:color w:val="auto"/>
          <w:szCs w:val="21"/>
          <w:highlight w:val="none"/>
        </w:rPr>
        <w:t>注：本表所列建筑工程安全文明施工费，是依据现行法律法规及标准规范确定的。如法律法规和标准规范修订，本表所列项目应按照修订后的法律法规和标准规范进行调整。</w:t>
      </w:r>
    </w:p>
    <w:p w14:paraId="260693B3">
      <w:pPr>
        <w:snapToGrid w:val="0"/>
        <w:spacing w:before="120" w:beforeLines="50" w:after="50"/>
        <w:rPr>
          <w:b/>
          <w:color w:val="auto"/>
          <w:sz w:val="28"/>
          <w:szCs w:val="28"/>
          <w:highlight w:val="none"/>
        </w:rPr>
        <w:sectPr>
          <w:pgSz w:w="11911" w:h="16838"/>
          <w:pgMar w:top="1134" w:right="1134" w:bottom="1134" w:left="1134" w:header="720" w:footer="720" w:gutter="0"/>
          <w:cols w:space="720" w:num="1"/>
        </w:sectPr>
      </w:pPr>
    </w:p>
    <w:p w14:paraId="15AD21B3">
      <w:pPr>
        <w:snapToGrid w:val="0"/>
        <w:spacing w:before="120" w:beforeLines="50" w:after="50"/>
        <w:rPr>
          <w:b/>
          <w:color w:val="auto"/>
          <w:sz w:val="28"/>
          <w:szCs w:val="28"/>
          <w:highlight w:val="none"/>
        </w:rPr>
      </w:pPr>
      <w:r>
        <w:rPr>
          <w:rFonts w:hint="eastAsia"/>
          <w:b/>
          <w:color w:val="auto"/>
          <w:sz w:val="28"/>
          <w:szCs w:val="28"/>
          <w:highlight w:val="none"/>
        </w:rPr>
        <w:t>8</w:t>
      </w:r>
      <w:r>
        <w:rPr>
          <w:b/>
          <w:color w:val="auto"/>
          <w:sz w:val="28"/>
          <w:szCs w:val="28"/>
          <w:highlight w:val="none"/>
        </w:rPr>
        <w:t>.供应商类似的业绩证明文件</w:t>
      </w:r>
      <w:r>
        <w:rPr>
          <w:b/>
          <w:bCs/>
          <w:color w:val="auto"/>
          <w:sz w:val="30"/>
          <w:szCs w:val="30"/>
          <w:highlight w:val="none"/>
        </w:rPr>
        <w:t>（如有要求）：</w:t>
      </w:r>
    </w:p>
    <w:p w14:paraId="3020A87D">
      <w:pPr>
        <w:pStyle w:val="23"/>
        <w:snapToGrid w:val="0"/>
        <w:ind w:left="480" w:hanging="480"/>
        <w:rPr>
          <w:color w:val="auto"/>
          <w:sz w:val="24"/>
          <w:highlight w:val="none"/>
        </w:rPr>
      </w:pPr>
    </w:p>
    <w:tbl>
      <w:tblPr>
        <w:tblStyle w:val="28"/>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20BEF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14:paraId="6F49606A">
            <w:pPr>
              <w:snapToGrid w:val="0"/>
              <w:spacing w:line="240" w:lineRule="exact"/>
              <w:jc w:val="center"/>
              <w:rPr>
                <w:color w:val="auto"/>
                <w:sz w:val="24"/>
                <w:highlight w:val="none"/>
              </w:rPr>
            </w:pPr>
            <w:r>
              <w:rPr>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14:paraId="02493824">
            <w:pPr>
              <w:snapToGrid w:val="0"/>
              <w:spacing w:line="240" w:lineRule="exact"/>
              <w:jc w:val="center"/>
              <w:rPr>
                <w:color w:val="auto"/>
                <w:sz w:val="24"/>
                <w:highlight w:val="none"/>
              </w:rPr>
            </w:pPr>
            <w:r>
              <w:rPr>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FF14040">
            <w:pPr>
              <w:snapToGrid w:val="0"/>
              <w:spacing w:line="240" w:lineRule="exact"/>
              <w:jc w:val="center"/>
              <w:rPr>
                <w:color w:val="auto"/>
                <w:sz w:val="24"/>
                <w:highlight w:val="none"/>
              </w:rPr>
            </w:pPr>
            <w:r>
              <w:rPr>
                <w:color w:val="auto"/>
                <w:sz w:val="24"/>
                <w:highlight w:val="none"/>
              </w:rPr>
              <w:t>合同</w:t>
            </w:r>
          </w:p>
          <w:p w14:paraId="24A0BAC8">
            <w:pPr>
              <w:snapToGrid w:val="0"/>
              <w:spacing w:line="240" w:lineRule="exact"/>
              <w:jc w:val="center"/>
              <w:rPr>
                <w:color w:val="auto"/>
                <w:sz w:val="24"/>
                <w:highlight w:val="none"/>
              </w:rPr>
            </w:pPr>
            <w:r>
              <w:rPr>
                <w:color w:val="auto"/>
                <w:sz w:val="24"/>
                <w:highlight w:val="none"/>
              </w:rPr>
              <w:t>金额</w:t>
            </w:r>
          </w:p>
          <w:p w14:paraId="0D9F5BA5">
            <w:pPr>
              <w:snapToGrid w:val="0"/>
              <w:spacing w:line="240" w:lineRule="exact"/>
              <w:jc w:val="center"/>
              <w:rPr>
                <w:color w:val="auto"/>
                <w:sz w:val="24"/>
                <w:highlight w:val="none"/>
              </w:rPr>
            </w:pPr>
            <w:r>
              <w:rPr>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46ED0E96">
            <w:pPr>
              <w:snapToGrid w:val="0"/>
              <w:spacing w:line="240" w:lineRule="exact"/>
              <w:jc w:val="center"/>
              <w:rPr>
                <w:color w:val="auto"/>
                <w:sz w:val="24"/>
                <w:highlight w:val="none"/>
              </w:rPr>
            </w:pPr>
            <w:r>
              <w:rPr>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A5CF401">
            <w:pPr>
              <w:snapToGrid w:val="0"/>
              <w:spacing w:line="240" w:lineRule="exact"/>
              <w:jc w:val="center"/>
              <w:rPr>
                <w:color w:val="auto"/>
                <w:sz w:val="24"/>
                <w:highlight w:val="none"/>
              </w:rPr>
            </w:pPr>
            <w:r>
              <w:rPr>
                <w:color w:val="auto"/>
                <w:sz w:val="24"/>
                <w:highlight w:val="none"/>
              </w:rPr>
              <w:t>采购人联系人及联系电话</w:t>
            </w:r>
          </w:p>
        </w:tc>
      </w:tr>
      <w:tr w14:paraId="02397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52A0E963">
            <w:pPr>
              <w:jc w:val="left"/>
              <w:rPr>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14:paraId="7569142E">
            <w:pPr>
              <w:jc w:val="left"/>
              <w:rPr>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5032402">
            <w:pPr>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2745A16">
            <w:pPr>
              <w:snapToGrid w:val="0"/>
              <w:spacing w:line="240" w:lineRule="exact"/>
              <w:jc w:val="center"/>
              <w:rPr>
                <w:color w:val="auto"/>
                <w:sz w:val="24"/>
                <w:highlight w:val="none"/>
              </w:rPr>
            </w:pPr>
            <w:r>
              <w:rPr>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0F529392">
            <w:pPr>
              <w:snapToGrid w:val="0"/>
              <w:spacing w:line="240" w:lineRule="exact"/>
              <w:jc w:val="center"/>
              <w:rPr>
                <w:color w:val="auto"/>
                <w:sz w:val="24"/>
                <w:highlight w:val="none"/>
              </w:rPr>
            </w:pPr>
            <w:r>
              <w:rPr>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663B44D8">
            <w:pPr>
              <w:snapToGrid w:val="0"/>
              <w:spacing w:line="240" w:lineRule="exact"/>
              <w:jc w:val="center"/>
              <w:rPr>
                <w:color w:val="auto"/>
                <w:sz w:val="24"/>
                <w:highlight w:val="none"/>
              </w:rPr>
            </w:pPr>
            <w:r>
              <w:rPr>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FFB32FC">
            <w:pPr>
              <w:jc w:val="left"/>
              <w:rPr>
                <w:color w:val="auto"/>
                <w:sz w:val="24"/>
                <w:highlight w:val="none"/>
              </w:rPr>
            </w:pPr>
          </w:p>
        </w:tc>
      </w:tr>
      <w:tr w14:paraId="26028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14:paraId="357B6C42">
            <w:pPr>
              <w:snapToGrid w:val="0"/>
              <w:spacing w:line="240" w:lineRule="exact"/>
              <w:jc w:val="left"/>
              <w:rPr>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68A93B06">
            <w:pPr>
              <w:snapToGrid w:val="0"/>
              <w:spacing w:line="24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2521445">
            <w:pPr>
              <w:snapToGrid w:val="0"/>
              <w:spacing w:line="24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4D77C80">
            <w:pPr>
              <w:snapToGrid w:val="0"/>
              <w:spacing w:line="240" w:lineRule="exact"/>
              <w:jc w:val="left"/>
              <w:rPr>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621233C2">
            <w:pPr>
              <w:snapToGrid w:val="0"/>
              <w:spacing w:line="240" w:lineRule="exact"/>
              <w:jc w:val="left"/>
              <w:rPr>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40B60E9">
            <w:pPr>
              <w:snapToGrid w:val="0"/>
              <w:spacing w:line="240" w:lineRule="exact"/>
              <w:jc w:val="left"/>
              <w:rPr>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E0A4796">
            <w:pPr>
              <w:snapToGrid w:val="0"/>
              <w:spacing w:line="240" w:lineRule="exact"/>
              <w:jc w:val="left"/>
              <w:rPr>
                <w:color w:val="auto"/>
                <w:sz w:val="24"/>
                <w:highlight w:val="none"/>
              </w:rPr>
            </w:pPr>
          </w:p>
        </w:tc>
      </w:tr>
      <w:tr w14:paraId="50C52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35EA4BE6">
            <w:pPr>
              <w:snapToGrid w:val="0"/>
              <w:spacing w:before="50" w:after="120" w:afterLines="50" w:line="400" w:lineRule="exact"/>
              <w:jc w:val="left"/>
              <w:rPr>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2944EDFD">
            <w:pPr>
              <w:snapToGrid w:val="0"/>
              <w:spacing w:before="50" w:after="120" w:afterLines="50" w:line="40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86D1AA0">
            <w:pPr>
              <w:snapToGrid w:val="0"/>
              <w:spacing w:before="50" w:after="120" w:afterLines="50" w:line="40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889CD8C">
            <w:pPr>
              <w:snapToGrid w:val="0"/>
              <w:spacing w:before="50" w:after="120" w:afterLines="50" w:line="400" w:lineRule="exact"/>
              <w:jc w:val="left"/>
              <w:rPr>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18A298A">
            <w:pPr>
              <w:snapToGrid w:val="0"/>
              <w:spacing w:before="50" w:after="120" w:afterLines="50" w:line="400" w:lineRule="exact"/>
              <w:jc w:val="left"/>
              <w:rPr>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A8C6A73">
            <w:pPr>
              <w:snapToGrid w:val="0"/>
              <w:spacing w:before="50" w:after="120" w:afterLines="50" w:line="400" w:lineRule="exact"/>
              <w:jc w:val="left"/>
              <w:rPr>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E84A821">
            <w:pPr>
              <w:snapToGrid w:val="0"/>
              <w:spacing w:before="50" w:after="120" w:afterLines="50" w:line="400" w:lineRule="exact"/>
              <w:jc w:val="left"/>
              <w:rPr>
                <w:color w:val="auto"/>
                <w:sz w:val="24"/>
                <w:highlight w:val="none"/>
              </w:rPr>
            </w:pPr>
          </w:p>
        </w:tc>
      </w:tr>
      <w:tr w14:paraId="6D56E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14:paraId="5E75E83A">
            <w:pPr>
              <w:snapToGrid w:val="0"/>
              <w:spacing w:before="50" w:after="120" w:afterLines="50" w:line="400" w:lineRule="exact"/>
              <w:jc w:val="left"/>
              <w:rPr>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616FDCFF">
            <w:pPr>
              <w:snapToGrid w:val="0"/>
              <w:spacing w:before="50" w:after="120" w:afterLines="50" w:line="40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0F82DCD">
            <w:pPr>
              <w:snapToGrid w:val="0"/>
              <w:spacing w:before="50" w:after="120" w:afterLines="50" w:line="40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E91D406">
            <w:pPr>
              <w:snapToGrid w:val="0"/>
              <w:spacing w:before="50" w:after="120" w:afterLines="50" w:line="400" w:lineRule="exact"/>
              <w:jc w:val="left"/>
              <w:rPr>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2EAD6D6">
            <w:pPr>
              <w:snapToGrid w:val="0"/>
              <w:spacing w:before="50" w:after="120" w:afterLines="50" w:line="400" w:lineRule="exact"/>
              <w:jc w:val="left"/>
              <w:rPr>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D18DDA7">
            <w:pPr>
              <w:snapToGrid w:val="0"/>
              <w:spacing w:before="50" w:after="120" w:afterLines="50" w:line="400" w:lineRule="exact"/>
              <w:jc w:val="left"/>
              <w:rPr>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E4B64C0">
            <w:pPr>
              <w:snapToGrid w:val="0"/>
              <w:spacing w:before="50" w:after="120" w:afterLines="50" w:line="400" w:lineRule="exact"/>
              <w:jc w:val="left"/>
              <w:rPr>
                <w:color w:val="auto"/>
                <w:sz w:val="24"/>
                <w:highlight w:val="none"/>
              </w:rPr>
            </w:pPr>
          </w:p>
        </w:tc>
      </w:tr>
      <w:tr w14:paraId="5D18C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2FBEA73B">
            <w:pPr>
              <w:snapToGrid w:val="0"/>
              <w:spacing w:before="50" w:after="120" w:afterLines="50" w:line="400" w:lineRule="exact"/>
              <w:jc w:val="left"/>
              <w:rPr>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7D964322">
            <w:pPr>
              <w:snapToGrid w:val="0"/>
              <w:spacing w:before="50" w:after="120" w:afterLines="50" w:line="40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4C06142">
            <w:pPr>
              <w:snapToGrid w:val="0"/>
              <w:spacing w:before="50" w:after="120" w:afterLines="50" w:line="40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1EBACD1">
            <w:pPr>
              <w:snapToGrid w:val="0"/>
              <w:spacing w:before="50" w:after="120" w:afterLines="50" w:line="400" w:lineRule="exact"/>
              <w:jc w:val="left"/>
              <w:rPr>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0DDBEF4B">
            <w:pPr>
              <w:snapToGrid w:val="0"/>
              <w:spacing w:before="50" w:after="120" w:afterLines="50" w:line="400" w:lineRule="exact"/>
              <w:jc w:val="left"/>
              <w:rPr>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8AA0441">
            <w:pPr>
              <w:snapToGrid w:val="0"/>
              <w:spacing w:before="50" w:after="120" w:afterLines="50" w:line="400" w:lineRule="exact"/>
              <w:jc w:val="left"/>
              <w:rPr>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4F2795A">
            <w:pPr>
              <w:snapToGrid w:val="0"/>
              <w:spacing w:before="50" w:after="120" w:afterLines="50" w:line="400" w:lineRule="exact"/>
              <w:jc w:val="left"/>
              <w:rPr>
                <w:color w:val="auto"/>
                <w:sz w:val="24"/>
                <w:highlight w:val="none"/>
              </w:rPr>
            </w:pPr>
          </w:p>
        </w:tc>
      </w:tr>
      <w:tr w14:paraId="4049F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5E1FF5EA">
            <w:pPr>
              <w:snapToGrid w:val="0"/>
              <w:spacing w:before="50" w:after="120" w:afterLines="50" w:line="400" w:lineRule="exact"/>
              <w:jc w:val="left"/>
              <w:rPr>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1A6E4A9C">
            <w:pPr>
              <w:snapToGrid w:val="0"/>
              <w:spacing w:before="50" w:after="120" w:afterLines="50" w:line="40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956DC56">
            <w:pPr>
              <w:snapToGrid w:val="0"/>
              <w:spacing w:before="50" w:after="120" w:afterLines="50" w:line="400" w:lineRule="exact"/>
              <w:jc w:val="left"/>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12B52B">
            <w:pPr>
              <w:snapToGrid w:val="0"/>
              <w:spacing w:before="50" w:after="120" w:afterLines="50" w:line="400" w:lineRule="exact"/>
              <w:jc w:val="left"/>
              <w:rPr>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E29C942">
            <w:pPr>
              <w:snapToGrid w:val="0"/>
              <w:spacing w:before="50" w:after="120" w:afterLines="50" w:line="400" w:lineRule="exact"/>
              <w:jc w:val="left"/>
              <w:rPr>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A39FC20">
            <w:pPr>
              <w:snapToGrid w:val="0"/>
              <w:spacing w:before="50" w:after="120" w:afterLines="50" w:line="400" w:lineRule="exact"/>
              <w:jc w:val="left"/>
              <w:rPr>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0582DE0">
            <w:pPr>
              <w:snapToGrid w:val="0"/>
              <w:spacing w:before="50" w:after="120" w:afterLines="50" w:line="400" w:lineRule="exact"/>
              <w:jc w:val="left"/>
              <w:rPr>
                <w:color w:val="auto"/>
                <w:sz w:val="24"/>
                <w:highlight w:val="none"/>
              </w:rPr>
            </w:pPr>
          </w:p>
        </w:tc>
      </w:tr>
    </w:tbl>
    <w:p w14:paraId="60142277">
      <w:pPr>
        <w:pStyle w:val="23"/>
        <w:snapToGrid w:val="0"/>
        <w:ind w:left="480" w:hanging="480"/>
        <w:rPr>
          <w:color w:val="auto"/>
          <w:sz w:val="24"/>
          <w:highlight w:val="none"/>
        </w:rPr>
      </w:pPr>
    </w:p>
    <w:p w14:paraId="758B6E2B">
      <w:pPr>
        <w:pStyle w:val="23"/>
        <w:snapToGrid w:val="0"/>
        <w:ind w:left="480" w:hanging="480"/>
        <w:rPr>
          <w:color w:val="auto"/>
          <w:sz w:val="24"/>
          <w:highlight w:val="none"/>
        </w:rPr>
      </w:pPr>
    </w:p>
    <w:p w14:paraId="4AA6AFFD">
      <w:pPr>
        <w:autoSpaceDE w:val="0"/>
        <w:autoSpaceDN w:val="0"/>
        <w:spacing w:line="360" w:lineRule="auto"/>
        <w:ind w:firstLine="422" w:firstLineChars="200"/>
        <w:rPr>
          <w:color w:val="auto"/>
          <w:szCs w:val="21"/>
          <w:highlight w:val="none"/>
        </w:rPr>
      </w:pPr>
      <w:r>
        <w:rPr>
          <w:b/>
          <w:color w:val="auto"/>
          <w:szCs w:val="21"/>
          <w:highlight w:val="none"/>
        </w:rPr>
        <w:t>附表 :相关项目业绩一览表（供应商类似项目合同复印件、用户验收报告、用户评价意见格式自拟）</w:t>
      </w:r>
    </w:p>
    <w:p w14:paraId="5A59AEA6">
      <w:pPr>
        <w:spacing w:line="360" w:lineRule="auto"/>
        <w:ind w:left="72" w:firstLine="420" w:firstLineChars="200"/>
        <w:rPr>
          <w:color w:val="auto"/>
          <w:kern w:val="0"/>
          <w:szCs w:val="21"/>
          <w:highlight w:val="none"/>
        </w:rPr>
      </w:pPr>
      <w:r>
        <w:rPr>
          <w:color w:val="auto"/>
          <w:kern w:val="0"/>
          <w:szCs w:val="21"/>
          <w:highlight w:val="none"/>
        </w:rPr>
        <w:t>注：供应商可参照下述的格式自行编制，须随表提交相应的合同复印件和用户单位验收证明并注明所在供应商商务技术文件页码。</w:t>
      </w:r>
    </w:p>
    <w:p w14:paraId="5DAC2E44">
      <w:pPr>
        <w:snapToGrid w:val="0"/>
        <w:spacing w:line="360" w:lineRule="auto"/>
        <w:ind w:firstLine="4935" w:firstLineChars="2350"/>
        <w:rPr>
          <w:color w:val="auto"/>
          <w:szCs w:val="21"/>
          <w:highlight w:val="none"/>
        </w:rPr>
      </w:pPr>
      <w:r>
        <w:rPr>
          <w:color w:val="auto"/>
          <w:szCs w:val="21"/>
          <w:highlight w:val="none"/>
        </w:rPr>
        <w:t xml:space="preserve"> </w:t>
      </w:r>
    </w:p>
    <w:p w14:paraId="62AAF258">
      <w:pPr>
        <w:snapToGrid w:val="0"/>
        <w:spacing w:line="360" w:lineRule="auto"/>
        <w:ind w:firstLine="4935" w:firstLineChars="2350"/>
        <w:rPr>
          <w:color w:val="auto"/>
          <w:szCs w:val="21"/>
          <w:highlight w:val="none"/>
        </w:rPr>
      </w:pPr>
    </w:p>
    <w:p w14:paraId="1B0EF69A">
      <w:pPr>
        <w:spacing w:line="400" w:lineRule="exact"/>
        <w:ind w:firstLine="4410" w:firstLineChars="2100"/>
        <w:rPr>
          <w:color w:val="auto"/>
          <w:szCs w:val="21"/>
          <w:highlight w:val="none"/>
        </w:rPr>
      </w:pPr>
      <w:r>
        <w:rPr>
          <w:color w:val="auto"/>
          <w:szCs w:val="21"/>
          <w:highlight w:val="none"/>
        </w:rPr>
        <w:t xml:space="preserve"> </w:t>
      </w:r>
    </w:p>
    <w:p w14:paraId="352318DA">
      <w:pPr>
        <w:spacing w:line="400" w:lineRule="exact"/>
        <w:ind w:firstLine="4410" w:firstLineChars="2100"/>
        <w:rPr>
          <w:color w:val="auto"/>
          <w:szCs w:val="21"/>
          <w:highlight w:val="none"/>
        </w:rPr>
      </w:pPr>
    </w:p>
    <w:p w14:paraId="3FA84018">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5F0E16AE">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06145D7">
      <w:pPr>
        <w:spacing w:line="500" w:lineRule="exact"/>
        <w:jc w:val="center"/>
        <w:rPr>
          <w:color w:val="auto"/>
          <w:szCs w:val="21"/>
          <w:highlight w:val="none"/>
        </w:rPr>
        <w:sectPr>
          <w:pgSz w:w="11911" w:h="16838"/>
          <w:pgMar w:top="1134" w:right="1134" w:bottom="1134" w:left="1134" w:header="720" w:footer="720" w:gutter="0"/>
          <w:cols w:space="720" w:num="1"/>
        </w:sectPr>
      </w:pPr>
    </w:p>
    <w:p w14:paraId="41F56CBE">
      <w:pPr>
        <w:snapToGrid w:val="0"/>
        <w:spacing w:line="360" w:lineRule="auto"/>
        <w:rPr>
          <w:color w:val="auto"/>
          <w:sz w:val="28"/>
          <w:szCs w:val="28"/>
          <w:highlight w:val="none"/>
        </w:rPr>
      </w:pPr>
      <w:r>
        <w:rPr>
          <w:rFonts w:hint="eastAsia"/>
          <w:b/>
          <w:color w:val="auto"/>
          <w:sz w:val="28"/>
          <w:szCs w:val="28"/>
          <w:highlight w:val="none"/>
        </w:rPr>
        <w:t>9</w:t>
      </w:r>
      <w:r>
        <w:rPr>
          <w:b/>
          <w:color w:val="auto"/>
          <w:sz w:val="28"/>
          <w:szCs w:val="28"/>
          <w:highlight w:val="none"/>
        </w:rPr>
        <w:t>.</w:t>
      </w:r>
      <w:r>
        <w:rPr>
          <w:rFonts w:hint="eastAsia"/>
          <w:b/>
          <w:color w:val="auto"/>
          <w:sz w:val="28"/>
          <w:szCs w:val="28"/>
          <w:highlight w:val="none"/>
        </w:rPr>
        <w:t>技术</w:t>
      </w:r>
      <w:r>
        <w:rPr>
          <w:b/>
          <w:color w:val="auto"/>
          <w:sz w:val="28"/>
          <w:szCs w:val="28"/>
          <w:highlight w:val="none"/>
        </w:rPr>
        <w:t>需求偏离表的格式：</w:t>
      </w:r>
    </w:p>
    <w:p w14:paraId="3FEA804D">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w:t>
      </w:r>
      <w:r>
        <w:rPr>
          <w:rFonts w:ascii="宋体" w:hAnsi="宋体" w:cs="宋体"/>
          <w:b/>
          <w:bCs/>
          <w:color w:val="auto"/>
          <w:sz w:val="32"/>
          <w:szCs w:val="32"/>
          <w:highlight w:val="none"/>
        </w:rPr>
        <w:t>需求偏离表</w:t>
      </w:r>
    </w:p>
    <w:p w14:paraId="36C86EAE">
      <w:pPr>
        <w:spacing w:line="500" w:lineRule="exact"/>
        <w:jc w:val="center"/>
        <w:rPr>
          <w:rFonts w:ascii="宋体" w:hAnsi="宋体" w:cs="宋体"/>
          <w:b/>
          <w:bCs/>
          <w:color w:val="auto"/>
          <w:sz w:val="32"/>
          <w:szCs w:val="32"/>
          <w:highlight w:val="none"/>
        </w:rPr>
      </w:pPr>
      <w:r>
        <w:rPr>
          <w:rFonts w:ascii="宋体" w:hAnsi="宋体" w:cs="宋体"/>
          <w:b/>
          <w:bCs/>
          <w:color w:val="auto"/>
          <w:sz w:val="32"/>
          <w:szCs w:val="32"/>
          <w:highlight w:val="none"/>
        </w:rPr>
        <w:t>(注：按采购需求具体条款修改)</w:t>
      </w:r>
    </w:p>
    <w:p w14:paraId="0E95C94B">
      <w:pPr>
        <w:spacing w:line="360" w:lineRule="auto"/>
        <w:contextualSpacing/>
        <w:jc w:val="left"/>
        <w:rPr>
          <w:color w:val="auto"/>
          <w:sz w:val="24"/>
          <w:highlight w:val="none"/>
        </w:rPr>
      </w:pPr>
    </w:p>
    <w:p w14:paraId="02B5FE02">
      <w:pPr>
        <w:spacing w:line="360" w:lineRule="auto"/>
        <w:ind w:firstLine="720" w:firstLineChars="300"/>
        <w:contextualSpacing/>
        <w:rPr>
          <w:color w:val="auto"/>
          <w:sz w:val="24"/>
          <w:highlight w:val="none"/>
          <w:u w:val="single"/>
        </w:rPr>
      </w:pPr>
      <w:r>
        <w:rPr>
          <w:color w:val="auto"/>
          <w:sz w:val="24"/>
          <w:highlight w:val="none"/>
        </w:rPr>
        <w:t>项目名称：</w:t>
      </w:r>
      <w:r>
        <w:rPr>
          <w:color w:val="auto"/>
          <w:sz w:val="24"/>
          <w:highlight w:val="none"/>
          <w:u w:val="single"/>
        </w:rPr>
        <w:t xml:space="preserve">                 </w:t>
      </w:r>
    </w:p>
    <w:p w14:paraId="0BCFD0D6">
      <w:pPr>
        <w:spacing w:line="360" w:lineRule="auto"/>
        <w:ind w:firstLine="720" w:firstLineChars="300"/>
        <w:contextualSpacing/>
        <w:rPr>
          <w:color w:val="auto"/>
          <w:sz w:val="24"/>
          <w:highlight w:val="none"/>
        </w:rPr>
      </w:pPr>
      <w:r>
        <w:rPr>
          <w:color w:val="auto"/>
          <w:sz w:val="24"/>
          <w:highlight w:val="none"/>
        </w:rPr>
        <w:t>项目编号：</w:t>
      </w:r>
      <w:r>
        <w:rPr>
          <w:color w:val="auto"/>
          <w:sz w:val="24"/>
          <w:highlight w:val="none"/>
          <w:u w:val="single"/>
        </w:rPr>
        <w:t xml:space="preserve">                 </w:t>
      </w:r>
    </w:p>
    <w:p w14:paraId="54ECB1E8">
      <w:pPr>
        <w:spacing w:line="360" w:lineRule="auto"/>
        <w:ind w:firstLine="720" w:firstLineChars="300"/>
        <w:contextualSpacing/>
        <w:rPr>
          <w:color w:val="auto"/>
          <w:sz w:val="24"/>
          <w:highlight w:val="none"/>
          <w:u w:val="single"/>
        </w:rPr>
      </w:pPr>
      <w:r>
        <w:rPr>
          <w:color w:val="auto"/>
          <w:sz w:val="24"/>
          <w:highlight w:val="none"/>
        </w:rPr>
        <w:t>所竞分标（如有则填写，无分标时填写“无”或者留空）：</w:t>
      </w:r>
      <w:r>
        <w:rPr>
          <w:color w:val="auto"/>
          <w:sz w:val="24"/>
          <w:highlight w:val="none"/>
          <w:u w:val="single"/>
        </w:rPr>
        <w:t xml:space="preserve">              </w:t>
      </w:r>
    </w:p>
    <w:tbl>
      <w:tblPr>
        <w:tblStyle w:val="28"/>
        <w:tblpPr w:leftFromText="180" w:rightFromText="180" w:vertAnchor="text" w:horzAnchor="page" w:tblpX="2243" w:tblpY="222"/>
        <w:tblW w:w="7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916"/>
        <w:gridCol w:w="1903"/>
        <w:gridCol w:w="1750"/>
      </w:tblGrid>
      <w:tr w14:paraId="7D0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88A204F">
            <w:pPr>
              <w:spacing w:line="340" w:lineRule="exact"/>
              <w:jc w:val="center"/>
              <w:rPr>
                <w:color w:val="auto"/>
                <w:szCs w:val="21"/>
                <w:highlight w:val="none"/>
              </w:rPr>
            </w:pPr>
            <w:r>
              <w:rPr>
                <w:color w:val="auto"/>
                <w:szCs w:val="21"/>
                <w:highlight w:val="none"/>
              </w:rPr>
              <w:t>项号</w:t>
            </w:r>
          </w:p>
        </w:tc>
        <w:tc>
          <w:tcPr>
            <w:tcW w:w="2916" w:type="dxa"/>
            <w:tcBorders>
              <w:top w:val="single" w:color="auto" w:sz="4" w:space="0"/>
              <w:left w:val="single" w:color="auto" w:sz="4" w:space="0"/>
              <w:bottom w:val="single" w:color="auto" w:sz="4" w:space="0"/>
              <w:right w:val="single" w:color="auto" w:sz="4" w:space="0"/>
            </w:tcBorders>
            <w:vAlign w:val="center"/>
          </w:tcPr>
          <w:p w14:paraId="4B4BAB04">
            <w:pPr>
              <w:spacing w:line="340" w:lineRule="exact"/>
              <w:jc w:val="center"/>
              <w:rPr>
                <w:color w:val="auto"/>
                <w:szCs w:val="21"/>
                <w:highlight w:val="none"/>
              </w:rPr>
            </w:pPr>
            <w:r>
              <w:rPr>
                <w:color w:val="auto"/>
                <w:szCs w:val="21"/>
                <w:highlight w:val="none"/>
              </w:rPr>
              <w:t>竞争性磋商文件的</w:t>
            </w:r>
            <w:r>
              <w:rPr>
                <w:rFonts w:hint="eastAsia"/>
                <w:color w:val="auto"/>
                <w:szCs w:val="21"/>
                <w:highlight w:val="none"/>
              </w:rPr>
              <w:t>技术要</w:t>
            </w:r>
            <w:r>
              <w:rPr>
                <w:color w:val="auto"/>
                <w:szCs w:val="21"/>
                <w:highlight w:val="none"/>
              </w:rPr>
              <w:t>求</w:t>
            </w:r>
          </w:p>
        </w:tc>
        <w:tc>
          <w:tcPr>
            <w:tcW w:w="1903" w:type="dxa"/>
            <w:tcBorders>
              <w:top w:val="single" w:color="auto" w:sz="4" w:space="0"/>
              <w:left w:val="single" w:color="auto" w:sz="4" w:space="0"/>
              <w:bottom w:val="single" w:color="auto" w:sz="4" w:space="0"/>
              <w:right w:val="single" w:color="auto" w:sz="4" w:space="0"/>
            </w:tcBorders>
            <w:vAlign w:val="center"/>
          </w:tcPr>
          <w:p w14:paraId="7C9D2D7B">
            <w:pPr>
              <w:spacing w:line="340" w:lineRule="exact"/>
              <w:jc w:val="center"/>
              <w:rPr>
                <w:color w:val="auto"/>
                <w:szCs w:val="21"/>
                <w:highlight w:val="none"/>
              </w:rPr>
            </w:pPr>
            <w:r>
              <w:rPr>
                <w:color w:val="auto"/>
                <w:szCs w:val="21"/>
                <w:highlight w:val="none"/>
              </w:rPr>
              <w:t>响应文件响应的</w:t>
            </w:r>
            <w:r>
              <w:rPr>
                <w:rFonts w:hint="eastAsia"/>
                <w:color w:val="auto"/>
                <w:szCs w:val="21"/>
                <w:highlight w:val="none"/>
              </w:rPr>
              <w:t>技术要求</w:t>
            </w:r>
          </w:p>
        </w:tc>
        <w:tc>
          <w:tcPr>
            <w:tcW w:w="1750" w:type="dxa"/>
            <w:tcBorders>
              <w:top w:val="single" w:color="auto" w:sz="4" w:space="0"/>
              <w:left w:val="single" w:color="auto" w:sz="4" w:space="0"/>
              <w:bottom w:val="single" w:color="auto" w:sz="4" w:space="0"/>
              <w:right w:val="single" w:color="auto" w:sz="4" w:space="0"/>
            </w:tcBorders>
            <w:vAlign w:val="center"/>
          </w:tcPr>
          <w:p w14:paraId="694126EF">
            <w:pPr>
              <w:spacing w:line="340" w:lineRule="exact"/>
              <w:jc w:val="center"/>
              <w:rPr>
                <w:color w:val="auto"/>
                <w:szCs w:val="21"/>
                <w:highlight w:val="none"/>
              </w:rPr>
            </w:pPr>
            <w:r>
              <w:rPr>
                <w:color w:val="auto"/>
                <w:szCs w:val="21"/>
                <w:highlight w:val="none"/>
              </w:rPr>
              <w:t>偏离说明</w:t>
            </w:r>
          </w:p>
        </w:tc>
      </w:tr>
      <w:tr w14:paraId="0682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0D04EE1">
            <w:pPr>
              <w:spacing w:line="340" w:lineRule="exact"/>
              <w:jc w:val="center"/>
              <w:rPr>
                <w:color w:val="auto"/>
                <w:szCs w:val="21"/>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46C863D4">
            <w:pPr>
              <w:spacing w:line="340" w:lineRule="exact"/>
              <w:rPr>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74B5C3AC">
            <w:pPr>
              <w:spacing w:line="340" w:lineRule="exact"/>
              <w:rPr>
                <w:color w:val="auto"/>
                <w:szCs w:val="21"/>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022620C2">
            <w:pPr>
              <w:spacing w:line="300" w:lineRule="exact"/>
              <w:rPr>
                <w:color w:val="auto"/>
                <w:szCs w:val="21"/>
                <w:highlight w:val="none"/>
              </w:rPr>
            </w:pPr>
          </w:p>
        </w:tc>
      </w:tr>
      <w:tr w14:paraId="722A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A64B026">
            <w:pPr>
              <w:spacing w:line="340" w:lineRule="exact"/>
              <w:jc w:val="center"/>
              <w:rPr>
                <w:color w:val="auto"/>
                <w:szCs w:val="21"/>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2725600A">
            <w:pPr>
              <w:spacing w:line="340" w:lineRule="exact"/>
              <w:rPr>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53065ADF">
            <w:pPr>
              <w:spacing w:line="340" w:lineRule="exact"/>
              <w:rPr>
                <w:color w:val="auto"/>
                <w:szCs w:val="21"/>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40F6285D">
            <w:pPr>
              <w:spacing w:line="300" w:lineRule="exact"/>
              <w:rPr>
                <w:color w:val="auto"/>
                <w:szCs w:val="21"/>
                <w:highlight w:val="none"/>
              </w:rPr>
            </w:pPr>
          </w:p>
        </w:tc>
      </w:tr>
      <w:tr w14:paraId="7C6C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93AF289">
            <w:pPr>
              <w:spacing w:line="340" w:lineRule="exact"/>
              <w:jc w:val="center"/>
              <w:rPr>
                <w:color w:val="auto"/>
                <w:szCs w:val="21"/>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7444F044">
            <w:pPr>
              <w:spacing w:line="340" w:lineRule="exact"/>
              <w:rPr>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37F83EB5">
            <w:pPr>
              <w:spacing w:line="340" w:lineRule="exact"/>
              <w:rPr>
                <w:color w:val="auto"/>
                <w:szCs w:val="21"/>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5CC03284">
            <w:pPr>
              <w:spacing w:line="300" w:lineRule="exact"/>
              <w:rPr>
                <w:color w:val="auto"/>
                <w:szCs w:val="21"/>
                <w:highlight w:val="none"/>
              </w:rPr>
            </w:pPr>
          </w:p>
        </w:tc>
      </w:tr>
      <w:tr w14:paraId="1511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0B415B9">
            <w:pPr>
              <w:spacing w:line="340" w:lineRule="exact"/>
              <w:jc w:val="center"/>
              <w:rPr>
                <w:color w:val="auto"/>
                <w:szCs w:val="21"/>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33D280E1">
            <w:pPr>
              <w:spacing w:line="340" w:lineRule="exact"/>
              <w:rPr>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1EAD7495">
            <w:pPr>
              <w:spacing w:line="340" w:lineRule="exact"/>
              <w:rPr>
                <w:color w:val="auto"/>
                <w:szCs w:val="21"/>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61FD41BE">
            <w:pPr>
              <w:spacing w:line="300" w:lineRule="exact"/>
              <w:rPr>
                <w:color w:val="auto"/>
                <w:szCs w:val="21"/>
                <w:highlight w:val="none"/>
              </w:rPr>
            </w:pPr>
          </w:p>
        </w:tc>
      </w:tr>
      <w:tr w14:paraId="0B82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56A48B2">
            <w:pPr>
              <w:spacing w:line="340" w:lineRule="exact"/>
              <w:jc w:val="center"/>
              <w:rPr>
                <w:color w:val="auto"/>
                <w:szCs w:val="21"/>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0DB491EB">
            <w:pPr>
              <w:spacing w:line="340" w:lineRule="exact"/>
              <w:rPr>
                <w:color w:val="auto"/>
                <w:szCs w:val="21"/>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0C1FD164">
            <w:pPr>
              <w:spacing w:line="340" w:lineRule="exact"/>
              <w:rPr>
                <w:color w:val="auto"/>
                <w:szCs w:val="21"/>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22FD5ADB">
            <w:pPr>
              <w:spacing w:line="300" w:lineRule="exact"/>
              <w:rPr>
                <w:color w:val="auto"/>
                <w:szCs w:val="21"/>
                <w:highlight w:val="none"/>
              </w:rPr>
            </w:pPr>
          </w:p>
        </w:tc>
      </w:tr>
      <w:tr w14:paraId="08FB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42EAC17">
            <w:pPr>
              <w:spacing w:line="340" w:lineRule="exact"/>
              <w:jc w:val="center"/>
              <w:rPr>
                <w:color w:val="auto"/>
                <w:szCs w:val="21"/>
                <w:highlight w:val="none"/>
              </w:rPr>
            </w:pPr>
          </w:p>
        </w:tc>
        <w:tc>
          <w:tcPr>
            <w:tcW w:w="2916" w:type="dxa"/>
            <w:tcBorders>
              <w:top w:val="single" w:color="auto" w:sz="4" w:space="0"/>
              <w:left w:val="single" w:color="auto" w:sz="4" w:space="0"/>
              <w:bottom w:val="single" w:color="auto" w:sz="4" w:space="0"/>
              <w:right w:val="single" w:color="auto" w:sz="4" w:space="0"/>
            </w:tcBorders>
            <w:vAlign w:val="center"/>
          </w:tcPr>
          <w:p w14:paraId="6845A6A8">
            <w:pPr>
              <w:spacing w:line="340" w:lineRule="exact"/>
              <w:rPr>
                <w:color w:val="auto"/>
                <w:szCs w:val="21"/>
                <w:highlight w:val="none"/>
              </w:rPr>
            </w:pPr>
            <w:r>
              <w:rPr>
                <w:rFonts w:hint="eastAsia"/>
                <w:color w:val="auto"/>
                <w:szCs w:val="21"/>
                <w:highlight w:val="none"/>
              </w:rPr>
              <w:t>......</w:t>
            </w:r>
          </w:p>
        </w:tc>
        <w:tc>
          <w:tcPr>
            <w:tcW w:w="1903" w:type="dxa"/>
            <w:tcBorders>
              <w:top w:val="single" w:color="auto" w:sz="4" w:space="0"/>
              <w:left w:val="single" w:color="auto" w:sz="4" w:space="0"/>
              <w:bottom w:val="single" w:color="auto" w:sz="4" w:space="0"/>
              <w:right w:val="single" w:color="auto" w:sz="4" w:space="0"/>
            </w:tcBorders>
            <w:vAlign w:val="center"/>
          </w:tcPr>
          <w:p w14:paraId="2982496B">
            <w:pPr>
              <w:spacing w:line="340" w:lineRule="exact"/>
              <w:rPr>
                <w:color w:val="auto"/>
                <w:szCs w:val="21"/>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62129BE2">
            <w:pPr>
              <w:spacing w:line="300" w:lineRule="exact"/>
              <w:rPr>
                <w:color w:val="auto"/>
                <w:szCs w:val="21"/>
                <w:highlight w:val="none"/>
              </w:rPr>
            </w:pPr>
          </w:p>
        </w:tc>
      </w:tr>
    </w:tbl>
    <w:p w14:paraId="504D3B9B">
      <w:pPr>
        <w:pStyle w:val="13"/>
        <w:spacing w:after="0" w:line="360" w:lineRule="auto"/>
        <w:contextualSpacing/>
        <w:rPr>
          <w:color w:val="auto"/>
          <w:kern w:val="0"/>
          <w:sz w:val="24"/>
          <w:szCs w:val="24"/>
          <w:highlight w:val="none"/>
        </w:rPr>
      </w:pPr>
    </w:p>
    <w:p w14:paraId="15FD6C77">
      <w:pPr>
        <w:pStyle w:val="13"/>
        <w:spacing w:after="0" w:line="480" w:lineRule="auto"/>
        <w:ind w:firstLine="420" w:firstLineChars="200"/>
        <w:contextualSpacing/>
        <w:rPr>
          <w:color w:val="auto"/>
          <w:kern w:val="0"/>
          <w:sz w:val="21"/>
          <w:szCs w:val="21"/>
          <w:highlight w:val="none"/>
        </w:rPr>
      </w:pPr>
    </w:p>
    <w:p w14:paraId="7B2C11B7">
      <w:pPr>
        <w:pStyle w:val="13"/>
        <w:spacing w:after="0" w:line="480" w:lineRule="auto"/>
        <w:ind w:firstLine="420" w:firstLineChars="200"/>
        <w:contextualSpacing/>
        <w:rPr>
          <w:color w:val="auto"/>
          <w:kern w:val="0"/>
          <w:sz w:val="21"/>
          <w:szCs w:val="21"/>
          <w:highlight w:val="none"/>
        </w:rPr>
      </w:pPr>
    </w:p>
    <w:p w14:paraId="3C52B263">
      <w:pPr>
        <w:pStyle w:val="13"/>
        <w:spacing w:after="0" w:line="480" w:lineRule="auto"/>
        <w:ind w:firstLine="420" w:firstLineChars="200"/>
        <w:contextualSpacing/>
        <w:rPr>
          <w:color w:val="auto"/>
          <w:kern w:val="0"/>
          <w:sz w:val="21"/>
          <w:szCs w:val="21"/>
          <w:highlight w:val="none"/>
        </w:rPr>
      </w:pPr>
    </w:p>
    <w:p w14:paraId="0B5E537C">
      <w:pPr>
        <w:pStyle w:val="13"/>
        <w:spacing w:after="0" w:line="480" w:lineRule="auto"/>
        <w:ind w:firstLine="420" w:firstLineChars="200"/>
        <w:contextualSpacing/>
        <w:rPr>
          <w:color w:val="auto"/>
          <w:kern w:val="0"/>
          <w:sz w:val="21"/>
          <w:szCs w:val="21"/>
          <w:highlight w:val="none"/>
        </w:rPr>
      </w:pPr>
    </w:p>
    <w:p w14:paraId="70C8874C">
      <w:pPr>
        <w:pStyle w:val="13"/>
        <w:spacing w:after="0" w:line="480" w:lineRule="auto"/>
        <w:ind w:firstLine="420" w:firstLineChars="200"/>
        <w:contextualSpacing/>
        <w:rPr>
          <w:color w:val="auto"/>
          <w:kern w:val="0"/>
          <w:sz w:val="21"/>
          <w:szCs w:val="21"/>
          <w:highlight w:val="none"/>
        </w:rPr>
      </w:pPr>
    </w:p>
    <w:p w14:paraId="48BFBD9A">
      <w:pPr>
        <w:pStyle w:val="13"/>
        <w:spacing w:after="0" w:line="480" w:lineRule="auto"/>
        <w:ind w:firstLine="420" w:firstLineChars="200"/>
        <w:contextualSpacing/>
        <w:rPr>
          <w:color w:val="auto"/>
          <w:kern w:val="0"/>
          <w:sz w:val="21"/>
          <w:szCs w:val="21"/>
          <w:highlight w:val="none"/>
        </w:rPr>
      </w:pPr>
    </w:p>
    <w:p w14:paraId="251BB726">
      <w:pPr>
        <w:pStyle w:val="13"/>
        <w:spacing w:after="0" w:line="480" w:lineRule="auto"/>
        <w:ind w:firstLine="420" w:firstLineChars="200"/>
        <w:contextualSpacing/>
        <w:rPr>
          <w:color w:val="auto"/>
          <w:kern w:val="0"/>
          <w:sz w:val="21"/>
          <w:szCs w:val="21"/>
          <w:highlight w:val="none"/>
        </w:rPr>
      </w:pPr>
    </w:p>
    <w:p w14:paraId="4119967D">
      <w:pPr>
        <w:pStyle w:val="13"/>
        <w:spacing w:after="0" w:line="480" w:lineRule="auto"/>
        <w:ind w:firstLine="420" w:firstLineChars="200"/>
        <w:contextualSpacing/>
        <w:rPr>
          <w:color w:val="auto"/>
          <w:kern w:val="0"/>
          <w:sz w:val="21"/>
          <w:szCs w:val="21"/>
          <w:highlight w:val="none"/>
        </w:rPr>
      </w:pPr>
    </w:p>
    <w:p w14:paraId="2A96C7AB">
      <w:pPr>
        <w:pStyle w:val="13"/>
        <w:spacing w:after="0" w:line="480" w:lineRule="auto"/>
        <w:ind w:firstLine="420" w:firstLineChars="200"/>
        <w:contextualSpacing/>
        <w:rPr>
          <w:color w:val="auto"/>
          <w:kern w:val="0"/>
          <w:sz w:val="21"/>
          <w:szCs w:val="21"/>
          <w:highlight w:val="none"/>
        </w:rPr>
      </w:pPr>
    </w:p>
    <w:p w14:paraId="42AEAEB6">
      <w:pPr>
        <w:pStyle w:val="13"/>
        <w:spacing w:after="0" w:line="480" w:lineRule="auto"/>
        <w:ind w:firstLine="420" w:firstLineChars="200"/>
        <w:contextualSpacing/>
        <w:rPr>
          <w:color w:val="auto"/>
          <w:kern w:val="0"/>
          <w:sz w:val="21"/>
          <w:szCs w:val="21"/>
          <w:highlight w:val="none"/>
        </w:rPr>
      </w:pPr>
    </w:p>
    <w:p w14:paraId="38ECAB73">
      <w:pPr>
        <w:pStyle w:val="13"/>
        <w:spacing w:after="0" w:line="480" w:lineRule="auto"/>
        <w:ind w:firstLine="420" w:firstLineChars="200"/>
        <w:contextualSpacing/>
        <w:rPr>
          <w:color w:val="auto"/>
          <w:kern w:val="0"/>
          <w:sz w:val="21"/>
          <w:szCs w:val="21"/>
          <w:highlight w:val="none"/>
        </w:rPr>
      </w:pPr>
      <w:r>
        <w:rPr>
          <w:color w:val="auto"/>
          <w:kern w:val="0"/>
          <w:sz w:val="21"/>
          <w:szCs w:val="21"/>
          <w:highlight w:val="none"/>
        </w:rPr>
        <w:t>注：</w:t>
      </w:r>
    </w:p>
    <w:p w14:paraId="72DD8224">
      <w:pPr>
        <w:pStyle w:val="13"/>
        <w:spacing w:after="0" w:line="480" w:lineRule="auto"/>
        <w:ind w:firstLine="420" w:firstLineChars="200"/>
        <w:contextualSpacing/>
        <w:rPr>
          <w:color w:val="auto"/>
          <w:kern w:val="0"/>
          <w:sz w:val="21"/>
          <w:szCs w:val="21"/>
          <w:highlight w:val="none"/>
        </w:rPr>
      </w:pPr>
      <w:r>
        <w:rPr>
          <w:color w:val="auto"/>
          <w:kern w:val="0"/>
          <w:sz w:val="21"/>
          <w:szCs w:val="21"/>
          <w:highlight w:val="none"/>
        </w:rPr>
        <w:t>1.说明：应对照磋商文件“第二章”中“需求一览表”的</w:t>
      </w:r>
      <w:r>
        <w:rPr>
          <w:rFonts w:hint="eastAsia"/>
          <w:color w:val="auto"/>
          <w:kern w:val="0"/>
          <w:sz w:val="21"/>
          <w:szCs w:val="21"/>
          <w:highlight w:val="none"/>
        </w:rPr>
        <w:t>技术要求</w:t>
      </w:r>
      <w:r>
        <w:rPr>
          <w:color w:val="auto"/>
          <w:kern w:val="0"/>
          <w:sz w:val="21"/>
          <w:szCs w:val="21"/>
          <w:highlight w:val="none"/>
        </w:rPr>
        <w:t>逐条作出明确响应，并作出偏离说明。</w:t>
      </w:r>
    </w:p>
    <w:p w14:paraId="516230BD">
      <w:pPr>
        <w:pStyle w:val="15"/>
        <w:spacing w:line="480" w:lineRule="auto"/>
        <w:ind w:firstLine="420" w:firstLineChars="200"/>
        <w:contextualSpacing/>
        <w:rPr>
          <w:rFonts w:ascii="Times New Roman" w:eastAsia="宋体"/>
          <w:color w:val="auto"/>
          <w:sz w:val="21"/>
          <w:szCs w:val="21"/>
          <w:highlight w:val="none"/>
        </w:rPr>
      </w:pPr>
      <w:r>
        <w:rPr>
          <w:rFonts w:ascii="Times New Roman" w:eastAsia="宋体"/>
          <w:color w:val="auto"/>
          <w:sz w:val="21"/>
          <w:szCs w:val="21"/>
          <w:highlight w:val="none"/>
        </w:rPr>
        <w:t>2.供应商应根据自身的承诺，对照磋商文件要求，在“偏离说明”中注明“正偏离”或者“负偏离”或者“无偏离”。既不属于“正偏离”也不属于“负偏离”即为“无偏离”。 当响应文件的</w:t>
      </w:r>
      <w:r>
        <w:rPr>
          <w:rFonts w:hint="eastAsia" w:ascii="Times New Roman" w:eastAsia="宋体"/>
          <w:color w:val="auto"/>
          <w:sz w:val="21"/>
          <w:szCs w:val="21"/>
          <w:highlight w:val="none"/>
        </w:rPr>
        <w:t>技术要求</w:t>
      </w:r>
      <w:r>
        <w:rPr>
          <w:rFonts w:ascii="Times New Roman" w:eastAsia="宋体"/>
          <w:color w:val="auto"/>
          <w:sz w:val="21"/>
          <w:szCs w:val="21"/>
          <w:highlight w:val="none"/>
        </w:rPr>
        <w:t>内容低于竞争性磋商文件要求时，供应商应当如实写明“负偏离”，否则视为虚假应标。</w:t>
      </w:r>
    </w:p>
    <w:p w14:paraId="7616637C">
      <w:pPr>
        <w:spacing w:line="480" w:lineRule="auto"/>
        <w:ind w:firstLine="420" w:firstLineChars="200"/>
        <w:rPr>
          <w:color w:val="auto"/>
          <w:kern w:val="0"/>
          <w:szCs w:val="21"/>
          <w:highlight w:val="none"/>
        </w:rPr>
      </w:pPr>
      <w:r>
        <w:rPr>
          <w:color w:val="auto"/>
          <w:kern w:val="0"/>
          <w:szCs w:val="21"/>
          <w:highlight w:val="none"/>
        </w:rPr>
        <w:t>3.表格内容均需按要求填写并盖章，不得留空，</w:t>
      </w:r>
      <w:r>
        <w:rPr>
          <w:b/>
          <w:bCs/>
          <w:color w:val="auto"/>
          <w:kern w:val="0"/>
          <w:szCs w:val="21"/>
          <w:highlight w:val="none"/>
        </w:rPr>
        <w:t>否则按竞标无效处理。</w:t>
      </w:r>
    </w:p>
    <w:p w14:paraId="4D5DE057">
      <w:pPr>
        <w:spacing w:line="480" w:lineRule="auto"/>
        <w:ind w:firstLine="422" w:firstLineChars="200"/>
        <w:rPr>
          <w:b/>
          <w:bCs/>
          <w:color w:val="auto"/>
          <w:kern w:val="0"/>
          <w:szCs w:val="21"/>
          <w:highlight w:val="none"/>
        </w:rPr>
      </w:pPr>
      <w:r>
        <w:rPr>
          <w:rFonts w:hint="eastAsia"/>
          <w:b/>
          <w:bCs/>
          <w:color w:val="auto"/>
          <w:kern w:val="0"/>
          <w:szCs w:val="21"/>
          <w:highlight w:val="none"/>
        </w:rPr>
        <w:t>4.按</w:t>
      </w:r>
      <w:r>
        <w:rPr>
          <w:b/>
          <w:bCs/>
          <w:color w:val="auto"/>
          <w:kern w:val="0"/>
          <w:szCs w:val="21"/>
          <w:highlight w:val="none"/>
        </w:rPr>
        <w:t>磋商文件“第二章”中“需求一览表”的</w:t>
      </w:r>
      <w:r>
        <w:rPr>
          <w:rFonts w:hint="eastAsia"/>
          <w:b/>
          <w:bCs/>
          <w:color w:val="auto"/>
          <w:kern w:val="0"/>
          <w:szCs w:val="21"/>
          <w:highlight w:val="none"/>
        </w:rPr>
        <w:t>技术要求提供相关证明材料，</w:t>
      </w:r>
      <w:r>
        <w:rPr>
          <w:b/>
          <w:bCs/>
          <w:color w:val="auto"/>
          <w:kern w:val="0"/>
          <w:szCs w:val="21"/>
          <w:highlight w:val="none"/>
        </w:rPr>
        <w:t>否则按竞标无效处理</w:t>
      </w:r>
      <w:r>
        <w:rPr>
          <w:rFonts w:hint="eastAsia"/>
          <w:b/>
          <w:bCs/>
          <w:color w:val="auto"/>
          <w:kern w:val="0"/>
          <w:szCs w:val="21"/>
          <w:highlight w:val="none"/>
        </w:rPr>
        <w:t>。</w:t>
      </w:r>
    </w:p>
    <w:p w14:paraId="2A3B8D62">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41A44C87">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FD4BE54">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7FDAEE2B">
      <w:pPr>
        <w:pStyle w:val="37"/>
        <w:rPr>
          <w:rFonts w:ascii="方正小标宋简体" w:hAnsi="方正小标宋简体" w:eastAsia="方正小标宋简体" w:cs="方正小标宋简体"/>
          <w:bCs w:val="0"/>
          <w:color w:val="auto"/>
          <w:sz w:val="44"/>
          <w:szCs w:val="44"/>
          <w:highlight w:val="none"/>
        </w:rPr>
      </w:pPr>
    </w:p>
    <w:p w14:paraId="6B340045">
      <w:pPr>
        <w:pStyle w:val="37"/>
        <w:rPr>
          <w:rFonts w:ascii="方正小标宋简体" w:hAnsi="方正小标宋简体" w:eastAsia="方正小标宋简体" w:cs="方正小标宋简体"/>
          <w:bCs w:val="0"/>
          <w:color w:val="auto"/>
          <w:sz w:val="44"/>
          <w:szCs w:val="44"/>
          <w:highlight w:val="none"/>
        </w:rPr>
      </w:pPr>
    </w:p>
    <w:p w14:paraId="65F47AA2">
      <w:pPr>
        <w:snapToGrid w:val="0"/>
        <w:spacing w:line="360" w:lineRule="auto"/>
        <w:rPr>
          <w:b/>
          <w:color w:val="auto"/>
          <w:sz w:val="28"/>
          <w:szCs w:val="28"/>
          <w:highlight w:val="none"/>
        </w:rPr>
      </w:pPr>
    </w:p>
    <w:p w14:paraId="4B24241D">
      <w:pPr>
        <w:snapToGrid w:val="0"/>
        <w:spacing w:line="360" w:lineRule="auto"/>
        <w:rPr>
          <w:b/>
          <w:color w:val="auto"/>
          <w:sz w:val="28"/>
          <w:szCs w:val="28"/>
          <w:highlight w:val="none"/>
        </w:rPr>
      </w:pPr>
      <w:r>
        <w:rPr>
          <w:rFonts w:hint="eastAsia"/>
          <w:b/>
          <w:color w:val="auto"/>
          <w:sz w:val="28"/>
          <w:szCs w:val="28"/>
          <w:highlight w:val="none"/>
        </w:rPr>
        <w:t>10</w:t>
      </w:r>
      <w:r>
        <w:rPr>
          <w:b/>
          <w:color w:val="auto"/>
          <w:sz w:val="28"/>
          <w:szCs w:val="28"/>
          <w:highlight w:val="none"/>
        </w:rPr>
        <w:t>.施工组织设计（格式自拟）</w:t>
      </w:r>
    </w:p>
    <w:p w14:paraId="6DEB47CE">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3B4A024C">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F5C1E80">
      <w:pPr>
        <w:snapToGrid w:val="0"/>
        <w:spacing w:line="360" w:lineRule="auto"/>
        <w:rPr>
          <w:rFonts w:ascii="宋体" w:hAnsi="宋体" w:cs="宋体"/>
          <w:b/>
          <w:color w:val="auto"/>
          <w:sz w:val="30"/>
          <w:szCs w:val="30"/>
          <w:highlight w:val="none"/>
        </w:rPr>
      </w:pPr>
    </w:p>
    <w:p w14:paraId="4699DCBE">
      <w:pPr>
        <w:pStyle w:val="8"/>
        <w:ind w:firstLine="0"/>
        <w:rPr>
          <w:rFonts w:ascii="宋体" w:hAnsi="宋体" w:cs="宋体"/>
          <w:b/>
          <w:color w:val="auto"/>
          <w:sz w:val="30"/>
          <w:szCs w:val="30"/>
          <w:highlight w:val="none"/>
        </w:rPr>
      </w:pPr>
    </w:p>
    <w:p w14:paraId="4B0A9518">
      <w:pPr>
        <w:pStyle w:val="8"/>
        <w:rPr>
          <w:rFonts w:ascii="宋体" w:hAnsi="宋体" w:cs="宋体"/>
          <w:b/>
          <w:color w:val="auto"/>
          <w:sz w:val="30"/>
          <w:szCs w:val="30"/>
          <w:highlight w:val="none"/>
        </w:rPr>
      </w:pPr>
    </w:p>
    <w:p w14:paraId="544C3BBA">
      <w:pPr>
        <w:snapToGrid w:val="0"/>
        <w:spacing w:line="360" w:lineRule="auto"/>
        <w:rPr>
          <w:b/>
          <w:color w:val="auto"/>
          <w:sz w:val="28"/>
          <w:szCs w:val="28"/>
          <w:highlight w:val="none"/>
        </w:rPr>
      </w:pPr>
      <w:r>
        <w:rPr>
          <w:b/>
          <w:color w:val="auto"/>
          <w:sz w:val="28"/>
          <w:szCs w:val="28"/>
          <w:highlight w:val="none"/>
        </w:rPr>
        <w:t>1</w:t>
      </w:r>
      <w:r>
        <w:rPr>
          <w:rFonts w:hint="eastAsia"/>
          <w:b/>
          <w:color w:val="auto"/>
          <w:sz w:val="28"/>
          <w:szCs w:val="28"/>
          <w:highlight w:val="none"/>
        </w:rPr>
        <w:t>1</w:t>
      </w:r>
      <w:r>
        <w:rPr>
          <w:b/>
          <w:color w:val="auto"/>
          <w:sz w:val="28"/>
          <w:szCs w:val="28"/>
          <w:highlight w:val="none"/>
        </w:rPr>
        <w:t>.项目实施人员一览表</w:t>
      </w:r>
    </w:p>
    <w:p w14:paraId="32C142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37BF2621">
      <w:pPr>
        <w:pStyle w:val="2"/>
        <w:rPr>
          <w:color w:val="auto"/>
          <w:highlight w:val="none"/>
        </w:rPr>
      </w:pPr>
    </w:p>
    <w:p w14:paraId="3A35EC3C">
      <w:pPr>
        <w:spacing w:line="360" w:lineRule="auto"/>
        <w:rPr>
          <w:color w:val="auto"/>
          <w:kern w:val="0"/>
          <w:szCs w:val="21"/>
          <w:highlight w:val="none"/>
        </w:rPr>
      </w:pPr>
      <w:r>
        <w:rPr>
          <w:color w:val="auto"/>
          <w:szCs w:val="21"/>
          <w:highlight w:val="none"/>
        </w:rPr>
        <w:t>所竞分标（如有则填写，无分标时填写“无”或者留空）：</w:t>
      </w:r>
      <w:r>
        <w:rPr>
          <w:color w:val="auto"/>
          <w:szCs w:val="21"/>
          <w:highlight w:val="none"/>
          <w:u w:val="single"/>
        </w:rPr>
        <w:t xml:space="preserve">             </w:t>
      </w:r>
    </w:p>
    <w:p w14:paraId="6F5F2064">
      <w:pPr>
        <w:keepNext/>
        <w:autoSpaceDE w:val="0"/>
        <w:autoSpaceDN w:val="0"/>
        <w:spacing w:line="360" w:lineRule="auto"/>
        <w:ind w:firstLine="211" w:firstLineChars="100"/>
        <w:rPr>
          <w:b/>
          <w:color w:val="auto"/>
          <w:szCs w:val="21"/>
          <w:highlight w:val="none"/>
        </w:rPr>
      </w:pPr>
      <w:r>
        <w:rPr>
          <w:b/>
          <w:color w:val="auto"/>
          <w:szCs w:val="21"/>
          <w:highlight w:val="none"/>
        </w:rPr>
        <w:t>项目经理</w:t>
      </w:r>
      <w:r>
        <w:rPr>
          <w:rFonts w:hint="eastAsia"/>
          <w:b/>
          <w:color w:val="auto"/>
          <w:szCs w:val="21"/>
          <w:highlight w:val="none"/>
        </w:rPr>
        <w:t>简历表</w:t>
      </w:r>
      <w:r>
        <w:rPr>
          <w:color w:val="auto"/>
          <w:szCs w:val="21"/>
          <w:highlight w:val="none"/>
        </w:rPr>
        <w:t>（参照此格式自制）</w:t>
      </w:r>
    </w:p>
    <w:tbl>
      <w:tblPr>
        <w:tblStyle w:val="28"/>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1A4C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7F6EB579">
            <w:pPr>
              <w:jc w:val="center"/>
              <w:rPr>
                <w:color w:val="auto"/>
                <w:szCs w:val="21"/>
                <w:highlight w:val="none"/>
              </w:rPr>
            </w:pPr>
            <w:r>
              <w:rPr>
                <w:color w:val="auto"/>
                <w:szCs w:val="21"/>
                <w:highlight w:val="none"/>
              </w:rPr>
              <w:t>姓名</w:t>
            </w:r>
          </w:p>
        </w:tc>
        <w:tc>
          <w:tcPr>
            <w:tcW w:w="2340" w:type="dxa"/>
            <w:gridSpan w:val="3"/>
            <w:vAlign w:val="center"/>
          </w:tcPr>
          <w:p w14:paraId="7C25E029">
            <w:pPr>
              <w:jc w:val="center"/>
              <w:rPr>
                <w:color w:val="auto"/>
                <w:szCs w:val="21"/>
                <w:highlight w:val="none"/>
              </w:rPr>
            </w:pPr>
          </w:p>
        </w:tc>
        <w:tc>
          <w:tcPr>
            <w:tcW w:w="1893" w:type="dxa"/>
            <w:gridSpan w:val="2"/>
            <w:vAlign w:val="center"/>
          </w:tcPr>
          <w:p w14:paraId="6F3EF3C8">
            <w:pPr>
              <w:jc w:val="center"/>
              <w:rPr>
                <w:color w:val="auto"/>
                <w:szCs w:val="21"/>
                <w:highlight w:val="none"/>
              </w:rPr>
            </w:pPr>
            <w:r>
              <w:rPr>
                <w:color w:val="auto"/>
                <w:szCs w:val="21"/>
                <w:highlight w:val="none"/>
              </w:rPr>
              <w:t>性别</w:t>
            </w:r>
          </w:p>
        </w:tc>
        <w:tc>
          <w:tcPr>
            <w:tcW w:w="1585" w:type="dxa"/>
            <w:gridSpan w:val="2"/>
            <w:vAlign w:val="center"/>
          </w:tcPr>
          <w:p w14:paraId="388BA51F">
            <w:pPr>
              <w:jc w:val="center"/>
              <w:rPr>
                <w:color w:val="auto"/>
                <w:szCs w:val="21"/>
                <w:highlight w:val="none"/>
              </w:rPr>
            </w:pPr>
          </w:p>
        </w:tc>
        <w:tc>
          <w:tcPr>
            <w:tcW w:w="1108" w:type="dxa"/>
            <w:gridSpan w:val="2"/>
            <w:vAlign w:val="center"/>
          </w:tcPr>
          <w:p w14:paraId="721C293E">
            <w:pPr>
              <w:jc w:val="center"/>
              <w:rPr>
                <w:color w:val="auto"/>
                <w:szCs w:val="21"/>
                <w:highlight w:val="none"/>
              </w:rPr>
            </w:pPr>
            <w:r>
              <w:rPr>
                <w:color w:val="auto"/>
                <w:szCs w:val="21"/>
                <w:highlight w:val="none"/>
              </w:rPr>
              <w:t>年龄</w:t>
            </w:r>
          </w:p>
        </w:tc>
        <w:tc>
          <w:tcPr>
            <w:tcW w:w="1276" w:type="dxa"/>
            <w:vAlign w:val="center"/>
          </w:tcPr>
          <w:p w14:paraId="62D23D6E">
            <w:pPr>
              <w:jc w:val="center"/>
              <w:rPr>
                <w:color w:val="auto"/>
                <w:szCs w:val="21"/>
                <w:highlight w:val="none"/>
              </w:rPr>
            </w:pPr>
          </w:p>
        </w:tc>
      </w:tr>
      <w:tr w14:paraId="1812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F24332E">
            <w:pPr>
              <w:jc w:val="center"/>
              <w:rPr>
                <w:color w:val="auto"/>
                <w:szCs w:val="21"/>
                <w:highlight w:val="none"/>
              </w:rPr>
            </w:pPr>
            <w:r>
              <w:rPr>
                <w:color w:val="auto"/>
                <w:szCs w:val="21"/>
                <w:highlight w:val="none"/>
              </w:rPr>
              <w:t>职务</w:t>
            </w:r>
          </w:p>
        </w:tc>
        <w:tc>
          <w:tcPr>
            <w:tcW w:w="2340" w:type="dxa"/>
            <w:gridSpan w:val="3"/>
            <w:vAlign w:val="center"/>
          </w:tcPr>
          <w:p w14:paraId="2EF422F5">
            <w:pPr>
              <w:jc w:val="center"/>
              <w:rPr>
                <w:color w:val="auto"/>
                <w:szCs w:val="21"/>
                <w:highlight w:val="none"/>
              </w:rPr>
            </w:pPr>
          </w:p>
        </w:tc>
        <w:tc>
          <w:tcPr>
            <w:tcW w:w="1893" w:type="dxa"/>
            <w:gridSpan w:val="2"/>
            <w:vAlign w:val="center"/>
          </w:tcPr>
          <w:p w14:paraId="08FAF4A9">
            <w:pPr>
              <w:jc w:val="center"/>
              <w:rPr>
                <w:color w:val="auto"/>
                <w:szCs w:val="21"/>
                <w:highlight w:val="none"/>
              </w:rPr>
            </w:pPr>
            <w:r>
              <w:rPr>
                <w:color w:val="auto"/>
                <w:szCs w:val="21"/>
                <w:highlight w:val="none"/>
              </w:rPr>
              <w:t>职称</w:t>
            </w:r>
          </w:p>
        </w:tc>
        <w:tc>
          <w:tcPr>
            <w:tcW w:w="1585" w:type="dxa"/>
            <w:gridSpan w:val="2"/>
            <w:vAlign w:val="center"/>
          </w:tcPr>
          <w:p w14:paraId="6155F2BC">
            <w:pPr>
              <w:jc w:val="center"/>
              <w:rPr>
                <w:color w:val="auto"/>
                <w:szCs w:val="21"/>
                <w:highlight w:val="none"/>
              </w:rPr>
            </w:pPr>
          </w:p>
        </w:tc>
        <w:tc>
          <w:tcPr>
            <w:tcW w:w="1108" w:type="dxa"/>
            <w:gridSpan w:val="2"/>
            <w:vAlign w:val="center"/>
          </w:tcPr>
          <w:p w14:paraId="73DDA734">
            <w:pPr>
              <w:jc w:val="center"/>
              <w:rPr>
                <w:color w:val="auto"/>
                <w:szCs w:val="21"/>
                <w:highlight w:val="none"/>
              </w:rPr>
            </w:pPr>
            <w:r>
              <w:rPr>
                <w:color w:val="auto"/>
                <w:szCs w:val="21"/>
                <w:highlight w:val="none"/>
              </w:rPr>
              <w:t>学历</w:t>
            </w:r>
          </w:p>
        </w:tc>
        <w:tc>
          <w:tcPr>
            <w:tcW w:w="1276" w:type="dxa"/>
            <w:vAlign w:val="center"/>
          </w:tcPr>
          <w:p w14:paraId="2B522A03">
            <w:pPr>
              <w:jc w:val="center"/>
              <w:rPr>
                <w:color w:val="auto"/>
                <w:szCs w:val="21"/>
                <w:highlight w:val="none"/>
              </w:rPr>
            </w:pPr>
          </w:p>
        </w:tc>
      </w:tr>
      <w:tr w14:paraId="5E35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F281530">
            <w:pPr>
              <w:jc w:val="center"/>
              <w:rPr>
                <w:color w:val="auto"/>
                <w:szCs w:val="21"/>
                <w:highlight w:val="none"/>
              </w:rPr>
            </w:pPr>
            <w:r>
              <w:rPr>
                <w:color w:val="auto"/>
                <w:szCs w:val="21"/>
                <w:highlight w:val="none"/>
              </w:rPr>
              <w:t>参加工作时间</w:t>
            </w:r>
          </w:p>
        </w:tc>
        <w:tc>
          <w:tcPr>
            <w:tcW w:w="1893" w:type="dxa"/>
            <w:gridSpan w:val="2"/>
            <w:vAlign w:val="center"/>
          </w:tcPr>
          <w:p w14:paraId="210AD5FA">
            <w:pPr>
              <w:jc w:val="center"/>
              <w:rPr>
                <w:color w:val="auto"/>
                <w:szCs w:val="21"/>
                <w:highlight w:val="none"/>
              </w:rPr>
            </w:pPr>
          </w:p>
        </w:tc>
        <w:tc>
          <w:tcPr>
            <w:tcW w:w="2693" w:type="dxa"/>
            <w:gridSpan w:val="4"/>
            <w:vAlign w:val="center"/>
          </w:tcPr>
          <w:p w14:paraId="4D591401">
            <w:pPr>
              <w:jc w:val="center"/>
              <w:rPr>
                <w:color w:val="auto"/>
                <w:szCs w:val="21"/>
                <w:highlight w:val="none"/>
              </w:rPr>
            </w:pPr>
            <w:r>
              <w:rPr>
                <w:color w:val="auto"/>
                <w:szCs w:val="21"/>
                <w:highlight w:val="none"/>
              </w:rPr>
              <w:t>担任项目经理年限</w:t>
            </w:r>
          </w:p>
        </w:tc>
        <w:tc>
          <w:tcPr>
            <w:tcW w:w="1276" w:type="dxa"/>
            <w:vAlign w:val="center"/>
          </w:tcPr>
          <w:p w14:paraId="0007FA98">
            <w:pPr>
              <w:jc w:val="center"/>
              <w:rPr>
                <w:color w:val="auto"/>
                <w:szCs w:val="21"/>
                <w:highlight w:val="none"/>
              </w:rPr>
            </w:pPr>
          </w:p>
        </w:tc>
      </w:tr>
      <w:tr w14:paraId="1E0F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017A8D65">
            <w:pPr>
              <w:jc w:val="center"/>
              <w:rPr>
                <w:color w:val="auto"/>
                <w:szCs w:val="21"/>
                <w:highlight w:val="none"/>
              </w:rPr>
            </w:pPr>
            <w:r>
              <w:rPr>
                <w:color w:val="auto"/>
                <w:szCs w:val="21"/>
                <w:highlight w:val="none"/>
              </w:rPr>
              <w:t>建造师注册证书编号</w:t>
            </w:r>
          </w:p>
        </w:tc>
        <w:tc>
          <w:tcPr>
            <w:tcW w:w="5862" w:type="dxa"/>
            <w:gridSpan w:val="7"/>
            <w:vAlign w:val="center"/>
          </w:tcPr>
          <w:p w14:paraId="3ED582DD">
            <w:pPr>
              <w:jc w:val="center"/>
              <w:rPr>
                <w:color w:val="auto"/>
                <w:szCs w:val="21"/>
                <w:highlight w:val="none"/>
              </w:rPr>
            </w:pPr>
          </w:p>
        </w:tc>
      </w:tr>
      <w:tr w14:paraId="78F5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340976BB">
            <w:pPr>
              <w:jc w:val="center"/>
              <w:rPr>
                <w:color w:val="auto"/>
                <w:szCs w:val="21"/>
                <w:highlight w:val="none"/>
              </w:rPr>
            </w:pPr>
            <w:r>
              <w:rPr>
                <w:color w:val="auto"/>
                <w:szCs w:val="21"/>
                <w:highlight w:val="none"/>
              </w:rPr>
              <w:t>在建和已完工程项目情况</w:t>
            </w:r>
          </w:p>
        </w:tc>
      </w:tr>
      <w:tr w14:paraId="37BB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231F2AD1">
            <w:pPr>
              <w:jc w:val="center"/>
              <w:rPr>
                <w:color w:val="auto"/>
                <w:szCs w:val="21"/>
                <w:highlight w:val="none"/>
              </w:rPr>
            </w:pPr>
            <w:r>
              <w:rPr>
                <w:color w:val="auto"/>
                <w:szCs w:val="21"/>
                <w:highlight w:val="none"/>
              </w:rPr>
              <w:t>建设单位</w:t>
            </w:r>
          </w:p>
        </w:tc>
        <w:tc>
          <w:tcPr>
            <w:tcW w:w="1548" w:type="dxa"/>
            <w:vAlign w:val="center"/>
          </w:tcPr>
          <w:p w14:paraId="5FDFDB06">
            <w:pPr>
              <w:jc w:val="center"/>
              <w:rPr>
                <w:color w:val="auto"/>
                <w:szCs w:val="21"/>
                <w:highlight w:val="none"/>
              </w:rPr>
            </w:pPr>
            <w:r>
              <w:rPr>
                <w:color w:val="auto"/>
                <w:szCs w:val="21"/>
                <w:highlight w:val="none"/>
              </w:rPr>
              <w:t>项目名称</w:t>
            </w:r>
          </w:p>
        </w:tc>
        <w:tc>
          <w:tcPr>
            <w:tcW w:w="1547" w:type="dxa"/>
            <w:gridSpan w:val="2"/>
            <w:vAlign w:val="center"/>
          </w:tcPr>
          <w:p w14:paraId="3D47ADC2">
            <w:pPr>
              <w:jc w:val="center"/>
              <w:rPr>
                <w:color w:val="auto"/>
                <w:szCs w:val="21"/>
                <w:highlight w:val="none"/>
              </w:rPr>
            </w:pPr>
            <w:r>
              <w:rPr>
                <w:color w:val="auto"/>
                <w:szCs w:val="21"/>
                <w:highlight w:val="none"/>
              </w:rPr>
              <w:t>建设规模</w:t>
            </w:r>
          </w:p>
        </w:tc>
        <w:tc>
          <w:tcPr>
            <w:tcW w:w="1548" w:type="dxa"/>
            <w:gridSpan w:val="2"/>
            <w:vAlign w:val="center"/>
          </w:tcPr>
          <w:p w14:paraId="107C18C6">
            <w:pPr>
              <w:jc w:val="center"/>
              <w:rPr>
                <w:color w:val="auto"/>
                <w:szCs w:val="21"/>
                <w:highlight w:val="none"/>
              </w:rPr>
            </w:pPr>
            <w:r>
              <w:rPr>
                <w:color w:val="auto"/>
                <w:szCs w:val="21"/>
                <w:highlight w:val="none"/>
              </w:rPr>
              <w:t>开、竣工日期</w:t>
            </w:r>
          </w:p>
        </w:tc>
        <w:tc>
          <w:tcPr>
            <w:tcW w:w="1547" w:type="dxa"/>
            <w:gridSpan w:val="2"/>
            <w:vAlign w:val="center"/>
          </w:tcPr>
          <w:p w14:paraId="69676A49">
            <w:pPr>
              <w:jc w:val="center"/>
              <w:rPr>
                <w:color w:val="auto"/>
                <w:szCs w:val="21"/>
                <w:highlight w:val="none"/>
              </w:rPr>
            </w:pPr>
            <w:r>
              <w:rPr>
                <w:color w:val="auto"/>
                <w:szCs w:val="21"/>
                <w:highlight w:val="none"/>
              </w:rPr>
              <w:t>在建或已完</w:t>
            </w:r>
          </w:p>
        </w:tc>
        <w:tc>
          <w:tcPr>
            <w:tcW w:w="1548" w:type="dxa"/>
            <w:gridSpan w:val="2"/>
            <w:vAlign w:val="center"/>
          </w:tcPr>
          <w:p w14:paraId="6150C46A">
            <w:pPr>
              <w:jc w:val="center"/>
              <w:rPr>
                <w:color w:val="auto"/>
                <w:szCs w:val="21"/>
                <w:highlight w:val="none"/>
              </w:rPr>
            </w:pPr>
            <w:r>
              <w:rPr>
                <w:color w:val="auto"/>
                <w:szCs w:val="21"/>
                <w:highlight w:val="none"/>
              </w:rPr>
              <w:t>工程质量</w:t>
            </w:r>
          </w:p>
        </w:tc>
      </w:tr>
      <w:tr w14:paraId="493D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450D211">
            <w:pPr>
              <w:jc w:val="center"/>
              <w:rPr>
                <w:color w:val="auto"/>
                <w:szCs w:val="21"/>
                <w:highlight w:val="none"/>
              </w:rPr>
            </w:pPr>
          </w:p>
        </w:tc>
        <w:tc>
          <w:tcPr>
            <w:tcW w:w="1548" w:type="dxa"/>
            <w:vAlign w:val="center"/>
          </w:tcPr>
          <w:p w14:paraId="35ADCBF5">
            <w:pPr>
              <w:jc w:val="center"/>
              <w:rPr>
                <w:color w:val="auto"/>
                <w:szCs w:val="21"/>
                <w:highlight w:val="none"/>
              </w:rPr>
            </w:pPr>
          </w:p>
        </w:tc>
        <w:tc>
          <w:tcPr>
            <w:tcW w:w="1547" w:type="dxa"/>
            <w:gridSpan w:val="2"/>
            <w:vAlign w:val="center"/>
          </w:tcPr>
          <w:p w14:paraId="09C12169">
            <w:pPr>
              <w:jc w:val="center"/>
              <w:rPr>
                <w:color w:val="auto"/>
                <w:szCs w:val="21"/>
                <w:highlight w:val="none"/>
              </w:rPr>
            </w:pPr>
          </w:p>
        </w:tc>
        <w:tc>
          <w:tcPr>
            <w:tcW w:w="1548" w:type="dxa"/>
            <w:gridSpan w:val="2"/>
            <w:vAlign w:val="center"/>
          </w:tcPr>
          <w:p w14:paraId="2061D275">
            <w:pPr>
              <w:jc w:val="center"/>
              <w:rPr>
                <w:color w:val="auto"/>
                <w:szCs w:val="21"/>
                <w:highlight w:val="none"/>
              </w:rPr>
            </w:pPr>
          </w:p>
        </w:tc>
        <w:tc>
          <w:tcPr>
            <w:tcW w:w="1547" w:type="dxa"/>
            <w:gridSpan w:val="2"/>
            <w:vAlign w:val="center"/>
          </w:tcPr>
          <w:p w14:paraId="73A76AC1">
            <w:pPr>
              <w:jc w:val="center"/>
              <w:rPr>
                <w:color w:val="auto"/>
                <w:szCs w:val="21"/>
                <w:highlight w:val="none"/>
              </w:rPr>
            </w:pPr>
          </w:p>
        </w:tc>
        <w:tc>
          <w:tcPr>
            <w:tcW w:w="1548" w:type="dxa"/>
            <w:gridSpan w:val="2"/>
            <w:vAlign w:val="center"/>
          </w:tcPr>
          <w:p w14:paraId="4A5BCE4B">
            <w:pPr>
              <w:jc w:val="center"/>
              <w:rPr>
                <w:color w:val="auto"/>
                <w:szCs w:val="21"/>
                <w:highlight w:val="none"/>
              </w:rPr>
            </w:pPr>
          </w:p>
        </w:tc>
      </w:tr>
      <w:tr w14:paraId="5FCF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3E4C7D5">
            <w:pPr>
              <w:jc w:val="center"/>
              <w:rPr>
                <w:color w:val="auto"/>
                <w:szCs w:val="21"/>
                <w:highlight w:val="none"/>
              </w:rPr>
            </w:pPr>
          </w:p>
        </w:tc>
        <w:tc>
          <w:tcPr>
            <w:tcW w:w="1548" w:type="dxa"/>
            <w:vAlign w:val="center"/>
          </w:tcPr>
          <w:p w14:paraId="673DCCA8">
            <w:pPr>
              <w:jc w:val="center"/>
              <w:rPr>
                <w:color w:val="auto"/>
                <w:szCs w:val="21"/>
                <w:highlight w:val="none"/>
              </w:rPr>
            </w:pPr>
          </w:p>
        </w:tc>
        <w:tc>
          <w:tcPr>
            <w:tcW w:w="1547" w:type="dxa"/>
            <w:gridSpan w:val="2"/>
            <w:vAlign w:val="center"/>
          </w:tcPr>
          <w:p w14:paraId="1F05292F">
            <w:pPr>
              <w:jc w:val="center"/>
              <w:rPr>
                <w:color w:val="auto"/>
                <w:szCs w:val="21"/>
                <w:highlight w:val="none"/>
              </w:rPr>
            </w:pPr>
          </w:p>
        </w:tc>
        <w:tc>
          <w:tcPr>
            <w:tcW w:w="1548" w:type="dxa"/>
            <w:gridSpan w:val="2"/>
            <w:vAlign w:val="center"/>
          </w:tcPr>
          <w:p w14:paraId="1C455A77">
            <w:pPr>
              <w:jc w:val="center"/>
              <w:rPr>
                <w:color w:val="auto"/>
                <w:szCs w:val="21"/>
                <w:highlight w:val="none"/>
              </w:rPr>
            </w:pPr>
          </w:p>
        </w:tc>
        <w:tc>
          <w:tcPr>
            <w:tcW w:w="1547" w:type="dxa"/>
            <w:gridSpan w:val="2"/>
            <w:vAlign w:val="center"/>
          </w:tcPr>
          <w:p w14:paraId="2591BB04">
            <w:pPr>
              <w:jc w:val="center"/>
              <w:rPr>
                <w:color w:val="auto"/>
                <w:szCs w:val="21"/>
                <w:highlight w:val="none"/>
              </w:rPr>
            </w:pPr>
          </w:p>
        </w:tc>
        <w:tc>
          <w:tcPr>
            <w:tcW w:w="1548" w:type="dxa"/>
            <w:gridSpan w:val="2"/>
            <w:vAlign w:val="center"/>
          </w:tcPr>
          <w:p w14:paraId="5D2AEB81">
            <w:pPr>
              <w:jc w:val="center"/>
              <w:rPr>
                <w:color w:val="auto"/>
                <w:szCs w:val="21"/>
                <w:highlight w:val="none"/>
              </w:rPr>
            </w:pPr>
          </w:p>
        </w:tc>
      </w:tr>
      <w:tr w14:paraId="085A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0432E71">
            <w:pPr>
              <w:jc w:val="center"/>
              <w:rPr>
                <w:color w:val="auto"/>
                <w:szCs w:val="21"/>
                <w:highlight w:val="none"/>
              </w:rPr>
            </w:pPr>
          </w:p>
        </w:tc>
        <w:tc>
          <w:tcPr>
            <w:tcW w:w="1548" w:type="dxa"/>
            <w:vAlign w:val="center"/>
          </w:tcPr>
          <w:p w14:paraId="72B2242D">
            <w:pPr>
              <w:jc w:val="center"/>
              <w:rPr>
                <w:color w:val="auto"/>
                <w:szCs w:val="21"/>
                <w:highlight w:val="none"/>
              </w:rPr>
            </w:pPr>
          </w:p>
        </w:tc>
        <w:tc>
          <w:tcPr>
            <w:tcW w:w="1547" w:type="dxa"/>
            <w:gridSpan w:val="2"/>
            <w:vAlign w:val="center"/>
          </w:tcPr>
          <w:p w14:paraId="73A06BC1">
            <w:pPr>
              <w:jc w:val="center"/>
              <w:rPr>
                <w:color w:val="auto"/>
                <w:szCs w:val="21"/>
                <w:highlight w:val="none"/>
              </w:rPr>
            </w:pPr>
          </w:p>
        </w:tc>
        <w:tc>
          <w:tcPr>
            <w:tcW w:w="1548" w:type="dxa"/>
            <w:gridSpan w:val="2"/>
            <w:vAlign w:val="center"/>
          </w:tcPr>
          <w:p w14:paraId="0F07A52C">
            <w:pPr>
              <w:jc w:val="center"/>
              <w:rPr>
                <w:color w:val="auto"/>
                <w:szCs w:val="21"/>
                <w:highlight w:val="none"/>
              </w:rPr>
            </w:pPr>
          </w:p>
        </w:tc>
        <w:tc>
          <w:tcPr>
            <w:tcW w:w="1547" w:type="dxa"/>
            <w:gridSpan w:val="2"/>
            <w:vAlign w:val="center"/>
          </w:tcPr>
          <w:p w14:paraId="00E9116F">
            <w:pPr>
              <w:jc w:val="center"/>
              <w:rPr>
                <w:color w:val="auto"/>
                <w:szCs w:val="21"/>
                <w:highlight w:val="none"/>
              </w:rPr>
            </w:pPr>
          </w:p>
        </w:tc>
        <w:tc>
          <w:tcPr>
            <w:tcW w:w="1548" w:type="dxa"/>
            <w:gridSpan w:val="2"/>
            <w:vAlign w:val="center"/>
          </w:tcPr>
          <w:p w14:paraId="53F74719">
            <w:pPr>
              <w:jc w:val="center"/>
              <w:rPr>
                <w:color w:val="auto"/>
                <w:szCs w:val="21"/>
                <w:highlight w:val="none"/>
              </w:rPr>
            </w:pPr>
          </w:p>
        </w:tc>
      </w:tr>
      <w:tr w14:paraId="17C2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5227EBDA">
            <w:pPr>
              <w:jc w:val="center"/>
              <w:rPr>
                <w:color w:val="auto"/>
                <w:szCs w:val="21"/>
                <w:highlight w:val="none"/>
              </w:rPr>
            </w:pPr>
          </w:p>
        </w:tc>
        <w:tc>
          <w:tcPr>
            <w:tcW w:w="1548" w:type="dxa"/>
            <w:vAlign w:val="center"/>
          </w:tcPr>
          <w:p w14:paraId="10482EA7">
            <w:pPr>
              <w:jc w:val="center"/>
              <w:rPr>
                <w:color w:val="auto"/>
                <w:szCs w:val="21"/>
                <w:highlight w:val="none"/>
              </w:rPr>
            </w:pPr>
          </w:p>
        </w:tc>
        <w:tc>
          <w:tcPr>
            <w:tcW w:w="1547" w:type="dxa"/>
            <w:gridSpan w:val="2"/>
            <w:vAlign w:val="center"/>
          </w:tcPr>
          <w:p w14:paraId="282A300D">
            <w:pPr>
              <w:jc w:val="center"/>
              <w:rPr>
                <w:color w:val="auto"/>
                <w:szCs w:val="21"/>
                <w:highlight w:val="none"/>
              </w:rPr>
            </w:pPr>
          </w:p>
        </w:tc>
        <w:tc>
          <w:tcPr>
            <w:tcW w:w="1548" w:type="dxa"/>
            <w:gridSpan w:val="2"/>
            <w:vAlign w:val="center"/>
          </w:tcPr>
          <w:p w14:paraId="5204B947">
            <w:pPr>
              <w:jc w:val="center"/>
              <w:rPr>
                <w:color w:val="auto"/>
                <w:szCs w:val="21"/>
                <w:highlight w:val="none"/>
              </w:rPr>
            </w:pPr>
          </w:p>
        </w:tc>
        <w:tc>
          <w:tcPr>
            <w:tcW w:w="1547" w:type="dxa"/>
            <w:gridSpan w:val="2"/>
            <w:vAlign w:val="center"/>
          </w:tcPr>
          <w:p w14:paraId="0D49A66A">
            <w:pPr>
              <w:jc w:val="center"/>
              <w:rPr>
                <w:color w:val="auto"/>
                <w:szCs w:val="21"/>
                <w:highlight w:val="none"/>
              </w:rPr>
            </w:pPr>
          </w:p>
        </w:tc>
        <w:tc>
          <w:tcPr>
            <w:tcW w:w="1548" w:type="dxa"/>
            <w:gridSpan w:val="2"/>
            <w:vAlign w:val="center"/>
          </w:tcPr>
          <w:p w14:paraId="7C2C3EB2">
            <w:pPr>
              <w:jc w:val="center"/>
              <w:rPr>
                <w:color w:val="auto"/>
                <w:szCs w:val="21"/>
                <w:highlight w:val="none"/>
              </w:rPr>
            </w:pPr>
          </w:p>
        </w:tc>
      </w:tr>
    </w:tbl>
    <w:p w14:paraId="2A9E0F5D">
      <w:pPr>
        <w:autoSpaceDE w:val="0"/>
        <w:autoSpaceDN w:val="0"/>
        <w:spacing w:line="360" w:lineRule="auto"/>
        <w:rPr>
          <w:b/>
          <w:color w:val="auto"/>
          <w:szCs w:val="21"/>
          <w:highlight w:val="none"/>
        </w:rPr>
      </w:pPr>
    </w:p>
    <w:p w14:paraId="30DDD2F5">
      <w:pPr>
        <w:spacing w:line="360" w:lineRule="auto"/>
        <w:ind w:firstLine="420" w:firstLineChars="200"/>
        <w:rPr>
          <w:rFonts w:eastAsia="楷体"/>
          <w:b/>
          <w:color w:val="auto"/>
          <w:szCs w:val="21"/>
          <w:highlight w:val="none"/>
        </w:rPr>
      </w:pPr>
      <w:r>
        <w:rPr>
          <w:rFonts w:hint="eastAsia" w:ascii="楷体" w:hAnsi="楷体" w:eastAsia="楷体"/>
          <w:color w:val="auto"/>
          <w:highlight w:val="none"/>
        </w:rPr>
        <w:t>备注：</w:t>
      </w:r>
      <w:r>
        <w:rPr>
          <w:rFonts w:hint="eastAsia" w:eastAsia="楷体"/>
          <w:color w:val="auto"/>
          <w:highlight w:val="none"/>
        </w:rPr>
        <w:t>附身份证、注册建造师执业资格证、职称证（如有）、</w:t>
      </w:r>
      <w:r>
        <w:rPr>
          <w:rFonts w:eastAsia="楷体"/>
          <w:color w:val="auto"/>
          <w:highlight w:val="none"/>
        </w:rPr>
        <w:t>已完成的类似工程应附中标通知书（如有）、合同协议书有关页面（如有）、工程竣工验收证明材料（如有）的</w:t>
      </w:r>
      <w:r>
        <w:rPr>
          <w:rFonts w:hint="eastAsia" w:eastAsia="楷体"/>
          <w:color w:val="auto"/>
          <w:highlight w:val="none"/>
        </w:rPr>
        <w:t>扫描件。</w:t>
      </w:r>
    </w:p>
    <w:p w14:paraId="41A748FC">
      <w:pPr>
        <w:autoSpaceDE w:val="0"/>
        <w:autoSpaceDN w:val="0"/>
        <w:spacing w:line="360" w:lineRule="auto"/>
        <w:rPr>
          <w:b/>
          <w:color w:val="auto"/>
          <w:szCs w:val="21"/>
          <w:highlight w:val="none"/>
        </w:rPr>
      </w:pPr>
    </w:p>
    <w:p w14:paraId="404F94EC">
      <w:pPr>
        <w:autoSpaceDE w:val="0"/>
        <w:autoSpaceDN w:val="0"/>
        <w:spacing w:line="360" w:lineRule="auto"/>
        <w:rPr>
          <w:b/>
          <w:color w:val="auto"/>
          <w:szCs w:val="21"/>
          <w:highlight w:val="none"/>
        </w:rPr>
      </w:pPr>
    </w:p>
    <w:p w14:paraId="0AC157F7">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7E3E92EA">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A91B152">
      <w:pPr>
        <w:autoSpaceDE w:val="0"/>
        <w:autoSpaceDN w:val="0"/>
        <w:spacing w:line="360" w:lineRule="auto"/>
        <w:rPr>
          <w:b/>
          <w:color w:val="auto"/>
          <w:szCs w:val="21"/>
          <w:highlight w:val="none"/>
        </w:rPr>
      </w:pPr>
    </w:p>
    <w:p w14:paraId="03FA9927">
      <w:pPr>
        <w:pStyle w:val="8"/>
        <w:rPr>
          <w:b/>
          <w:color w:val="auto"/>
          <w:szCs w:val="21"/>
          <w:highlight w:val="none"/>
        </w:rPr>
      </w:pPr>
    </w:p>
    <w:p w14:paraId="30A8E1EA">
      <w:pPr>
        <w:autoSpaceDE w:val="0"/>
        <w:autoSpaceDN w:val="0"/>
        <w:spacing w:line="360" w:lineRule="auto"/>
        <w:rPr>
          <w:b/>
          <w:color w:val="auto"/>
          <w:szCs w:val="21"/>
          <w:highlight w:val="none"/>
        </w:rPr>
      </w:pPr>
      <w:r>
        <w:rPr>
          <w:rFonts w:hint="eastAsia"/>
          <w:b/>
          <w:color w:val="auto"/>
          <w:szCs w:val="21"/>
          <w:highlight w:val="none"/>
        </w:rPr>
        <w:t>项目管理机构配备情况表</w:t>
      </w:r>
    </w:p>
    <w:tbl>
      <w:tblPr>
        <w:tblStyle w:val="28"/>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679"/>
      </w:tblGrid>
      <w:tr w14:paraId="2895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037EB99">
            <w:pPr>
              <w:ind w:left="223" w:hanging="222" w:hangingChars="106"/>
              <w:jc w:val="center"/>
              <w:rPr>
                <w:color w:val="auto"/>
                <w:highlight w:val="none"/>
              </w:rPr>
            </w:pPr>
            <w:r>
              <w:rPr>
                <w:rFonts w:hint="eastAsia" w:cs="宋体"/>
                <w:color w:val="auto"/>
                <w:highlight w:val="none"/>
              </w:rPr>
              <w:t>岗位</w:t>
            </w:r>
          </w:p>
        </w:tc>
        <w:tc>
          <w:tcPr>
            <w:tcW w:w="829" w:type="dxa"/>
            <w:vMerge w:val="restart"/>
            <w:vAlign w:val="center"/>
          </w:tcPr>
          <w:p w14:paraId="680E2AF5">
            <w:pPr>
              <w:ind w:left="223" w:hanging="222" w:hangingChars="106"/>
              <w:jc w:val="center"/>
              <w:rPr>
                <w:color w:val="auto"/>
                <w:highlight w:val="none"/>
              </w:rPr>
            </w:pPr>
            <w:r>
              <w:rPr>
                <w:rFonts w:hint="eastAsia" w:cs="宋体"/>
                <w:color w:val="auto"/>
                <w:highlight w:val="none"/>
              </w:rPr>
              <w:t>姓名</w:t>
            </w:r>
          </w:p>
        </w:tc>
        <w:tc>
          <w:tcPr>
            <w:tcW w:w="816" w:type="dxa"/>
            <w:vMerge w:val="restart"/>
            <w:vAlign w:val="center"/>
          </w:tcPr>
          <w:p w14:paraId="7277BA25">
            <w:pPr>
              <w:ind w:left="223" w:hanging="222" w:hangingChars="106"/>
              <w:jc w:val="center"/>
              <w:rPr>
                <w:color w:val="auto"/>
                <w:highlight w:val="none"/>
              </w:rPr>
            </w:pPr>
            <w:r>
              <w:rPr>
                <w:rFonts w:hint="eastAsia" w:cs="宋体"/>
                <w:color w:val="auto"/>
                <w:highlight w:val="none"/>
              </w:rPr>
              <w:t>职称</w:t>
            </w:r>
          </w:p>
        </w:tc>
        <w:tc>
          <w:tcPr>
            <w:tcW w:w="4592" w:type="dxa"/>
            <w:gridSpan w:val="4"/>
            <w:vAlign w:val="center"/>
          </w:tcPr>
          <w:p w14:paraId="5173E379">
            <w:pPr>
              <w:ind w:left="223" w:hanging="222" w:hangingChars="106"/>
              <w:jc w:val="center"/>
              <w:rPr>
                <w:color w:val="auto"/>
                <w:highlight w:val="none"/>
              </w:rPr>
            </w:pPr>
            <w:r>
              <w:rPr>
                <w:rFonts w:hint="eastAsia" w:cs="宋体"/>
                <w:color w:val="auto"/>
                <w:highlight w:val="none"/>
              </w:rPr>
              <w:t>执业或职业资格证明</w:t>
            </w:r>
          </w:p>
        </w:tc>
        <w:tc>
          <w:tcPr>
            <w:tcW w:w="2529" w:type="dxa"/>
            <w:gridSpan w:val="2"/>
            <w:vAlign w:val="center"/>
          </w:tcPr>
          <w:p w14:paraId="0466C6E5">
            <w:pPr>
              <w:ind w:left="223" w:hanging="222" w:hangingChars="106"/>
              <w:jc w:val="center"/>
              <w:rPr>
                <w:color w:val="auto"/>
                <w:highlight w:val="none"/>
              </w:rPr>
            </w:pPr>
            <w:r>
              <w:rPr>
                <w:rFonts w:hint="eastAsia" w:cs="宋体"/>
                <w:color w:val="auto"/>
                <w:highlight w:val="none"/>
              </w:rPr>
              <w:t>承担完工工程情况</w:t>
            </w:r>
          </w:p>
        </w:tc>
      </w:tr>
      <w:tr w14:paraId="64E6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0CBC87DA">
            <w:pPr>
              <w:ind w:left="223" w:hanging="222" w:hangingChars="106"/>
              <w:jc w:val="center"/>
              <w:rPr>
                <w:color w:val="auto"/>
                <w:highlight w:val="none"/>
              </w:rPr>
            </w:pPr>
          </w:p>
        </w:tc>
        <w:tc>
          <w:tcPr>
            <w:tcW w:w="829" w:type="dxa"/>
            <w:vMerge w:val="continue"/>
            <w:vAlign w:val="center"/>
          </w:tcPr>
          <w:p w14:paraId="502E7829">
            <w:pPr>
              <w:ind w:left="223" w:hanging="222" w:hangingChars="106"/>
              <w:jc w:val="center"/>
              <w:rPr>
                <w:color w:val="auto"/>
                <w:highlight w:val="none"/>
              </w:rPr>
            </w:pPr>
          </w:p>
        </w:tc>
        <w:tc>
          <w:tcPr>
            <w:tcW w:w="816" w:type="dxa"/>
            <w:vMerge w:val="continue"/>
            <w:vAlign w:val="center"/>
          </w:tcPr>
          <w:p w14:paraId="2821C3E7">
            <w:pPr>
              <w:ind w:left="223" w:hanging="222" w:hangingChars="106"/>
              <w:jc w:val="center"/>
              <w:rPr>
                <w:color w:val="auto"/>
                <w:highlight w:val="none"/>
              </w:rPr>
            </w:pPr>
          </w:p>
        </w:tc>
        <w:tc>
          <w:tcPr>
            <w:tcW w:w="1148" w:type="dxa"/>
            <w:vAlign w:val="center"/>
          </w:tcPr>
          <w:p w14:paraId="709BC2E7">
            <w:pPr>
              <w:ind w:left="223" w:hanging="222" w:hangingChars="106"/>
              <w:jc w:val="center"/>
              <w:rPr>
                <w:color w:val="auto"/>
                <w:highlight w:val="none"/>
              </w:rPr>
            </w:pPr>
            <w:r>
              <w:rPr>
                <w:rFonts w:hint="eastAsia" w:cs="宋体"/>
                <w:color w:val="auto"/>
                <w:highlight w:val="none"/>
              </w:rPr>
              <w:t>证书名称</w:t>
            </w:r>
          </w:p>
        </w:tc>
        <w:tc>
          <w:tcPr>
            <w:tcW w:w="1148" w:type="dxa"/>
            <w:vAlign w:val="center"/>
          </w:tcPr>
          <w:p w14:paraId="75EA6E06">
            <w:pPr>
              <w:ind w:left="223" w:hanging="222" w:hangingChars="106"/>
              <w:jc w:val="center"/>
              <w:rPr>
                <w:color w:val="auto"/>
                <w:highlight w:val="none"/>
              </w:rPr>
            </w:pPr>
            <w:r>
              <w:rPr>
                <w:rFonts w:hint="eastAsia" w:cs="宋体"/>
                <w:color w:val="auto"/>
                <w:highlight w:val="none"/>
              </w:rPr>
              <w:t>级别</w:t>
            </w:r>
          </w:p>
        </w:tc>
        <w:tc>
          <w:tcPr>
            <w:tcW w:w="1148" w:type="dxa"/>
            <w:vAlign w:val="center"/>
          </w:tcPr>
          <w:p w14:paraId="27CF6B58">
            <w:pPr>
              <w:ind w:left="223" w:hanging="222" w:hangingChars="106"/>
              <w:jc w:val="center"/>
              <w:rPr>
                <w:color w:val="auto"/>
                <w:highlight w:val="none"/>
              </w:rPr>
            </w:pPr>
            <w:r>
              <w:rPr>
                <w:rFonts w:hint="eastAsia" w:cs="宋体"/>
                <w:color w:val="auto"/>
                <w:highlight w:val="none"/>
              </w:rPr>
              <w:t>证号</w:t>
            </w:r>
          </w:p>
        </w:tc>
        <w:tc>
          <w:tcPr>
            <w:tcW w:w="1148" w:type="dxa"/>
            <w:vAlign w:val="center"/>
          </w:tcPr>
          <w:p w14:paraId="108EB8A1">
            <w:pPr>
              <w:ind w:left="223" w:hanging="222" w:hangingChars="106"/>
              <w:jc w:val="center"/>
              <w:rPr>
                <w:color w:val="auto"/>
                <w:highlight w:val="none"/>
              </w:rPr>
            </w:pPr>
            <w:r>
              <w:rPr>
                <w:rFonts w:hint="eastAsia" w:cs="宋体"/>
                <w:color w:val="auto"/>
                <w:highlight w:val="none"/>
              </w:rPr>
              <w:t>专业</w:t>
            </w:r>
          </w:p>
        </w:tc>
        <w:tc>
          <w:tcPr>
            <w:tcW w:w="850" w:type="dxa"/>
            <w:vAlign w:val="center"/>
          </w:tcPr>
          <w:p w14:paraId="2C7FA9C7">
            <w:pPr>
              <w:ind w:left="223" w:hanging="222" w:hangingChars="106"/>
              <w:jc w:val="center"/>
              <w:rPr>
                <w:color w:val="auto"/>
                <w:highlight w:val="none"/>
              </w:rPr>
            </w:pPr>
            <w:r>
              <w:rPr>
                <w:rFonts w:hint="eastAsia" w:cs="宋体"/>
                <w:color w:val="auto"/>
                <w:highlight w:val="none"/>
              </w:rPr>
              <w:t>项目数</w:t>
            </w:r>
          </w:p>
        </w:tc>
        <w:tc>
          <w:tcPr>
            <w:tcW w:w="1679" w:type="dxa"/>
            <w:vAlign w:val="center"/>
          </w:tcPr>
          <w:p w14:paraId="1B151EFF">
            <w:pPr>
              <w:ind w:left="223" w:hanging="222" w:hangingChars="106"/>
              <w:jc w:val="center"/>
              <w:rPr>
                <w:color w:val="auto"/>
                <w:highlight w:val="none"/>
              </w:rPr>
            </w:pPr>
            <w:r>
              <w:rPr>
                <w:rFonts w:hint="eastAsia" w:cs="宋体"/>
                <w:color w:val="auto"/>
                <w:highlight w:val="none"/>
              </w:rPr>
              <w:t>主要项目</w:t>
            </w:r>
          </w:p>
          <w:p w14:paraId="3E3D4761">
            <w:pPr>
              <w:ind w:left="223" w:hanging="222" w:hangingChars="106"/>
              <w:jc w:val="center"/>
              <w:rPr>
                <w:color w:val="auto"/>
                <w:highlight w:val="none"/>
              </w:rPr>
            </w:pPr>
            <w:r>
              <w:rPr>
                <w:rFonts w:hint="eastAsia" w:cs="宋体"/>
                <w:color w:val="auto"/>
                <w:highlight w:val="none"/>
              </w:rPr>
              <w:t>名称</w:t>
            </w:r>
          </w:p>
        </w:tc>
      </w:tr>
      <w:tr w14:paraId="5A8B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9916462">
            <w:pPr>
              <w:ind w:left="223" w:hanging="222" w:hangingChars="106"/>
              <w:jc w:val="center"/>
              <w:rPr>
                <w:color w:val="auto"/>
                <w:highlight w:val="none"/>
              </w:rPr>
            </w:pPr>
          </w:p>
        </w:tc>
        <w:tc>
          <w:tcPr>
            <w:tcW w:w="829" w:type="dxa"/>
            <w:vAlign w:val="center"/>
          </w:tcPr>
          <w:p w14:paraId="248194CC">
            <w:pPr>
              <w:ind w:left="223" w:hanging="222" w:hangingChars="106"/>
              <w:jc w:val="center"/>
              <w:rPr>
                <w:color w:val="auto"/>
                <w:highlight w:val="none"/>
              </w:rPr>
            </w:pPr>
          </w:p>
        </w:tc>
        <w:tc>
          <w:tcPr>
            <w:tcW w:w="816" w:type="dxa"/>
            <w:vAlign w:val="center"/>
          </w:tcPr>
          <w:p w14:paraId="67F4CFDD">
            <w:pPr>
              <w:ind w:left="223" w:hanging="222" w:hangingChars="106"/>
              <w:jc w:val="center"/>
              <w:rPr>
                <w:color w:val="auto"/>
                <w:highlight w:val="none"/>
              </w:rPr>
            </w:pPr>
          </w:p>
        </w:tc>
        <w:tc>
          <w:tcPr>
            <w:tcW w:w="1148" w:type="dxa"/>
            <w:vAlign w:val="center"/>
          </w:tcPr>
          <w:p w14:paraId="4F6E3A30">
            <w:pPr>
              <w:ind w:left="223" w:hanging="222" w:hangingChars="106"/>
              <w:jc w:val="center"/>
              <w:rPr>
                <w:color w:val="auto"/>
                <w:highlight w:val="none"/>
              </w:rPr>
            </w:pPr>
          </w:p>
        </w:tc>
        <w:tc>
          <w:tcPr>
            <w:tcW w:w="1148" w:type="dxa"/>
            <w:vAlign w:val="center"/>
          </w:tcPr>
          <w:p w14:paraId="2714207B">
            <w:pPr>
              <w:ind w:left="223" w:hanging="222" w:hangingChars="106"/>
              <w:jc w:val="center"/>
              <w:rPr>
                <w:color w:val="auto"/>
                <w:highlight w:val="none"/>
              </w:rPr>
            </w:pPr>
          </w:p>
        </w:tc>
        <w:tc>
          <w:tcPr>
            <w:tcW w:w="1148" w:type="dxa"/>
            <w:vAlign w:val="center"/>
          </w:tcPr>
          <w:p w14:paraId="7A9ACCC5">
            <w:pPr>
              <w:ind w:left="223" w:hanging="222" w:hangingChars="106"/>
              <w:jc w:val="center"/>
              <w:rPr>
                <w:color w:val="auto"/>
                <w:highlight w:val="none"/>
              </w:rPr>
            </w:pPr>
          </w:p>
        </w:tc>
        <w:tc>
          <w:tcPr>
            <w:tcW w:w="1148" w:type="dxa"/>
            <w:vAlign w:val="center"/>
          </w:tcPr>
          <w:p w14:paraId="054B64A0">
            <w:pPr>
              <w:ind w:left="223" w:hanging="222" w:hangingChars="106"/>
              <w:jc w:val="center"/>
              <w:rPr>
                <w:color w:val="auto"/>
                <w:highlight w:val="none"/>
              </w:rPr>
            </w:pPr>
          </w:p>
        </w:tc>
        <w:tc>
          <w:tcPr>
            <w:tcW w:w="850" w:type="dxa"/>
            <w:vAlign w:val="center"/>
          </w:tcPr>
          <w:p w14:paraId="42423264">
            <w:pPr>
              <w:ind w:left="223" w:hanging="222" w:hangingChars="106"/>
              <w:jc w:val="center"/>
              <w:rPr>
                <w:color w:val="auto"/>
                <w:highlight w:val="none"/>
              </w:rPr>
            </w:pPr>
          </w:p>
        </w:tc>
        <w:tc>
          <w:tcPr>
            <w:tcW w:w="1679" w:type="dxa"/>
            <w:vAlign w:val="center"/>
          </w:tcPr>
          <w:p w14:paraId="65E01C5B">
            <w:pPr>
              <w:ind w:left="223" w:hanging="222" w:hangingChars="106"/>
              <w:jc w:val="center"/>
              <w:rPr>
                <w:color w:val="auto"/>
                <w:highlight w:val="none"/>
              </w:rPr>
            </w:pPr>
          </w:p>
        </w:tc>
      </w:tr>
      <w:tr w14:paraId="5A7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481834E">
            <w:pPr>
              <w:ind w:left="223" w:hanging="222" w:hangingChars="106"/>
              <w:jc w:val="center"/>
              <w:rPr>
                <w:color w:val="auto"/>
                <w:highlight w:val="none"/>
              </w:rPr>
            </w:pPr>
          </w:p>
        </w:tc>
        <w:tc>
          <w:tcPr>
            <w:tcW w:w="829" w:type="dxa"/>
            <w:vAlign w:val="center"/>
          </w:tcPr>
          <w:p w14:paraId="75D15176">
            <w:pPr>
              <w:ind w:left="223" w:hanging="222" w:hangingChars="106"/>
              <w:jc w:val="center"/>
              <w:rPr>
                <w:color w:val="auto"/>
                <w:highlight w:val="none"/>
              </w:rPr>
            </w:pPr>
          </w:p>
        </w:tc>
        <w:tc>
          <w:tcPr>
            <w:tcW w:w="816" w:type="dxa"/>
            <w:vAlign w:val="center"/>
          </w:tcPr>
          <w:p w14:paraId="210B51F1">
            <w:pPr>
              <w:ind w:left="223" w:hanging="222" w:hangingChars="106"/>
              <w:jc w:val="center"/>
              <w:rPr>
                <w:color w:val="auto"/>
                <w:highlight w:val="none"/>
              </w:rPr>
            </w:pPr>
          </w:p>
        </w:tc>
        <w:tc>
          <w:tcPr>
            <w:tcW w:w="1148" w:type="dxa"/>
            <w:vAlign w:val="center"/>
          </w:tcPr>
          <w:p w14:paraId="4830EBB5">
            <w:pPr>
              <w:ind w:left="223" w:hanging="222" w:hangingChars="106"/>
              <w:jc w:val="center"/>
              <w:rPr>
                <w:color w:val="auto"/>
                <w:highlight w:val="none"/>
              </w:rPr>
            </w:pPr>
          </w:p>
        </w:tc>
        <w:tc>
          <w:tcPr>
            <w:tcW w:w="1148" w:type="dxa"/>
            <w:vAlign w:val="center"/>
          </w:tcPr>
          <w:p w14:paraId="5264FFC1">
            <w:pPr>
              <w:ind w:left="223" w:hanging="222" w:hangingChars="106"/>
              <w:jc w:val="center"/>
              <w:rPr>
                <w:color w:val="auto"/>
                <w:highlight w:val="none"/>
              </w:rPr>
            </w:pPr>
          </w:p>
        </w:tc>
        <w:tc>
          <w:tcPr>
            <w:tcW w:w="1148" w:type="dxa"/>
            <w:vAlign w:val="center"/>
          </w:tcPr>
          <w:p w14:paraId="74ED934C">
            <w:pPr>
              <w:ind w:left="223" w:hanging="222" w:hangingChars="106"/>
              <w:jc w:val="center"/>
              <w:rPr>
                <w:color w:val="auto"/>
                <w:highlight w:val="none"/>
              </w:rPr>
            </w:pPr>
          </w:p>
        </w:tc>
        <w:tc>
          <w:tcPr>
            <w:tcW w:w="1148" w:type="dxa"/>
            <w:vAlign w:val="center"/>
          </w:tcPr>
          <w:p w14:paraId="39F7D1E0">
            <w:pPr>
              <w:ind w:left="223" w:hanging="222" w:hangingChars="106"/>
              <w:jc w:val="center"/>
              <w:rPr>
                <w:color w:val="auto"/>
                <w:highlight w:val="none"/>
              </w:rPr>
            </w:pPr>
          </w:p>
        </w:tc>
        <w:tc>
          <w:tcPr>
            <w:tcW w:w="850" w:type="dxa"/>
            <w:vAlign w:val="center"/>
          </w:tcPr>
          <w:p w14:paraId="4B660AE0">
            <w:pPr>
              <w:ind w:left="223" w:hanging="222" w:hangingChars="106"/>
              <w:jc w:val="center"/>
              <w:rPr>
                <w:color w:val="auto"/>
                <w:highlight w:val="none"/>
              </w:rPr>
            </w:pPr>
          </w:p>
        </w:tc>
        <w:tc>
          <w:tcPr>
            <w:tcW w:w="1679" w:type="dxa"/>
            <w:vAlign w:val="center"/>
          </w:tcPr>
          <w:p w14:paraId="436FE278">
            <w:pPr>
              <w:ind w:left="223" w:hanging="222" w:hangingChars="106"/>
              <w:jc w:val="center"/>
              <w:rPr>
                <w:color w:val="auto"/>
                <w:highlight w:val="none"/>
              </w:rPr>
            </w:pPr>
          </w:p>
        </w:tc>
      </w:tr>
      <w:tr w14:paraId="6E56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F928BF3">
            <w:pPr>
              <w:ind w:left="223" w:hanging="222" w:hangingChars="106"/>
              <w:jc w:val="center"/>
              <w:rPr>
                <w:color w:val="auto"/>
                <w:highlight w:val="none"/>
              </w:rPr>
            </w:pPr>
          </w:p>
        </w:tc>
        <w:tc>
          <w:tcPr>
            <w:tcW w:w="829" w:type="dxa"/>
            <w:vAlign w:val="center"/>
          </w:tcPr>
          <w:p w14:paraId="23EA60B6">
            <w:pPr>
              <w:ind w:left="223" w:hanging="222" w:hangingChars="106"/>
              <w:jc w:val="center"/>
              <w:rPr>
                <w:color w:val="auto"/>
                <w:highlight w:val="none"/>
              </w:rPr>
            </w:pPr>
          </w:p>
        </w:tc>
        <w:tc>
          <w:tcPr>
            <w:tcW w:w="816" w:type="dxa"/>
            <w:vAlign w:val="center"/>
          </w:tcPr>
          <w:p w14:paraId="545CFD22">
            <w:pPr>
              <w:ind w:left="223" w:hanging="222" w:hangingChars="106"/>
              <w:jc w:val="center"/>
              <w:rPr>
                <w:color w:val="auto"/>
                <w:highlight w:val="none"/>
              </w:rPr>
            </w:pPr>
          </w:p>
        </w:tc>
        <w:tc>
          <w:tcPr>
            <w:tcW w:w="1148" w:type="dxa"/>
            <w:vAlign w:val="center"/>
          </w:tcPr>
          <w:p w14:paraId="07CEC0AC">
            <w:pPr>
              <w:ind w:left="223" w:hanging="222" w:hangingChars="106"/>
              <w:jc w:val="center"/>
              <w:rPr>
                <w:color w:val="auto"/>
                <w:highlight w:val="none"/>
              </w:rPr>
            </w:pPr>
          </w:p>
        </w:tc>
        <w:tc>
          <w:tcPr>
            <w:tcW w:w="1148" w:type="dxa"/>
            <w:vAlign w:val="center"/>
          </w:tcPr>
          <w:p w14:paraId="2F15E7D7">
            <w:pPr>
              <w:ind w:left="223" w:hanging="222" w:hangingChars="106"/>
              <w:jc w:val="center"/>
              <w:rPr>
                <w:color w:val="auto"/>
                <w:highlight w:val="none"/>
              </w:rPr>
            </w:pPr>
          </w:p>
        </w:tc>
        <w:tc>
          <w:tcPr>
            <w:tcW w:w="1148" w:type="dxa"/>
            <w:vAlign w:val="center"/>
          </w:tcPr>
          <w:p w14:paraId="4729C79E">
            <w:pPr>
              <w:ind w:left="223" w:hanging="222" w:hangingChars="106"/>
              <w:jc w:val="center"/>
              <w:rPr>
                <w:color w:val="auto"/>
                <w:highlight w:val="none"/>
              </w:rPr>
            </w:pPr>
          </w:p>
        </w:tc>
        <w:tc>
          <w:tcPr>
            <w:tcW w:w="1148" w:type="dxa"/>
            <w:vAlign w:val="center"/>
          </w:tcPr>
          <w:p w14:paraId="78FB003E">
            <w:pPr>
              <w:ind w:left="223" w:hanging="222" w:hangingChars="106"/>
              <w:jc w:val="center"/>
              <w:rPr>
                <w:color w:val="auto"/>
                <w:highlight w:val="none"/>
              </w:rPr>
            </w:pPr>
          </w:p>
        </w:tc>
        <w:tc>
          <w:tcPr>
            <w:tcW w:w="850" w:type="dxa"/>
            <w:vAlign w:val="center"/>
          </w:tcPr>
          <w:p w14:paraId="493EE388">
            <w:pPr>
              <w:ind w:left="223" w:hanging="222" w:hangingChars="106"/>
              <w:jc w:val="center"/>
              <w:rPr>
                <w:color w:val="auto"/>
                <w:highlight w:val="none"/>
              </w:rPr>
            </w:pPr>
          </w:p>
        </w:tc>
        <w:tc>
          <w:tcPr>
            <w:tcW w:w="1679" w:type="dxa"/>
            <w:vAlign w:val="center"/>
          </w:tcPr>
          <w:p w14:paraId="2549B201">
            <w:pPr>
              <w:ind w:left="223" w:hanging="222" w:hangingChars="106"/>
              <w:jc w:val="center"/>
              <w:rPr>
                <w:color w:val="auto"/>
                <w:highlight w:val="none"/>
              </w:rPr>
            </w:pPr>
          </w:p>
        </w:tc>
      </w:tr>
      <w:tr w14:paraId="097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2EFAF8B">
            <w:pPr>
              <w:ind w:left="223" w:hanging="222" w:hangingChars="106"/>
              <w:jc w:val="center"/>
              <w:rPr>
                <w:color w:val="auto"/>
                <w:highlight w:val="none"/>
              </w:rPr>
            </w:pPr>
          </w:p>
        </w:tc>
        <w:tc>
          <w:tcPr>
            <w:tcW w:w="829" w:type="dxa"/>
            <w:vAlign w:val="center"/>
          </w:tcPr>
          <w:p w14:paraId="39F0A02A">
            <w:pPr>
              <w:ind w:left="223" w:hanging="222" w:hangingChars="106"/>
              <w:jc w:val="center"/>
              <w:rPr>
                <w:color w:val="auto"/>
                <w:highlight w:val="none"/>
              </w:rPr>
            </w:pPr>
          </w:p>
        </w:tc>
        <w:tc>
          <w:tcPr>
            <w:tcW w:w="816" w:type="dxa"/>
            <w:vAlign w:val="center"/>
          </w:tcPr>
          <w:p w14:paraId="55D0E88A">
            <w:pPr>
              <w:ind w:left="223" w:hanging="222" w:hangingChars="106"/>
              <w:jc w:val="center"/>
              <w:rPr>
                <w:color w:val="auto"/>
                <w:highlight w:val="none"/>
              </w:rPr>
            </w:pPr>
          </w:p>
        </w:tc>
        <w:tc>
          <w:tcPr>
            <w:tcW w:w="1148" w:type="dxa"/>
            <w:vAlign w:val="center"/>
          </w:tcPr>
          <w:p w14:paraId="23491EC3">
            <w:pPr>
              <w:ind w:left="223" w:hanging="222" w:hangingChars="106"/>
              <w:jc w:val="center"/>
              <w:rPr>
                <w:color w:val="auto"/>
                <w:highlight w:val="none"/>
              </w:rPr>
            </w:pPr>
          </w:p>
        </w:tc>
        <w:tc>
          <w:tcPr>
            <w:tcW w:w="1148" w:type="dxa"/>
            <w:vAlign w:val="center"/>
          </w:tcPr>
          <w:p w14:paraId="462A1CB3">
            <w:pPr>
              <w:ind w:left="223" w:hanging="222" w:hangingChars="106"/>
              <w:jc w:val="center"/>
              <w:rPr>
                <w:color w:val="auto"/>
                <w:highlight w:val="none"/>
              </w:rPr>
            </w:pPr>
          </w:p>
        </w:tc>
        <w:tc>
          <w:tcPr>
            <w:tcW w:w="1148" w:type="dxa"/>
            <w:vAlign w:val="center"/>
          </w:tcPr>
          <w:p w14:paraId="7DED7861">
            <w:pPr>
              <w:ind w:left="223" w:hanging="222" w:hangingChars="106"/>
              <w:jc w:val="center"/>
              <w:rPr>
                <w:color w:val="auto"/>
                <w:highlight w:val="none"/>
              </w:rPr>
            </w:pPr>
          </w:p>
        </w:tc>
        <w:tc>
          <w:tcPr>
            <w:tcW w:w="1148" w:type="dxa"/>
            <w:vAlign w:val="center"/>
          </w:tcPr>
          <w:p w14:paraId="386571A2">
            <w:pPr>
              <w:ind w:left="223" w:hanging="222" w:hangingChars="106"/>
              <w:jc w:val="center"/>
              <w:rPr>
                <w:color w:val="auto"/>
                <w:highlight w:val="none"/>
              </w:rPr>
            </w:pPr>
          </w:p>
        </w:tc>
        <w:tc>
          <w:tcPr>
            <w:tcW w:w="850" w:type="dxa"/>
            <w:vAlign w:val="center"/>
          </w:tcPr>
          <w:p w14:paraId="69C79782">
            <w:pPr>
              <w:ind w:left="223" w:hanging="222" w:hangingChars="106"/>
              <w:jc w:val="center"/>
              <w:rPr>
                <w:color w:val="auto"/>
                <w:highlight w:val="none"/>
              </w:rPr>
            </w:pPr>
          </w:p>
        </w:tc>
        <w:tc>
          <w:tcPr>
            <w:tcW w:w="1679" w:type="dxa"/>
            <w:vAlign w:val="center"/>
          </w:tcPr>
          <w:p w14:paraId="477E8B46">
            <w:pPr>
              <w:ind w:left="223" w:hanging="222" w:hangingChars="106"/>
              <w:jc w:val="center"/>
              <w:rPr>
                <w:color w:val="auto"/>
                <w:highlight w:val="none"/>
              </w:rPr>
            </w:pPr>
          </w:p>
        </w:tc>
      </w:tr>
      <w:tr w14:paraId="7795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A039A82">
            <w:pPr>
              <w:ind w:left="223" w:hanging="222" w:hangingChars="106"/>
              <w:jc w:val="center"/>
              <w:rPr>
                <w:color w:val="auto"/>
                <w:highlight w:val="none"/>
              </w:rPr>
            </w:pPr>
          </w:p>
        </w:tc>
        <w:tc>
          <w:tcPr>
            <w:tcW w:w="829" w:type="dxa"/>
            <w:vAlign w:val="center"/>
          </w:tcPr>
          <w:p w14:paraId="3BDD3757">
            <w:pPr>
              <w:ind w:left="223" w:hanging="222" w:hangingChars="106"/>
              <w:jc w:val="center"/>
              <w:rPr>
                <w:color w:val="auto"/>
                <w:highlight w:val="none"/>
              </w:rPr>
            </w:pPr>
          </w:p>
        </w:tc>
        <w:tc>
          <w:tcPr>
            <w:tcW w:w="816" w:type="dxa"/>
            <w:vAlign w:val="center"/>
          </w:tcPr>
          <w:p w14:paraId="34A31BDC">
            <w:pPr>
              <w:ind w:left="223" w:hanging="222" w:hangingChars="106"/>
              <w:jc w:val="center"/>
              <w:rPr>
                <w:color w:val="auto"/>
                <w:highlight w:val="none"/>
              </w:rPr>
            </w:pPr>
          </w:p>
        </w:tc>
        <w:tc>
          <w:tcPr>
            <w:tcW w:w="1148" w:type="dxa"/>
            <w:vAlign w:val="center"/>
          </w:tcPr>
          <w:p w14:paraId="0E4DC234">
            <w:pPr>
              <w:ind w:left="223" w:hanging="222" w:hangingChars="106"/>
              <w:jc w:val="center"/>
              <w:rPr>
                <w:color w:val="auto"/>
                <w:highlight w:val="none"/>
              </w:rPr>
            </w:pPr>
          </w:p>
        </w:tc>
        <w:tc>
          <w:tcPr>
            <w:tcW w:w="1148" w:type="dxa"/>
            <w:vAlign w:val="center"/>
          </w:tcPr>
          <w:p w14:paraId="3AE5991A">
            <w:pPr>
              <w:ind w:left="223" w:hanging="222" w:hangingChars="106"/>
              <w:jc w:val="center"/>
              <w:rPr>
                <w:color w:val="auto"/>
                <w:highlight w:val="none"/>
              </w:rPr>
            </w:pPr>
          </w:p>
        </w:tc>
        <w:tc>
          <w:tcPr>
            <w:tcW w:w="1148" w:type="dxa"/>
            <w:vAlign w:val="center"/>
          </w:tcPr>
          <w:p w14:paraId="3FB11A5E">
            <w:pPr>
              <w:ind w:left="223" w:hanging="222" w:hangingChars="106"/>
              <w:jc w:val="center"/>
              <w:rPr>
                <w:color w:val="auto"/>
                <w:highlight w:val="none"/>
              </w:rPr>
            </w:pPr>
          </w:p>
        </w:tc>
        <w:tc>
          <w:tcPr>
            <w:tcW w:w="1148" w:type="dxa"/>
            <w:vAlign w:val="center"/>
          </w:tcPr>
          <w:p w14:paraId="2AFFA54B">
            <w:pPr>
              <w:ind w:left="223" w:hanging="222" w:hangingChars="106"/>
              <w:jc w:val="center"/>
              <w:rPr>
                <w:color w:val="auto"/>
                <w:highlight w:val="none"/>
              </w:rPr>
            </w:pPr>
          </w:p>
        </w:tc>
        <w:tc>
          <w:tcPr>
            <w:tcW w:w="850" w:type="dxa"/>
            <w:vAlign w:val="center"/>
          </w:tcPr>
          <w:p w14:paraId="359B347D">
            <w:pPr>
              <w:ind w:left="223" w:hanging="222" w:hangingChars="106"/>
              <w:jc w:val="center"/>
              <w:rPr>
                <w:color w:val="auto"/>
                <w:highlight w:val="none"/>
              </w:rPr>
            </w:pPr>
          </w:p>
        </w:tc>
        <w:tc>
          <w:tcPr>
            <w:tcW w:w="1679" w:type="dxa"/>
            <w:vAlign w:val="center"/>
          </w:tcPr>
          <w:p w14:paraId="27A090E9">
            <w:pPr>
              <w:ind w:left="223" w:hanging="222" w:hangingChars="106"/>
              <w:jc w:val="center"/>
              <w:rPr>
                <w:color w:val="auto"/>
                <w:highlight w:val="none"/>
              </w:rPr>
            </w:pPr>
          </w:p>
        </w:tc>
      </w:tr>
      <w:tr w14:paraId="3E42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B7BB260">
            <w:pPr>
              <w:ind w:left="223" w:hanging="222" w:hangingChars="106"/>
              <w:jc w:val="center"/>
              <w:rPr>
                <w:color w:val="auto"/>
                <w:highlight w:val="none"/>
              </w:rPr>
            </w:pPr>
          </w:p>
        </w:tc>
        <w:tc>
          <w:tcPr>
            <w:tcW w:w="829" w:type="dxa"/>
            <w:vAlign w:val="center"/>
          </w:tcPr>
          <w:p w14:paraId="259CF3EF">
            <w:pPr>
              <w:ind w:left="223" w:hanging="222" w:hangingChars="106"/>
              <w:jc w:val="center"/>
              <w:rPr>
                <w:color w:val="auto"/>
                <w:highlight w:val="none"/>
              </w:rPr>
            </w:pPr>
          </w:p>
        </w:tc>
        <w:tc>
          <w:tcPr>
            <w:tcW w:w="816" w:type="dxa"/>
            <w:vAlign w:val="center"/>
          </w:tcPr>
          <w:p w14:paraId="2344925B">
            <w:pPr>
              <w:ind w:left="223" w:hanging="222" w:hangingChars="106"/>
              <w:jc w:val="center"/>
              <w:rPr>
                <w:color w:val="auto"/>
                <w:highlight w:val="none"/>
              </w:rPr>
            </w:pPr>
          </w:p>
        </w:tc>
        <w:tc>
          <w:tcPr>
            <w:tcW w:w="1148" w:type="dxa"/>
            <w:vAlign w:val="center"/>
          </w:tcPr>
          <w:p w14:paraId="525C7D00">
            <w:pPr>
              <w:ind w:left="223" w:hanging="222" w:hangingChars="106"/>
              <w:jc w:val="center"/>
              <w:rPr>
                <w:color w:val="auto"/>
                <w:highlight w:val="none"/>
              </w:rPr>
            </w:pPr>
          </w:p>
        </w:tc>
        <w:tc>
          <w:tcPr>
            <w:tcW w:w="1148" w:type="dxa"/>
            <w:vAlign w:val="center"/>
          </w:tcPr>
          <w:p w14:paraId="18B45A19">
            <w:pPr>
              <w:ind w:left="223" w:hanging="222" w:hangingChars="106"/>
              <w:jc w:val="center"/>
              <w:rPr>
                <w:color w:val="auto"/>
                <w:highlight w:val="none"/>
              </w:rPr>
            </w:pPr>
          </w:p>
        </w:tc>
        <w:tc>
          <w:tcPr>
            <w:tcW w:w="1148" w:type="dxa"/>
            <w:vAlign w:val="center"/>
          </w:tcPr>
          <w:p w14:paraId="7071C1E0">
            <w:pPr>
              <w:ind w:left="223" w:hanging="222" w:hangingChars="106"/>
              <w:jc w:val="center"/>
              <w:rPr>
                <w:color w:val="auto"/>
                <w:highlight w:val="none"/>
              </w:rPr>
            </w:pPr>
          </w:p>
        </w:tc>
        <w:tc>
          <w:tcPr>
            <w:tcW w:w="1148" w:type="dxa"/>
            <w:vAlign w:val="center"/>
          </w:tcPr>
          <w:p w14:paraId="7107DE2C">
            <w:pPr>
              <w:ind w:left="223" w:hanging="222" w:hangingChars="106"/>
              <w:jc w:val="center"/>
              <w:rPr>
                <w:color w:val="auto"/>
                <w:highlight w:val="none"/>
              </w:rPr>
            </w:pPr>
          </w:p>
        </w:tc>
        <w:tc>
          <w:tcPr>
            <w:tcW w:w="850" w:type="dxa"/>
            <w:vAlign w:val="center"/>
          </w:tcPr>
          <w:p w14:paraId="3EF53CF7">
            <w:pPr>
              <w:ind w:left="223" w:hanging="222" w:hangingChars="106"/>
              <w:jc w:val="center"/>
              <w:rPr>
                <w:color w:val="auto"/>
                <w:highlight w:val="none"/>
              </w:rPr>
            </w:pPr>
          </w:p>
        </w:tc>
        <w:tc>
          <w:tcPr>
            <w:tcW w:w="1679" w:type="dxa"/>
            <w:vAlign w:val="center"/>
          </w:tcPr>
          <w:p w14:paraId="0FE496E4">
            <w:pPr>
              <w:ind w:left="223" w:hanging="222" w:hangingChars="106"/>
              <w:jc w:val="center"/>
              <w:rPr>
                <w:color w:val="auto"/>
                <w:highlight w:val="none"/>
              </w:rPr>
            </w:pPr>
          </w:p>
        </w:tc>
      </w:tr>
      <w:tr w14:paraId="09CA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759" w:type="dxa"/>
            <w:gridSpan w:val="9"/>
          </w:tcPr>
          <w:p w14:paraId="50B21ACB">
            <w:pPr>
              <w:spacing w:before="120" w:beforeLines="50" w:after="120" w:afterLines="50" w:line="360" w:lineRule="auto"/>
              <w:rPr>
                <w:color w:val="auto"/>
                <w:highlight w:val="none"/>
              </w:rPr>
            </w:pPr>
            <w:r>
              <w:rPr>
                <w:rFonts w:hint="eastAsia" w:cs="宋体"/>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C30654B">
      <w:pPr>
        <w:snapToGrid w:val="0"/>
        <w:spacing w:line="360" w:lineRule="auto"/>
        <w:ind w:firstLine="422" w:firstLineChars="200"/>
        <w:rPr>
          <w:b/>
          <w:color w:val="auto"/>
          <w:szCs w:val="21"/>
          <w:highlight w:val="none"/>
        </w:rPr>
      </w:pPr>
    </w:p>
    <w:p w14:paraId="380B31D8">
      <w:pPr>
        <w:autoSpaceDE w:val="0"/>
        <w:autoSpaceDN w:val="0"/>
        <w:spacing w:line="360" w:lineRule="auto"/>
        <w:jc w:val="left"/>
        <w:rPr>
          <w:rFonts w:eastAsia="楷体_GB2312" w:cs="楷体_GB2312"/>
          <w:color w:val="auto"/>
          <w:highlight w:val="none"/>
        </w:rPr>
      </w:pPr>
      <w:r>
        <w:rPr>
          <w:rFonts w:hint="eastAsia" w:eastAsia="楷体_GB2312" w:cs="楷体_GB2312"/>
          <w:color w:val="auto"/>
          <w:highlight w:val="none"/>
        </w:rPr>
        <w:t>【</w:t>
      </w:r>
      <w:r>
        <w:rPr>
          <w:rFonts w:hint="eastAsia" w:ascii="楷体" w:hAnsi="楷体" w:eastAsia="楷体"/>
          <w:color w:val="auto"/>
          <w:highlight w:val="none"/>
        </w:rPr>
        <w:t>备注：附上述人员的身份证</w:t>
      </w:r>
      <w:r>
        <w:rPr>
          <w:rFonts w:hint="eastAsia" w:eastAsia="楷体"/>
          <w:color w:val="auto"/>
          <w:highlight w:val="none"/>
        </w:rPr>
        <w:t>、</w:t>
      </w:r>
      <w:r>
        <w:rPr>
          <w:rFonts w:hint="eastAsia" w:ascii="楷体" w:hAnsi="楷体" w:eastAsia="楷体"/>
          <w:color w:val="auto"/>
          <w:highlight w:val="none"/>
        </w:rPr>
        <w:t>各岗位人员资格证件（如有）扫描件</w:t>
      </w:r>
      <w:r>
        <w:rPr>
          <w:rFonts w:hint="eastAsia" w:eastAsia="楷体_GB2312" w:cs="楷体_GB2312"/>
          <w:color w:val="auto"/>
          <w:highlight w:val="none"/>
        </w:rPr>
        <w:t>】</w:t>
      </w:r>
    </w:p>
    <w:p w14:paraId="2F4A9F45">
      <w:pPr>
        <w:pStyle w:val="8"/>
        <w:rPr>
          <w:rFonts w:eastAsia="楷体_GB2312" w:cs="楷体_GB2312"/>
          <w:color w:val="auto"/>
          <w:highlight w:val="none"/>
        </w:rPr>
      </w:pPr>
    </w:p>
    <w:p w14:paraId="61247B8B">
      <w:pPr>
        <w:pStyle w:val="8"/>
        <w:rPr>
          <w:rFonts w:eastAsia="楷体_GB2312" w:cs="楷体_GB2312"/>
          <w:color w:val="auto"/>
          <w:highlight w:val="none"/>
        </w:rPr>
      </w:pPr>
    </w:p>
    <w:p w14:paraId="0582A856">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2F573D32">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6A203D54">
      <w:pPr>
        <w:autoSpaceDE w:val="0"/>
        <w:autoSpaceDN w:val="0"/>
        <w:spacing w:line="360" w:lineRule="auto"/>
        <w:ind w:firstLine="5670" w:firstLineChars="2700"/>
        <w:rPr>
          <w:rFonts w:eastAsia="仿宋_GB2312"/>
          <w:color w:val="auto"/>
          <w:kern w:val="0"/>
          <w:szCs w:val="21"/>
          <w:highlight w:val="none"/>
          <w:lang w:val="zh-CN"/>
        </w:rPr>
      </w:pPr>
    </w:p>
    <w:p w14:paraId="4359F912">
      <w:pPr>
        <w:autoSpaceDE w:val="0"/>
        <w:autoSpaceDN w:val="0"/>
        <w:spacing w:line="360" w:lineRule="auto"/>
        <w:ind w:firstLine="8132" w:firstLineChars="2700"/>
        <w:rPr>
          <w:rFonts w:ascii="仿宋_GB2312" w:hAnsi="仿宋" w:eastAsia="仿宋_GB2312" w:cs="仿宋_GB2312"/>
          <w:b/>
          <w:bCs/>
          <w:color w:val="auto"/>
          <w:sz w:val="24"/>
          <w:highlight w:val="none"/>
        </w:rPr>
      </w:pPr>
      <w:r>
        <w:rPr>
          <w:rFonts w:hint="eastAsia" w:ascii="仿宋" w:hAnsi="仿宋" w:eastAsia="仿宋" w:cs="仿宋_GB2312"/>
          <w:b/>
          <w:color w:val="auto"/>
          <w:sz w:val="30"/>
          <w:szCs w:val="30"/>
          <w:highlight w:val="none"/>
        </w:rPr>
        <w:br w:type="page"/>
      </w:r>
    </w:p>
    <w:p w14:paraId="030FF23F">
      <w:pPr>
        <w:pStyle w:val="4"/>
        <w:jc w:val="center"/>
        <w:rPr>
          <w:rFonts w:ascii="Times New Roman" w:hAnsi="Times New Roman"/>
          <w:color w:val="auto"/>
          <w:highlight w:val="none"/>
        </w:rPr>
      </w:pPr>
      <w:bookmarkStart w:id="172" w:name="_Toc80886945"/>
      <w:bookmarkStart w:id="173" w:name="_Toc31035"/>
      <w:bookmarkStart w:id="174" w:name="_Toc80205941"/>
      <w:bookmarkStart w:id="175" w:name="_Toc12611"/>
      <w:r>
        <w:rPr>
          <w:rFonts w:ascii="Times New Roman" w:hAnsi="Times New Roman"/>
          <w:color w:val="auto"/>
          <w:highlight w:val="none"/>
        </w:rPr>
        <w:t>第三节 报价文件格式</w:t>
      </w:r>
      <w:bookmarkEnd w:id="172"/>
      <w:bookmarkEnd w:id="173"/>
      <w:bookmarkEnd w:id="174"/>
      <w:bookmarkEnd w:id="175"/>
    </w:p>
    <w:p w14:paraId="155B44FB">
      <w:pPr>
        <w:pStyle w:val="2"/>
        <w:rPr>
          <w:color w:val="auto"/>
          <w:highlight w:val="none"/>
          <w:lang w:val="zh-CN"/>
        </w:rPr>
      </w:pPr>
      <w:r>
        <w:rPr>
          <w:color w:val="auto"/>
          <w:sz w:val="24"/>
          <w:highlight w:val="none"/>
        </w:rPr>
        <w:t xml:space="preserve">  </w:t>
      </w:r>
      <w:r>
        <w:rPr>
          <w:b/>
          <w:bCs/>
          <w:color w:val="auto"/>
          <w:sz w:val="28"/>
          <w:szCs w:val="28"/>
          <w:highlight w:val="none"/>
        </w:rPr>
        <w:t>1.报价文件封面的格式：</w:t>
      </w:r>
    </w:p>
    <w:p w14:paraId="77FCB28D">
      <w:pPr>
        <w:snapToGrid w:val="0"/>
        <w:spacing w:before="120" w:beforeLines="50" w:after="50"/>
        <w:rPr>
          <w:color w:val="auto"/>
          <w:sz w:val="24"/>
          <w:highlight w:val="none"/>
        </w:rPr>
      </w:pPr>
      <w:r>
        <w:rPr>
          <w:color w:val="auto"/>
          <w:sz w:val="24"/>
          <w:highlight w:val="none"/>
        </w:rPr>
        <w:t xml:space="preserve">                                             </w:t>
      </w:r>
    </w:p>
    <w:p w14:paraId="1543CBAE">
      <w:pPr>
        <w:snapToGrid w:val="0"/>
        <w:spacing w:before="120" w:beforeLines="50" w:after="50"/>
        <w:ind w:firstLine="6720" w:firstLineChars="3200"/>
        <w:rPr>
          <w:bCs/>
          <w:color w:val="auto"/>
          <w:sz w:val="32"/>
          <w:szCs w:val="20"/>
          <w:highlight w:val="none"/>
        </w:rPr>
      </w:pPr>
      <w:r>
        <w:rPr>
          <w:bCs/>
          <w:color w:val="auto"/>
          <w:highlight w:val="none"/>
        </w:rPr>
        <w:t>全流程电子文件</w:t>
      </w:r>
    </w:p>
    <w:p w14:paraId="3DD5E789">
      <w:pPr>
        <w:snapToGrid w:val="0"/>
        <w:spacing w:before="120" w:beforeLines="50" w:after="50"/>
        <w:rPr>
          <w:color w:val="auto"/>
          <w:sz w:val="24"/>
          <w:szCs w:val="20"/>
          <w:highlight w:val="none"/>
        </w:rPr>
      </w:pPr>
    </w:p>
    <w:p w14:paraId="17D63475">
      <w:pPr>
        <w:snapToGrid w:val="0"/>
        <w:spacing w:before="120" w:beforeLines="50" w:after="50"/>
        <w:rPr>
          <w:color w:val="auto"/>
          <w:sz w:val="24"/>
          <w:szCs w:val="20"/>
          <w:highlight w:val="none"/>
        </w:rPr>
      </w:pPr>
    </w:p>
    <w:p w14:paraId="2E346424">
      <w:pPr>
        <w:snapToGrid w:val="0"/>
        <w:spacing w:before="120" w:beforeLines="50" w:after="50"/>
        <w:rPr>
          <w:color w:val="auto"/>
          <w:sz w:val="24"/>
          <w:szCs w:val="20"/>
          <w:highlight w:val="none"/>
        </w:rPr>
      </w:pPr>
    </w:p>
    <w:p w14:paraId="72493A90">
      <w:pPr>
        <w:snapToGrid w:val="0"/>
        <w:spacing w:before="120" w:beforeLines="50" w:after="50"/>
        <w:jc w:val="center"/>
        <w:rPr>
          <w:rFonts w:ascii="宋体" w:hAnsi="宋体" w:cs="宋体"/>
          <w:b/>
          <w:color w:val="auto"/>
          <w:sz w:val="44"/>
          <w:szCs w:val="44"/>
          <w:highlight w:val="none"/>
        </w:rPr>
      </w:pPr>
      <w:r>
        <w:rPr>
          <w:rFonts w:hint="eastAsia" w:ascii="宋体" w:hAnsi="宋体" w:cs="宋体"/>
          <w:b/>
          <w:color w:val="auto"/>
          <w:sz w:val="44"/>
          <w:szCs w:val="44"/>
          <w:highlight w:val="none"/>
        </w:rPr>
        <w:t>报  价  文  件</w:t>
      </w:r>
    </w:p>
    <w:p w14:paraId="19811689">
      <w:pPr>
        <w:snapToGrid w:val="0"/>
        <w:spacing w:before="120" w:beforeLines="50" w:after="50"/>
        <w:rPr>
          <w:bCs/>
          <w:color w:val="auto"/>
          <w:sz w:val="24"/>
          <w:szCs w:val="20"/>
          <w:highlight w:val="none"/>
        </w:rPr>
      </w:pPr>
    </w:p>
    <w:p w14:paraId="09A94397">
      <w:pPr>
        <w:snapToGrid w:val="0"/>
        <w:spacing w:before="120" w:beforeLines="50" w:after="50"/>
        <w:rPr>
          <w:bCs/>
          <w:color w:val="auto"/>
          <w:sz w:val="24"/>
          <w:szCs w:val="20"/>
          <w:highlight w:val="none"/>
        </w:rPr>
      </w:pPr>
    </w:p>
    <w:p w14:paraId="2259F2C6">
      <w:pPr>
        <w:snapToGrid w:val="0"/>
        <w:spacing w:before="120" w:beforeLines="50" w:after="50"/>
        <w:rPr>
          <w:bCs/>
          <w:color w:val="auto"/>
          <w:sz w:val="24"/>
          <w:szCs w:val="20"/>
          <w:highlight w:val="none"/>
        </w:rPr>
      </w:pPr>
    </w:p>
    <w:p w14:paraId="6132EC6C">
      <w:pPr>
        <w:snapToGrid w:val="0"/>
        <w:spacing w:before="120" w:beforeLines="50" w:after="50"/>
        <w:rPr>
          <w:bCs/>
          <w:color w:val="auto"/>
          <w:sz w:val="24"/>
          <w:szCs w:val="20"/>
          <w:highlight w:val="none"/>
        </w:rPr>
      </w:pPr>
    </w:p>
    <w:p w14:paraId="5AD1CD97">
      <w:pPr>
        <w:snapToGrid w:val="0"/>
        <w:spacing w:before="120" w:beforeLines="50" w:after="50"/>
        <w:rPr>
          <w:bCs/>
          <w:color w:val="auto"/>
          <w:sz w:val="24"/>
          <w:szCs w:val="20"/>
          <w:highlight w:val="none"/>
        </w:rPr>
      </w:pPr>
    </w:p>
    <w:p w14:paraId="3C70991F">
      <w:pPr>
        <w:snapToGrid w:val="0"/>
        <w:spacing w:before="120" w:beforeLines="50" w:after="50"/>
        <w:ind w:firstLine="640" w:firstLineChars="200"/>
        <w:rPr>
          <w:bCs/>
          <w:color w:val="auto"/>
          <w:sz w:val="32"/>
          <w:szCs w:val="32"/>
          <w:highlight w:val="none"/>
        </w:rPr>
      </w:pPr>
      <w:r>
        <w:rPr>
          <w:bCs/>
          <w:color w:val="auto"/>
          <w:sz w:val="32"/>
          <w:szCs w:val="32"/>
          <w:highlight w:val="none"/>
        </w:rPr>
        <w:t>项目名称：</w:t>
      </w:r>
    </w:p>
    <w:p w14:paraId="2BFD94BB">
      <w:pPr>
        <w:snapToGrid w:val="0"/>
        <w:spacing w:before="120" w:beforeLines="50" w:after="50"/>
        <w:ind w:firstLine="720" w:firstLineChars="225"/>
        <w:rPr>
          <w:bCs/>
          <w:color w:val="auto"/>
          <w:sz w:val="32"/>
          <w:szCs w:val="32"/>
          <w:highlight w:val="none"/>
        </w:rPr>
      </w:pPr>
    </w:p>
    <w:p w14:paraId="60A9E232">
      <w:pPr>
        <w:snapToGrid w:val="0"/>
        <w:spacing w:before="120" w:beforeLines="50" w:after="50"/>
        <w:ind w:firstLine="640" w:firstLineChars="200"/>
        <w:rPr>
          <w:bCs/>
          <w:color w:val="auto"/>
          <w:sz w:val="32"/>
          <w:szCs w:val="32"/>
          <w:highlight w:val="none"/>
        </w:rPr>
      </w:pPr>
      <w:r>
        <w:rPr>
          <w:bCs/>
          <w:color w:val="auto"/>
          <w:sz w:val="32"/>
          <w:szCs w:val="32"/>
          <w:highlight w:val="none"/>
        </w:rPr>
        <w:t>项目编号：</w:t>
      </w:r>
    </w:p>
    <w:p w14:paraId="46B4567C">
      <w:pPr>
        <w:snapToGrid w:val="0"/>
        <w:spacing w:before="120" w:beforeLines="50" w:after="50"/>
        <w:ind w:firstLine="720" w:firstLineChars="225"/>
        <w:rPr>
          <w:bCs/>
          <w:color w:val="auto"/>
          <w:sz w:val="32"/>
          <w:szCs w:val="32"/>
          <w:highlight w:val="none"/>
        </w:rPr>
      </w:pPr>
      <w:r>
        <w:rPr>
          <w:bCs/>
          <w:color w:val="auto"/>
          <w:sz w:val="32"/>
          <w:szCs w:val="32"/>
          <w:highlight w:val="none"/>
        </w:rPr>
        <w:t xml:space="preserve"> </w:t>
      </w:r>
    </w:p>
    <w:p w14:paraId="3D129B66">
      <w:pPr>
        <w:snapToGrid w:val="0"/>
        <w:spacing w:before="120" w:beforeLines="50" w:after="50"/>
        <w:ind w:firstLine="640" w:firstLineChars="200"/>
        <w:rPr>
          <w:bCs/>
          <w:color w:val="auto"/>
          <w:sz w:val="32"/>
          <w:szCs w:val="32"/>
          <w:highlight w:val="none"/>
        </w:rPr>
      </w:pPr>
      <w:r>
        <w:rPr>
          <w:bCs/>
          <w:color w:val="auto"/>
          <w:sz w:val="32"/>
          <w:szCs w:val="32"/>
          <w:highlight w:val="none"/>
        </w:rPr>
        <w:t>所竞分标（如有则填写，无分标时填写“无”或者留空）：</w:t>
      </w:r>
    </w:p>
    <w:p w14:paraId="7A571D2A">
      <w:pPr>
        <w:snapToGrid w:val="0"/>
        <w:spacing w:before="120" w:beforeLines="50" w:after="50"/>
        <w:ind w:firstLine="720" w:firstLineChars="225"/>
        <w:rPr>
          <w:bCs/>
          <w:color w:val="auto"/>
          <w:sz w:val="32"/>
          <w:szCs w:val="32"/>
          <w:highlight w:val="none"/>
        </w:rPr>
      </w:pPr>
    </w:p>
    <w:p w14:paraId="2054EF6C">
      <w:pPr>
        <w:pStyle w:val="8"/>
        <w:snapToGrid w:val="0"/>
        <w:spacing w:before="50" w:after="50"/>
        <w:ind w:firstLine="640" w:firstLineChars="200"/>
        <w:rPr>
          <w:bCs/>
          <w:color w:val="auto"/>
          <w:sz w:val="32"/>
          <w:szCs w:val="32"/>
          <w:highlight w:val="none"/>
        </w:rPr>
      </w:pPr>
      <w:r>
        <w:rPr>
          <w:bCs/>
          <w:color w:val="auto"/>
          <w:sz w:val="32"/>
          <w:szCs w:val="32"/>
          <w:highlight w:val="none"/>
        </w:rPr>
        <w:t>供应商名称：</w:t>
      </w:r>
    </w:p>
    <w:p w14:paraId="58737FB5">
      <w:pPr>
        <w:pStyle w:val="8"/>
        <w:snapToGrid w:val="0"/>
        <w:spacing w:before="50" w:after="50"/>
        <w:ind w:firstLine="720" w:firstLineChars="225"/>
        <w:rPr>
          <w:bCs/>
          <w:color w:val="auto"/>
          <w:sz w:val="32"/>
          <w:szCs w:val="32"/>
          <w:highlight w:val="none"/>
        </w:rPr>
      </w:pPr>
    </w:p>
    <w:p w14:paraId="34067C4E">
      <w:pPr>
        <w:pStyle w:val="8"/>
        <w:snapToGrid w:val="0"/>
        <w:spacing w:before="50" w:after="50"/>
        <w:ind w:firstLine="720" w:firstLineChars="225"/>
        <w:rPr>
          <w:bCs/>
          <w:color w:val="auto"/>
          <w:sz w:val="32"/>
          <w:szCs w:val="32"/>
          <w:highlight w:val="none"/>
        </w:rPr>
      </w:pPr>
    </w:p>
    <w:p w14:paraId="194D01EC">
      <w:pPr>
        <w:pStyle w:val="8"/>
        <w:snapToGrid w:val="0"/>
        <w:spacing w:before="50" w:after="50"/>
        <w:ind w:firstLine="1280" w:firstLineChars="400"/>
        <w:rPr>
          <w:bCs/>
          <w:color w:val="auto"/>
          <w:sz w:val="32"/>
          <w:szCs w:val="32"/>
          <w:highlight w:val="none"/>
        </w:rPr>
      </w:pPr>
    </w:p>
    <w:p w14:paraId="18F30D61">
      <w:pPr>
        <w:snapToGrid w:val="0"/>
        <w:spacing w:before="120" w:beforeLines="50" w:after="50"/>
        <w:jc w:val="center"/>
        <w:rPr>
          <w:color w:val="auto"/>
          <w:sz w:val="32"/>
          <w:szCs w:val="32"/>
          <w:highlight w:val="none"/>
        </w:rPr>
      </w:pPr>
      <w:r>
        <w:rPr>
          <w:color w:val="auto"/>
          <w:sz w:val="32"/>
          <w:szCs w:val="32"/>
          <w:highlight w:val="none"/>
        </w:rPr>
        <w:t>年    月    日</w:t>
      </w:r>
    </w:p>
    <w:p w14:paraId="1CB0F288">
      <w:pPr>
        <w:snapToGrid w:val="0"/>
        <w:spacing w:before="120" w:beforeLines="50" w:after="50" w:line="360" w:lineRule="auto"/>
        <w:jc w:val="left"/>
        <w:rPr>
          <w:color w:val="auto"/>
          <w:sz w:val="28"/>
          <w:szCs w:val="28"/>
          <w:highlight w:val="none"/>
        </w:rPr>
      </w:pPr>
      <w:r>
        <w:rPr>
          <w:color w:val="auto"/>
          <w:sz w:val="24"/>
          <w:highlight w:val="none"/>
        </w:rPr>
        <w:br w:type="page"/>
      </w:r>
      <w:r>
        <w:rPr>
          <w:b/>
          <w:color w:val="auto"/>
          <w:sz w:val="28"/>
          <w:szCs w:val="28"/>
          <w:highlight w:val="none"/>
        </w:rPr>
        <w:t>2.</w:t>
      </w:r>
      <w:r>
        <w:rPr>
          <w:b/>
          <w:bCs/>
          <w:color w:val="auto"/>
          <w:sz w:val="28"/>
          <w:szCs w:val="28"/>
          <w:highlight w:val="none"/>
        </w:rPr>
        <w:t>报价文件目录</w:t>
      </w:r>
    </w:p>
    <w:p w14:paraId="2806A88B">
      <w:pPr>
        <w:snapToGrid w:val="0"/>
        <w:spacing w:before="50" w:after="120" w:afterLines="50" w:line="360" w:lineRule="auto"/>
        <w:jc w:val="left"/>
        <w:rPr>
          <w:b/>
          <w:color w:val="auto"/>
          <w:sz w:val="28"/>
          <w:szCs w:val="28"/>
          <w:highlight w:val="none"/>
        </w:rPr>
      </w:pPr>
      <w:r>
        <w:rPr>
          <w:color w:val="auto"/>
          <w:sz w:val="28"/>
          <w:szCs w:val="28"/>
          <w:highlight w:val="none"/>
        </w:rPr>
        <w:t>根据竞争性磋商文件规定及供应商提供的材料自行编写目录</w:t>
      </w:r>
      <w:r>
        <w:rPr>
          <w:color w:val="auto"/>
          <w:kern w:val="0"/>
          <w:sz w:val="28"/>
          <w:szCs w:val="28"/>
          <w:highlight w:val="none"/>
        </w:rPr>
        <w:t>（部分格式后附）</w:t>
      </w:r>
      <w:r>
        <w:rPr>
          <w:color w:val="auto"/>
          <w:sz w:val="28"/>
          <w:szCs w:val="28"/>
          <w:highlight w:val="none"/>
        </w:rPr>
        <w:t>。</w:t>
      </w:r>
    </w:p>
    <w:p w14:paraId="6D505FAF">
      <w:pPr>
        <w:spacing w:line="360" w:lineRule="auto"/>
        <w:rPr>
          <w:rFonts w:eastAsia="仿宋_GB2312"/>
          <w:color w:val="auto"/>
          <w:sz w:val="24"/>
          <w:highlight w:val="none"/>
        </w:rPr>
      </w:pPr>
    </w:p>
    <w:p w14:paraId="4153499B">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14:paraId="1231A19D">
      <w:pPr>
        <w:snapToGrid w:val="0"/>
        <w:spacing w:before="120" w:beforeLines="50" w:after="50" w:line="360" w:lineRule="auto"/>
        <w:jc w:val="left"/>
        <w:rPr>
          <w:color w:val="auto"/>
          <w:szCs w:val="21"/>
          <w:highlight w:val="none"/>
        </w:rPr>
      </w:pPr>
      <w:r>
        <w:rPr>
          <w:rFonts w:ascii="Calibri" w:cs="仿宋_GB2312"/>
          <w:color w:val="auto"/>
          <w:sz w:val="24"/>
          <w:highlight w:val="none"/>
        </w:rPr>
        <w:br w:type="page"/>
      </w:r>
      <w:r>
        <w:rPr>
          <w:b/>
          <w:color w:val="auto"/>
          <w:sz w:val="28"/>
          <w:szCs w:val="28"/>
          <w:highlight w:val="none"/>
        </w:rPr>
        <w:t>3.</w:t>
      </w:r>
      <w:r>
        <w:rPr>
          <w:b/>
          <w:color w:val="auto"/>
          <w:sz w:val="28"/>
          <w:szCs w:val="28"/>
          <w:highlight w:val="none"/>
          <w:lang w:val="zh-CN"/>
        </w:rPr>
        <w:t>响应函的格式：</w:t>
      </w:r>
    </w:p>
    <w:p w14:paraId="2F160BA5">
      <w:pPr>
        <w:spacing w:line="500" w:lineRule="exact"/>
        <w:jc w:val="center"/>
        <w:rPr>
          <w:b/>
          <w:bCs/>
          <w:color w:val="auto"/>
          <w:kern w:val="0"/>
          <w:sz w:val="28"/>
          <w:szCs w:val="28"/>
          <w:highlight w:val="none"/>
        </w:rPr>
      </w:pPr>
      <w:r>
        <w:rPr>
          <w:b/>
          <w:bCs/>
          <w:color w:val="auto"/>
          <w:kern w:val="0"/>
          <w:sz w:val="28"/>
          <w:szCs w:val="28"/>
          <w:highlight w:val="none"/>
        </w:rPr>
        <w:t>响应函</w:t>
      </w:r>
    </w:p>
    <w:p w14:paraId="7234C2E2">
      <w:pPr>
        <w:spacing w:line="500" w:lineRule="exact"/>
        <w:rPr>
          <w:color w:val="auto"/>
          <w:kern w:val="0"/>
          <w:szCs w:val="21"/>
          <w:highlight w:val="none"/>
        </w:rPr>
      </w:pPr>
    </w:p>
    <w:p w14:paraId="60FD07C2">
      <w:pPr>
        <w:spacing w:line="440" w:lineRule="exact"/>
        <w:rPr>
          <w:color w:val="auto"/>
          <w:kern w:val="0"/>
          <w:szCs w:val="21"/>
          <w:highlight w:val="none"/>
        </w:rPr>
      </w:pPr>
      <w:r>
        <w:rPr>
          <w:color w:val="auto"/>
          <w:kern w:val="0"/>
          <w:szCs w:val="21"/>
          <w:highlight w:val="none"/>
        </w:rPr>
        <w:t>致：</w:t>
      </w:r>
      <w:r>
        <w:rPr>
          <w:color w:val="auto"/>
          <w:kern w:val="0"/>
          <w:szCs w:val="21"/>
          <w:highlight w:val="none"/>
          <w:u w:val="single"/>
        </w:rPr>
        <w:t xml:space="preserve">                      </w:t>
      </w:r>
      <w:r>
        <w:rPr>
          <w:color w:val="auto"/>
          <w:kern w:val="0"/>
          <w:szCs w:val="21"/>
          <w:highlight w:val="none"/>
        </w:rPr>
        <w:t>（采购代理机构名称）</w:t>
      </w:r>
    </w:p>
    <w:p w14:paraId="328A8967">
      <w:pPr>
        <w:spacing w:line="440" w:lineRule="exact"/>
        <w:ind w:firstLine="420" w:firstLineChars="200"/>
        <w:rPr>
          <w:color w:val="auto"/>
          <w:kern w:val="0"/>
          <w:szCs w:val="21"/>
          <w:highlight w:val="none"/>
        </w:rPr>
      </w:pPr>
      <w:r>
        <w:rPr>
          <w:color w:val="auto"/>
          <w:kern w:val="0"/>
          <w:szCs w:val="21"/>
          <w:highlight w:val="none"/>
        </w:rPr>
        <w:t>我方已仔细阅读了贵方组织的</w:t>
      </w:r>
      <w:r>
        <w:rPr>
          <w:color w:val="auto"/>
          <w:kern w:val="0"/>
          <w:szCs w:val="21"/>
          <w:highlight w:val="none"/>
          <w:u w:val="single"/>
        </w:rPr>
        <w:t xml:space="preserve">                </w:t>
      </w:r>
      <w:r>
        <w:rPr>
          <w:color w:val="auto"/>
          <w:kern w:val="0"/>
          <w:szCs w:val="21"/>
          <w:highlight w:val="none"/>
        </w:rPr>
        <w:t>项目（项目编号：</w:t>
      </w:r>
      <w:r>
        <w:rPr>
          <w:color w:val="auto"/>
          <w:kern w:val="0"/>
          <w:szCs w:val="21"/>
          <w:highlight w:val="none"/>
          <w:u w:val="single"/>
        </w:rPr>
        <w:t xml:space="preserve">             </w:t>
      </w:r>
      <w:r>
        <w:rPr>
          <w:color w:val="auto"/>
          <w:kern w:val="0"/>
          <w:szCs w:val="21"/>
          <w:highlight w:val="none"/>
        </w:rPr>
        <w:t xml:space="preserve">）的竞争性磋商文件的全部内容，现正式递交下述文件参加贵方组织的本次政府采购活动： </w:t>
      </w:r>
    </w:p>
    <w:p w14:paraId="297FC58A">
      <w:pPr>
        <w:spacing w:line="440" w:lineRule="exact"/>
        <w:ind w:firstLine="420" w:firstLineChars="200"/>
        <w:rPr>
          <w:color w:val="auto"/>
          <w:kern w:val="0"/>
          <w:szCs w:val="21"/>
          <w:highlight w:val="none"/>
        </w:rPr>
      </w:pPr>
      <w:r>
        <w:rPr>
          <w:color w:val="auto"/>
          <w:kern w:val="0"/>
          <w:szCs w:val="21"/>
          <w:highlight w:val="none"/>
        </w:rPr>
        <w:t>一、首次报价文件电子版（包含按“第三章 供应商须知”提交的全部文件）；</w:t>
      </w:r>
    </w:p>
    <w:p w14:paraId="475E0519">
      <w:pPr>
        <w:spacing w:line="440" w:lineRule="exact"/>
        <w:ind w:firstLine="420" w:firstLineChars="200"/>
        <w:rPr>
          <w:color w:val="auto"/>
          <w:kern w:val="0"/>
          <w:szCs w:val="21"/>
          <w:highlight w:val="none"/>
        </w:rPr>
      </w:pPr>
      <w:r>
        <w:rPr>
          <w:color w:val="auto"/>
          <w:kern w:val="0"/>
          <w:szCs w:val="21"/>
          <w:highlight w:val="none"/>
        </w:rPr>
        <w:t>二、技术文件电子版（包含按“第三章 供应商须知”提交的全部文件）；商务文件电子版（包含按“第三章 供应商须知”提交的全部文件）；</w:t>
      </w:r>
    </w:p>
    <w:p w14:paraId="4EBF8C81">
      <w:pPr>
        <w:spacing w:line="440" w:lineRule="exact"/>
        <w:ind w:firstLine="420" w:firstLineChars="200"/>
        <w:rPr>
          <w:color w:val="auto"/>
          <w:kern w:val="0"/>
          <w:szCs w:val="21"/>
          <w:highlight w:val="none"/>
        </w:rPr>
      </w:pPr>
      <w:r>
        <w:rPr>
          <w:color w:val="auto"/>
          <w:kern w:val="0"/>
          <w:szCs w:val="21"/>
          <w:highlight w:val="none"/>
        </w:rPr>
        <w:t>三、资格证明文件电子版（包含按“第三章供应商须知”提交的全部文件）。</w:t>
      </w:r>
    </w:p>
    <w:p w14:paraId="0D337FCF">
      <w:pPr>
        <w:spacing w:line="440" w:lineRule="exact"/>
        <w:ind w:firstLine="420" w:firstLineChars="200"/>
        <w:rPr>
          <w:color w:val="auto"/>
          <w:kern w:val="0"/>
          <w:szCs w:val="21"/>
          <w:highlight w:val="none"/>
        </w:rPr>
      </w:pPr>
      <w:r>
        <w:rPr>
          <w:color w:val="auto"/>
          <w:kern w:val="0"/>
          <w:szCs w:val="21"/>
          <w:highlight w:val="none"/>
        </w:rPr>
        <w:t>据此函，</w:t>
      </w:r>
      <w:r>
        <w:rPr>
          <w:rFonts w:hint="eastAsia"/>
          <w:color w:val="auto"/>
          <w:kern w:val="0"/>
          <w:szCs w:val="21"/>
          <w:highlight w:val="none"/>
        </w:rPr>
        <w:t>我方</w:t>
      </w:r>
      <w:r>
        <w:rPr>
          <w:color w:val="auto"/>
          <w:kern w:val="0"/>
          <w:szCs w:val="21"/>
          <w:highlight w:val="none"/>
        </w:rPr>
        <w:t>兹宣布：</w:t>
      </w:r>
    </w:p>
    <w:p w14:paraId="273E0E7F">
      <w:pPr>
        <w:spacing w:line="440" w:lineRule="exact"/>
        <w:ind w:firstLine="420" w:firstLineChars="200"/>
        <w:rPr>
          <w:color w:val="auto"/>
          <w:kern w:val="0"/>
          <w:szCs w:val="21"/>
          <w:highlight w:val="none"/>
        </w:rPr>
      </w:pPr>
      <w:r>
        <w:rPr>
          <w:color w:val="auto"/>
          <w:kern w:val="0"/>
          <w:szCs w:val="21"/>
          <w:highlight w:val="none"/>
        </w:rPr>
        <w:t>1、我方愿意以磋商时提交的最后报价表中的</w:t>
      </w:r>
      <w:r>
        <w:rPr>
          <w:rFonts w:hint="eastAsia"/>
          <w:color w:val="auto"/>
          <w:kern w:val="0"/>
          <w:szCs w:val="21"/>
          <w:highlight w:val="none"/>
        </w:rPr>
        <w:t>磋商</w:t>
      </w:r>
      <w:r>
        <w:rPr>
          <w:color w:val="auto"/>
          <w:kern w:val="0"/>
          <w:szCs w:val="21"/>
          <w:highlight w:val="none"/>
        </w:rPr>
        <w:t>总报价，在承诺的</w:t>
      </w:r>
      <w:r>
        <w:rPr>
          <w:rFonts w:hint="eastAsia"/>
          <w:color w:val="auto"/>
          <w:kern w:val="0"/>
          <w:szCs w:val="21"/>
          <w:highlight w:val="none"/>
        </w:rPr>
        <w:t>工期内</w:t>
      </w:r>
      <w:r>
        <w:rPr>
          <w:color w:val="auto"/>
          <w:kern w:val="0"/>
          <w:szCs w:val="21"/>
          <w:highlight w:val="none"/>
        </w:rPr>
        <w:t>提供本项目竞争性磋商文件第二章“采购需求”中相应的采购内容，具体详见最后报价表。</w:t>
      </w:r>
    </w:p>
    <w:p w14:paraId="1B145CB7">
      <w:pPr>
        <w:spacing w:line="440" w:lineRule="exact"/>
        <w:ind w:firstLine="420" w:firstLineChars="200"/>
        <w:rPr>
          <w:color w:val="auto"/>
          <w:kern w:val="0"/>
          <w:szCs w:val="21"/>
          <w:highlight w:val="none"/>
        </w:rPr>
      </w:pPr>
      <w:r>
        <w:rPr>
          <w:color w:val="auto"/>
          <w:kern w:val="0"/>
          <w:szCs w:val="21"/>
          <w:highlight w:val="none"/>
        </w:rPr>
        <w:t>2、</w:t>
      </w:r>
      <w:r>
        <w:rPr>
          <w:rFonts w:hint="eastAsia"/>
          <w:color w:val="auto"/>
          <w:kern w:val="0"/>
          <w:szCs w:val="21"/>
          <w:highlight w:val="none"/>
        </w:rPr>
        <w:t>我方同意自本项目竞争性磋商文件采购公告规定的提交响应文件截止时间起遵循本响应函，并承诺在“第三章 供应商须知”规定的竞标有效期内不修改、撤销响应文件</w:t>
      </w:r>
      <w:r>
        <w:rPr>
          <w:color w:val="auto"/>
          <w:kern w:val="0"/>
          <w:szCs w:val="21"/>
          <w:highlight w:val="none"/>
        </w:rPr>
        <w:t>。</w:t>
      </w:r>
    </w:p>
    <w:p w14:paraId="520DEF07">
      <w:pPr>
        <w:spacing w:line="440" w:lineRule="exact"/>
        <w:ind w:firstLine="420" w:firstLineChars="200"/>
        <w:rPr>
          <w:color w:val="auto"/>
          <w:kern w:val="0"/>
          <w:szCs w:val="21"/>
          <w:highlight w:val="none"/>
        </w:rPr>
      </w:pPr>
      <w:r>
        <w:rPr>
          <w:color w:val="auto"/>
          <w:kern w:val="0"/>
          <w:szCs w:val="21"/>
          <w:highlight w:val="none"/>
        </w:rPr>
        <w:t>3、我方在此声明，所递交的响应文件及有关资料内容完整、真实和准确。</w:t>
      </w:r>
    </w:p>
    <w:p w14:paraId="592E5E17">
      <w:pPr>
        <w:spacing w:line="440" w:lineRule="exact"/>
        <w:ind w:firstLine="420" w:firstLineChars="200"/>
        <w:rPr>
          <w:color w:val="auto"/>
          <w:kern w:val="0"/>
          <w:szCs w:val="21"/>
          <w:highlight w:val="none"/>
        </w:rPr>
      </w:pPr>
      <w:r>
        <w:rPr>
          <w:color w:val="auto"/>
          <w:kern w:val="0"/>
          <w:szCs w:val="21"/>
          <w:highlight w:val="none"/>
        </w:rPr>
        <w:t>4、如本项目采购内容涉及须符合国家强制规定的，我方承诺我方本次竞标均符合国家有关强制规定。</w:t>
      </w:r>
    </w:p>
    <w:p w14:paraId="1326425D">
      <w:pPr>
        <w:spacing w:line="440" w:lineRule="exact"/>
        <w:ind w:firstLine="420" w:firstLineChars="200"/>
        <w:rPr>
          <w:color w:val="auto"/>
          <w:kern w:val="0"/>
          <w:szCs w:val="21"/>
          <w:highlight w:val="none"/>
        </w:rPr>
      </w:pPr>
      <w:r>
        <w:rPr>
          <w:rFonts w:hint="eastAsia"/>
          <w:color w:val="auto"/>
          <w:kern w:val="0"/>
          <w:szCs w:val="21"/>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3608BD03">
      <w:pPr>
        <w:spacing w:line="440" w:lineRule="exact"/>
        <w:ind w:firstLine="420" w:firstLineChars="200"/>
        <w:rPr>
          <w:color w:val="auto"/>
          <w:kern w:val="0"/>
          <w:szCs w:val="21"/>
          <w:highlight w:val="none"/>
        </w:rPr>
      </w:pPr>
      <w:r>
        <w:rPr>
          <w:rFonts w:hint="eastAsia"/>
          <w:color w:val="auto"/>
          <w:kern w:val="0"/>
          <w:szCs w:val="21"/>
          <w:highlight w:val="none"/>
        </w:rPr>
        <w:t>6、我方已详细审核竞争性磋商文件，我方知道必须放弃提出含糊不清或误解问题的权利。</w:t>
      </w:r>
    </w:p>
    <w:p w14:paraId="0E51522E">
      <w:pPr>
        <w:spacing w:line="440" w:lineRule="exact"/>
        <w:ind w:firstLine="420" w:firstLineChars="200"/>
        <w:rPr>
          <w:color w:val="auto"/>
          <w:kern w:val="0"/>
          <w:szCs w:val="21"/>
          <w:highlight w:val="none"/>
        </w:rPr>
      </w:pPr>
      <w:r>
        <w:rPr>
          <w:rFonts w:hint="eastAsia"/>
          <w:color w:val="auto"/>
          <w:kern w:val="0"/>
          <w:szCs w:val="21"/>
          <w:highlight w:val="none"/>
        </w:rPr>
        <w:t>7、我方承诺满足竞争性磋商文件第六章“合同文本”的条款，承担完成合同的责任和义务。</w:t>
      </w:r>
    </w:p>
    <w:p w14:paraId="5519679B">
      <w:pPr>
        <w:spacing w:line="440" w:lineRule="exact"/>
        <w:ind w:firstLine="420" w:firstLineChars="200"/>
        <w:rPr>
          <w:color w:val="auto"/>
          <w:kern w:val="0"/>
          <w:szCs w:val="21"/>
          <w:highlight w:val="none"/>
        </w:rPr>
      </w:pPr>
      <w:r>
        <w:rPr>
          <w:rFonts w:hint="eastAsia"/>
          <w:color w:val="auto"/>
          <w:kern w:val="0"/>
          <w:szCs w:val="21"/>
          <w:highlight w:val="none"/>
        </w:rPr>
        <w:t>8、我方同意应贵方要求提供与本竞标有关的任何数据或资料。若贵方需要，我方愿意提供我方作出的一切承诺的证明材料。</w:t>
      </w:r>
    </w:p>
    <w:p w14:paraId="311669C4">
      <w:pPr>
        <w:spacing w:line="44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9、我方完全理解贵方不一定接受响应报价最低的供应商为成交供应商的行为。</w:t>
      </w:r>
    </w:p>
    <w:p w14:paraId="43660578">
      <w:pPr>
        <w:spacing w:line="440" w:lineRule="exact"/>
        <w:ind w:firstLine="482"/>
        <w:rPr>
          <w:rFonts w:ascii="宋体" w:hAnsi="宋体" w:cs="宋体"/>
          <w:color w:val="auto"/>
          <w:kern w:val="0"/>
          <w:szCs w:val="21"/>
          <w:highlight w:val="none"/>
        </w:rPr>
      </w:pPr>
      <w:r>
        <w:rPr>
          <w:rFonts w:hint="eastAsia" w:ascii="宋体" w:hAnsi="宋体" w:cs="宋体"/>
          <w:color w:val="auto"/>
          <w:kern w:val="0"/>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F98A5B">
      <w:pPr>
        <w:numPr>
          <w:ilvl w:val="0"/>
          <w:numId w:val="3"/>
        </w:numPr>
        <w:tabs>
          <w:tab w:val="left" w:pos="945"/>
        </w:tabs>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提供虚假材料谋取中标、成交的；</w:t>
      </w:r>
    </w:p>
    <w:p w14:paraId="43019424">
      <w:pPr>
        <w:numPr>
          <w:ilvl w:val="0"/>
          <w:numId w:val="3"/>
        </w:numPr>
        <w:tabs>
          <w:tab w:val="left" w:pos="945"/>
        </w:tabs>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采取不正当手段诋毁、排挤其他供应商的；</w:t>
      </w:r>
    </w:p>
    <w:p w14:paraId="679657E2">
      <w:pPr>
        <w:numPr>
          <w:ilvl w:val="0"/>
          <w:numId w:val="3"/>
        </w:numPr>
        <w:tabs>
          <w:tab w:val="left" w:pos="945"/>
        </w:tabs>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与采购人、其他供应商或者采购代理机构恶意串通的；</w:t>
      </w:r>
    </w:p>
    <w:p w14:paraId="3E2FB749">
      <w:pPr>
        <w:numPr>
          <w:ilvl w:val="0"/>
          <w:numId w:val="3"/>
        </w:numPr>
        <w:tabs>
          <w:tab w:val="left" w:pos="945"/>
        </w:tabs>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向采购人、采购代理机构行贿或者提供其他不正当利益的；</w:t>
      </w:r>
    </w:p>
    <w:p w14:paraId="1A772583">
      <w:pPr>
        <w:numPr>
          <w:ilvl w:val="0"/>
          <w:numId w:val="3"/>
        </w:numPr>
        <w:tabs>
          <w:tab w:val="left" w:pos="945"/>
        </w:tabs>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在采购过程中与采购人进行协商磋商的；</w:t>
      </w:r>
    </w:p>
    <w:p w14:paraId="3E009C57">
      <w:pPr>
        <w:numPr>
          <w:ilvl w:val="0"/>
          <w:numId w:val="3"/>
        </w:numPr>
        <w:tabs>
          <w:tab w:val="left" w:pos="945"/>
        </w:tabs>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拒绝有关部门监督检查或提供虚假情况的。</w:t>
      </w:r>
    </w:p>
    <w:p w14:paraId="4DB0EECB">
      <w:pPr>
        <w:spacing w:line="440" w:lineRule="exact"/>
        <w:ind w:firstLine="482"/>
        <w:rPr>
          <w:color w:val="auto"/>
          <w:kern w:val="0"/>
          <w:szCs w:val="21"/>
          <w:highlight w:val="none"/>
        </w:rPr>
      </w:pPr>
      <w:r>
        <w:rPr>
          <w:rFonts w:hint="eastAsia" w:ascii="宋体" w:hAnsi="宋体" w:cs="宋体"/>
          <w:color w:val="auto"/>
          <w:kern w:val="0"/>
          <w:szCs w:val="21"/>
          <w:highlight w:val="none"/>
        </w:rPr>
        <w:t>11、</w:t>
      </w:r>
      <w:r>
        <w:rPr>
          <w:rFonts w:hint="eastAsia"/>
          <w:color w:val="auto"/>
          <w:szCs w:val="21"/>
          <w:highlight w:val="none"/>
        </w:rPr>
        <w:t>以上事项如有虚假或者隐瞒，我方愿意承担一切后果，并不再寻求任何旨在减轻或者免除法律责任的辩解。</w:t>
      </w:r>
    </w:p>
    <w:p w14:paraId="7A1600E1">
      <w:pPr>
        <w:spacing w:line="440" w:lineRule="exact"/>
        <w:ind w:firstLine="420"/>
        <w:rPr>
          <w:b/>
          <w:bCs/>
          <w:color w:val="auto"/>
          <w:kern w:val="0"/>
          <w:szCs w:val="21"/>
          <w:highlight w:val="none"/>
        </w:rPr>
      </w:pPr>
      <w:r>
        <w:rPr>
          <w:b/>
          <w:bCs/>
          <w:color w:val="auto"/>
          <w:kern w:val="0"/>
          <w:szCs w:val="21"/>
          <w:highlight w:val="none"/>
        </w:rPr>
        <w:t>12</w:t>
      </w:r>
      <w:r>
        <w:rPr>
          <w:rFonts w:hint="eastAsia"/>
          <w:b/>
          <w:bCs/>
          <w:color w:val="auto"/>
          <w:kern w:val="0"/>
          <w:szCs w:val="21"/>
          <w:highlight w:val="none"/>
        </w:rPr>
        <w:t>、</w:t>
      </w:r>
      <w:r>
        <w:rPr>
          <w:b/>
          <w:bCs/>
          <w:color w:val="auto"/>
          <w:kern w:val="0"/>
          <w:szCs w:val="21"/>
          <w:highlight w:val="none"/>
        </w:rPr>
        <w:t xml:space="preserve">与本磋商有关的一切正式往来信函请寄： </w:t>
      </w:r>
    </w:p>
    <w:p w14:paraId="2842B818">
      <w:pPr>
        <w:spacing w:line="440" w:lineRule="exact"/>
        <w:ind w:firstLine="420"/>
        <w:rPr>
          <w:color w:val="auto"/>
          <w:kern w:val="0"/>
          <w:szCs w:val="21"/>
          <w:highlight w:val="none"/>
        </w:rPr>
      </w:pPr>
      <w:r>
        <w:rPr>
          <w:color w:val="auto"/>
          <w:kern w:val="0"/>
          <w:szCs w:val="21"/>
          <w:highlight w:val="none"/>
        </w:rPr>
        <w:t>地址：</w:t>
      </w:r>
      <w:r>
        <w:rPr>
          <w:color w:val="auto"/>
          <w:kern w:val="0"/>
          <w:szCs w:val="21"/>
          <w:highlight w:val="none"/>
          <w:u w:val="single"/>
        </w:rPr>
        <w:t xml:space="preserve">                                                        </w:t>
      </w:r>
      <w:r>
        <w:rPr>
          <w:color w:val="auto"/>
          <w:kern w:val="0"/>
          <w:szCs w:val="21"/>
          <w:highlight w:val="none"/>
        </w:rPr>
        <w:t xml:space="preserve"> </w:t>
      </w:r>
    </w:p>
    <w:p w14:paraId="698965A7">
      <w:pPr>
        <w:spacing w:line="440" w:lineRule="exact"/>
        <w:ind w:firstLine="420"/>
        <w:rPr>
          <w:color w:val="auto"/>
          <w:kern w:val="0"/>
          <w:szCs w:val="21"/>
          <w:highlight w:val="none"/>
          <w:u w:val="single"/>
        </w:rPr>
      </w:pPr>
      <w:r>
        <w:rPr>
          <w:color w:val="auto"/>
          <w:kern w:val="0"/>
          <w:szCs w:val="21"/>
          <w:highlight w:val="none"/>
        </w:rPr>
        <w:t>电话：</w:t>
      </w:r>
      <w:r>
        <w:rPr>
          <w:color w:val="auto"/>
          <w:kern w:val="0"/>
          <w:szCs w:val="21"/>
          <w:highlight w:val="none"/>
          <w:u w:val="single"/>
        </w:rPr>
        <w:t xml:space="preserve">                                      　　　　　　　　　</w:t>
      </w:r>
    </w:p>
    <w:p w14:paraId="086A227F">
      <w:pPr>
        <w:spacing w:line="440" w:lineRule="exact"/>
        <w:ind w:firstLine="420"/>
        <w:rPr>
          <w:color w:val="auto"/>
          <w:kern w:val="0"/>
          <w:szCs w:val="21"/>
          <w:highlight w:val="none"/>
          <w:u w:val="single"/>
        </w:rPr>
      </w:pPr>
      <w:r>
        <w:rPr>
          <w:color w:val="auto"/>
          <w:kern w:val="0"/>
          <w:szCs w:val="21"/>
          <w:highlight w:val="none"/>
        </w:rPr>
        <w:t>传真：</w:t>
      </w:r>
      <w:r>
        <w:rPr>
          <w:color w:val="auto"/>
          <w:kern w:val="0"/>
          <w:szCs w:val="21"/>
          <w:highlight w:val="none"/>
          <w:u w:val="single"/>
        </w:rPr>
        <w:t>　　　　　　　　　　　　　　　　　　　　　　　　　　　　</w:t>
      </w:r>
    </w:p>
    <w:p w14:paraId="6A2FA402">
      <w:pPr>
        <w:spacing w:line="440" w:lineRule="exact"/>
        <w:ind w:firstLine="420"/>
        <w:rPr>
          <w:color w:val="auto"/>
          <w:szCs w:val="21"/>
          <w:highlight w:val="none"/>
        </w:rPr>
      </w:pPr>
      <w:r>
        <w:rPr>
          <w:color w:val="auto"/>
          <w:kern w:val="0"/>
          <w:szCs w:val="21"/>
          <w:highlight w:val="none"/>
        </w:rPr>
        <w:t>电子邮箱：</w:t>
      </w:r>
      <w:r>
        <w:rPr>
          <w:color w:val="auto"/>
          <w:kern w:val="0"/>
          <w:szCs w:val="21"/>
          <w:highlight w:val="none"/>
          <w:u w:val="single"/>
        </w:rPr>
        <w:t>　　　　　　　　　　　　　　　　　　　　　　　　　　</w:t>
      </w:r>
    </w:p>
    <w:p w14:paraId="725AE8C4">
      <w:pPr>
        <w:spacing w:line="440" w:lineRule="exact"/>
        <w:ind w:firstLine="420"/>
        <w:rPr>
          <w:color w:val="auto"/>
          <w:kern w:val="0"/>
          <w:szCs w:val="21"/>
          <w:highlight w:val="none"/>
          <w:u w:val="single"/>
        </w:rPr>
      </w:pPr>
      <w:r>
        <w:rPr>
          <w:color w:val="auto"/>
          <w:kern w:val="0"/>
          <w:szCs w:val="21"/>
          <w:highlight w:val="none"/>
        </w:rPr>
        <w:t>邮政编码：</w:t>
      </w:r>
      <w:r>
        <w:rPr>
          <w:color w:val="auto"/>
          <w:kern w:val="0"/>
          <w:szCs w:val="21"/>
          <w:highlight w:val="none"/>
          <w:u w:val="single"/>
        </w:rPr>
        <w:t xml:space="preserve">                                                    </w:t>
      </w:r>
    </w:p>
    <w:p w14:paraId="3AABC3EE">
      <w:pPr>
        <w:spacing w:line="440" w:lineRule="exact"/>
        <w:ind w:firstLine="420"/>
        <w:rPr>
          <w:color w:val="auto"/>
          <w:kern w:val="0"/>
          <w:szCs w:val="21"/>
          <w:highlight w:val="none"/>
          <w:u w:val="single"/>
        </w:rPr>
      </w:pPr>
      <w:r>
        <w:rPr>
          <w:color w:val="auto"/>
          <w:kern w:val="0"/>
          <w:szCs w:val="21"/>
          <w:highlight w:val="none"/>
        </w:rPr>
        <w:t>开户名称：</w:t>
      </w:r>
      <w:r>
        <w:rPr>
          <w:color w:val="auto"/>
          <w:kern w:val="0"/>
          <w:szCs w:val="21"/>
          <w:highlight w:val="none"/>
          <w:u w:val="single"/>
        </w:rPr>
        <w:t xml:space="preserve">                                                    </w:t>
      </w:r>
    </w:p>
    <w:p w14:paraId="427FCF7E">
      <w:pPr>
        <w:spacing w:line="440" w:lineRule="exact"/>
        <w:ind w:firstLine="420"/>
        <w:rPr>
          <w:color w:val="auto"/>
          <w:kern w:val="0"/>
          <w:szCs w:val="21"/>
          <w:highlight w:val="none"/>
          <w:u w:val="single"/>
        </w:rPr>
      </w:pPr>
      <w:r>
        <w:rPr>
          <w:color w:val="auto"/>
          <w:kern w:val="0"/>
          <w:szCs w:val="21"/>
          <w:highlight w:val="none"/>
        </w:rPr>
        <w:t>开户银行：</w:t>
      </w:r>
      <w:r>
        <w:rPr>
          <w:color w:val="auto"/>
          <w:kern w:val="0"/>
          <w:szCs w:val="21"/>
          <w:highlight w:val="none"/>
          <w:u w:val="single"/>
        </w:rPr>
        <w:t xml:space="preserve">                                                    </w:t>
      </w:r>
    </w:p>
    <w:p w14:paraId="22EFB6C7">
      <w:pPr>
        <w:spacing w:line="440" w:lineRule="exact"/>
        <w:ind w:firstLine="420"/>
        <w:rPr>
          <w:color w:val="auto"/>
          <w:kern w:val="0"/>
          <w:szCs w:val="21"/>
          <w:highlight w:val="none"/>
          <w:u w:val="single"/>
        </w:rPr>
      </w:pPr>
      <w:r>
        <w:rPr>
          <w:color w:val="auto"/>
          <w:kern w:val="0"/>
          <w:szCs w:val="21"/>
          <w:highlight w:val="none"/>
        </w:rPr>
        <w:t>银行账号：</w:t>
      </w:r>
      <w:r>
        <w:rPr>
          <w:color w:val="auto"/>
          <w:kern w:val="0"/>
          <w:szCs w:val="21"/>
          <w:highlight w:val="none"/>
          <w:u w:val="single"/>
        </w:rPr>
        <w:t xml:space="preserve">                                                    </w:t>
      </w:r>
    </w:p>
    <w:p w14:paraId="3D00D5F9">
      <w:pPr>
        <w:pStyle w:val="16"/>
        <w:tabs>
          <w:tab w:val="left" w:pos="939"/>
        </w:tabs>
        <w:spacing w:line="440" w:lineRule="exact"/>
        <w:ind w:left="141" w:leftChars="67" w:firstLine="315" w:firstLineChars="150"/>
        <w:rPr>
          <w:color w:val="auto"/>
          <w:szCs w:val="21"/>
          <w:highlight w:val="none"/>
        </w:rPr>
      </w:pPr>
      <w:r>
        <w:rPr>
          <w:color w:val="auto"/>
          <w:szCs w:val="21"/>
          <w:highlight w:val="none"/>
        </w:rPr>
        <w:t>特此承诺。</w:t>
      </w:r>
    </w:p>
    <w:p w14:paraId="67947546">
      <w:pPr>
        <w:spacing w:line="360" w:lineRule="auto"/>
        <w:contextualSpacing/>
        <w:jc w:val="left"/>
        <w:rPr>
          <w:color w:val="auto"/>
          <w:szCs w:val="21"/>
          <w:highlight w:val="none"/>
        </w:rPr>
      </w:pPr>
    </w:p>
    <w:p w14:paraId="2A81BE4C">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55F64018">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1BDB482">
      <w:pPr>
        <w:spacing w:line="500" w:lineRule="exact"/>
        <w:rPr>
          <w:b/>
          <w:color w:val="auto"/>
          <w:szCs w:val="21"/>
          <w:highlight w:val="none"/>
        </w:rPr>
      </w:pPr>
    </w:p>
    <w:p w14:paraId="6C9E1E01">
      <w:pPr>
        <w:spacing w:line="500" w:lineRule="exact"/>
        <w:rPr>
          <w:color w:val="auto"/>
          <w:highlight w:val="none"/>
        </w:rPr>
      </w:pPr>
      <w:r>
        <w:rPr>
          <w:rFonts w:hint="eastAsia" w:ascii="宋体" w:hAnsi="宋体" w:cs="宋体"/>
          <w:b/>
          <w:color w:val="auto"/>
          <w:sz w:val="28"/>
          <w:szCs w:val="28"/>
          <w:highlight w:val="none"/>
        </w:rPr>
        <w:br w:type="page"/>
      </w:r>
      <w:r>
        <w:rPr>
          <w:b/>
          <w:color w:val="auto"/>
          <w:sz w:val="28"/>
          <w:szCs w:val="28"/>
          <w:highlight w:val="none"/>
        </w:rPr>
        <w:t>4.</w:t>
      </w:r>
      <w:r>
        <w:rPr>
          <w:b/>
          <w:color w:val="auto"/>
          <w:sz w:val="28"/>
          <w:szCs w:val="28"/>
          <w:highlight w:val="none"/>
          <w:lang w:val="zh-CN"/>
        </w:rPr>
        <w:t>响应报价表的格式：</w:t>
      </w:r>
      <w:r>
        <w:rPr>
          <w:rFonts w:eastAsia="仿宋"/>
          <w:b/>
          <w:color w:val="auto"/>
          <w:sz w:val="30"/>
          <w:szCs w:val="30"/>
          <w:highlight w:val="none"/>
          <w:lang w:val="zh-CN"/>
        </w:rPr>
        <w:t xml:space="preserve"> </w:t>
      </w:r>
    </w:p>
    <w:p w14:paraId="2B00516E">
      <w:pPr>
        <w:spacing w:line="520" w:lineRule="exact"/>
        <w:jc w:val="center"/>
        <w:rPr>
          <w:b/>
          <w:bCs/>
          <w:color w:val="auto"/>
          <w:sz w:val="32"/>
          <w:szCs w:val="32"/>
          <w:highlight w:val="none"/>
        </w:rPr>
      </w:pPr>
      <w:r>
        <w:rPr>
          <w:b/>
          <w:bCs/>
          <w:color w:val="auto"/>
          <w:sz w:val="32"/>
          <w:szCs w:val="32"/>
          <w:highlight w:val="none"/>
        </w:rPr>
        <w:t>响应报价表</w:t>
      </w:r>
    </w:p>
    <w:p w14:paraId="5652C3E5">
      <w:pPr>
        <w:snapToGrid w:val="0"/>
        <w:spacing w:before="50" w:after="50" w:line="360" w:lineRule="auto"/>
        <w:rPr>
          <w:color w:val="auto"/>
          <w:sz w:val="24"/>
          <w:highlight w:val="none"/>
        </w:rPr>
      </w:pPr>
    </w:p>
    <w:p w14:paraId="6B77B47E">
      <w:pPr>
        <w:snapToGrid w:val="0"/>
        <w:spacing w:before="50" w:after="50" w:line="360" w:lineRule="auto"/>
        <w:rPr>
          <w:color w:val="auto"/>
          <w:szCs w:val="21"/>
          <w:highlight w:val="none"/>
        </w:rPr>
      </w:pPr>
      <w:r>
        <w:rPr>
          <w:rFonts w:hint="eastAsia" w:ascii="宋体" w:hAnsi="宋体" w:cs="宋体"/>
          <w:color w:val="auto"/>
          <w:szCs w:val="21"/>
          <w:highlight w:val="none"/>
        </w:rPr>
        <w:t>项</w:t>
      </w:r>
      <w:r>
        <w:rPr>
          <w:color w:val="auto"/>
          <w:szCs w:val="21"/>
          <w:highlight w:val="none"/>
        </w:rPr>
        <w:t>目名称：</w:t>
      </w:r>
      <w:r>
        <w:rPr>
          <w:color w:val="auto"/>
          <w:szCs w:val="21"/>
          <w:highlight w:val="none"/>
          <w:u w:val="single"/>
        </w:rPr>
        <w:t xml:space="preserve">           </w:t>
      </w:r>
      <w:r>
        <w:rPr>
          <w:color w:val="auto"/>
          <w:szCs w:val="21"/>
          <w:highlight w:val="none"/>
        </w:rPr>
        <w:t xml:space="preserve">         </w:t>
      </w:r>
    </w:p>
    <w:p w14:paraId="52A00949">
      <w:pPr>
        <w:snapToGrid w:val="0"/>
        <w:spacing w:before="50" w:after="50" w:line="360" w:lineRule="auto"/>
        <w:rPr>
          <w:color w:val="auto"/>
          <w:szCs w:val="21"/>
          <w:highlight w:val="none"/>
        </w:rPr>
      </w:pPr>
      <w:r>
        <w:rPr>
          <w:color w:val="auto"/>
          <w:szCs w:val="21"/>
          <w:highlight w:val="none"/>
        </w:rPr>
        <w:t>项目编号：</w:t>
      </w:r>
      <w:r>
        <w:rPr>
          <w:color w:val="auto"/>
          <w:szCs w:val="21"/>
          <w:highlight w:val="none"/>
          <w:u w:val="single"/>
        </w:rPr>
        <w:t xml:space="preserve">            </w:t>
      </w:r>
      <w:r>
        <w:rPr>
          <w:color w:val="auto"/>
          <w:szCs w:val="21"/>
          <w:highlight w:val="none"/>
        </w:rPr>
        <w:t xml:space="preserve">         </w:t>
      </w:r>
    </w:p>
    <w:tbl>
      <w:tblPr>
        <w:tblStyle w:val="28"/>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698"/>
        <w:gridCol w:w="1417"/>
        <w:gridCol w:w="2209"/>
        <w:gridCol w:w="1184"/>
      </w:tblGrid>
      <w:tr w14:paraId="4E87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7AB3667E">
            <w:pPr>
              <w:contextualSpacing/>
              <w:jc w:val="center"/>
              <w:rPr>
                <w:rFonts w:ascii="宋体" w:hAnsi="宋体" w:cs="仿宋_GB2312"/>
                <w:color w:val="auto"/>
                <w:szCs w:val="21"/>
                <w:highlight w:val="none"/>
              </w:rPr>
            </w:pPr>
            <w:bookmarkStart w:id="176" w:name="OLE_LINK46"/>
            <w:r>
              <w:rPr>
                <w:rFonts w:ascii="宋体" w:hAnsi="宋体" w:cs="仿宋_GB2312"/>
                <w:color w:val="auto"/>
                <w:szCs w:val="21"/>
                <w:highlight w:val="none"/>
              </w:rPr>
              <w:t>序号</w:t>
            </w:r>
          </w:p>
        </w:tc>
        <w:tc>
          <w:tcPr>
            <w:tcW w:w="3698" w:type="dxa"/>
            <w:tcBorders>
              <w:top w:val="single" w:color="auto" w:sz="4" w:space="0"/>
              <w:left w:val="single" w:color="auto" w:sz="4" w:space="0"/>
              <w:bottom w:val="single" w:color="auto" w:sz="4" w:space="0"/>
              <w:right w:val="single" w:color="auto" w:sz="4" w:space="0"/>
            </w:tcBorders>
            <w:vAlign w:val="center"/>
          </w:tcPr>
          <w:p w14:paraId="1AFD3189">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标的名称</w:t>
            </w:r>
          </w:p>
        </w:tc>
        <w:tc>
          <w:tcPr>
            <w:tcW w:w="1417" w:type="dxa"/>
            <w:tcBorders>
              <w:top w:val="single" w:color="auto" w:sz="4" w:space="0"/>
              <w:left w:val="single" w:color="auto" w:sz="4" w:space="0"/>
              <w:bottom w:val="single" w:color="auto" w:sz="4" w:space="0"/>
              <w:right w:val="single" w:color="auto" w:sz="4" w:space="0"/>
            </w:tcBorders>
            <w:vAlign w:val="center"/>
          </w:tcPr>
          <w:p w14:paraId="1E3A47A9">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数量</w:t>
            </w:r>
          </w:p>
        </w:tc>
        <w:tc>
          <w:tcPr>
            <w:tcW w:w="2209" w:type="dxa"/>
            <w:tcBorders>
              <w:top w:val="single" w:color="auto" w:sz="4" w:space="0"/>
              <w:left w:val="single" w:color="auto" w:sz="4" w:space="0"/>
              <w:bottom w:val="single" w:color="auto" w:sz="4" w:space="0"/>
              <w:right w:val="single" w:color="auto" w:sz="4" w:space="0"/>
            </w:tcBorders>
            <w:vAlign w:val="center"/>
          </w:tcPr>
          <w:p w14:paraId="1FA1C317">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报价(元)</w:t>
            </w:r>
          </w:p>
        </w:tc>
        <w:tc>
          <w:tcPr>
            <w:tcW w:w="1184" w:type="dxa"/>
            <w:tcBorders>
              <w:top w:val="single" w:color="auto" w:sz="4" w:space="0"/>
              <w:left w:val="single" w:color="auto" w:sz="4" w:space="0"/>
              <w:bottom w:val="single" w:color="auto" w:sz="4" w:space="0"/>
              <w:right w:val="single" w:color="auto" w:sz="4" w:space="0"/>
            </w:tcBorders>
            <w:vAlign w:val="center"/>
          </w:tcPr>
          <w:p w14:paraId="266E6CD2">
            <w:pPr>
              <w:contextualSpacing/>
              <w:jc w:val="center"/>
              <w:rPr>
                <w:rFonts w:ascii="宋体" w:hAnsi="宋体" w:cs="仿宋_GB2312"/>
                <w:color w:val="auto"/>
                <w:szCs w:val="21"/>
                <w:highlight w:val="none"/>
              </w:rPr>
            </w:pPr>
            <w:r>
              <w:rPr>
                <w:rFonts w:ascii="宋体" w:hAnsi="宋体" w:cs="仿宋_GB2312"/>
                <w:color w:val="auto"/>
                <w:szCs w:val="21"/>
                <w:highlight w:val="none"/>
              </w:rPr>
              <w:t>备注</w:t>
            </w:r>
          </w:p>
        </w:tc>
      </w:tr>
      <w:tr w14:paraId="4E12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7D5B5453">
            <w:pPr>
              <w:contextualSpacing/>
              <w:jc w:val="center"/>
              <w:rPr>
                <w:rFonts w:ascii="宋体" w:hAnsi="宋体" w:cs="仿宋_GB2312"/>
                <w:color w:val="auto"/>
                <w:szCs w:val="21"/>
                <w:highlight w:val="none"/>
              </w:rPr>
            </w:pPr>
            <w:r>
              <w:rPr>
                <w:rFonts w:ascii="宋体" w:hAnsi="宋体" w:cs="仿宋_GB2312"/>
                <w:color w:val="auto"/>
                <w:szCs w:val="21"/>
                <w:highlight w:val="none"/>
              </w:rPr>
              <w:t>1</w:t>
            </w:r>
          </w:p>
        </w:tc>
        <w:tc>
          <w:tcPr>
            <w:tcW w:w="3698" w:type="dxa"/>
            <w:tcBorders>
              <w:top w:val="single" w:color="auto" w:sz="4" w:space="0"/>
              <w:left w:val="single" w:color="auto" w:sz="4" w:space="0"/>
              <w:bottom w:val="single" w:color="auto" w:sz="4" w:space="0"/>
              <w:right w:val="single" w:color="auto" w:sz="4" w:space="0"/>
            </w:tcBorders>
            <w:vAlign w:val="center"/>
          </w:tcPr>
          <w:p w14:paraId="245CC6F7">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广西民族大学修建思源湖校区跑廊项目</w:t>
            </w:r>
          </w:p>
        </w:tc>
        <w:tc>
          <w:tcPr>
            <w:tcW w:w="1417" w:type="dxa"/>
            <w:tcBorders>
              <w:top w:val="single" w:color="auto" w:sz="4" w:space="0"/>
              <w:left w:val="single" w:color="auto" w:sz="4" w:space="0"/>
              <w:bottom w:val="single" w:color="auto" w:sz="4" w:space="0"/>
              <w:right w:val="single" w:color="auto" w:sz="4" w:space="0"/>
            </w:tcBorders>
            <w:vAlign w:val="center"/>
          </w:tcPr>
          <w:p w14:paraId="4A0DD320">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1项</w:t>
            </w:r>
          </w:p>
        </w:tc>
        <w:tc>
          <w:tcPr>
            <w:tcW w:w="2209" w:type="dxa"/>
            <w:tcBorders>
              <w:top w:val="single" w:color="auto" w:sz="4" w:space="0"/>
              <w:left w:val="single" w:color="auto" w:sz="4" w:space="0"/>
              <w:bottom w:val="single" w:color="auto" w:sz="4" w:space="0"/>
              <w:right w:val="single" w:color="auto" w:sz="4" w:space="0"/>
            </w:tcBorders>
            <w:vAlign w:val="center"/>
          </w:tcPr>
          <w:p w14:paraId="5847C7EE">
            <w:pPr>
              <w:contextualSpacing/>
              <w:jc w:val="center"/>
              <w:rPr>
                <w:rFonts w:ascii="宋体" w:hAnsi="宋体" w:cs="仿宋_GB2312"/>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2C267E0">
            <w:pPr>
              <w:contextualSpacing/>
              <w:rPr>
                <w:rFonts w:ascii="宋体" w:hAnsi="宋体" w:cs="仿宋_GB2312"/>
                <w:color w:val="auto"/>
                <w:szCs w:val="21"/>
                <w:highlight w:val="none"/>
              </w:rPr>
            </w:pPr>
          </w:p>
        </w:tc>
      </w:tr>
      <w:tr w14:paraId="29E4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95" w:type="dxa"/>
            <w:gridSpan w:val="5"/>
            <w:tcBorders>
              <w:top w:val="single" w:color="auto" w:sz="4" w:space="0"/>
              <w:left w:val="single" w:color="auto" w:sz="4" w:space="0"/>
              <w:bottom w:val="single" w:color="auto" w:sz="4" w:space="0"/>
              <w:right w:val="single" w:color="auto" w:sz="4" w:space="0"/>
            </w:tcBorders>
            <w:vAlign w:val="center"/>
          </w:tcPr>
          <w:p w14:paraId="1A581531">
            <w:pPr>
              <w:contextualSpacing/>
              <w:rPr>
                <w:rFonts w:ascii="宋体" w:hAnsi="宋体" w:cs="仿宋_GB2312"/>
                <w:color w:val="auto"/>
                <w:szCs w:val="21"/>
                <w:highlight w:val="none"/>
              </w:rPr>
            </w:pPr>
            <w:r>
              <w:rPr>
                <w:rFonts w:hint="eastAsia" w:ascii="宋体" w:hAnsi="宋体" w:cs="仿宋_GB2312"/>
                <w:color w:val="auto"/>
                <w:szCs w:val="21"/>
                <w:highlight w:val="none"/>
              </w:rPr>
              <w:t>竞标总报价：（大写）人民币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ascii="宋体" w:hAnsi="宋体" w:cs="仿宋_GB2312"/>
                <w:color w:val="auto"/>
                <w:szCs w:val="21"/>
                <w:highlight w:val="none"/>
              </w:rPr>
              <w:t xml:space="preserve">    </w:t>
            </w:r>
            <w:r>
              <w:rPr>
                <w:rFonts w:hint="eastAsia" w:ascii="宋体" w:hAnsi="宋体" w:cs="仿宋_GB2312"/>
                <w:color w:val="auto"/>
                <w:szCs w:val="21"/>
                <w:highlight w:val="none"/>
              </w:rPr>
              <w:t>（¥</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w:t>
            </w:r>
          </w:p>
        </w:tc>
      </w:tr>
      <w:tr w14:paraId="43D7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95" w:type="dxa"/>
            <w:gridSpan w:val="5"/>
            <w:tcBorders>
              <w:top w:val="single" w:color="auto" w:sz="4" w:space="0"/>
              <w:left w:val="single" w:color="auto" w:sz="4" w:space="0"/>
              <w:bottom w:val="single" w:color="auto" w:sz="4" w:space="0"/>
              <w:right w:val="single" w:color="auto" w:sz="4" w:space="0"/>
            </w:tcBorders>
            <w:vAlign w:val="center"/>
          </w:tcPr>
          <w:p w14:paraId="1EC2A79E">
            <w:pPr>
              <w:contextualSpacing/>
              <w:rPr>
                <w:rFonts w:ascii="宋体" w:hAnsi="宋体" w:cs="仿宋_GB2312"/>
                <w:color w:val="auto"/>
                <w:szCs w:val="21"/>
                <w:highlight w:val="none"/>
              </w:rPr>
            </w:pPr>
            <w:r>
              <w:rPr>
                <w:rFonts w:hint="eastAsia"/>
                <w:color w:val="auto"/>
                <w:szCs w:val="21"/>
                <w:highlight w:val="none"/>
              </w:rPr>
              <w:t>工期</w:t>
            </w:r>
            <w:r>
              <w:rPr>
                <w:rFonts w:hint="eastAsia" w:hAnsi="宋体"/>
                <w:color w:val="auto"/>
                <w:kern w:val="56"/>
                <w:szCs w:val="21"/>
                <w:highlight w:val="none"/>
              </w:rPr>
              <w:t>：</w:t>
            </w:r>
            <w:r>
              <w:rPr>
                <w:rFonts w:hint="eastAsia" w:hAnsi="宋体"/>
                <w:color w:val="auto"/>
                <w:kern w:val="56"/>
                <w:szCs w:val="21"/>
                <w:highlight w:val="none"/>
                <w:u w:val="single"/>
              </w:rPr>
              <w:t xml:space="preserve">     </w:t>
            </w:r>
            <w:r>
              <w:rPr>
                <w:rFonts w:hAnsi="宋体"/>
                <w:color w:val="auto"/>
                <w:kern w:val="56"/>
                <w:szCs w:val="21"/>
                <w:highlight w:val="none"/>
                <w:u w:val="single"/>
              </w:rPr>
              <w:t xml:space="preserve">                     </w:t>
            </w:r>
            <w:r>
              <w:rPr>
                <w:rFonts w:hint="eastAsia" w:hAnsi="宋体"/>
                <w:color w:val="auto"/>
                <w:kern w:val="56"/>
                <w:szCs w:val="21"/>
                <w:highlight w:val="none"/>
                <w:u w:val="single"/>
              </w:rPr>
              <w:t xml:space="preserve"> </w:t>
            </w:r>
          </w:p>
        </w:tc>
      </w:tr>
      <w:tr w14:paraId="092C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095" w:type="dxa"/>
            <w:gridSpan w:val="5"/>
            <w:tcBorders>
              <w:top w:val="single" w:color="auto" w:sz="4" w:space="0"/>
              <w:left w:val="single" w:color="auto" w:sz="4" w:space="0"/>
              <w:bottom w:val="single" w:color="auto" w:sz="4" w:space="0"/>
              <w:right w:val="single" w:color="auto" w:sz="4" w:space="0"/>
            </w:tcBorders>
            <w:vAlign w:val="center"/>
          </w:tcPr>
          <w:p w14:paraId="3447760A">
            <w:pPr>
              <w:contextualSpacing/>
              <w:rPr>
                <w:rFonts w:hAnsi="宋体"/>
                <w:color w:val="auto"/>
                <w:kern w:val="56"/>
                <w:szCs w:val="21"/>
                <w:highlight w:val="none"/>
              </w:rPr>
            </w:pPr>
            <w:r>
              <w:rPr>
                <w:rFonts w:hint="eastAsia"/>
                <w:color w:val="auto"/>
                <w:szCs w:val="21"/>
                <w:highlight w:val="none"/>
              </w:rPr>
              <w:t>质量要求：</w:t>
            </w:r>
            <w:r>
              <w:rPr>
                <w:rFonts w:hint="eastAsia" w:hAnsi="宋体"/>
                <w:color w:val="auto"/>
                <w:kern w:val="56"/>
                <w:szCs w:val="21"/>
                <w:highlight w:val="none"/>
                <w:u w:val="single"/>
              </w:rPr>
              <w:t xml:space="preserve">                       </w:t>
            </w:r>
          </w:p>
        </w:tc>
      </w:tr>
      <w:bookmarkEnd w:id="176"/>
    </w:tbl>
    <w:p w14:paraId="48C618C8">
      <w:pPr>
        <w:snapToGrid w:val="0"/>
        <w:spacing w:before="50" w:after="50" w:line="360" w:lineRule="auto"/>
        <w:ind w:firstLine="420" w:firstLineChars="200"/>
        <w:jc w:val="left"/>
        <w:rPr>
          <w:color w:val="auto"/>
          <w:kern w:val="0"/>
          <w:szCs w:val="21"/>
          <w:highlight w:val="none"/>
          <w:lang w:val="zh-CN"/>
        </w:rPr>
      </w:pPr>
    </w:p>
    <w:p w14:paraId="6BE014AB">
      <w:pPr>
        <w:snapToGrid w:val="0"/>
        <w:spacing w:before="50" w:after="50" w:line="360" w:lineRule="auto"/>
        <w:ind w:firstLine="420" w:firstLineChars="200"/>
        <w:jc w:val="left"/>
        <w:rPr>
          <w:color w:val="auto"/>
          <w:kern w:val="0"/>
          <w:szCs w:val="21"/>
          <w:highlight w:val="none"/>
          <w:lang w:val="zh-CN"/>
        </w:rPr>
      </w:pPr>
      <w:r>
        <w:rPr>
          <w:color w:val="auto"/>
          <w:kern w:val="0"/>
          <w:szCs w:val="21"/>
          <w:highlight w:val="none"/>
          <w:lang w:val="zh-CN"/>
        </w:rPr>
        <w:t xml:space="preserve">注： </w:t>
      </w:r>
    </w:p>
    <w:p w14:paraId="0DC70576">
      <w:pPr>
        <w:snapToGrid w:val="0"/>
        <w:spacing w:before="50" w:after="50" w:line="360" w:lineRule="auto"/>
        <w:ind w:firstLine="420" w:firstLineChars="200"/>
        <w:jc w:val="left"/>
        <w:rPr>
          <w:color w:val="auto"/>
          <w:kern w:val="0"/>
          <w:szCs w:val="21"/>
          <w:highlight w:val="none"/>
          <w:lang w:val="zh-CN"/>
        </w:rPr>
      </w:pPr>
      <w:r>
        <w:rPr>
          <w:color w:val="auto"/>
          <w:kern w:val="0"/>
          <w:szCs w:val="21"/>
          <w:highlight w:val="none"/>
          <w:lang w:val="zh-CN"/>
        </w:rPr>
        <w:t>1、供应商需按本表格式填写，不得自行更改，也不得留空（</w:t>
      </w:r>
      <w:r>
        <w:rPr>
          <w:color w:val="auto"/>
          <w:szCs w:val="21"/>
          <w:highlight w:val="none"/>
        </w:rPr>
        <w:t>备注除外</w:t>
      </w:r>
      <w:r>
        <w:rPr>
          <w:color w:val="auto"/>
          <w:kern w:val="0"/>
          <w:szCs w:val="21"/>
          <w:highlight w:val="none"/>
          <w:lang w:val="zh-CN"/>
        </w:rPr>
        <w:t>）, 如有多分标，按分标分别提供响应报价表，</w:t>
      </w:r>
      <w:r>
        <w:rPr>
          <w:b/>
          <w:color w:val="auto"/>
          <w:kern w:val="0"/>
          <w:szCs w:val="21"/>
          <w:highlight w:val="none"/>
          <w:lang w:val="zh-CN"/>
        </w:rPr>
        <w:t>否则其响应按无效响应处理。</w:t>
      </w:r>
    </w:p>
    <w:p w14:paraId="14E14EC0">
      <w:pPr>
        <w:snapToGrid w:val="0"/>
        <w:spacing w:before="50" w:after="50" w:line="360" w:lineRule="auto"/>
        <w:ind w:firstLine="420" w:firstLineChars="200"/>
        <w:jc w:val="left"/>
        <w:rPr>
          <w:b/>
          <w:color w:val="auto"/>
          <w:kern w:val="0"/>
          <w:szCs w:val="21"/>
          <w:highlight w:val="none"/>
          <w:lang w:val="zh-CN"/>
        </w:rPr>
      </w:pPr>
      <w:r>
        <w:rPr>
          <w:color w:val="auto"/>
          <w:kern w:val="0"/>
          <w:szCs w:val="21"/>
          <w:highlight w:val="none"/>
          <w:lang w:val="zh-CN"/>
        </w:rPr>
        <w:t>2、如为联合体响应的，“供应商名称”处必须列明联合体各方名称，并标注联合体牵头人名称，且盖章处须加盖联合体各方公章，</w:t>
      </w:r>
      <w:r>
        <w:rPr>
          <w:b/>
          <w:color w:val="auto"/>
          <w:kern w:val="0"/>
          <w:szCs w:val="21"/>
          <w:highlight w:val="none"/>
          <w:lang w:val="zh-CN"/>
        </w:rPr>
        <w:t>否则其响应按无效响应处理。</w:t>
      </w:r>
    </w:p>
    <w:p w14:paraId="0787FEB2">
      <w:pPr>
        <w:snapToGrid w:val="0"/>
        <w:spacing w:line="360" w:lineRule="auto"/>
        <w:ind w:firstLine="420" w:firstLineChars="200"/>
        <w:jc w:val="left"/>
        <w:rPr>
          <w:color w:val="auto"/>
          <w:kern w:val="0"/>
          <w:szCs w:val="21"/>
          <w:highlight w:val="none"/>
          <w:lang w:val="zh-CN"/>
        </w:rPr>
      </w:pPr>
      <w:r>
        <w:rPr>
          <w:rFonts w:hint="eastAsia"/>
          <w:color w:val="auto"/>
          <w:kern w:val="0"/>
          <w:szCs w:val="21"/>
          <w:highlight w:val="none"/>
        </w:rPr>
        <w:t>3</w:t>
      </w:r>
      <w:r>
        <w:rPr>
          <w:color w:val="auto"/>
          <w:kern w:val="0"/>
          <w:szCs w:val="21"/>
          <w:highlight w:val="none"/>
          <w:lang w:val="zh-CN"/>
        </w:rPr>
        <w:t>、特别提示：采购代理机构将对项目名称和项目编号，成交供应商名称</w:t>
      </w:r>
      <w:r>
        <w:rPr>
          <w:rFonts w:hint="eastAsia"/>
          <w:color w:val="auto"/>
          <w:kern w:val="0"/>
          <w:szCs w:val="21"/>
          <w:highlight w:val="none"/>
          <w:lang w:val="zh-CN"/>
        </w:rPr>
        <w:t>、</w:t>
      </w:r>
      <w:r>
        <w:rPr>
          <w:color w:val="auto"/>
          <w:kern w:val="0"/>
          <w:szCs w:val="21"/>
          <w:highlight w:val="none"/>
          <w:lang w:val="zh-CN"/>
        </w:rPr>
        <w:t>成交金额，</w:t>
      </w:r>
      <w:r>
        <w:rPr>
          <w:rFonts w:hint="eastAsia" w:cs="宋体"/>
          <w:color w:val="auto"/>
          <w:highlight w:val="none"/>
        </w:rPr>
        <w:t>工期</w:t>
      </w:r>
      <w:r>
        <w:rPr>
          <w:color w:val="auto"/>
          <w:kern w:val="0"/>
          <w:szCs w:val="21"/>
          <w:highlight w:val="none"/>
          <w:lang w:val="zh-CN"/>
        </w:rPr>
        <w:t>、</w:t>
      </w:r>
      <w:r>
        <w:rPr>
          <w:rFonts w:hint="eastAsia" w:cs="宋体"/>
          <w:color w:val="auto"/>
          <w:highlight w:val="none"/>
        </w:rPr>
        <w:t>质量要求</w:t>
      </w:r>
      <w:r>
        <w:rPr>
          <w:color w:val="auto"/>
          <w:kern w:val="0"/>
          <w:szCs w:val="21"/>
          <w:highlight w:val="none"/>
          <w:lang w:val="zh-CN"/>
        </w:rPr>
        <w:t>等予以公示。</w:t>
      </w:r>
    </w:p>
    <w:p w14:paraId="484120CA">
      <w:pPr>
        <w:snapToGrid w:val="0"/>
        <w:spacing w:line="360" w:lineRule="auto"/>
        <w:ind w:firstLine="420" w:firstLineChars="200"/>
        <w:jc w:val="left"/>
        <w:rPr>
          <w:color w:val="auto"/>
          <w:kern w:val="0"/>
          <w:szCs w:val="21"/>
          <w:highlight w:val="none"/>
          <w:lang w:val="zh-CN"/>
        </w:rPr>
      </w:pPr>
      <w:r>
        <w:rPr>
          <w:rFonts w:hint="eastAsia"/>
          <w:color w:val="auto"/>
          <w:kern w:val="0"/>
          <w:szCs w:val="21"/>
          <w:highlight w:val="none"/>
        </w:rPr>
        <w:t>4</w:t>
      </w:r>
      <w:r>
        <w:rPr>
          <w:color w:val="auto"/>
          <w:kern w:val="0"/>
          <w:szCs w:val="21"/>
          <w:highlight w:val="none"/>
          <w:lang w:val="zh-CN"/>
        </w:rPr>
        <w:t>、符合采购文件中列明的可享受中小企业扶持政策的供应商，请填写中小企业声明函。</w:t>
      </w:r>
    </w:p>
    <w:p w14:paraId="5E7A97CC">
      <w:pPr>
        <w:snapToGrid w:val="0"/>
        <w:spacing w:line="360" w:lineRule="auto"/>
        <w:ind w:firstLine="420" w:firstLineChars="200"/>
        <w:jc w:val="left"/>
        <w:rPr>
          <w:color w:val="auto"/>
          <w:kern w:val="0"/>
          <w:szCs w:val="21"/>
          <w:highlight w:val="none"/>
          <w:lang w:val="zh-CN"/>
        </w:rPr>
      </w:pPr>
      <w:r>
        <w:rPr>
          <w:rFonts w:hint="eastAsia"/>
          <w:color w:val="auto"/>
          <w:kern w:val="0"/>
          <w:szCs w:val="21"/>
          <w:highlight w:val="none"/>
        </w:rPr>
        <w:t>5</w:t>
      </w:r>
      <w:r>
        <w:rPr>
          <w:color w:val="auto"/>
          <w:kern w:val="0"/>
          <w:szCs w:val="21"/>
          <w:highlight w:val="none"/>
        </w:rPr>
        <w:t>、</w:t>
      </w:r>
      <w:r>
        <w:rPr>
          <w:color w:val="auto"/>
          <w:kern w:val="0"/>
          <w:szCs w:val="21"/>
          <w:highlight w:val="none"/>
          <w:lang w:val="zh-CN"/>
        </w:rPr>
        <w:t>供应商提供的中小企业声明函内容不实的，属于提供虚假材料谋取中标、成交，依照《中华人民共和国政府采购法》等国家有关规定追究相应责任。</w:t>
      </w:r>
    </w:p>
    <w:p w14:paraId="66703A5E">
      <w:pPr>
        <w:autoSpaceDE w:val="0"/>
        <w:autoSpaceDN w:val="0"/>
        <w:spacing w:line="360" w:lineRule="auto"/>
        <w:ind w:left="4305" w:leftChars="1950" w:hanging="210" w:hangingChars="100"/>
        <w:rPr>
          <w:color w:val="auto"/>
          <w:kern w:val="0"/>
          <w:szCs w:val="21"/>
          <w:highlight w:val="none"/>
        </w:rPr>
      </w:pPr>
    </w:p>
    <w:p w14:paraId="3DB7842F">
      <w:pPr>
        <w:pStyle w:val="14"/>
        <w:rPr>
          <w:color w:val="auto"/>
          <w:szCs w:val="21"/>
          <w:highlight w:val="none"/>
        </w:rPr>
      </w:pPr>
    </w:p>
    <w:p w14:paraId="4E62C1ED">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27E7F2CB">
      <w:pPr>
        <w:snapToGrid w:val="0"/>
        <w:spacing w:line="360" w:lineRule="auto"/>
        <w:ind w:firstLine="420" w:firstLineChars="200"/>
        <w:rPr>
          <w:rFonts w:ascii="仿宋" w:hAnsi="仿宋" w:eastAsia="仿宋" w:cs="仿宋_GB2312"/>
          <w:b/>
          <w:color w:val="auto"/>
          <w:sz w:val="30"/>
          <w:szCs w:val="30"/>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8A01927">
      <w:pPr>
        <w:numPr>
          <w:ilvl w:val="0"/>
          <w:numId w:val="4"/>
        </w:numPr>
        <w:spacing w:line="500" w:lineRule="exact"/>
        <w:rPr>
          <w:b/>
          <w:color w:val="auto"/>
          <w:sz w:val="28"/>
          <w:szCs w:val="28"/>
          <w:highlight w:val="none"/>
        </w:rPr>
      </w:pPr>
      <w:r>
        <w:rPr>
          <w:rFonts w:hint="eastAsia" w:ascii="宋体" w:hAnsi="宋体" w:cs="宋体"/>
          <w:color w:val="auto"/>
          <w:kern w:val="0"/>
          <w:sz w:val="24"/>
          <w:szCs w:val="21"/>
          <w:highlight w:val="none"/>
          <w:lang w:val="zh-CN"/>
        </w:rPr>
        <w:br w:type="page"/>
      </w:r>
      <w:r>
        <w:rPr>
          <w:rFonts w:hint="eastAsia"/>
          <w:b/>
          <w:color w:val="auto"/>
          <w:sz w:val="28"/>
          <w:szCs w:val="28"/>
          <w:highlight w:val="none"/>
        </w:rPr>
        <w:t>已标价工程量清单</w:t>
      </w:r>
    </w:p>
    <w:p w14:paraId="115E3007">
      <w:pPr>
        <w:pStyle w:val="8"/>
        <w:ind w:firstLine="0"/>
        <w:rPr>
          <w:color w:val="auto"/>
          <w:highlight w:val="none"/>
        </w:rPr>
      </w:pPr>
    </w:p>
    <w:p w14:paraId="661AD161">
      <w:pPr>
        <w:pStyle w:val="8"/>
        <w:ind w:firstLine="0"/>
        <w:rPr>
          <w:color w:val="auto"/>
          <w:highlight w:val="none"/>
        </w:rPr>
      </w:pPr>
    </w:p>
    <w:p w14:paraId="61E63883">
      <w:pPr>
        <w:spacing w:line="360" w:lineRule="auto"/>
        <w:ind w:firstLine="420" w:firstLineChars="200"/>
        <w:rPr>
          <w:color w:val="auto"/>
          <w:highlight w:val="none"/>
        </w:rPr>
      </w:pPr>
      <w:r>
        <w:rPr>
          <w:color w:val="auto"/>
          <w:highlight w:val="none"/>
        </w:rPr>
        <w:t xml:space="preserve">1. </w:t>
      </w:r>
      <w:r>
        <w:rPr>
          <w:rFonts w:hint="eastAsia" w:cs="宋体"/>
          <w:color w:val="auto"/>
          <w:highlight w:val="none"/>
        </w:rPr>
        <w:t>已标价工程量清单应按第七章</w:t>
      </w:r>
      <w:r>
        <w:rPr>
          <w:color w:val="auto"/>
          <w:highlight w:val="none"/>
        </w:rPr>
        <w:t>“</w:t>
      </w:r>
      <w:r>
        <w:rPr>
          <w:rFonts w:hint="eastAsia" w:cs="宋体"/>
          <w:color w:val="auto"/>
          <w:highlight w:val="none"/>
        </w:rPr>
        <w:t>工程量清单</w:t>
      </w:r>
      <w:r>
        <w:rPr>
          <w:color w:val="auto"/>
          <w:highlight w:val="none"/>
        </w:rPr>
        <w:t>”</w:t>
      </w:r>
      <w:r>
        <w:rPr>
          <w:rFonts w:hint="eastAsia" w:cs="宋体"/>
          <w:color w:val="auto"/>
          <w:highlight w:val="none"/>
        </w:rPr>
        <w:t>中的相关表格及报价说明填写。构成合同文件的已标价工程量清单包括第七章</w:t>
      </w:r>
      <w:r>
        <w:rPr>
          <w:color w:val="auto"/>
          <w:highlight w:val="none"/>
        </w:rPr>
        <w:t>“</w:t>
      </w:r>
      <w:r>
        <w:rPr>
          <w:rFonts w:hint="eastAsia" w:cs="宋体"/>
          <w:color w:val="auto"/>
          <w:highlight w:val="none"/>
        </w:rPr>
        <w:t>工程量清单</w:t>
      </w:r>
      <w:r>
        <w:rPr>
          <w:color w:val="auto"/>
          <w:highlight w:val="none"/>
        </w:rPr>
        <w:t>”</w:t>
      </w:r>
      <w:r>
        <w:rPr>
          <w:rFonts w:hint="eastAsia" w:cs="宋体"/>
          <w:color w:val="auto"/>
          <w:highlight w:val="none"/>
        </w:rPr>
        <w:t>有关工程量清单、报价以及其他说明的内容。</w:t>
      </w:r>
    </w:p>
    <w:p w14:paraId="558FE738">
      <w:pPr>
        <w:spacing w:line="360" w:lineRule="auto"/>
        <w:ind w:firstLine="420" w:firstLineChars="200"/>
        <w:rPr>
          <w:color w:val="auto"/>
          <w:highlight w:val="none"/>
        </w:rPr>
      </w:pPr>
      <w:r>
        <w:rPr>
          <w:color w:val="auto"/>
          <w:highlight w:val="none"/>
        </w:rPr>
        <w:t xml:space="preserve">2. </w:t>
      </w:r>
      <w:r>
        <w:rPr>
          <w:rFonts w:hint="eastAsia" w:cs="宋体"/>
          <w:color w:val="auto"/>
          <w:highlight w:val="none"/>
        </w:rPr>
        <w:t>一般计税法建设工程已标价工程量清单表格按</w:t>
      </w:r>
      <w:r>
        <w:rPr>
          <w:rFonts w:hint="eastAsia" w:hAnsi="宋体" w:cs="宋体"/>
          <w:color w:val="auto"/>
          <w:kern w:val="0"/>
          <w:highlight w:val="none"/>
        </w:rPr>
        <w:t>《关于建筑业实施营业税改征增值税后广西壮族自治区建设工程计价依据调整的通知》（桂建标〔2016〕17号）</w:t>
      </w:r>
      <w:r>
        <w:rPr>
          <w:rFonts w:hint="eastAsia" w:ascii="宋体" w:hAnsi="宋体" w:cs="宋体"/>
          <w:color w:val="auto"/>
          <w:highlight w:val="none"/>
        </w:rPr>
        <w:t>附件“增值税一般计税方法工程计价表”</w:t>
      </w:r>
      <w:r>
        <w:rPr>
          <w:rFonts w:hint="eastAsia" w:cs="宋体"/>
          <w:color w:val="auto"/>
          <w:highlight w:val="none"/>
        </w:rPr>
        <w:t>要求提供，简易计税法表格按《</w:t>
      </w:r>
      <w:r>
        <w:rPr>
          <w:color w:val="auto"/>
          <w:highlight w:val="none"/>
        </w:rPr>
        <w:t>&lt;</w:t>
      </w:r>
      <w:r>
        <w:rPr>
          <w:rFonts w:hint="eastAsia" w:cs="宋体"/>
          <w:color w:val="auto"/>
          <w:highlight w:val="none"/>
        </w:rPr>
        <w:t>建设工程工程量清单计价规范</w:t>
      </w:r>
      <w:r>
        <w:rPr>
          <w:color w:val="auto"/>
          <w:highlight w:val="none"/>
        </w:rPr>
        <w:t>&gt;</w:t>
      </w:r>
      <w:r>
        <w:rPr>
          <w:rFonts w:hint="eastAsia" w:cs="宋体"/>
          <w:color w:val="auto"/>
          <w:highlight w:val="none"/>
        </w:rPr>
        <w:t>（</w:t>
      </w:r>
      <w:r>
        <w:rPr>
          <w:color w:val="auto"/>
          <w:highlight w:val="none"/>
        </w:rPr>
        <w:t>GB5050-2013</w:t>
      </w:r>
      <w:r>
        <w:rPr>
          <w:rFonts w:hint="eastAsia" w:cs="宋体"/>
          <w:color w:val="auto"/>
          <w:highlight w:val="none"/>
        </w:rPr>
        <w:t>）广西壮族自治区实施细则》要求的表格提供，但规费和税费按照</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cs="宋体"/>
          <w:color w:val="auto"/>
          <w:highlight w:val="none"/>
        </w:rPr>
        <w:t>，具体内容包括：</w:t>
      </w:r>
    </w:p>
    <w:p w14:paraId="4223171B">
      <w:pPr>
        <w:spacing w:line="360" w:lineRule="auto"/>
        <w:ind w:firstLine="630" w:firstLineChars="300"/>
        <w:rPr>
          <w:color w:val="auto"/>
          <w:highlight w:val="none"/>
        </w:rPr>
      </w:pPr>
      <w:r>
        <w:rPr>
          <w:color w:val="auto"/>
          <w:highlight w:val="none"/>
        </w:rPr>
        <w:t xml:space="preserve">1.1 </w:t>
      </w:r>
      <w:r>
        <w:rPr>
          <w:rFonts w:hint="eastAsia" w:cs="宋体"/>
          <w:color w:val="auto"/>
          <w:highlight w:val="none"/>
        </w:rPr>
        <w:t>投标总价（封</w:t>
      </w:r>
      <w:r>
        <w:rPr>
          <w:color w:val="auto"/>
          <w:highlight w:val="none"/>
        </w:rPr>
        <w:t>-3</w:t>
      </w:r>
      <w:r>
        <w:rPr>
          <w:rFonts w:hint="eastAsia" w:cs="宋体"/>
          <w:color w:val="auto"/>
          <w:highlight w:val="none"/>
        </w:rPr>
        <w:t>）</w:t>
      </w:r>
    </w:p>
    <w:p w14:paraId="2BBD7E9D">
      <w:pPr>
        <w:spacing w:line="360" w:lineRule="auto"/>
        <w:ind w:firstLine="630" w:firstLineChars="300"/>
        <w:rPr>
          <w:color w:val="auto"/>
          <w:highlight w:val="none"/>
        </w:rPr>
      </w:pPr>
      <w:r>
        <w:rPr>
          <w:color w:val="auto"/>
          <w:highlight w:val="none"/>
        </w:rPr>
        <w:t xml:space="preserve">1.2 </w:t>
      </w:r>
      <w:r>
        <w:rPr>
          <w:rFonts w:hint="eastAsia" w:cs="宋体"/>
          <w:color w:val="auto"/>
          <w:highlight w:val="none"/>
        </w:rPr>
        <w:t>投标总价（扉</w:t>
      </w:r>
      <w:r>
        <w:rPr>
          <w:color w:val="auto"/>
          <w:highlight w:val="none"/>
        </w:rPr>
        <w:t>-3</w:t>
      </w:r>
      <w:r>
        <w:rPr>
          <w:rFonts w:hint="eastAsia" w:cs="宋体"/>
          <w:color w:val="auto"/>
          <w:highlight w:val="none"/>
        </w:rPr>
        <w:t>）</w:t>
      </w:r>
    </w:p>
    <w:p w14:paraId="15D7F69B">
      <w:pPr>
        <w:spacing w:line="360" w:lineRule="auto"/>
        <w:ind w:firstLine="630" w:firstLineChars="300"/>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45E2B1DB">
      <w:pPr>
        <w:spacing w:line="360" w:lineRule="auto"/>
        <w:ind w:firstLine="630" w:firstLineChars="300"/>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1318BE34">
      <w:pPr>
        <w:spacing w:line="360" w:lineRule="auto"/>
        <w:ind w:firstLine="630" w:firstLineChars="300"/>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65CB50AB">
      <w:pPr>
        <w:spacing w:line="360" w:lineRule="auto"/>
        <w:ind w:firstLine="630" w:firstLineChars="300"/>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2DEB1FF4">
      <w:pPr>
        <w:spacing w:line="360" w:lineRule="auto"/>
        <w:ind w:firstLine="630" w:firstLineChars="300"/>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775664EC">
      <w:pPr>
        <w:spacing w:line="360" w:lineRule="auto"/>
        <w:ind w:firstLine="630" w:firstLineChars="300"/>
        <w:rPr>
          <w:color w:val="auto"/>
          <w:highlight w:val="none"/>
        </w:rPr>
      </w:pPr>
      <w:r>
        <w:rPr>
          <w:color w:val="auto"/>
          <w:highlight w:val="none"/>
        </w:rPr>
        <w:t xml:space="preserve">1.8 </w:t>
      </w:r>
      <w:r>
        <w:rPr>
          <w:rFonts w:hint="eastAsia" w:cs="宋体"/>
          <w:color w:val="auto"/>
          <w:highlight w:val="none"/>
        </w:rPr>
        <w:t>工程量清单综合单价分析表（表</w:t>
      </w:r>
      <w:r>
        <w:rPr>
          <w:color w:val="auto"/>
          <w:highlight w:val="none"/>
        </w:rPr>
        <w:t>-09</w:t>
      </w:r>
      <w:r>
        <w:rPr>
          <w:rFonts w:hint="eastAsia" w:cs="宋体"/>
          <w:color w:val="auto"/>
          <w:highlight w:val="none"/>
        </w:rPr>
        <w:t>）</w:t>
      </w:r>
    </w:p>
    <w:p w14:paraId="38E6BDB1">
      <w:pPr>
        <w:spacing w:line="360" w:lineRule="auto"/>
        <w:ind w:firstLine="630" w:firstLineChars="300"/>
        <w:rPr>
          <w:color w:val="auto"/>
          <w:highlight w:val="none"/>
        </w:rPr>
      </w:pPr>
      <w:r>
        <w:rPr>
          <w:color w:val="auto"/>
          <w:highlight w:val="none"/>
        </w:rPr>
        <w:t xml:space="preserve">1.9 </w:t>
      </w:r>
      <w:r>
        <w:rPr>
          <w:rFonts w:hint="eastAsia" w:cs="宋体"/>
          <w:color w:val="auto"/>
          <w:highlight w:val="none"/>
        </w:rPr>
        <w:t>主要清单项目工料机分析表（表</w:t>
      </w:r>
      <w:r>
        <w:rPr>
          <w:color w:val="auto"/>
          <w:highlight w:val="none"/>
        </w:rPr>
        <w:t>-10</w:t>
      </w:r>
      <w:r>
        <w:rPr>
          <w:rFonts w:hint="eastAsia" w:cs="宋体"/>
          <w:color w:val="auto"/>
          <w:highlight w:val="none"/>
        </w:rPr>
        <w:t>）</w:t>
      </w:r>
    </w:p>
    <w:p w14:paraId="058B7F49">
      <w:pPr>
        <w:spacing w:line="360" w:lineRule="auto"/>
        <w:ind w:firstLine="630" w:firstLineChars="300"/>
        <w:rPr>
          <w:color w:val="auto"/>
          <w:highlight w:val="none"/>
        </w:rPr>
      </w:pPr>
      <w:r>
        <w:rPr>
          <w:color w:val="auto"/>
          <w:highlight w:val="none"/>
        </w:rPr>
        <w:t xml:space="preserve">1.10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14:paraId="19CFB8CF">
      <w:pPr>
        <w:spacing w:line="360" w:lineRule="auto"/>
        <w:ind w:firstLine="630" w:firstLineChars="300"/>
        <w:rPr>
          <w:color w:val="auto"/>
          <w:highlight w:val="none"/>
        </w:rPr>
      </w:pPr>
      <w:r>
        <w:rPr>
          <w:color w:val="auto"/>
          <w:highlight w:val="none"/>
        </w:rPr>
        <w:t xml:space="preserve">1.11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14:paraId="699E3DBA">
      <w:pPr>
        <w:spacing w:line="360" w:lineRule="auto"/>
        <w:ind w:firstLine="630" w:firstLineChars="300"/>
        <w:rPr>
          <w:color w:val="auto"/>
          <w:highlight w:val="none"/>
        </w:rPr>
      </w:pPr>
      <w:r>
        <w:rPr>
          <w:color w:val="auto"/>
          <w:highlight w:val="none"/>
        </w:rPr>
        <w:t xml:space="preserve">1.12 </w:t>
      </w:r>
      <w:r>
        <w:rPr>
          <w:rFonts w:hint="eastAsia" w:cs="宋体"/>
          <w:color w:val="auto"/>
          <w:highlight w:val="none"/>
        </w:rPr>
        <w:t>暂列金额明细表（表</w:t>
      </w:r>
      <w:r>
        <w:rPr>
          <w:color w:val="auto"/>
          <w:highlight w:val="none"/>
        </w:rPr>
        <w:t>12-1</w:t>
      </w:r>
      <w:r>
        <w:rPr>
          <w:rFonts w:hint="eastAsia" w:cs="宋体"/>
          <w:color w:val="auto"/>
          <w:highlight w:val="none"/>
        </w:rPr>
        <w:t>）</w:t>
      </w:r>
    </w:p>
    <w:p w14:paraId="7B892885">
      <w:pPr>
        <w:spacing w:line="360" w:lineRule="auto"/>
        <w:ind w:firstLine="630" w:firstLineChars="300"/>
        <w:rPr>
          <w:color w:val="auto"/>
          <w:highlight w:val="none"/>
        </w:rPr>
      </w:pPr>
      <w:r>
        <w:rPr>
          <w:color w:val="auto"/>
          <w:highlight w:val="none"/>
        </w:rPr>
        <w:t xml:space="preserve">1.13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14:paraId="3333258F">
      <w:pPr>
        <w:spacing w:line="360" w:lineRule="auto"/>
        <w:ind w:firstLine="630" w:firstLineChars="300"/>
        <w:rPr>
          <w:color w:val="auto"/>
          <w:highlight w:val="none"/>
        </w:rPr>
      </w:pPr>
      <w:r>
        <w:rPr>
          <w:color w:val="auto"/>
          <w:highlight w:val="none"/>
        </w:rPr>
        <w:t xml:space="preserve">1.14 </w:t>
      </w:r>
      <w:r>
        <w:rPr>
          <w:rFonts w:hint="eastAsia" w:cs="宋体"/>
          <w:color w:val="auto"/>
          <w:highlight w:val="none"/>
        </w:rPr>
        <w:t>专业工程暂估价及结算价表（表</w:t>
      </w:r>
      <w:r>
        <w:rPr>
          <w:color w:val="auto"/>
          <w:highlight w:val="none"/>
        </w:rPr>
        <w:t>12-3</w:t>
      </w:r>
      <w:r>
        <w:rPr>
          <w:rFonts w:hint="eastAsia" w:cs="宋体"/>
          <w:color w:val="auto"/>
          <w:highlight w:val="none"/>
        </w:rPr>
        <w:t>）</w:t>
      </w:r>
    </w:p>
    <w:p w14:paraId="3C2ADF7F">
      <w:pPr>
        <w:spacing w:line="360" w:lineRule="auto"/>
        <w:ind w:firstLine="630" w:firstLineChars="300"/>
        <w:rPr>
          <w:color w:val="auto"/>
          <w:highlight w:val="none"/>
        </w:rPr>
      </w:pPr>
      <w:r>
        <w:rPr>
          <w:color w:val="auto"/>
          <w:highlight w:val="none"/>
        </w:rPr>
        <w:t>1.15</w:t>
      </w:r>
      <w:r>
        <w:rPr>
          <w:rFonts w:hint="eastAsia" w:cs="宋体"/>
          <w:color w:val="auto"/>
          <w:highlight w:val="none"/>
        </w:rPr>
        <w:t>计日工表（表</w:t>
      </w:r>
      <w:r>
        <w:rPr>
          <w:color w:val="auto"/>
          <w:highlight w:val="none"/>
        </w:rPr>
        <w:t>12-4</w:t>
      </w:r>
      <w:r>
        <w:rPr>
          <w:rFonts w:hint="eastAsia" w:cs="宋体"/>
          <w:color w:val="auto"/>
          <w:highlight w:val="none"/>
        </w:rPr>
        <w:t>）</w:t>
      </w:r>
    </w:p>
    <w:p w14:paraId="1E030C5B">
      <w:pPr>
        <w:spacing w:line="360" w:lineRule="auto"/>
        <w:ind w:firstLine="630" w:firstLineChars="300"/>
        <w:rPr>
          <w:color w:val="auto"/>
          <w:highlight w:val="none"/>
        </w:rPr>
      </w:pPr>
      <w:r>
        <w:rPr>
          <w:color w:val="auto"/>
          <w:highlight w:val="none"/>
        </w:rPr>
        <w:t xml:space="preserve">1.16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14:paraId="360ED5CF">
      <w:pPr>
        <w:spacing w:line="360" w:lineRule="auto"/>
        <w:ind w:firstLine="630" w:firstLineChars="300"/>
        <w:rPr>
          <w:color w:val="auto"/>
          <w:highlight w:val="none"/>
        </w:rPr>
      </w:pPr>
      <w:r>
        <w:rPr>
          <w:color w:val="auto"/>
          <w:highlight w:val="none"/>
        </w:rPr>
        <w:t xml:space="preserve">1.17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14:paraId="6EF7C19F">
      <w:pPr>
        <w:spacing w:line="360" w:lineRule="auto"/>
        <w:ind w:firstLine="630" w:firstLineChars="300"/>
        <w:rPr>
          <w:color w:val="auto"/>
          <w:highlight w:val="none"/>
        </w:rPr>
      </w:pPr>
      <w:r>
        <w:rPr>
          <w:color w:val="auto"/>
          <w:highlight w:val="none"/>
        </w:rPr>
        <w:t xml:space="preserve">1.18 </w:t>
      </w:r>
      <w:r>
        <w:rPr>
          <w:rFonts w:hint="eastAsia" w:cs="宋体"/>
          <w:color w:val="auto"/>
          <w:highlight w:val="none"/>
        </w:rPr>
        <w:t>规费、增值税计价表（表</w:t>
      </w:r>
      <w:r>
        <w:rPr>
          <w:color w:val="auto"/>
          <w:highlight w:val="none"/>
        </w:rPr>
        <w:t>-15</w:t>
      </w:r>
      <w:r>
        <w:rPr>
          <w:rFonts w:hint="eastAsia" w:cs="宋体"/>
          <w:color w:val="auto"/>
          <w:highlight w:val="none"/>
        </w:rPr>
        <w:t>）</w:t>
      </w:r>
    </w:p>
    <w:p w14:paraId="0CB5B3E4">
      <w:pPr>
        <w:spacing w:line="360" w:lineRule="auto"/>
        <w:ind w:firstLine="630" w:firstLineChars="300"/>
        <w:rPr>
          <w:color w:val="auto"/>
          <w:highlight w:val="none"/>
        </w:rPr>
      </w:pPr>
      <w:r>
        <w:rPr>
          <w:color w:val="auto"/>
          <w:highlight w:val="none"/>
        </w:rPr>
        <w:t xml:space="preserve">1.19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14:paraId="4094AA4D">
      <w:pPr>
        <w:spacing w:line="360" w:lineRule="auto"/>
        <w:ind w:firstLine="630" w:firstLineChars="300"/>
        <w:rPr>
          <w:color w:val="auto"/>
          <w:highlight w:val="none"/>
        </w:rPr>
      </w:pPr>
      <w:r>
        <w:rPr>
          <w:color w:val="auto"/>
          <w:highlight w:val="none"/>
        </w:rPr>
        <w:t xml:space="preserve">1.20 </w:t>
      </w:r>
      <w:r>
        <w:rPr>
          <w:rFonts w:hint="eastAsia" w:cs="宋体"/>
          <w:color w:val="auto"/>
          <w:highlight w:val="none"/>
        </w:rPr>
        <w:t>承包人提供主要材料和工程设备一览表（适用于造价信息差额调整法）（表</w:t>
      </w:r>
      <w:r>
        <w:rPr>
          <w:color w:val="auto"/>
          <w:highlight w:val="none"/>
        </w:rPr>
        <w:t>-22</w:t>
      </w:r>
      <w:r>
        <w:rPr>
          <w:rFonts w:hint="eastAsia" w:cs="宋体"/>
          <w:color w:val="auto"/>
          <w:highlight w:val="none"/>
        </w:rPr>
        <w:t>）</w:t>
      </w:r>
    </w:p>
    <w:p w14:paraId="46A8966B">
      <w:pPr>
        <w:spacing w:line="360" w:lineRule="auto"/>
        <w:ind w:firstLine="630" w:firstLineChars="300"/>
        <w:rPr>
          <w:color w:val="auto"/>
          <w:highlight w:val="none"/>
        </w:rPr>
      </w:pPr>
      <w:r>
        <w:rPr>
          <w:color w:val="auto"/>
          <w:highlight w:val="none"/>
        </w:rPr>
        <w:t xml:space="preserve">1.21 </w:t>
      </w:r>
      <w:r>
        <w:rPr>
          <w:rFonts w:hint="eastAsia" w:cs="宋体"/>
          <w:color w:val="auto"/>
          <w:highlight w:val="none"/>
        </w:rPr>
        <w:t>承包人提供主要材料和工程设备一览表（适用于价格指数差额调整法）（表</w:t>
      </w:r>
      <w:r>
        <w:rPr>
          <w:color w:val="auto"/>
          <w:highlight w:val="none"/>
        </w:rPr>
        <w:t>-23</w:t>
      </w:r>
      <w:r>
        <w:rPr>
          <w:rFonts w:hint="eastAsia" w:cs="宋体"/>
          <w:color w:val="auto"/>
          <w:highlight w:val="none"/>
        </w:rPr>
        <w:t>）</w:t>
      </w:r>
    </w:p>
    <w:p w14:paraId="5F18D01C">
      <w:pPr>
        <w:spacing w:line="360" w:lineRule="auto"/>
        <w:ind w:firstLine="630" w:firstLineChars="300"/>
        <w:rPr>
          <w:color w:val="auto"/>
          <w:highlight w:val="none"/>
        </w:rPr>
      </w:pPr>
    </w:p>
    <w:p w14:paraId="6E101B88">
      <w:pPr>
        <w:spacing w:line="360" w:lineRule="auto"/>
        <w:rPr>
          <w:color w:val="auto"/>
          <w:highlight w:val="none"/>
        </w:rPr>
      </w:pPr>
      <w:r>
        <w:rPr>
          <w:rFonts w:hint="eastAsia" w:cs="宋体"/>
          <w:color w:val="auto"/>
          <w:highlight w:val="none"/>
        </w:rPr>
        <w:t>备注：</w:t>
      </w:r>
    </w:p>
    <w:p w14:paraId="212DEEF2">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）总价封面必须经供应商盖章，并由法定代表人（或其授权人）签字（或盖章），同时由编制人签字盖专用章。</w:t>
      </w:r>
    </w:p>
    <w:p w14:paraId="3B25073B">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w:t>
      </w:r>
      <w:r>
        <w:rPr>
          <w:color w:val="auto"/>
          <w:highlight w:val="none"/>
        </w:rPr>
        <w:t>1.8</w:t>
      </w:r>
      <w:r>
        <w:rPr>
          <w:rFonts w:hint="eastAsia" w:cs="宋体"/>
          <w:color w:val="auto"/>
          <w:highlight w:val="none"/>
        </w:rPr>
        <w:t>工程量清单综合单价分析表和</w:t>
      </w:r>
      <w:r>
        <w:rPr>
          <w:color w:val="auto"/>
          <w:highlight w:val="none"/>
        </w:rPr>
        <w:t>1.9</w:t>
      </w:r>
      <w:r>
        <w:rPr>
          <w:rFonts w:hint="eastAsia" w:cs="宋体"/>
          <w:color w:val="auto"/>
          <w:highlight w:val="none"/>
        </w:rPr>
        <w:t>主要清单项目工料机分析表要求附上。</w:t>
      </w:r>
    </w:p>
    <w:p w14:paraId="1AFDD5D3">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）已标价工程量清单表格要严格按照工程量清单给出的表格要求和内容填报。如本工程在合同中约定采用造价信息价差调整法，1.</w:t>
      </w:r>
      <w:r>
        <w:rPr>
          <w:color w:val="auto"/>
          <w:highlight w:val="none"/>
        </w:rPr>
        <w:t xml:space="preserve">18 </w:t>
      </w:r>
      <w:r>
        <w:rPr>
          <w:rFonts w:hint="eastAsia" w:cs="宋体"/>
          <w:color w:val="auto"/>
          <w:highlight w:val="none"/>
        </w:rPr>
        <w:t>承包人提供主要材料和工程设备一览表（适用于造价信息差额调整法）（表</w:t>
      </w:r>
      <w:r>
        <w:rPr>
          <w:color w:val="auto"/>
          <w:highlight w:val="none"/>
        </w:rPr>
        <w:t>-22</w:t>
      </w:r>
      <w:r>
        <w:rPr>
          <w:rFonts w:hint="eastAsia" w:cs="宋体"/>
          <w:color w:val="auto"/>
          <w:highlight w:val="none"/>
        </w:rPr>
        <w:t>）载明的主要材料和设备为本工程允许调整的材料和设备，工程量清单必须提供该表格，且不能提供空白表。以下表格视工程实际需要选用，如该工程不发生如下表格相关项目和费用，工程量清单不应列入该部分表格，已标价工程量清单亦不包括这部分表格。</w:t>
      </w:r>
    </w:p>
    <w:p w14:paraId="74246224">
      <w:pPr>
        <w:spacing w:line="360" w:lineRule="auto"/>
        <w:ind w:firstLine="945" w:firstLineChars="450"/>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188EDB0B">
      <w:pPr>
        <w:spacing w:line="360" w:lineRule="auto"/>
        <w:ind w:firstLine="945" w:firstLineChars="450"/>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14:paraId="600CE09E">
      <w:pPr>
        <w:spacing w:line="360" w:lineRule="auto"/>
        <w:ind w:firstLine="945" w:firstLineChars="450"/>
        <w:rPr>
          <w:color w:val="auto"/>
          <w:highlight w:val="none"/>
        </w:rPr>
      </w:pPr>
      <w:r>
        <w:rPr>
          <w:rFonts w:hint="eastAsia" w:cs="宋体"/>
          <w:color w:val="auto"/>
          <w:highlight w:val="none"/>
        </w:rPr>
        <w:t>③材料（工程设备）暂估单位及调整表（表</w:t>
      </w:r>
      <w:r>
        <w:rPr>
          <w:color w:val="auto"/>
          <w:highlight w:val="none"/>
        </w:rPr>
        <w:t>12-2</w:t>
      </w:r>
      <w:r>
        <w:rPr>
          <w:rFonts w:hint="eastAsia" w:cs="宋体"/>
          <w:color w:val="auto"/>
          <w:highlight w:val="none"/>
        </w:rPr>
        <w:t>）</w:t>
      </w:r>
    </w:p>
    <w:p w14:paraId="548DD31A">
      <w:pPr>
        <w:spacing w:line="360" w:lineRule="auto"/>
        <w:ind w:firstLine="945" w:firstLineChars="450"/>
        <w:rPr>
          <w:color w:val="auto"/>
          <w:highlight w:val="none"/>
        </w:rPr>
      </w:pPr>
      <w:r>
        <w:rPr>
          <w:rFonts w:hint="eastAsia" w:cs="宋体"/>
          <w:color w:val="auto"/>
          <w:highlight w:val="none"/>
        </w:rPr>
        <w:t>④专业工程暂估价及结算价表（表</w:t>
      </w:r>
      <w:r>
        <w:rPr>
          <w:color w:val="auto"/>
          <w:highlight w:val="none"/>
        </w:rPr>
        <w:t>12-3</w:t>
      </w:r>
      <w:r>
        <w:rPr>
          <w:rFonts w:hint="eastAsia" w:cs="宋体"/>
          <w:color w:val="auto"/>
          <w:highlight w:val="none"/>
        </w:rPr>
        <w:t>）</w:t>
      </w:r>
    </w:p>
    <w:p w14:paraId="007E7CC3">
      <w:pPr>
        <w:spacing w:line="360" w:lineRule="auto"/>
        <w:ind w:firstLine="945" w:firstLineChars="450"/>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14:paraId="773F4ED2">
      <w:pPr>
        <w:spacing w:line="360" w:lineRule="auto"/>
        <w:ind w:firstLine="945" w:firstLineChars="450"/>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14:paraId="3E6A977B">
      <w:pPr>
        <w:spacing w:line="360" w:lineRule="auto"/>
        <w:ind w:firstLine="945" w:firstLineChars="450"/>
        <w:rPr>
          <w:rFonts w:cs="宋体"/>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14:paraId="396B8DB7">
      <w:pPr>
        <w:spacing w:line="360" w:lineRule="auto"/>
        <w:ind w:firstLine="945" w:firstLineChars="450"/>
        <w:rPr>
          <w:color w:val="auto"/>
          <w:highlight w:val="none"/>
        </w:rPr>
        <w:sectPr>
          <w:pgSz w:w="11911" w:h="16838"/>
          <w:pgMar w:top="1134" w:right="1134" w:bottom="1134" w:left="1134" w:header="720" w:footer="720" w:gutter="0"/>
          <w:cols w:space="720" w:num="1"/>
        </w:sect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color w:val="auto"/>
          <w:highlight w:val="none"/>
        </w:rPr>
        <w:t xml:space="preserve"> </w:t>
      </w:r>
      <w:r>
        <w:rPr>
          <w:rFonts w:hint="eastAsia" w:cs="宋体"/>
          <w:color w:val="auto"/>
          <w:highlight w:val="none"/>
        </w:rPr>
        <w:t>承包人提供主要材料和工程设备一览表（适用于价格指数差额调整法）（表</w:t>
      </w:r>
      <w:r>
        <w:rPr>
          <w:color w:val="auto"/>
          <w:highlight w:val="none"/>
        </w:rPr>
        <w:t>-23</w:t>
      </w:r>
      <w:r>
        <w:rPr>
          <w:rFonts w:hint="eastAsia" w:cs="宋体"/>
          <w:color w:val="auto"/>
          <w:highlight w:val="none"/>
        </w:rPr>
        <w:t>）</w:t>
      </w:r>
    </w:p>
    <w:p w14:paraId="6CEB3C9B">
      <w:pPr>
        <w:spacing w:line="500" w:lineRule="exact"/>
        <w:rPr>
          <w:rFonts w:eastAsia="仿宋"/>
          <w:b/>
          <w:color w:val="auto"/>
          <w:sz w:val="30"/>
          <w:szCs w:val="30"/>
          <w:highlight w:val="none"/>
          <w:lang w:val="zh-CN"/>
        </w:rPr>
      </w:pPr>
      <w:r>
        <w:rPr>
          <w:rFonts w:hint="eastAsia"/>
          <w:b/>
          <w:color w:val="auto"/>
          <w:sz w:val="28"/>
          <w:szCs w:val="28"/>
          <w:highlight w:val="none"/>
        </w:rPr>
        <w:t>6</w:t>
      </w:r>
      <w:r>
        <w:rPr>
          <w:b/>
          <w:color w:val="auto"/>
          <w:sz w:val="28"/>
          <w:szCs w:val="28"/>
          <w:highlight w:val="none"/>
        </w:rPr>
        <w:t>.</w:t>
      </w:r>
      <w:r>
        <w:rPr>
          <w:b/>
          <w:color w:val="auto"/>
          <w:sz w:val="28"/>
          <w:szCs w:val="28"/>
          <w:highlight w:val="none"/>
          <w:lang w:val="zh-CN"/>
        </w:rPr>
        <w:t>最后报价表的格式：</w:t>
      </w:r>
      <w:r>
        <w:rPr>
          <w:rFonts w:eastAsia="仿宋"/>
          <w:b/>
          <w:color w:val="auto"/>
          <w:sz w:val="30"/>
          <w:szCs w:val="30"/>
          <w:highlight w:val="none"/>
          <w:lang w:val="zh-CN"/>
        </w:rPr>
        <w:t xml:space="preserve"> </w:t>
      </w:r>
    </w:p>
    <w:p w14:paraId="0C652CD1">
      <w:pPr>
        <w:spacing w:line="520" w:lineRule="exact"/>
        <w:rPr>
          <w:color w:val="auto"/>
          <w:highlight w:val="none"/>
        </w:rPr>
      </w:pPr>
    </w:p>
    <w:p w14:paraId="7B146993">
      <w:pPr>
        <w:spacing w:line="520" w:lineRule="exact"/>
        <w:jc w:val="center"/>
        <w:rPr>
          <w:color w:val="auto"/>
          <w:sz w:val="24"/>
          <w:highlight w:val="none"/>
        </w:rPr>
      </w:pPr>
      <w:r>
        <w:rPr>
          <w:b/>
          <w:bCs/>
          <w:color w:val="auto"/>
          <w:sz w:val="32"/>
          <w:szCs w:val="32"/>
          <w:highlight w:val="none"/>
        </w:rPr>
        <w:t>最后报价表</w:t>
      </w:r>
    </w:p>
    <w:p w14:paraId="760A301F">
      <w:pPr>
        <w:snapToGrid w:val="0"/>
        <w:spacing w:before="50" w:after="50" w:line="360" w:lineRule="auto"/>
        <w:rPr>
          <w:color w:val="auto"/>
          <w:szCs w:val="21"/>
          <w:highlight w:val="none"/>
        </w:rPr>
      </w:pPr>
      <w:r>
        <w:rPr>
          <w:rFonts w:hint="eastAsia" w:ascii="宋体" w:hAnsi="宋体" w:cs="宋体"/>
          <w:color w:val="auto"/>
          <w:szCs w:val="21"/>
          <w:highlight w:val="none"/>
        </w:rPr>
        <w:t>项</w:t>
      </w:r>
      <w:r>
        <w:rPr>
          <w:color w:val="auto"/>
          <w:szCs w:val="21"/>
          <w:highlight w:val="none"/>
        </w:rPr>
        <w:t>目名称：</w:t>
      </w:r>
      <w:r>
        <w:rPr>
          <w:color w:val="auto"/>
          <w:szCs w:val="21"/>
          <w:highlight w:val="none"/>
          <w:u w:val="single"/>
        </w:rPr>
        <w:t xml:space="preserve">           </w:t>
      </w:r>
      <w:r>
        <w:rPr>
          <w:color w:val="auto"/>
          <w:szCs w:val="21"/>
          <w:highlight w:val="none"/>
        </w:rPr>
        <w:t xml:space="preserve">         </w:t>
      </w:r>
    </w:p>
    <w:p w14:paraId="5466F9E1">
      <w:pPr>
        <w:snapToGrid w:val="0"/>
        <w:spacing w:before="50" w:after="50" w:line="360" w:lineRule="auto"/>
        <w:rPr>
          <w:color w:val="auto"/>
          <w:szCs w:val="21"/>
          <w:highlight w:val="none"/>
        </w:rPr>
      </w:pPr>
      <w:r>
        <w:rPr>
          <w:color w:val="auto"/>
          <w:szCs w:val="21"/>
          <w:highlight w:val="none"/>
        </w:rPr>
        <w:t>项目编号：</w:t>
      </w:r>
      <w:r>
        <w:rPr>
          <w:color w:val="auto"/>
          <w:szCs w:val="21"/>
          <w:highlight w:val="none"/>
          <w:u w:val="single"/>
        </w:rPr>
        <w:t xml:space="preserve">            </w:t>
      </w:r>
      <w:r>
        <w:rPr>
          <w:color w:val="auto"/>
          <w:szCs w:val="21"/>
          <w:highlight w:val="none"/>
        </w:rPr>
        <w:t xml:space="preserve">         </w:t>
      </w:r>
    </w:p>
    <w:tbl>
      <w:tblPr>
        <w:tblStyle w:val="28"/>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698"/>
        <w:gridCol w:w="1417"/>
        <w:gridCol w:w="2209"/>
        <w:gridCol w:w="1184"/>
      </w:tblGrid>
      <w:tr w14:paraId="56AD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5DC68B77">
            <w:pPr>
              <w:contextualSpacing/>
              <w:jc w:val="center"/>
              <w:rPr>
                <w:rFonts w:ascii="宋体" w:hAnsi="宋体" w:cs="仿宋_GB2312"/>
                <w:color w:val="auto"/>
                <w:szCs w:val="21"/>
                <w:highlight w:val="none"/>
              </w:rPr>
            </w:pPr>
            <w:r>
              <w:rPr>
                <w:rFonts w:ascii="宋体" w:hAnsi="宋体" w:cs="仿宋_GB2312"/>
                <w:color w:val="auto"/>
                <w:szCs w:val="21"/>
                <w:highlight w:val="none"/>
              </w:rPr>
              <w:t>序号</w:t>
            </w:r>
          </w:p>
        </w:tc>
        <w:tc>
          <w:tcPr>
            <w:tcW w:w="3698" w:type="dxa"/>
            <w:tcBorders>
              <w:top w:val="single" w:color="auto" w:sz="4" w:space="0"/>
              <w:left w:val="single" w:color="auto" w:sz="4" w:space="0"/>
              <w:bottom w:val="single" w:color="auto" w:sz="4" w:space="0"/>
              <w:right w:val="single" w:color="auto" w:sz="4" w:space="0"/>
            </w:tcBorders>
            <w:vAlign w:val="center"/>
          </w:tcPr>
          <w:p w14:paraId="65AF9DC2">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标的名称</w:t>
            </w:r>
          </w:p>
        </w:tc>
        <w:tc>
          <w:tcPr>
            <w:tcW w:w="1417" w:type="dxa"/>
            <w:tcBorders>
              <w:top w:val="single" w:color="auto" w:sz="4" w:space="0"/>
              <w:left w:val="single" w:color="auto" w:sz="4" w:space="0"/>
              <w:bottom w:val="single" w:color="auto" w:sz="4" w:space="0"/>
              <w:right w:val="single" w:color="auto" w:sz="4" w:space="0"/>
            </w:tcBorders>
            <w:vAlign w:val="center"/>
          </w:tcPr>
          <w:p w14:paraId="11CA7CF8">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数量</w:t>
            </w:r>
          </w:p>
        </w:tc>
        <w:tc>
          <w:tcPr>
            <w:tcW w:w="2209" w:type="dxa"/>
            <w:tcBorders>
              <w:top w:val="single" w:color="auto" w:sz="4" w:space="0"/>
              <w:left w:val="single" w:color="auto" w:sz="4" w:space="0"/>
              <w:bottom w:val="single" w:color="auto" w:sz="4" w:space="0"/>
              <w:right w:val="single" w:color="auto" w:sz="4" w:space="0"/>
            </w:tcBorders>
            <w:vAlign w:val="center"/>
          </w:tcPr>
          <w:p w14:paraId="7E567427">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报价(元)</w:t>
            </w:r>
          </w:p>
        </w:tc>
        <w:tc>
          <w:tcPr>
            <w:tcW w:w="1184" w:type="dxa"/>
            <w:tcBorders>
              <w:top w:val="single" w:color="auto" w:sz="4" w:space="0"/>
              <w:left w:val="single" w:color="auto" w:sz="4" w:space="0"/>
              <w:bottom w:val="single" w:color="auto" w:sz="4" w:space="0"/>
              <w:right w:val="single" w:color="auto" w:sz="4" w:space="0"/>
            </w:tcBorders>
            <w:vAlign w:val="center"/>
          </w:tcPr>
          <w:p w14:paraId="7DCB6522">
            <w:pPr>
              <w:contextualSpacing/>
              <w:jc w:val="center"/>
              <w:rPr>
                <w:rFonts w:ascii="宋体" w:hAnsi="宋体" w:cs="仿宋_GB2312"/>
                <w:color w:val="auto"/>
                <w:szCs w:val="21"/>
                <w:highlight w:val="none"/>
              </w:rPr>
            </w:pPr>
            <w:r>
              <w:rPr>
                <w:rFonts w:ascii="宋体" w:hAnsi="宋体" w:cs="仿宋_GB2312"/>
                <w:color w:val="auto"/>
                <w:szCs w:val="21"/>
                <w:highlight w:val="none"/>
              </w:rPr>
              <w:t>备注</w:t>
            </w:r>
          </w:p>
        </w:tc>
      </w:tr>
      <w:tr w14:paraId="11DE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7EC01215">
            <w:pPr>
              <w:contextualSpacing/>
              <w:jc w:val="center"/>
              <w:rPr>
                <w:rFonts w:ascii="宋体" w:hAnsi="宋体" w:cs="仿宋_GB2312"/>
                <w:color w:val="auto"/>
                <w:szCs w:val="21"/>
                <w:highlight w:val="none"/>
              </w:rPr>
            </w:pPr>
            <w:r>
              <w:rPr>
                <w:rFonts w:ascii="宋体" w:hAnsi="宋体" w:cs="仿宋_GB2312"/>
                <w:color w:val="auto"/>
                <w:szCs w:val="21"/>
                <w:highlight w:val="none"/>
              </w:rPr>
              <w:t>1</w:t>
            </w:r>
          </w:p>
        </w:tc>
        <w:tc>
          <w:tcPr>
            <w:tcW w:w="3698" w:type="dxa"/>
            <w:tcBorders>
              <w:top w:val="single" w:color="auto" w:sz="4" w:space="0"/>
              <w:left w:val="single" w:color="auto" w:sz="4" w:space="0"/>
              <w:bottom w:val="single" w:color="auto" w:sz="4" w:space="0"/>
              <w:right w:val="single" w:color="auto" w:sz="4" w:space="0"/>
            </w:tcBorders>
            <w:vAlign w:val="center"/>
          </w:tcPr>
          <w:p w14:paraId="5A789BD4">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广西民族大学修建思源湖校区跑廊项目</w:t>
            </w:r>
          </w:p>
        </w:tc>
        <w:tc>
          <w:tcPr>
            <w:tcW w:w="1417" w:type="dxa"/>
            <w:tcBorders>
              <w:top w:val="single" w:color="auto" w:sz="4" w:space="0"/>
              <w:left w:val="single" w:color="auto" w:sz="4" w:space="0"/>
              <w:bottom w:val="single" w:color="auto" w:sz="4" w:space="0"/>
              <w:right w:val="single" w:color="auto" w:sz="4" w:space="0"/>
            </w:tcBorders>
            <w:vAlign w:val="center"/>
          </w:tcPr>
          <w:p w14:paraId="60DD8EA3">
            <w:pPr>
              <w:contextualSpacing/>
              <w:jc w:val="center"/>
              <w:rPr>
                <w:rFonts w:ascii="宋体" w:hAnsi="宋体" w:cs="仿宋_GB2312"/>
                <w:color w:val="auto"/>
                <w:szCs w:val="21"/>
                <w:highlight w:val="none"/>
              </w:rPr>
            </w:pPr>
            <w:r>
              <w:rPr>
                <w:rFonts w:hint="eastAsia" w:ascii="宋体" w:hAnsi="宋体" w:cs="仿宋_GB2312"/>
                <w:color w:val="auto"/>
                <w:szCs w:val="21"/>
                <w:highlight w:val="none"/>
              </w:rPr>
              <w:t>1项</w:t>
            </w:r>
          </w:p>
        </w:tc>
        <w:tc>
          <w:tcPr>
            <w:tcW w:w="2209" w:type="dxa"/>
            <w:tcBorders>
              <w:top w:val="single" w:color="auto" w:sz="4" w:space="0"/>
              <w:left w:val="single" w:color="auto" w:sz="4" w:space="0"/>
              <w:bottom w:val="single" w:color="auto" w:sz="4" w:space="0"/>
              <w:right w:val="single" w:color="auto" w:sz="4" w:space="0"/>
            </w:tcBorders>
            <w:vAlign w:val="center"/>
          </w:tcPr>
          <w:p w14:paraId="3BDD8673">
            <w:pPr>
              <w:contextualSpacing/>
              <w:jc w:val="center"/>
              <w:rPr>
                <w:rFonts w:ascii="宋体" w:hAnsi="宋体" w:cs="仿宋_GB2312"/>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69E6C01">
            <w:pPr>
              <w:contextualSpacing/>
              <w:rPr>
                <w:rFonts w:ascii="宋体" w:hAnsi="宋体" w:cs="仿宋_GB2312"/>
                <w:color w:val="auto"/>
                <w:szCs w:val="21"/>
                <w:highlight w:val="none"/>
              </w:rPr>
            </w:pPr>
          </w:p>
        </w:tc>
      </w:tr>
      <w:tr w14:paraId="0CE1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95" w:type="dxa"/>
            <w:gridSpan w:val="5"/>
            <w:tcBorders>
              <w:top w:val="single" w:color="auto" w:sz="4" w:space="0"/>
              <w:left w:val="single" w:color="auto" w:sz="4" w:space="0"/>
              <w:bottom w:val="single" w:color="auto" w:sz="4" w:space="0"/>
              <w:right w:val="single" w:color="auto" w:sz="4" w:space="0"/>
            </w:tcBorders>
            <w:vAlign w:val="center"/>
          </w:tcPr>
          <w:p w14:paraId="154934F2">
            <w:pPr>
              <w:contextualSpacing/>
              <w:rPr>
                <w:rFonts w:ascii="宋体" w:hAnsi="宋体" w:cs="仿宋_GB2312"/>
                <w:color w:val="auto"/>
                <w:szCs w:val="21"/>
                <w:highlight w:val="none"/>
              </w:rPr>
            </w:pPr>
            <w:r>
              <w:rPr>
                <w:rFonts w:hint="eastAsia" w:ascii="宋体" w:hAnsi="宋体" w:cs="仿宋_GB2312"/>
                <w:color w:val="auto"/>
                <w:szCs w:val="21"/>
                <w:highlight w:val="none"/>
              </w:rPr>
              <w:t>竞标总报价：（大写）人民币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ascii="宋体" w:hAnsi="宋体" w:cs="仿宋_GB2312"/>
                <w:color w:val="auto"/>
                <w:szCs w:val="21"/>
                <w:highlight w:val="none"/>
              </w:rPr>
              <w:t xml:space="preserve">    </w:t>
            </w:r>
            <w:r>
              <w:rPr>
                <w:rFonts w:hint="eastAsia" w:ascii="宋体" w:hAnsi="宋体" w:cs="仿宋_GB2312"/>
                <w:color w:val="auto"/>
                <w:szCs w:val="21"/>
                <w:highlight w:val="none"/>
              </w:rPr>
              <w:t>（¥</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w:t>
            </w:r>
          </w:p>
        </w:tc>
      </w:tr>
      <w:tr w14:paraId="7532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95" w:type="dxa"/>
            <w:gridSpan w:val="5"/>
            <w:tcBorders>
              <w:top w:val="single" w:color="auto" w:sz="4" w:space="0"/>
              <w:left w:val="single" w:color="auto" w:sz="4" w:space="0"/>
              <w:bottom w:val="single" w:color="auto" w:sz="4" w:space="0"/>
              <w:right w:val="single" w:color="auto" w:sz="4" w:space="0"/>
            </w:tcBorders>
            <w:vAlign w:val="center"/>
          </w:tcPr>
          <w:p w14:paraId="28773C7F">
            <w:pPr>
              <w:contextualSpacing/>
              <w:rPr>
                <w:rFonts w:ascii="宋体" w:hAnsi="宋体" w:cs="仿宋_GB2312"/>
                <w:color w:val="auto"/>
                <w:szCs w:val="21"/>
                <w:highlight w:val="none"/>
              </w:rPr>
            </w:pPr>
            <w:r>
              <w:rPr>
                <w:rFonts w:hint="eastAsia"/>
                <w:color w:val="auto"/>
                <w:szCs w:val="21"/>
                <w:highlight w:val="none"/>
              </w:rPr>
              <w:t>工期</w:t>
            </w:r>
            <w:r>
              <w:rPr>
                <w:rFonts w:hint="eastAsia" w:hAnsi="宋体"/>
                <w:color w:val="auto"/>
                <w:kern w:val="56"/>
                <w:szCs w:val="21"/>
                <w:highlight w:val="none"/>
              </w:rPr>
              <w:t>：</w:t>
            </w:r>
            <w:r>
              <w:rPr>
                <w:rFonts w:hint="eastAsia" w:hAnsi="宋体"/>
                <w:color w:val="auto"/>
                <w:kern w:val="56"/>
                <w:szCs w:val="21"/>
                <w:highlight w:val="none"/>
                <w:u w:val="single"/>
              </w:rPr>
              <w:t xml:space="preserve">     </w:t>
            </w:r>
            <w:r>
              <w:rPr>
                <w:rFonts w:hAnsi="宋体"/>
                <w:color w:val="auto"/>
                <w:kern w:val="56"/>
                <w:szCs w:val="21"/>
                <w:highlight w:val="none"/>
                <w:u w:val="single"/>
              </w:rPr>
              <w:t xml:space="preserve">                     </w:t>
            </w:r>
            <w:r>
              <w:rPr>
                <w:rFonts w:hint="eastAsia" w:hAnsi="宋体"/>
                <w:color w:val="auto"/>
                <w:kern w:val="56"/>
                <w:szCs w:val="21"/>
                <w:highlight w:val="none"/>
                <w:u w:val="single"/>
              </w:rPr>
              <w:t xml:space="preserve"> </w:t>
            </w:r>
          </w:p>
        </w:tc>
      </w:tr>
      <w:tr w14:paraId="0A99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095" w:type="dxa"/>
            <w:gridSpan w:val="5"/>
            <w:tcBorders>
              <w:top w:val="single" w:color="auto" w:sz="4" w:space="0"/>
              <w:left w:val="single" w:color="auto" w:sz="4" w:space="0"/>
              <w:bottom w:val="single" w:color="auto" w:sz="4" w:space="0"/>
              <w:right w:val="single" w:color="auto" w:sz="4" w:space="0"/>
            </w:tcBorders>
            <w:vAlign w:val="center"/>
          </w:tcPr>
          <w:p w14:paraId="0B43DE2A">
            <w:pPr>
              <w:contextualSpacing/>
              <w:rPr>
                <w:rFonts w:hAnsi="宋体"/>
                <w:color w:val="auto"/>
                <w:kern w:val="56"/>
                <w:szCs w:val="21"/>
                <w:highlight w:val="none"/>
              </w:rPr>
            </w:pPr>
            <w:r>
              <w:rPr>
                <w:rFonts w:hint="eastAsia"/>
                <w:color w:val="auto"/>
                <w:szCs w:val="21"/>
                <w:highlight w:val="none"/>
              </w:rPr>
              <w:t>质量要求：</w:t>
            </w:r>
            <w:r>
              <w:rPr>
                <w:rFonts w:hint="eastAsia" w:hAnsi="宋体"/>
                <w:color w:val="auto"/>
                <w:kern w:val="56"/>
                <w:szCs w:val="21"/>
                <w:highlight w:val="none"/>
                <w:u w:val="single"/>
              </w:rPr>
              <w:t xml:space="preserve">                       </w:t>
            </w:r>
          </w:p>
        </w:tc>
      </w:tr>
    </w:tbl>
    <w:p w14:paraId="1F6EF832">
      <w:pPr>
        <w:snapToGrid w:val="0"/>
        <w:spacing w:before="50" w:after="50" w:line="360" w:lineRule="auto"/>
        <w:ind w:firstLine="420" w:firstLineChars="200"/>
        <w:jc w:val="left"/>
        <w:rPr>
          <w:color w:val="auto"/>
          <w:kern w:val="0"/>
          <w:szCs w:val="21"/>
          <w:highlight w:val="none"/>
          <w:lang w:val="zh-CN"/>
        </w:rPr>
      </w:pPr>
    </w:p>
    <w:p w14:paraId="3254DA7B">
      <w:pPr>
        <w:snapToGrid w:val="0"/>
        <w:spacing w:before="50" w:after="50" w:line="360" w:lineRule="auto"/>
        <w:ind w:firstLine="420" w:firstLineChars="200"/>
        <w:jc w:val="left"/>
        <w:rPr>
          <w:color w:val="auto"/>
          <w:kern w:val="0"/>
          <w:szCs w:val="21"/>
          <w:highlight w:val="none"/>
          <w:lang w:val="zh-CN"/>
        </w:rPr>
      </w:pPr>
      <w:r>
        <w:rPr>
          <w:color w:val="auto"/>
          <w:kern w:val="0"/>
          <w:szCs w:val="21"/>
          <w:highlight w:val="none"/>
          <w:lang w:val="zh-CN"/>
        </w:rPr>
        <w:t xml:space="preserve">注： </w:t>
      </w:r>
    </w:p>
    <w:p w14:paraId="3878F30F">
      <w:pPr>
        <w:snapToGrid w:val="0"/>
        <w:spacing w:before="50" w:after="50" w:line="360" w:lineRule="auto"/>
        <w:ind w:firstLine="420" w:firstLineChars="200"/>
        <w:jc w:val="left"/>
        <w:rPr>
          <w:color w:val="auto"/>
          <w:kern w:val="0"/>
          <w:szCs w:val="21"/>
          <w:highlight w:val="none"/>
          <w:lang w:val="zh-CN"/>
        </w:rPr>
      </w:pPr>
      <w:r>
        <w:rPr>
          <w:color w:val="auto"/>
          <w:kern w:val="0"/>
          <w:szCs w:val="21"/>
          <w:highlight w:val="none"/>
          <w:lang w:val="zh-CN"/>
        </w:rPr>
        <w:t>1、供应商需按本表格式填写，不得自行更改，也不得留空（</w:t>
      </w:r>
      <w:r>
        <w:rPr>
          <w:color w:val="auto"/>
          <w:szCs w:val="21"/>
          <w:highlight w:val="none"/>
        </w:rPr>
        <w:t>备注除外</w:t>
      </w:r>
      <w:r>
        <w:rPr>
          <w:color w:val="auto"/>
          <w:kern w:val="0"/>
          <w:szCs w:val="21"/>
          <w:highlight w:val="none"/>
          <w:lang w:val="zh-CN"/>
        </w:rPr>
        <w:t>）, 如有多分标，按分标分别提供响应报价表，</w:t>
      </w:r>
      <w:r>
        <w:rPr>
          <w:b/>
          <w:color w:val="auto"/>
          <w:kern w:val="0"/>
          <w:szCs w:val="21"/>
          <w:highlight w:val="none"/>
          <w:lang w:val="zh-CN"/>
        </w:rPr>
        <w:t>否则其响应按无效响应处理。</w:t>
      </w:r>
    </w:p>
    <w:p w14:paraId="2B5F1EC9">
      <w:pPr>
        <w:snapToGrid w:val="0"/>
        <w:spacing w:before="50" w:after="50" w:line="360" w:lineRule="auto"/>
        <w:ind w:firstLine="420" w:firstLineChars="200"/>
        <w:jc w:val="left"/>
        <w:rPr>
          <w:b/>
          <w:color w:val="auto"/>
          <w:kern w:val="0"/>
          <w:szCs w:val="21"/>
          <w:highlight w:val="none"/>
          <w:lang w:val="zh-CN"/>
        </w:rPr>
      </w:pPr>
      <w:r>
        <w:rPr>
          <w:color w:val="auto"/>
          <w:kern w:val="0"/>
          <w:szCs w:val="21"/>
          <w:highlight w:val="none"/>
          <w:lang w:val="zh-CN"/>
        </w:rPr>
        <w:t>2、如为联合体响应的，“供应商名称”处必须列明联合体各方名称，并标注联合体牵头人名称，且盖章处须加盖联合体各方公章，</w:t>
      </w:r>
      <w:r>
        <w:rPr>
          <w:b/>
          <w:color w:val="auto"/>
          <w:kern w:val="0"/>
          <w:szCs w:val="21"/>
          <w:highlight w:val="none"/>
          <w:lang w:val="zh-CN"/>
        </w:rPr>
        <w:t>否则其响应按无效响应处理。</w:t>
      </w:r>
    </w:p>
    <w:p w14:paraId="4E2FE476">
      <w:pPr>
        <w:snapToGrid w:val="0"/>
        <w:spacing w:line="360" w:lineRule="auto"/>
        <w:ind w:firstLine="420" w:firstLineChars="200"/>
        <w:jc w:val="left"/>
        <w:rPr>
          <w:color w:val="auto"/>
          <w:kern w:val="0"/>
          <w:szCs w:val="21"/>
          <w:highlight w:val="none"/>
          <w:lang w:val="zh-CN"/>
        </w:rPr>
      </w:pPr>
      <w:r>
        <w:rPr>
          <w:rFonts w:hint="eastAsia"/>
          <w:color w:val="auto"/>
          <w:kern w:val="0"/>
          <w:szCs w:val="21"/>
          <w:highlight w:val="none"/>
        </w:rPr>
        <w:t>3</w:t>
      </w:r>
      <w:r>
        <w:rPr>
          <w:color w:val="auto"/>
          <w:kern w:val="0"/>
          <w:szCs w:val="21"/>
          <w:highlight w:val="none"/>
          <w:lang w:val="zh-CN"/>
        </w:rPr>
        <w:t>、特别提示：采购代理机构将对项目名称和项目编号，成交供应商名称</w:t>
      </w:r>
      <w:r>
        <w:rPr>
          <w:rFonts w:hint="eastAsia"/>
          <w:color w:val="auto"/>
          <w:kern w:val="0"/>
          <w:szCs w:val="21"/>
          <w:highlight w:val="none"/>
          <w:lang w:val="zh-CN"/>
        </w:rPr>
        <w:t>、</w:t>
      </w:r>
      <w:r>
        <w:rPr>
          <w:color w:val="auto"/>
          <w:kern w:val="0"/>
          <w:szCs w:val="21"/>
          <w:highlight w:val="none"/>
          <w:lang w:val="zh-CN"/>
        </w:rPr>
        <w:t>成交金额，</w:t>
      </w:r>
      <w:r>
        <w:rPr>
          <w:rFonts w:hint="eastAsia" w:cs="宋体"/>
          <w:color w:val="auto"/>
          <w:highlight w:val="none"/>
        </w:rPr>
        <w:t>工期</w:t>
      </w:r>
      <w:r>
        <w:rPr>
          <w:color w:val="auto"/>
          <w:kern w:val="0"/>
          <w:szCs w:val="21"/>
          <w:highlight w:val="none"/>
          <w:lang w:val="zh-CN"/>
        </w:rPr>
        <w:t>、</w:t>
      </w:r>
      <w:r>
        <w:rPr>
          <w:rFonts w:hint="eastAsia" w:cs="宋体"/>
          <w:color w:val="auto"/>
          <w:highlight w:val="none"/>
        </w:rPr>
        <w:t>质量要求</w:t>
      </w:r>
      <w:r>
        <w:rPr>
          <w:color w:val="auto"/>
          <w:kern w:val="0"/>
          <w:szCs w:val="21"/>
          <w:highlight w:val="none"/>
          <w:lang w:val="zh-CN"/>
        </w:rPr>
        <w:t>等予以公示。</w:t>
      </w:r>
    </w:p>
    <w:p w14:paraId="338E237E">
      <w:pPr>
        <w:snapToGrid w:val="0"/>
        <w:spacing w:line="360" w:lineRule="auto"/>
        <w:ind w:firstLine="420" w:firstLineChars="200"/>
        <w:jc w:val="left"/>
        <w:rPr>
          <w:color w:val="auto"/>
          <w:kern w:val="0"/>
          <w:szCs w:val="21"/>
          <w:highlight w:val="none"/>
          <w:lang w:val="zh-CN"/>
        </w:rPr>
      </w:pPr>
      <w:r>
        <w:rPr>
          <w:rFonts w:hint="eastAsia"/>
          <w:color w:val="auto"/>
          <w:kern w:val="0"/>
          <w:szCs w:val="21"/>
          <w:highlight w:val="none"/>
        </w:rPr>
        <w:t>4</w:t>
      </w:r>
      <w:r>
        <w:rPr>
          <w:color w:val="auto"/>
          <w:kern w:val="0"/>
          <w:szCs w:val="21"/>
          <w:highlight w:val="none"/>
          <w:lang w:val="zh-CN"/>
        </w:rPr>
        <w:t>、符合采购文件中列明的可享受中小企业扶持政策的供应商，请填写中小企业声明函。</w:t>
      </w:r>
    </w:p>
    <w:p w14:paraId="1F7B7FC8">
      <w:pPr>
        <w:snapToGrid w:val="0"/>
        <w:spacing w:line="360" w:lineRule="auto"/>
        <w:ind w:firstLine="420" w:firstLineChars="200"/>
        <w:jc w:val="left"/>
        <w:rPr>
          <w:color w:val="auto"/>
          <w:kern w:val="0"/>
          <w:szCs w:val="21"/>
          <w:highlight w:val="none"/>
          <w:lang w:val="zh-CN"/>
        </w:rPr>
      </w:pPr>
      <w:r>
        <w:rPr>
          <w:rFonts w:hint="eastAsia"/>
          <w:color w:val="auto"/>
          <w:kern w:val="0"/>
          <w:szCs w:val="21"/>
          <w:highlight w:val="none"/>
        </w:rPr>
        <w:t>5</w:t>
      </w:r>
      <w:r>
        <w:rPr>
          <w:color w:val="auto"/>
          <w:kern w:val="0"/>
          <w:szCs w:val="21"/>
          <w:highlight w:val="none"/>
        </w:rPr>
        <w:t>、</w:t>
      </w:r>
      <w:r>
        <w:rPr>
          <w:color w:val="auto"/>
          <w:kern w:val="0"/>
          <w:szCs w:val="21"/>
          <w:highlight w:val="none"/>
          <w:lang w:val="zh-CN"/>
        </w:rPr>
        <w:t>供应商提供的中小企业声明函内容不实的，属于提供虚假材料谋取中标、成交，依照《中华人民共和国政府采购法》等国家有关规定追究相应责任。</w:t>
      </w:r>
    </w:p>
    <w:p w14:paraId="52D679B3">
      <w:pPr>
        <w:snapToGrid w:val="0"/>
        <w:spacing w:line="360" w:lineRule="auto"/>
        <w:ind w:firstLine="420" w:firstLineChars="200"/>
        <w:jc w:val="left"/>
        <w:rPr>
          <w:color w:val="auto"/>
          <w:kern w:val="0"/>
          <w:szCs w:val="21"/>
          <w:highlight w:val="none"/>
          <w:lang w:val="zh-CN"/>
        </w:rPr>
      </w:pPr>
    </w:p>
    <w:p w14:paraId="049A04F3">
      <w:pPr>
        <w:pStyle w:val="14"/>
        <w:rPr>
          <w:color w:val="auto"/>
          <w:szCs w:val="21"/>
          <w:highlight w:val="none"/>
        </w:rPr>
      </w:pPr>
    </w:p>
    <w:p w14:paraId="3486874B">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47A4AA74">
      <w:pPr>
        <w:spacing w:line="500" w:lineRule="exact"/>
        <w:rPr>
          <w:color w:val="auto"/>
          <w:sz w:val="24"/>
          <w:highlight w:val="none"/>
          <w:lang w:val="zh-CN"/>
        </w:rPr>
        <w:sectPr>
          <w:pgSz w:w="11911" w:h="16838"/>
          <w:pgMar w:top="1134" w:right="1134" w:bottom="1134" w:left="1134" w:header="720" w:footer="720" w:gutter="0"/>
          <w:cols w:space="720" w:num="1"/>
        </w:sect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2FF1F19">
      <w:pPr>
        <w:pStyle w:val="4"/>
        <w:jc w:val="center"/>
        <w:rPr>
          <w:rFonts w:ascii="宋体" w:hAnsi="宋体"/>
          <w:b w:val="0"/>
          <w:color w:val="auto"/>
          <w:highlight w:val="none"/>
        </w:rPr>
      </w:pPr>
      <w:bookmarkStart w:id="177" w:name="_Toc80205942"/>
      <w:bookmarkStart w:id="178" w:name="_Toc80886946"/>
      <w:bookmarkStart w:id="179" w:name="_Toc18482"/>
      <w:bookmarkStart w:id="180" w:name="_Toc13936"/>
      <w:r>
        <w:rPr>
          <w:rFonts w:hint="eastAsia" w:ascii="宋体" w:hAnsi="宋体"/>
          <w:color w:val="auto"/>
          <w:highlight w:val="none"/>
        </w:rPr>
        <w:t>第四节 其他文书、文件格式</w:t>
      </w:r>
      <w:bookmarkEnd w:id="177"/>
      <w:bookmarkEnd w:id="178"/>
      <w:bookmarkEnd w:id="179"/>
      <w:bookmarkEnd w:id="180"/>
    </w:p>
    <w:p w14:paraId="1DC391FF">
      <w:pPr>
        <w:spacing w:line="500" w:lineRule="exact"/>
        <w:rPr>
          <w:b/>
          <w:color w:val="auto"/>
          <w:sz w:val="30"/>
          <w:szCs w:val="30"/>
          <w:highlight w:val="none"/>
          <w:lang w:val="zh-CN"/>
        </w:rPr>
      </w:pPr>
      <w:r>
        <w:rPr>
          <w:b/>
          <w:color w:val="auto"/>
          <w:sz w:val="30"/>
          <w:szCs w:val="30"/>
          <w:highlight w:val="none"/>
        </w:rPr>
        <w:t>1.</w:t>
      </w:r>
      <w:r>
        <w:rPr>
          <w:b/>
          <w:color w:val="auto"/>
          <w:sz w:val="30"/>
          <w:szCs w:val="30"/>
          <w:highlight w:val="none"/>
          <w:lang w:val="zh-CN"/>
        </w:rPr>
        <w:t>中小企业声明函的格式：</w:t>
      </w:r>
    </w:p>
    <w:p w14:paraId="4273A25B">
      <w:pPr>
        <w:pStyle w:val="2"/>
        <w:rPr>
          <w:color w:val="auto"/>
          <w:highlight w:val="none"/>
        </w:rPr>
      </w:pPr>
    </w:p>
    <w:p w14:paraId="2BDE2598">
      <w:pPr>
        <w:spacing w:line="300" w:lineRule="auto"/>
        <w:ind w:firstLine="3520" w:firstLineChars="800"/>
        <w:rPr>
          <w:color w:val="auto"/>
          <w:sz w:val="44"/>
          <w:szCs w:val="44"/>
          <w:highlight w:val="none"/>
        </w:rPr>
      </w:pPr>
      <w:r>
        <w:rPr>
          <w:color w:val="auto"/>
          <w:sz w:val="44"/>
          <w:szCs w:val="44"/>
          <w:highlight w:val="none"/>
        </w:rPr>
        <w:t>中小企业声明函</w:t>
      </w:r>
    </w:p>
    <w:p w14:paraId="6F30FA3E">
      <w:pPr>
        <w:pStyle w:val="14"/>
        <w:spacing w:after="0" w:line="360" w:lineRule="auto"/>
        <w:ind w:left="-426" w:right="142" w:firstLine="640"/>
        <w:contextualSpacing/>
        <w:rPr>
          <w:color w:val="auto"/>
          <w:sz w:val="24"/>
          <w:highlight w:val="none"/>
        </w:rPr>
      </w:pPr>
    </w:p>
    <w:p w14:paraId="208097C5">
      <w:pPr>
        <w:pStyle w:val="14"/>
        <w:spacing w:after="0" w:line="360" w:lineRule="auto"/>
        <w:ind w:right="142" w:firstLine="420" w:firstLineChars="200"/>
        <w:contextualSpacing/>
        <w:rPr>
          <w:color w:val="auto"/>
          <w:szCs w:val="21"/>
          <w:highlight w:val="none"/>
        </w:rPr>
      </w:pPr>
      <w:r>
        <w:rPr>
          <w:color w:val="auto"/>
          <w:szCs w:val="21"/>
          <w:highlight w:val="none"/>
        </w:rPr>
        <w:t>本公司（联合体）郑重声明，根据《政府采购促进中小企业发展管理办法》（财库﹝2020﹞46号）的规定，本公司（联合体）参加</w:t>
      </w:r>
      <w:r>
        <w:rPr>
          <w:i/>
          <w:iCs/>
          <w:color w:val="auto"/>
          <w:szCs w:val="21"/>
          <w:highlight w:val="none"/>
          <w:u w:val="single"/>
        </w:rPr>
        <w:t>（单位名称）</w:t>
      </w:r>
      <w:r>
        <w:rPr>
          <w:color w:val="auto"/>
          <w:szCs w:val="21"/>
          <w:highlight w:val="none"/>
        </w:rPr>
        <w:t>的</w:t>
      </w:r>
      <w:r>
        <w:rPr>
          <w:i/>
          <w:iCs/>
          <w:color w:val="auto"/>
          <w:szCs w:val="21"/>
          <w:highlight w:val="none"/>
          <w:u w:val="single"/>
        </w:rPr>
        <w:t>（项目名称）</w:t>
      </w:r>
      <w:r>
        <w:rPr>
          <w:color w:val="auto"/>
          <w:szCs w:val="21"/>
          <w:highlight w:val="none"/>
        </w:rPr>
        <w:t>采购活动，</w:t>
      </w:r>
      <w:r>
        <w:rPr>
          <w:rFonts w:hint="eastAsia"/>
          <w:color w:val="auto"/>
          <w:kern w:val="0"/>
          <w:szCs w:val="21"/>
          <w:highlight w:val="none"/>
        </w:rPr>
        <w:t>工程</w:t>
      </w:r>
      <w:r>
        <w:rPr>
          <w:color w:val="auto"/>
          <w:kern w:val="0"/>
          <w:szCs w:val="21"/>
          <w:highlight w:val="none"/>
        </w:rPr>
        <w:t>全部由符合政策要求的中小企业承接</w:t>
      </w:r>
      <w:r>
        <w:rPr>
          <w:color w:val="auto"/>
          <w:szCs w:val="21"/>
          <w:highlight w:val="none"/>
        </w:rPr>
        <w:t>。相关企业（含联合体中的中小企业、签订分包意向协议的中小企业）的具体情况如下：</w:t>
      </w:r>
    </w:p>
    <w:p w14:paraId="35C4AF93">
      <w:pPr>
        <w:tabs>
          <w:tab w:val="left" w:pos="1384"/>
          <w:tab w:val="left" w:pos="4562"/>
          <w:tab w:val="left" w:pos="6803"/>
        </w:tabs>
        <w:spacing w:line="360" w:lineRule="auto"/>
        <w:ind w:right="-58" w:firstLine="420" w:firstLineChars="200"/>
        <w:contextualSpacing/>
        <w:rPr>
          <w:color w:val="auto"/>
          <w:szCs w:val="21"/>
          <w:highlight w:val="none"/>
        </w:rPr>
      </w:pPr>
      <w:r>
        <w:rPr>
          <w:color w:val="auto"/>
          <w:szCs w:val="21"/>
          <w:highlight w:val="none"/>
        </w:rPr>
        <w:t>1.</w:t>
      </w:r>
      <w:r>
        <w:rPr>
          <w:color w:val="auto"/>
          <w:szCs w:val="21"/>
          <w:highlight w:val="none"/>
          <w:u w:val="single"/>
        </w:rPr>
        <w:t>（</w:t>
      </w:r>
      <w:r>
        <w:rPr>
          <w:i/>
          <w:iCs/>
          <w:color w:val="auto"/>
          <w:szCs w:val="21"/>
          <w:highlight w:val="none"/>
          <w:u w:val="single"/>
        </w:rPr>
        <w:t>标的名称</w:t>
      </w:r>
      <w:r>
        <w:rPr>
          <w:color w:val="auto"/>
          <w:szCs w:val="21"/>
          <w:highlight w:val="none"/>
          <w:u w:val="single"/>
        </w:rPr>
        <w:t>）</w:t>
      </w:r>
      <w:r>
        <w:rPr>
          <w:color w:val="auto"/>
          <w:szCs w:val="21"/>
          <w:highlight w:val="none"/>
        </w:rPr>
        <w:t>，属于</w:t>
      </w:r>
      <w:r>
        <w:rPr>
          <w:color w:val="auto"/>
          <w:szCs w:val="21"/>
          <w:highlight w:val="none"/>
          <w:u w:val="single"/>
        </w:rPr>
        <w:t>（</w:t>
      </w:r>
      <w:r>
        <w:rPr>
          <w:i/>
          <w:iCs/>
          <w:color w:val="auto"/>
          <w:szCs w:val="21"/>
          <w:highlight w:val="none"/>
          <w:u w:val="single"/>
        </w:rPr>
        <w:t>采购文件中明确的所属行业</w:t>
      </w:r>
      <w:r>
        <w:rPr>
          <w:color w:val="auto"/>
          <w:szCs w:val="21"/>
          <w:highlight w:val="none"/>
          <w:u w:val="single"/>
        </w:rPr>
        <w:t>）</w:t>
      </w:r>
      <w:r>
        <w:rPr>
          <w:color w:val="auto"/>
          <w:szCs w:val="21"/>
          <w:highlight w:val="none"/>
        </w:rPr>
        <w:t>；</w:t>
      </w:r>
      <w:r>
        <w:rPr>
          <w:color w:val="auto"/>
          <w:kern w:val="0"/>
          <w:szCs w:val="21"/>
          <w:highlight w:val="none"/>
        </w:rPr>
        <w:t>承建（承接）企业</w:t>
      </w:r>
      <w:r>
        <w:rPr>
          <w:color w:val="auto"/>
          <w:szCs w:val="21"/>
          <w:highlight w:val="none"/>
        </w:rPr>
        <w:t>为</w:t>
      </w:r>
      <w:r>
        <w:rPr>
          <w:color w:val="auto"/>
          <w:szCs w:val="21"/>
          <w:highlight w:val="none"/>
          <w:u w:val="single"/>
        </w:rPr>
        <w:t>（</w:t>
      </w:r>
      <w:r>
        <w:rPr>
          <w:i/>
          <w:iCs/>
          <w:color w:val="auto"/>
          <w:szCs w:val="21"/>
          <w:highlight w:val="none"/>
          <w:u w:val="single"/>
        </w:rPr>
        <w:t>企业名称</w:t>
      </w:r>
      <w:r>
        <w:rPr>
          <w:color w:val="auto"/>
          <w:szCs w:val="21"/>
          <w:highlight w:val="none"/>
          <w:u w:val="single"/>
        </w:rPr>
        <w:t>）</w:t>
      </w:r>
      <w:r>
        <w:rPr>
          <w:color w:val="auto"/>
          <w:szCs w:val="21"/>
          <w:highlight w:val="none"/>
        </w:rPr>
        <w:t>，从业人员</w:t>
      </w:r>
      <w:r>
        <w:rPr>
          <w:color w:val="auto"/>
          <w:szCs w:val="21"/>
          <w:highlight w:val="none"/>
          <w:u w:val="single"/>
        </w:rPr>
        <w:t xml:space="preserve">      </w:t>
      </w:r>
      <w:r>
        <w:rPr>
          <w:color w:val="auto"/>
          <w:szCs w:val="21"/>
          <w:highlight w:val="none"/>
        </w:rPr>
        <w:t>人，营业收入为</w:t>
      </w:r>
      <w:r>
        <w:rPr>
          <w:color w:val="auto"/>
          <w:szCs w:val="21"/>
          <w:highlight w:val="none"/>
          <w:u w:val="single"/>
        </w:rPr>
        <w:t xml:space="preserve">      </w:t>
      </w:r>
      <w:r>
        <w:rPr>
          <w:color w:val="auto"/>
          <w:szCs w:val="21"/>
          <w:highlight w:val="none"/>
        </w:rPr>
        <w:t>万元，资产总额为</w:t>
      </w:r>
      <w:r>
        <w:rPr>
          <w:color w:val="auto"/>
          <w:szCs w:val="21"/>
          <w:highlight w:val="none"/>
          <w:u w:val="single"/>
        </w:rPr>
        <w:t xml:space="preserve">      </w:t>
      </w:r>
      <w:r>
        <w:rPr>
          <w:color w:val="auto"/>
          <w:szCs w:val="21"/>
          <w:highlight w:val="none"/>
        </w:rPr>
        <w:t>万元，属于</w:t>
      </w:r>
      <w:r>
        <w:rPr>
          <w:color w:val="auto"/>
          <w:szCs w:val="21"/>
          <w:highlight w:val="none"/>
          <w:u w:val="single"/>
        </w:rPr>
        <w:t>（</w:t>
      </w:r>
      <w:r>
        <w:rPr>
          <w:i/>
          <w:iCs/>
          <w:color w:val="auto"/>
          <w:szCs w:val="21"/>
          <w:highlight w:val="none"/>
          <w:u w:val="single"/>
        </w:rPr>
        <w:t>中型企业、小型企业、微型企业</w:t>
      </w:r>
      <w:r>
        <w:rPr>
          <w:color w:val="auto"/>
          <w:szCs w:val="21"/>
          <w:highlight w:val="none"/>
          <w:u w:val="single"/>
        </w:rPr>
        <w:t>）</w:t>
      </w:r>
      <w:r>
        <w:rPr>
          <w:color w:val="auto"/>
          <w:szCs w:val="21"/>
          <w:highlight w:val="none"/>
        </w:rPr>
        <w:t>；</w:t>
      </w:r>
    </w:p>
    <w:p w14:paraId="0DF2181C">
      <w:pPr>
        <w:tabs>
          <w:tab w:val="left" w:pos="1065"/>
          <w:tab w:val="left" w:pos="6477"/>
        </w:tabs>
        <w:spacing w:line="360" w:lineRule="auto"/>
        <w:ind w:right="-58" w:firstLine="420" w:firstLineChars="200"/>
        <w:contextualSpacing/>
        <w:rPr>
          <w:color w:val="auto"/>
          <w:szCs w:val="21"/>
          <w:highlight w:val="none"/>
        </w:rPr>
      </w:pPr>
      <w:r>
        <w:rPr>
          <w:color w:val="auto"/>
          <w:szCs w:val="21"/>
          <w:highlight w:val="none"/>
        </w:rPr>
        <w:t>2.</w:t>
      </w:r>
      <w:r>
        <w:rPr>
          <w:color w:val="auto"/>
          <w:szCs w:val="21"/>
          <w:highlight w:val="none"/>
          <w:u w:val="single"/>
        </w:rPr>
        <w:t>（</w:t>
      </w:r>
      <w:r>
        <w:rPr>
          <w:i/>
          <w:iCs/>
          <w:color w:val="auto"/>
          <w:szCs w:val="21"/>
          <w:highlight w:val="none"/>
          <w:u w:val="single"/>
        </w:rPr>
        <w:t>标的名称</w:t>
      </w:r>
      <w:r>
        <w:rPr>
          <w:color w:val="auto"/>
          <w:szCs w:val="21"/>
          <w:highlight w:val="none"/>
          <w:u w:val="single"/>
        </w:rPr>
        <w:t>）</w:t>
      </w:r>
      <w:r>
        <w:rPr>
          <w:color w:val="auto"/>
          <w:szCs w:val="21"/>
          <w:highlight w:val="none"/>
        </w:rPr>
        <w:t>，属于</w:t>
      </w:r>
      <w:r>
        <w:rPr>
          <w:color w:val="auto"/>
          <w:szCs w:val="21"/>
          <w:highlight w:val="none"/>
          <w:u w:val="single"/>
        </w:rPr>
        <w:t>（</w:t>
      </w:r>
      <w:r>
        <w:rPr>
          <w:i/>
          <w:iCs/>
          <w:color w:val="auto"/>
          <w:szCs w:val="21"/>
          <w:highlight w:val="none"/>
          <w:u w:val="single"/>
        </w:rPr>
        <w:t>采购文件中明确的所属行业</w:t>
      </w:r>
      <w:r>
        <w:rPr>
          <w:color w:val="auto"/>
          <w:szCs w:val="21"/>
          <w:highlight w:val="none"/>
          <w:u w:val="single"/>
        </w:rPr>
        <w:t>）</w:t>
      </w:r>
      <w:r>
        <w:rPr>
          <w:color w:val="auto"/>
          <w:szCs w:val="21"/>
          <w:highlight w:val="none"/>
        </w:rPr>
        <w:t>；</w:t>
      </w:r>
      <w:r>
        <w:rPr>
          <w:color w:val="auto"/>
          <w:kern w:val="0"/>
          <w:szCs w:val="21"/>
          <w:highlight w:val="none"/>
        </w:rPr>
        <w:t>承建（承接）企业</w:t>
      </w:r>
      <w:r>
        <w:rPr>
          <w:color w:val="auto"/>
          <w:szCs w:val="21"/>
          <w:highlight w:val="none"/>
        </w:rPr>
        <w:t>为</w:t>
      </w:r>
      <w:r>
        <w:rPr>
          <w:color w:val="auto"/>
          <w:szCs w:val="21"/>
          <w:highlight w:val="none"/>
          <w:u w:val="single"/>
        </w:rPr>
        <w:t>（</w:t>
      </w:r>
      <w:r>
        <w:rPr>
          <w:i/>
          <w:iCs/>
          <w:color w:val="auto"/>
          <w:szCs w:val="21"/>
          <w:highlight w:val="none"/>
          <w:u w:val="single"/>
        </w:rPr>
        <w:t>企业名称</w:t>
      </w:r>
      <w:r>
        <w:rPr>
          <w:color w:val="auto"/>
          <w:szCs w:val="21"/>
          <w:highlight w:val="none"/>
          <w:u w:val="single"/>
        </w:rPr>
        <w:t>）</w:t>
      </w:r>
      <w:r>
        <w:rPr>
          <w:color w:val="auto"/>
          <w:szCs w:val="21"/>
          <w:highlight w:val="none"/>
        </w:rPr>
        <w:t>，从业人员</w:t>
      </w:r>
      <w:r>
        <w:rPr>
          <w:color w:val="auto"/>
          <w:szCs w:val="21"/>
          <w:highlight w:val="none"/>
          <w:u w:val="single"/>
        </w:rPr>
        <w:t xml:space="preserve">      </w:t>
      </w:r>
      <w:r>
        <w:rPr>
          <w:color w:val="auto"/>
          <w:szCs w:val="21"/>
          <w:highlight w:val="none"/>
        </w:rPr>
        <w:t>人，营业收入为</w:t>
      </w:r>
      <w:r>
        <w:rPr>
          <w:color w:val="auto"/>
          <w:szCs w:val="21"/>
          <w:highlight w:val="none"/>
          <w:u w:val="single"/>
        </w:rPr>
        <w:t xml:space="preserve">      </w:t>
      </w:r>
      <w:r>
        <w:rPr>
          <w:color w:val="auto"/>
          <w:szCs w:val="21"/>
          <w:highlight w:val="none"/>
        </w:rPr>
        <w:t>万元，资产总额为</w:t>
      </w:r>
      <w:r>
        <w:rPr>
          <w:color w:val="auto"/>
          <w:szCs w:val="21"/>
          <w:highlight w:val="none"/>
          <w:u w:val="single"/>
        </w:rPr>
        <w:t xml:space="preserve">      </w:t>
      </w:r>
      <w:r>
        <w:rPr>
          <w:color w:val="auto"/>
          <w:szCs w:val="21"/>
          <w:highlight w:val="none"/>
        </w:rPr>
        <w:t>万元，属于</w:t>
      </w:r>
      <w:r>
        <w:rPr>
          <w:color w:val="auto"/>
          <w:szCs w:val="21"/>
          <w:highlight w:val="none"/>
          <w:u w:val="single"/>
        </w:rPr>
        <w:t>（</w:t>
      </w:r>
      <w:r>
        <w:rPr>
          <w:i/>
          <w:iCs/>
          <w:color w:val="auto"/>
          <w:szCs w:val="21"/>
          <w:highlight w:val="none"/>
          <w:u w:val="single"/>
        </w:rPr>
        <w:t>中型企业、小型企业、微型企业</w:t>
      </w:r>
      <w:r>
        <w:rPr>
          <w:color w:val="auto"/>
          <w:szCs w:val="21"/>
          <w:highlight w:val="none"/>
          <w:u w:val="single"/>
        </w:rPr>
        <w:t>）</w:t>
      </w:r>
      <w:r>
        <w:rPr>
          <w:color w:val="auto"/>
          <w:szCs w:val="21"/>
          <w:highlight w:val="none"/>
        </w:rPr>
        <w:t>；</w:t>
      </w:r>
    </w:p>
    <w:p w14:paraId="2427F6B7">
      <w:pPr>
        <w:pStyle w:val="14"/>
        <w:spacing w:after="0" w:line="360" w:lineRule="auto"/>
        <w:ind w:right="142" w:firstLine="420" w:firstLineChars="200"/>
        <w:contextualSpacing/>
        <w:rPr>
          <w:color w:val="auto"/>
          <w:szCs w:val="21"/>
          <w:highlight w:val="none"/>
        </w:rPr>
      </w:pPr>
      <w:r>
        <w:rPr>
          <w:color w:val="auto"/>
          <w:szCs w:val="21"/>
          <w:highlight w:val="none"/>
        </w:rPr>
        <w:t xml:space="preserve">…… </w:t>
      </w:r>
    </w:p>
    <w:p w14:paraId="6E137501">
      <w:pPr>
        <w:pStyle w:val="14"/>
        <w:spacing w:after="0" w:line="360" w:lineRule="auto"/>
        <w:ind w:left="15" w:leftChars="7" w:right="142" w:firstLine="594" w:firstLineChars="283"/>
        <w:contextualSpacing/>
        <w:rPr>
          <w:color w:val="auto"/>
          <w:szCs w:val="21"/>
          <w:highlight w:val="none"/>
        </w:rPr>
      </w:pPr>
      <w:r>
        <w:rPr>
          <w:color w:val="auto"/>
          <w:szCs w:val="21"/>
          <w:highlight w:val="none"/>
        </w:rPr>
        <w:t>以上企业，不属于大企业的分支机构，不存在控股股东为大企业的情形，也不存在与大企业的负责人为同一人的情形。</w:t>
      </w:r>
    </w:p>
    <w:p w14:paraId="64F7382F">
      <w:pPr>
        <w:pStyle w:val="14"/>
        <w:spacing w:after="0" w:line="360" w:lineRule="auto"/>
        <w:ind w:right="142" w:firstLine="420" w:firstLineChars="200"/>
        <w:contextualSpacing/>
        <w:rPr>
          <w:color w:val="auto"/>
          <w:szCs w:val="21"/>
          <w:highlight w:val="none"/>
        </w:rPr>
      </w:pPr>
      <w:r>
        <w:rPr>
          <w:color w:val="auto"/>
          <w:szCs w:val="21"/>
          <w:highlight w:val="none"/>
        </w:rPr>
        <w:t>本企业对上述声明内容的真实性负责。如有虚假，将依法承担相应责任。</w:t>
      </w:r>
    </w:p>
    <w:p w14:paraId="2E0A4128">
      <w:pPr>
        <w:pStyle w:val="14"/>
        <w:spacing w:after="0" w:line="360" w:lineRule="auto"/>
        <w:ind w:left="3960" w:right="1808"/>
        <w:contextualSpacing/>
        <w:rPr>
          <w:color w:val="auto"/>
          <w:szCs w:val="21"/>
          <w:highlight w:val="none"/>
        </w:rPr>
      </w:pPr>
    </w:p>
    <w:p w14:paraId="42041CF4">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062334CE">
      <w:pPr>
        <w:autoSpaceDE w:val="0"/>
        <w:autoSpaceDN w:val="0"/>
        <w:spacing w:line="360" w:lineRule="auto"/>
        <w:ind w:left="4410" w:leftChars="2100" w:firstLine="1260" w:firstLineChars="600"/>
        <w:rPr>
          <w:color w:val="auto"/>
          <w:kern w:val="0"/>
          <w:szCs w:val="21"/>
          <w:highlight w:val="none"/>
          <w:lang w:val="zh-CN"/>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81DD60E">
      <w:pPr>
        <w:pStyle w:val="14"/>
        <w:spacing w:after="0" w:line="360" w:lineRule="auto"/>
        <w:ind w:left="3960" w:right="1808"/>
        <w:contextualSpacing/>
        <w:rPr>
          <w:color w:val="auto"/>
          <w:szCs w:val="21"/>
          <w:highlight w:val="none"/>
        </w:rPr>
      </w:pPr>
    </w:p>
    <w:p w14:paraId="0A21E066">
      <w:pPr>
        <w:spacing w:line="360" w:lineRule="auto"/>
        <w:ind w:firstLine="420" w:firstLineChars="200"/>
        <w:contextualSpacing/>
        <w:jc w:val="left"/>
        <w:rPr>
          <w:color w:val="auto"/>
          <w:kern w:val="0"/>
          <w:szCs w:val="21"/>
          <w:highlight w:val="none"/>
        </w:rPr>
      </w:pPr>
      <w:r>
        <w:rPr>
          <w:color w:val="auto"/>
          <w:szCs w:val="21"/>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6253D1F9">
      <w:pPr>
        <w:snapToGrid w:val="0"/>
        <w:spacing w:before="120" w:beforeLines="50" w:after="50" w:line="360" w:lineRule="auto"/>
        <w:outlineLvl w:val="1"/>
        <w:rPr>
          <w:b/>
          <w:bCs/>
          <w:color w:val="auto"/>
          <w:sz w:val="32"/>
          <w:szCs w:val="32"/>
          <w:highlight w:val="none"/>
        </w:rPr>
        <w:sectPr>
          <w:pgSz w:w="11911" w:h="16838"/>
          <w:pgMar w:top="1134" w:right="1134" w:bottom="1134" w:left="1134" w:header="720" w:footer="720" w:gutter="0"/>
          <w:cols w:space="720" w:num="1"/>
        </w:sectPr>
      </w:pPr>
    </w:p>
    <w:p w14:paraId="3971234B">
      <w:pPr>
        <w:spacing w:line="520" w:lineRule="exact"/>
        <w:rPr>
          <w:b/>
          <w:color w:val="auto"/>
          <w:sz w:val="28"/>
          <w:szCs w:val="28"/>
          <w:highlight w:val="none"/>
        </w:rPr>
      </w:pPr>
      <w:r>
        <w:rPr>
          <w:b/>
          <w:color w:val="auto"/>
          <w:sz w:val="28"/>
          <w:szCs w:val="28"/>
          <w:highlight w:val="none"/>
        </w:rPr>
        <w:t>2.残疾人福利性单位声明函的格式：</w:t>
      </w:r>
    </w:p>
    <w:p w14:paraId="42C5C84D">
      <w:pPr>
        <w:pStyle w:val="2"/>
        <w:rPr>
          <w:color w:val="auto"/>
          <w:highlight w:val="none"/>
        </w:rPr>
      </w:pPr>
    </w:p>
    <w:p w14:paraId="4F9A89E7">
      <w:pPr>
        <w:spacing w:line="520" w:lineRule="exact"/>
        <w:jc w:val="center"/>
        <w:rPr>
          <w:rFonts w:eastAsia="方正小标宋简体"/>
          <w:color w:val="auto"/>
          <w:sz w:val="44"/>
          <w:szCs w:val="44"/>
          <w:highlight w:val="none"/>
        </w:rPr>
      </w:pPr>
    </w:p>
    <w:p w14:paraId="2CE1002F">
      <w:pPr>
        <w:spacing w:line="520" w:lineRule="exact"/>
        <w:jc w:val="center"/>
        <w:rPr>
          <w:rFonts w:eastAsia="方正小标宋简体"/>
          <w:color w:val="auto"/>
          <w:sz w:val="44"/>
          <w:szCs w:val="44"/>
          <w:highlight w:val="none"/>
        </w:rPr>
      </w:pPr>
    </w:p>
    <w:p w14:paraId="5C7B094E">
      <w:pPr>
        <w:spacing w:line="520" w:lineRule="exact"/>
        <w:jc w:val="center"/>
        <w:rPr>
          <w:b/>
          <w:bCs/>
          <w:color w:val="auto"/>
          <w:sz w:val="36"/>
          <w:szCs w:val="36"/>
          <w:highlight w:val="none"/>
        </w:rPr>
      </w:pPr>
      <w:r>
        <w:rPr>
          <w:b/>
          <w:bCs/>
          <w:color w:val="auto"/>
          <w:sz w:val="36"/>
          <w:szCs w:val="36"/>
          <w:highlight w:val="none"/>
        </w:rPr>
        <w:t>残疾人福利性单位声明函</w:t>
      </w:r>
    </w:p>
    <w:p w14:paraId="5651508A">
      <w:pPr>
        <w:spacing w:line="520" w:lineRule="exact"/>
        <w:rPr>
          <w:color w:val="auto"/>
          <w:sz w:val="32"/>
          <w:szCs w:val="32"/>
          <w:highlight w:val="none"/>
        </w:rPr>
      </w:pPr>
    </w:p>
    <w:p w14:paraId="4D100D9C">
      <w:pPr>
        <w:spacing w:line="360" w:lineRule="auto"/>
        <w:ind w:firstLine="420" w:firstLineChars="200"/>
        <w:contextualSpacing/>
        <w:rPr>
          <w:color w:val="auto"/>
          <w:szCs w:val="21"/>
          <w:highlight w:val="none"/>
        </w:rPr>
      </w:pPr>
    </w:p>
    <w:p w14:paraId="6C4A99A0">
      <w:pPr>
        <w:spacing w:line="360" w:lineRule="auto"/>
        <w:ind w:firstLine="420" w:firstLineChars="200"/>
        <w:contextualSpacing/>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6A92C67">
      <w:pPr>
        <w:spacing w:line="360" w:lineRule="auto"/>
        <w:ind w:firstLine="420" w:firstLineChars="200"/>
        <w:contextualSpacing/>
        <w:rPr>
          <w:color w:val="auto"/>
          <w:szCs w:val="21"/>
          <w:highlight w:val="none"/>
        </w:rPr>
      </w:pPr>
      <w:r>
        <w:rPr>
          <w:color w:val="auto"/>
          <w:szCs w:val="21"/>
          <w:highlight w:val="none"/>
        </w:rPr>
        <w:t>本单位对上述声明的真实性负责。如有虚假，将依法承担相应责任。</w:t>
      </w:r>
    </w:p>
    <w:p w14:paraId="136C5227">
      <w:pPr>
        <w:spacing w:line="360" w:lineRule="auto"/>
        <w:contextualSpacing/>
        <w:rPr>
          <w:color w:val="auto"/>
          <w:szCs w:val="21"/>
          <w:highlight w:val="none"/>
        </w:rPr>
      </w:pPr>
    </w:p>
    <w:p w14:paraId="7E05709B">
      <w:pPr>
        <w:spacing w:line="360" w:lineRule="auto"/>
        <w:contextualSpacing/>
        <w:rPr>
          <w:color w:val="auto"/>
          <w:szCs w:val="21"/>
          <w:highlight w:val="none"/>
        </w:rPr>
      </w:pPr>
    </w:p>
    <w:p w14:paraId="0A0FD094">
      <w:pPr>
        <w:spacing w:line="360" w:lineRule="auto"/>
        <w:contextualSpacing/>
        <w:rPr>
          <w:color w:val="auto"/>
          <w:szCs w:val="21"/>
          <w:highlight w:val="none"/>
        </w:rPr>
      </w:pPr>
    </w:p>
    <w:p w14:paraId="492E08AD">
      <w:pPr>
        <w:spacing w:line="400" w:lineRule="exact"/>
        <w:ind w:firstLine="4410" w:firstLineChars="2100"/>
        <w:rPr>
          <w:color w:val="auto"/>
          <w:szCs w:val="21"/>
          <w:highlight w:val="none"/>
          <w:u w:val="single"/>
        </w:rPr>
      </w:pPr>
      <w:r>
        <w:rPr>
          <w:color w:val="auto"/>
          <w:szCs w:val="21"/>
          <w:highlight w:val="none"/>
        </w:rPr>
        <w:t>供应商</w:t>
      </w:r>
      <w:r>
        <w:rPr>
          <w:color w:val="auto"/>
          <w:kern w:val="0"/>
          <w:szCs w:val="21"/>
          <w:highlight w:val="none"/>
        </w:rPr>
        <w:t>名称</w:t>
      </w:r>
      <w:r>
        <w:rPr>
          <w:color w:val="auto"/>
          <w:szCs w:val="21"/>
          <w:highlight w:val="none"/>
        </w:rPr>
        <w:t>（盖公章）：</w:t>
      </w:r>
      <w:r>
        <w:rPr>
          <w:color w:val="auto"/>
          <w:szCs w:val="21"/>
          <w:highlight w:val="none"/>
          <w:u w:val="single"/>
        </w:rPr>
        <w:t xml:space="preserve">                   </w:t>
      </w:r>
    </w:p>
    <w:p w14:paraId="178E63AA">
      <w:pPr>
        <w:spacing w:line="360" w:lineRule="auto"/>
        <w:contextualSpacing/>
        <w:rPr>
          <w:color w:val="auto"/>
          <w:szCs w:val="21"/>
          <w:highlight w:val="none"/>
        </w:rPr>
      </w:pPr>
      <w:r>
        <w:rPr>
          <w:rFonts w:hint="eastAsia"/>
          <w:color w:val="auto"/>
          <w:szCs w:val="21"/>
          <w:highlight w:val="none"/>
        </w:rPr>
        <w:t xml:space="preserve">                                          </w:t>
      </w: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6A38B174">
      <w:pPr>
        <w:spacing w:line="360" w:lineRule="auto"/>
        <w:contextualSpacing/>
        <w:rPr>
          <w:color w:val="auto"/>
          <w:szCs w:val="21"/>
          <w:highlight w:val="none"/>
        </w:rPr>
      </w:pPr>
    </w:p>
    <w:p w14:paraId="09F980BE">
      <w:pPr>
        <w:spacing w:line="360" w:lineRule="auto"/>
        <w:contextualSpacing/>
        <w:rPr>
          <w:color w:val="auto"/>
          <w:szCs w:val="21"/>
          <w:highlight w:val="none"/>
        </w:rPr>
      </w:pPr>
    </w:p>
    <w:p w14:paraId="1E600BD1">
      <w:pPr>
        <w:spacing w:line="360" w:lineRule="auto"/>
        <w:ind w:firstLine="420" w:firstLineChars="200"/>
        <w:contextualSpacing/>
        <w:rPr>
          <w:color w:val="auto"/>
          <w:szCs w:val="21"/>
          <w:highlight w:val="none"/>
        </w:rPr>
      </w:pPr>
      <w:r>
        <w:rPr>
          <w:color w:val="auto"/>
          <w:szCs w:val="21"/>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3E397604">
      <w:pPr>
        <w:pStyle w:val="14"/>
        <w:ind w:left="1" w:firstLine="2" w:firstLineChars="1"/>
        <w:rPr>
          <w:b/>
          <w:bCs/>
          <w:color w:val="auto"/>
          <w:sz w:val="18"/>
          <w:szCs w:val="18"/>
          <w:highlight w:val="none"/>
        </w:rPr>
      </w:pPr>
      <w:r>
        <w:rPr>
          <w:rFonts w:hint="eastAsia" w:ascii="宋体" w:hAnsi="宋体" w:cs="宋体"/>
          <w:color w:val="auto"/>
          <w:szCs w:val="21"/>
          <w:highlight w:val="none"/>
        </w:rPr>
        <w:br w:type="page"/>
      </w:r>
    </w:p>
    <w:p w14:paraId="60A64D5E">
      <w:pPr>
        <w:spacing w:line="520" w:lineRule="exact"/>
        <w:jc w:val="center"/>
        <w:rPr>
          <w:color w:val="auto"/>
          <w:sz w:val="24"/>
          <w:highlight w:val="none"/>
        </w:rPr>
      </w:pPr>
    </w:p>
    <w:p w14:paraId="0799CE17">
      <w:pPr>
        <w:spacing w:line="520" w:lineRule="exact"/>
        <w:jc w:val="center"/>
        <w:rPr>
          <w:color w:val="auto"/>
          <w:sz w:val="24"/>
          <w:highlight w:val="none"/>
        </w:rPr>
      </w:pPr>
    </w:p>
    <w:p w14:paraId="77F0DC6E">
      <w:pPr>
        <w:spacing w:line="520" w:lineRule="exact"/>
        <w:jc w:val="center"/>
        <w:rPr>
          <w:color w:val="auto"/>
          <w:sz w:val="24"/>
          <w:highlight w:val="none"/>
        </w:rPr>
      </w:pPr>
    </w:p>
    <w:p w14:paraId="3DD60916">
      <w:pPr>
        <w:spacing w:line="520" w:lineRule="exact"/>
        <w:jc w:val="center"/>
        <w:rPr>
          <w:color w:val="auto"/>
          <w:sz w:val="24"/>
          <w:highlight w:val="none"/>
        </w:rPr>
      </w:pPr>
    </w:p>
    <w:p w14:paraId="5746F1DE">
      <w:pPr>
        <w:spacing w:line="520" w:lineRule="exact"/>
        <w:jc w:val="center"/>
        <w:rPr>
          <w:color w:val="auto"/>
          <w:sz w:val="24"/>
          <w:highlight w:val="none"/>
        </w:rPr>
      </w:pPr>
    </w:p>
    <w:p w14:paraId="31ABEBF1">
      <w:pPr>
        <w:spacing w:line="520" w:lineRule="exact"/>
        <w:jc w:val="center"/>
        <w:rPr>
          <w:color w:val="auto"/>
          <w:sz w:val="24"/>
          <w:highlight w:val="none"/>
        </w:rPr>
      </w:pPr>
    </w:p>
    <w:p w14:paraId="55B125AA">
      <w:pPr>
        <w:spacing w:line="520" w:lineRule="exact"/>
        <w:jc w:val="center"/>
        <w:rPr>
          <w:color w:val="auto"/>
          <w:sz w:val="24"/>
          <w:highlight w:val="none"/>
        </w:rPr>
      </w:pPr>
    </w:p>
    <w:p w14:paraId="74FA2B56">
      <w:pPr>
        <w:spacing w:line="520" w:lineRule="exact"/>
        <w:jc w:val="center"/>
        <w:rPr>
          <w:color w:val="auto"/>
          <w:sz w:val="24"/>
          <w:highlight w:val="none"/>
        </w:rPr>
      </w:pPr>
    </w:p>
    <w:p w14:paraId="60A58C54">
      <w:pPr>
        <w:pStyle w:val="3"/>
        <w:jc w:val="center"/>
        <w:rPr>
          <w:b w:val="0"/>
          <w:bCs w:val="0"/>
          <w:color w:val="auto"/>
          <w:highlight w:val="none"/>
        </w:rPr>
      </w:pPr>
      <w:bookmarkStart w:id="181" w:name="_Toc15154"/>
      <w:bookmarkStart w:id="182" w:name="_Toc24786"/>
      <w:bookmarkStart w:id="183" w:name="_Toc28369"/>
      <w:bookmarkStart w:id="184" w:name="_Toc31579"/>
      <w:bookmarkStart w:id="185" w:name="_Toc80886947"/>
      <w:bookmarkStart w:id="186" w:name="_Toc9343"/>
      <w:bookmarkStart w:id="187" w:name="_Toc4005"/>
      <w:bookmarkStart w:id="188" w:name="_Toc12748"/>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81"/>
      <w:bookmarkEnd w:id="182"/>
      <w:bookmarkEnd w:id="183"/>
      <w:bookmarkEnd w:id="184"/>
      <w:bookmarkEnd w:id="185"/>
      <w:bookmarkEnd w:id="186"/>
      <w:bookmarkEnd w:id="187"/>
    </w:p>
    <w:p w14:paraId="4403A3AF">
      <w:pPr>
        <w:spacing w:line="360" w:lineRule="auto"/>
        <w:rPr>
          <w:rFonts w:ascii="宋体" w:hAnsi="宋体" w:cs="宋体"/>
          <w:b/>
          <w:bCs/>
          <w:color w:val="auto"/>
          <w:kern w:val="44"/>
          <w:sz w:val="32"/>
          <w:szCs w:val="32"/>
          <w:highlight w:val="none"/>
          <w:lang w:val="zh-CN"/>
        </w:rPr>
      </w:pPr>
      <w:r>
        <w:rPr>
          <w:b/>
          <w:bCs/>
          <w:color w:val="auto"/>
          <w:highlight w:val="none"/>
        </w:rPr>
        <w:br w:type="page"/>
      </w:r>
      <w:bookmarkEnd w:id="188"/>
      <w:bookmarkStart w:id="189" w:name="_Toc29015"/>
      <w:bookmarkStart w:id="190" w:name="_Toc407135283"/>
      <w:bookmarkStart w:id="191" w:name="_Toc14114"/>
    </w:p>
    <w:p w14:paraId="59323EB1">
      <w:pPr>
        <w:spacing w:line="360" w:lineRule="auto"/>
        <w:jc w:val="center"/>
        <w:rPr>
          <w:rFonts w:ascii="宋体" w:hAnsi="宋体" w:cs="宋体"/>
          <w:b/>
          <w:bCs/>
          <w:color w:val="auto"/>
          <w:kern w:val="44"/>
          <w:sz w:val="72"/>
          <w:szCs w:val="72"/>
          <w:highlight w:val="none"/>
          <w:lang w:val="zh-CN"/>
        </w:rPr>
      </w:pPr>
    </w:p>
    <w:p w14:paraId="787BF7F8">
      <w:pPr>
        <w:spacing w:line="360" w:lineRule="auto"/>
        <w:jc w:val="center"/>
        <w:rPr>
          <w:rFonts w:ascii="宋体" w:hAnsi="宋体" w:cs="宋体"/>
          <w:b/>
          <w:bCs/>
          <w:color w:val="auto"/>
          <w:kern w:val="44"/>
          <w:sz w:val="72"/>
          <w:szCs w:val="72"/>
          <w:highlight w:val="none"/>
          <w:lang w:val="zh-CN"/>
        </w:rPr>
      </w:pPr>
    </w:p>
    <w:p w14:paraId="671C0641">
      <w:pPr>
        <w:spacing w:line="360" w:lineRule="auto"/>
        <w:jc w:val="center"/>
        <w:rPr>
          <w:rFonts w:ascii="宋体" w:hAnsi="宋体" w:cs="宋体"/>
          <w:b/>
          <w:bCs/>
          <w:color w:val="auto"/>
          <w:kern w:val="44"/>
          <w:sz w:val="72"/>
          <w:szCs w:val="72"/>
          <w:highlight w:val="none"/>
          <w:lang w:val="zh-CN"/>
        </w:rPr>
      </w:pPr>
      <w:r>
        <w:rPr>
          <w:rFonts w:hint="eastAsia" w:ascii="宋体" w:hAnsi="宋体" w:cs="宋体"/>
          <w:b/>
          <w:bCs/>
          <w:color w:val="auto"/>
          <w:kern w:val="44"/>
          <w:sz w:val="72"/>
          <w:szCs w:val="72"/>
          <w:highlight w:val="none"/>
          <w:lang w:val="zh-CN"/>
        </w:rPr>
        <w:t>建设工程施工合同</w:t>
      </w:r>
    </w:p>
    <w:p w14:paraId="035CFB3F">
      <w:pPr>
        <w:spacing w:line="360" w:lineRule="auto"/>
        <w:rPr>
          <w:rFonts w:ascii="宋体" w:hAnsi="宋体" w:cs="宋体"/>
          <w:b/>
          <w:bCs/>
          <w:color w:val="auto"/>
          <w:kern w:val="44"/>
          <w:sz w:val="28"/>
          <w:szCs w:val="28"/>
          <w:highlight w:val="none"/>
          <w:lang w:val="zh-CN"/>
        </w:rPr>
      </w:pPr>
    </w:p>
    <w:p w14:paraId="455DED15">
      <w:pPr>
        <w:spacing w:line="360" w:lineRule="auto"/>
        <w:rPr>
          <w:rFonts w:ascii="宋体" w:hAnsi="宋体" w:cs="宋体"/>
          <w:b/>
          <w:bCs/>
          <w:color w:val="auto"/>
          <w:kern w:val="44"/>
          <w:sz w:val="28"/>
          <w:szCs w:val="28"/>
          <w:highlight w:val="none"/>
          <w:lang w:val="zh-CN"/>
        </w:rPr>
      </w:pPr>
    </w:p>
    <w:p w14:paraId="7C04153D">
      <w:pPr>
        <w:spacing w:line="360" w:lineRule="auto"/>
        <w:rPr>
          <w:rFonts w:ascii="宋体" w:hAnsi="宋体" w:cs="宋体"/>
          <w:b/>
          <w:bCs/>
          <w:color w:val="auto"/>
          <w:kern w:val="44"/>
          <w:sz w:val="28"/>
          <w:szCs w:val="28"/>
          <w:highlight w:val="none"/>
          <w:lang w:val="zh-CN"/>
        </w:rPr>
      </w:pPr>
    </w:p>
    <w:p w14:paraId="71A49AE2">
      <w:pPr>
        <w:spacing w:line="360" w:lineRule="auto"/>
        <w:rPr>
          <w:rFonts w:ascii="宋体" w:hAnsi="宋体" w:cs="宋体"/>
          <w:b/>
          <w:bCs/>
          <w:color w:val="auto"/>
          <w:kern w:val="44"/>
          <w:sz w:val="28"/>
          <w:szCs w:val="28"/>
          <w:highlight w:val="none"/>
          <w:lang w:val="zh-CN"/>
        </w:rPr>
      </w:pPr>
    </w:p>
    <w:p w14:paraId="59F1DA35">
      <w:pPr>
        <w:spacing w:line="360" w:lineRule="auto"/>
        <w:rPr>
          <w:rFonts w:ascii="宋体" w:hAnsi="宋体" w:cs="宋体"/>
          <w:b/>
          <w:bCs/>
          <w:color w:val="auto"/>
          <w:kern w:val="44"/>
          <w:sz w:val="28"/>
          <w:szCs w:val="28"/>
          <w:highlight w:val="none"/>
          <w:lang w:val="zh-CN"/>
        </w:rPr>
      </w:pPr>
    </w:p>
    <w:p w14:paraId="68738997">
      <w:pPr>
        <w:spacing w:line="800" w:lineRule="exact"/>
        <w:rPr>
          <w:rFonts w:ascii="宋体" w:hAnsi="宋体" w:cs="宋体"/>
          <w:b/>
          <w:bCs/>
          <w:color w:val="auto"/>
          <w:kern w:val="44"/>
          <w:sz w:val="28"/>
          <w:szCs w:val="28"/>
          <w:highlight w:val="none"/>
          <w:lang w:val="zh-CN"/>
        </w:rPr>
      </w:pPr>
    </w:p>
    <w:p w14:paraId="0C8FB507">
      <w:pPr>
        <w:spacing w:line="800" w:lineRule="exact"/>
        <w:ind w:left="2681" w:leftChars="-100" w:hanging="2891" w:hangingChars="900"/>
        <w:jc w:val="left"/>
        <w:rPr>
          <w:rFonts w:ascii="宋体" w:hAnsi="宋体" w:cs="宋体"/>
          <w:b/>
          <w:bCs/>
          <w:color w:val="auto"/>
          <w:kern w:val="44"/>
          <w:sz w:val="32"/>
          <w:szCs w:val="32"/>
          <w:highlight w:val="none"/>
          <w:u w:val="single"/>
        </w:rPr>
      </w:pPr>
      <w:r>
        <w:rPr>
          <w:rFonts w:hint="eastAsia" w:ascii="宋体" w:hAnsi="宋体" w:cs="宋体"/>
          <w:b/>
          <w:bCs/>
          <w:color w:val="auto"/>
          <w:kern w:val="44"/>
          <w:sz w:val="32"/>
          <w:szCs w:val="32"/>
          <w:highlight w:val="none"/>
          <w:lang w:val="zh-CN"/>
        </w:rPr>
        <w:t xml:space="preserve">  工程名称：</w:t>
      </w:r>
      <w:r>
        <w:rPr>
          <w:rFonts w:hint="eastAsia" w:ascii="宋体" w:hAnsi="宋体" w:cs="宋体"/>
          <w:b/>
          <w:bCs/>
          <w:color w:val="auto"/>
          <w:kern w:val="44"/>
          <w:sz w:val="30"/>
          <w:szCs w:val="30"/>
          <w:highlight w:val="none"/>
          <w:u w:val="single"/>
          <w:lang w:val="zh-CN"/>
        </w:rPr>
        <w:t xml:space="preserve">广西民族大学修建思源湖校区跑廊项目 </w:t>
      </w:r>
      <w:r>
        <w:rPr>
          <w:rFonts w:hint="eastAsia" w:ascii="宋体" w:hAnsi="宋体" w:cs="宋体"/>
          <w:b/>
          <w:bCs/>
          <w:color w:val="auto"/>
          <w:kern w:val="44"/>
          <w:sz w:val="32"/>
          <w:szCs w:val="32"/>
          <w:highlight w:val="none"/>
          <w:u w:val="single"/>
        </w:rPr>
        <w:t xml:space="preserve">  </w:t>
      </w:r>
    </w:p>
    <w:p w14:paraId="24FC836D">
      <w:pPr>
        <w:spacing w:line="800" w:lineRule="exact"/>
        <w:rPr>
          <w:rFonts w:ascii="宋体" w:hAnsi="宋体" w:cs="宋体"/>
          <w:b/>
          <w:bCs/>
          <w:color w:val="auto"/>
          <w:kern w:val="44"/>
          <w:sz w:val="30"/>
          <w:szCs w:val="30"/>
          <w:highlight w:val="none"/>
          <w:u w:val="single"/>
        </w:rPr>
      </w:pPr>
      <w:r>
        <w:rPr>
          <w:rFonts w:hint="eastAsia" w:ascii="宋体" w:hAnsi="宋体" w:cs="宋体"/>
          <w:b/>
          <w:bCs/>
          <w:color w:val="auto"/>
          <w:kern w:val="44"/>
          <w:sz w:val="32"/>
          <w:szCs w:val="32"/>
          <w:highlight w:val="none"/>
          <w:lang w:val="zh-CN"/>
        </w:rPr>
        <w:t xml:space="preserve"> 发包人：</w:t>
      </w:r>
      <w:r>
        <w:rPr>
          <w:rFonts w:hint="eastAsia" w:ascii="宋体" w:hAnsi="宋体" w:cs="宋体"/>
          <w:b/>
          <w:bCs/>
          <w:color w:val="auto"/>
          <w:kern w:val="44"/>
          <w:sz w:val="30"/>
          <w:szCs w:val="30"/>
          <w:highlight w:val="none"/>
          <w:u w:val="single"/>
          <w:lang w:val="zh-CN"/>
        </w:rPr>
        <w:t>广西民族大学</w:t>
      </w:r>
      <w:r>
        <w:rPr>
          <w:rFonts w:hint="eastAsia" w:ascii="宋体" w:hAnsi="宋体" w:cs="宋体"/>
          <w:b/>
          <w:bCs/>
          <w:color w:val="auto"/>
          <w:kern w:val="44"/>
          <w:sz w:val="30"/>
          <w:szCs w:val="30"/>
          <w:highlight w:val="none"/>
          <w:u w:val="single"/>
        </w:rPr>
        <w:t xml:space="preserve">                           </w:t>
      </w:r>
    </w:p>
    <w:p w14:paraId="5FDA396B">
      <w:pPr>
        <w:spacing w:line="800" w:lineRule="exact"/>
        <w:rPr>
          <w:rFonts w:ascii="宋体" w:hAnsi="宋体" w:cs="宋体"/>
          <w:b/>
          <w:bCs/>
          <w:color w:val="auto"/>
          <w:kern w:val="44"/>
          <w:sz w:val="32"/>
          <w:szCs w:val="32"/>
          <w:highlight w:val="none"/>
        </w:rPr>
      </w:pPr>
      <w:r>
        <w:rPr>
          <w:rFonts w:hint="eastAsia" w:ascii="宋体" w:hAnsi="宋体" w:cs="宋体"/>
          <w:b/>
          <w:bCs/>
          <w:color w:val="auto"/>
          <w:kern w:val="44"/>
          <w:sz w:val="32"/>
          <w:szCs w:val="32"/>
          <w:highlight w:val="none"/>
          <w:lang w:val="zh-CN"/>
        </w:rPr>
        <w:t xml:space="preserve"> 承包人：</w:t>
      </w:r>
      <w:r>
        <w:rPr>
          <w:rFonts w:hint="eastAsia" w:ascii="宋体" w:hAnsi="宋体" w:cs="宋体"/>
          <w:b/>
          <w:bCs/>
          <w:color w:val="auto"/>
          <w:kern w:val="44"/>
          <w:sz w:val="32"/>
          <w:szCs w:val="32"/>
          <w:highlight w:val="none"/>
          <w:u w:val="single"/>
        </w:rPr>
        <w:t xml:space="preserve">                                     </w:t>
      </w:r>
    </w:p>
    <w:p w14:paraId="691AB951">
      <w:pPr>
        <w:spacing w:line="800" w:lineRule="exact"/>
        <w:rPr>
          <w:rFonts w:ascii="宋体" w:hAnsi="宋体" w:cs="宋体"/>
          <w:b/>
          <w:bCs/>
          <w:color w:val="auto"/>
          <w:kern w:val="44"/>
          <w:sz w:val="32"/>
          <w:szCs w:val="32"/>
          <w:highlight w:val="none"/>
        </w:rPr>
      </w:pPr>
      <w:r>
        <w:rPr>
          <w:rFonts w:hint="eastAsia" w:ascii="宋体" w:hAnsi="宋体" w:cs="宋体"/>
          <w:b/>
          <w:bCs/>
          <w:color w:val="auto"/>
          <w:kern w:val="44"/>
          <w:sz w:val="32"/>
          <w:szCs w:val="32"/>
          <w:highlight w:val="none"/>
          <w:lang w:val="zh-CN"/>
        </w:rPr>
        <w:t xml:space="preserve"> 签订地点：</w:t>
      </w:r>
      <w:r>
        <w:rPr>
          <w:rFonts w:hint="eastAsia" w:ascii="宋体" w:hAnsi="宋体" w:cs="宋体"/>
          <w:b/>
          <w:bCs/>
          <w:color w:val="auto"/>
          <w:kern w:val="44"/>
          <w:sz w:val="32"/>
          <w:szCs w:val="32"/>
          <w:highlight w:val="none"/>
          <w:u w:val="single"/>
        </w:rPr>
        <w:t xml:space="preserve">            南宁市                 </w:t>
      </w:r>
    </w:p>
    <w:p w14:paraId="3158B388">
      <w:pPr>
        <w:spacing w:line="360" w:lineRule="auto"/>
        <w:jc w:val="center"/>
        <w:rPr>
          <w:rFonts w:ascii="宋体" w:hAnsi="宋体" w:cs="宋体"/>
          <w:b/>
          <w:bCs/>
          <w:color w:val="auto"/>
          <w:kern w:val="44"/>
          <w:sz w:val="32"/>
          <w:szCs w:val="32"/>
          <w:highlight w:val="none"/>
          <w:lang w:val="zh-CN"/>
        </w:rPr>
      </w:pPr>
    </w:p>
    <w:p w14:paraId="1A469DC7">
      <w:pPr>
        <w:spacing w:line="360" w:lineRule="auto"/>
        <w:jc w:val="center"/>
        <w:rPr>
          <w:rFonts w:ascii="宋体" w:hAnsi="宋体" w:cs="宋体"/>
          <w:b/>
          <w:bCs/>
          <w:color w:val="auto"/>
          <w:kern w:val="44"/>
          <w:sz w:val="32"/>
          <w:szCs w:val="32"/>
          <w:highlight w:val="none"/>
          <w:lang w:val="zh-CN"/>
        </w:rPr>
      </w:pPr>
    </w:p>
    <w:p w14:paraId="5E30C7B4">
      <w:pPr>
        <w:spacing w:line="360" w:lineRule="auto"/>
        <w:jc w:val="center"/>
        <w:rPr>
          <w:rFonts w:ascii="宋体" w:hAnsi="宋体" w:cs="宋体"/>
          <w:color w:val="auto"/>
          <w:kern w:val="0"/>
          <w:sz w:val="32"/>
          <w:szCs w:val="32"/>
          <w:highlight w:val="none"/>
        </w:rPr>
      </w:pPr>
      <w:r>
        <w:rPr>
          <w:rFonts w:hint="eastAsia" w:ascii="宋体" w:hAnsi="宋体" w:cs="宋体"/>
          <w:b/>
          <w:bCs/>
          <w:color w:val="auto"/>
          <w:kern w:val="44"/>
          <w:sz w:val="32"/>
          <w:szCs w:val="32"/>
          <w:highlight w:val="none"/>
          <w:lang w:val="zh-CN"/>
        </w:rPr>
        <w:t>签订时间：</w:t>
      </w:r>
      <w:r>
        <w:rPr>
          <w:rFonts w:hint="eastAsia" w:ascii="宋体" w:hAnsi="宋体" w:cs="宋体"/>
          <w:b/>
          <w:bCs/>
          <w:color w:val="auto"/>
          <w:kern w:val="44"/>
          <w:sz w:val="32"/>
          <w:szCs w:val="32"/>
          <w:highlight w:val="none"/>
        </w:rPr>
        <w:t>202  年  月  日</w:t>
      </w:r>
    </w:p>
    <w:p w14:paraId="1D88E2B3">
      <w:pPr>
        <w:keepNext/>
        <w:keepLines/>
        <w:spacing w:line="360" w:lineRule="auto"/>
        <w:jc w:val="center"/>
        <w:rPr>
          <w:rFonts w:ascii="宋体" w:hAnsi="宋体" w:cs="宋体"/>
          <w:b/>
          <w:bCs/>
          <w:color w:val="auto"/>
          <w:kern w:val="44"/>
          <w:sz w:val="32"/>
          <w:szCs w:val="32"/>
          <w:highlight w:val="none"/>
          <w:lang w:val="zh-CN"/>
        </w:rPr>
        <w:sectPr>
          <w:headerReference r:id="rId14" w:type="default"/>
          <w:footerReference r:id="rId15" w:type="default"/>
          <w:pgSz w:w="11906" w:h="16838"/>
          <w:pgMar w:top="1417" w:right="1417" w:bottom="1417" w:left="1417" w:header="851" w:footer="992" w:gutter="0"/>
          <w:cols w:space="720" w:num="1"/>
          <w:docGrid w:type="lines" w:linePitch="312" w:charSpace="0"/>
        </w:sectPr>
      </w:pPr>
    </w:p>
    <w:p w14:paraId="4562EBF9">
      <w:pPr>
        <w:spacing w:line="360" w:lineRule="auto"/>
        <w:jc w:val="center"/>
        <w:rPr>
          <w:rFonts w:hAnsi="宋体" w:cs="宋体"/>
          <w:b/>
          <w:bCs/>
          <w:color w:val="auto"/>
          <w:sz w:val="36"/>
          <w:szCs w:val="44"/>
          <w:highlight w:val="none"/>
        </w:rPr>
      </w:pPr>
      <w:bookmarkStart w:id="192" w:name="_Toc296503025"/>
      <w:bookmarkStart w:id="193" w:name="_Toc373478199"/>
      <w:bookmarkStart w:id="194" w:name="_Toc373227552"/>
      <w:bookmarkStart w:id="195" w:name="_Toc389065255"/>
      <w:bookmarkStart w:id="196" w:name="_Toc78449777"/>
      <w:bookmarkStart w:id="197" w:name="_Toc724920571"/>
      <w:bookmarkStart w:id="198" w:name="_Toc296890982"/>
      <w:bookmarkStart w:id="199" w:name="_Toc27919"/>
      <w:bookmarkStart w:id="200" w:name="_Toc407135191"/>
      <w:bookmarkStart w:id="201" w:name="_Toc1756478213"/>
      <w:bookmarkStart w:id="202" w:name="_Toc351203480"/>
      <w:bookmarkStart w:id="203" w:name="_Toc16707"/>
      <w:r>
        <w:rPr>
          <w:rFonts w:hint="eastAsia" w:cs="黑体"/>
          <w:b/>
          <w:bCs/>
          <w:color w:val="auto"/>
          <w:sz w:val="36"/>
          <w:szCs w:val="44"/>
          <w:highlight w:val="none"/>
        </w:rPr>
        <w:t>第一部分  合同协议书</w:t>
      </w:r>
      <w:bookmarkEnd w:id="192"/>
      <w:bookmarkEnd w:id="193"/>
      <w:bookmarkEnd w:id="194"/>
      <w:bookmarkEnd w:id="195"/>
      <w:bookmarkEnd w:id="196"/>
      <w:bookmarkEnd w:id="197"/>
      <w:bookmarkEnd w:id="198"/>
      <w:bookmarkEnd w:id="199"/>
      <w:bookmarkEnd w:id="200"/>
      <w:bookmarkEnd w:id="201"/>
      <w:bookmarkEnd w:id="202"/>
      <w:bookmarkEnd w:id="203"/>
    </w:p>
    <w:p w14:paraId="011FB04C">
      <w:pPr>
        <w:ind w:firstLine="420"/>
        <w:rPr>
          <w:color w:val="auto"/>
          <w:szCs w:val="20"/>
          <w:highlight w:val="none"/>
        </w:rPr>
      </w:pPr>
    </w:p>
    <w:p w14:paraId="367DB96F">
      <w:pPr>
        <w:pStyle w:val="75"/>
        <w:spacing w:line="360" w:lineRule="auto"/>
        <w:rPr>
          <w:color w:val="auto"/>
          <w:szCs w:val="21"/>
          <w:highlight w:val="none"/>
          <w:u w:val="single"/>
        </w:rPr>
      </w:pPr>
      <w:r>
        <w:rPr>
          <w:rFonts w:hint="eastAsia" w:hAnsi="宋体"/>
          <w:color w:val="auto"/>
          <w:szCs w:val="21"/>
          <w:highlight w:val="none"/>
        </w:rPr>
        <w:t>发包人（全称）：</w:t>
      </w:r>
      <w:r>
        <w:rPr>
          <w:rFonts w:hint="eastAsia" w:hAnsi="宋体"/>
          <w:color w:val="auto"/>
          <w:szCs w:val="21"/>
          <w:highlight w:val="none"/>
          <w:u w:val="single"/>
        </w:rPr>
        <w:t>广西民族大学</w:t>
      </w:r>
    </w:p>
    <w:p w14:paraId="5F1D5D21">
      <w:pPr>
        <w:pStyle w:val="75"/>
        <w:spacing w:line="360" w:lineRule="auto"/>
        <w:rPr>
          <w:color w:val="auto"/>
          <w:szCs w:val="21"/>
          <w:highlight w:val="none"/>
          <w:u w:val="single"/>
        </w:rPr>
      </w:pPr>
      <w:r>
        <w:rPr>
          <w:rFonts w:hint="eastAsia" w:hAnsi="宋体"/>
          <w:color w:val="auto"/>
          <w:szCs w:val="21"/>
          <w:highlight w:val="none"/>
        </w:rPr>
        <w:t>承包人（全称）：</w:t>
      </w:r>
      <w:r>
        <w:rPr>
          <w:rFonts w:hint="eastAsia" w:hAnsi="宋体"/>
          <w:color w:val="auto"/>
          <w:szCs w:val="21"/>
          <w:highlight w:val="none"/>
          <w:u w:val="single"/>
        </w:rPr>
        <w:t></w:t>
      </w:r>
      <w:r>
        <w:rPr>
          <w:rFonts w:hAnsi="宋体"/>
          <w:color w:val="auto"/>
          <w:szCs w:val="21"/>
          <w:highlight w:val="none"/>
          <w:u w:val="single"/>
        </w:rPr>
        <w:t xml:space="preserve">           </w:t>
      </w:r>
    </w:p>
    <w:p w14:paraId="73A2CBBE">
      <w:pPr>
        <w:pStyle w:val="75"/>
        <w:spacing w:line="360" w:lineRule="auto"/>
        <w:ind w:firstLine="420" w:firstLineChars="200"/>
        <w:rPr>
          <w:rFonts w:hAnsi="宋体"/>
          <w:color w:val="auto"/>
          <w:szCs w:val="21"/>
          <w:highlight w:val="none"/>
        </w:rPr>
      </w:pPr>
      <w:r>
        <w:rPr>
          <w:rFonts w:hint="eastAsia" w:hAnsi="宋体"/>
          <w:color w:val="auto"/>
          <w:szCs w:val="21"/>
          <w:highlight w:val="none"/>
        </w:rPr>
        <w:t>根据《中华人民共和国民法典》、《中华人民共和国建筑法》及有关法律规定，遵循平等、自愿、公平和诚实信用的原则，双方就</w:t>
      </w:r>
      <w:r>
        <w:rPr>
          <w:rFonts w:hint="eastAsia"/>
          <w:b/>
          <w:bCs/>
          <w:color w:val="auto"/>
          <w:szCs w:val="21"/>
          <w:highlight w:val="none"/>
          <w:u w:val="single"/>
        </w:rPr>
        <w:t>广西民族大学修建思源湖校区跑廊项目</w:t>
      </w:r>
      <w:r>
        <w:rPr>
          <w:rFonts w:hint="eastAsia" w:hAnsi="宋体"/>
          <w:color w:val="auto"/>
          <w:szCs w:val="21"/>
          <w:highlight w:val="none"/>
        </w:rPr>
        <w:t>施工及有关事项协商一致，共同达成如下协议：</w:t>
      </w:r>
      <w:bookmarkStart w:id="204" w:name="_Toc351203481"/>
    </w:p>
    <w:p w14:paraId="66599165">
      <w:pPr>
        <w:pStyle w:val="75"/>
        <w:spacing w:line="360" w:lineRule="auto"/>
        <w:ind w:firstLine="422" w:firstLineChars="200"/>
        <w:outlineLvl w:val="2"/>
        <w:rPr>
          <w:b/>
          <w:bCs/>
          <w:color w:val="auto"/>
          <w:szCs w:val="21"/>
          <w:highlight w:val="none"/>
        </w:rPr>
      </w:pPr>
      <w:r>
        <w:rPr>
          <w:rFonts w:hint="eastAsia" w:hAnsi="宋体"/>
          <w:b/>
          <w:bCs/>
          <w:color w:val="auto"/>
          <w:szCs w:val="21"/>
          <w:highlight w:val="none"/>
        </w:rPr>
        <w:t>一、工程概况</w:t>
      </w:r>
      <w:bookmarkEnd w:id="204"/>
    </w:p>
    <w:p w14:paraId="1EBDB7AF">
      <w:pPr>
        <w:pStyle w:val="75"/>
        <w:spacing w:line="360" w:lineRule="auto"/>
        <w:ind w:firstLine="411" w:firstLineChars="196"/>
        <w:rPr>
          <w:rFonts w:hAnsi="宋体"/>
          <w:color w:val="auto"/>
          <w:szCs w:val="21"/>
          <w:highlight w:val="none"/>
        </w:rPr>
      </w:pPr>
      <w:r>
        <w:rPr>
          <w:bCs/>
          <w:color w:val="auto"/>
          <w:szCs w:val="21"/>
          <w:highlight w:val="none"/>
        </w:rPr>
        <w:t>1.</w:t>
      </w:r>
      <w:r>
        <w:rPr>
          <w:rFonts w:hint="eastAsia" w:hAnsi="宋体"/>
          <w:bCs/>
          <w:color w:val="auto"/>
          <w:szCs w:val="21"/>
          <w:highlight w:val="none"/>
        </w:rPr>
        <w:t>工程名称</w:t>
      </w:r>
      <w:r>
        <w:rPr>
          <w:rFonts w:hint="eastAsia" w:hAnsi="宋体"/>
          <w:color w:val="auto"/>
          <w:szCs w:val="21"/>
          <w:highlight w:val="none"/>
        </w:rPr>
        <w:t>：</w:t>
      </w:r>
      <w:r>
        <w:rPr>
          <w:rFonts w:hint="eastAsia"/>
          <w:color w:val="auto"/>
          <w:highlight w:val="none"/>
          <w:u w:val="single"/>
        </w:rPr>
        <w:t>广西民族大学修建思源湖校区跑廊项目</w:t>
      </w:r>
      <w:r>
        <w:rPr>
          <w:color w:val="auto"/>
          <w:szCs w:val="21"/>
          <w:highlight w:val="none"/>
          <w:u w:val="single"/>
        </w:rPr>
        <w:t xml:space="preserve"> </w:t>
      </w:r>
      <w:r>
        <w:rPr>
          <w:rFonts w:hint="eastAsia" w:hAnsi="宋体"/>
          <w:color w:val="auto"/>
          <w:szCs w:val="21"/>
          <w:highlight w:val="none"/>
        </w:rPr>
        <w:t>。</w:t>
      </w:r>
    </w:p>
    <w:p w14:paraId="345C40E7">
      <w:pPr>
        <w:pStyle w:val="75"/>
        <w:spacing w:line="360" w:lineRule="auto"/>
        <w:ind w:firstLine="411" w:firstLineChars="196"/>
        <w:rPr>
          <w:color w:val="auto"/>
          <w:szCs w:val="21"/>
          <w:highlight w:val="none"/>
          <w:u w:val="single"/>
        </w:rPr>
      </w:pPr>
      <w:r>
        <w:rPr>
          <w:bCs/>
          <w:color w:val="auto"/>
          <w:szCs w:val="21"/>
          <w:highlight w:val="none"/>
        </w:rPr>
        <w:t>2.</w:t>
      </w:r>
      <w:r>
        <w:rPr>
          <w:rFonts w:hint="eastAsia" w:hAnsi="宋体"/>
          <w:bCs/>
          <w:color w:val="auto"/>
          <w:szCs w:val="21"/>
          <w:highlight w:val="none"/>
        </w:rPr>
        <w:t>工程地点：</w:t>
      </w:r>
      <w:r>
        <w:rPr>
          <w:rFonts w:hint="eastAsia" w:ascii="宋体" w:hAnsi="宋体" w:cs="宋体"/>
          <w:color w:val="auto"/>
          <w:szCs w:val="21"/>
          <w:highlight w:val="none"/>
          <w:u w:val="single"/>
        </w:rPr>
        <w:t>广西民族大学思源湖校区</w:t>
      </w:r>
      <w:r>
        <w:rPr>
          <w:rFonts w:hint="eastAsia" w:ascii="宋体" w:hAnsi="宋体" w:cs="宋体"/>
          <w:color w:val="auto"/>
          <w:kern w:val="0"/>
          <w:sz w:val="24"/>
          <w:highlight w:val="none"/>
        </w:rPr>
        <w:t xml:space="preserve"> </w:t>
      </w:r>
    </w:p>
    <w:p w14:paraId="2047CCB4">
      <w:pPr>
        <w:pStyle w:val="75"/>
        <w:spacing w:line="360" w:lineRule="auto"/>
        <w:ind w:firstLine="411" w:firstLineChars="196"/>
        <w:rPr>
          <w:bCs/>
          <w:color w:val="auto"/>
          <w:szCs w:val="21"/>
          <w:highlight w:val="none"/>
        </w:rPr>
      </w:pPr>
      <w:r>
        <w:rPr>
          <w:bCs/>
          <w:color w:val="auto"/>
          <w:szCs w:val="21"/>
          <w:highlight w:val="none"/>
        </w:rPr>
        <w:t>3.</w:t>
      </w:r>
      <w:r>
        <w:rPr>
          <w:rFonts w:hint="eastAsia" w:hAnsi="宋体"/>
          <w:bCs/>
          <w:color w:val="auto"/>
          <w:szCs w:val="21"/>
          <w:highlight w:val="none"/>
        </w:rPr>
        <w:t>工程立项批准文号：</w:t>
      </w:r>
      <w:r>
        <w:rPr>
          <w:rFonts w:hint="eastAsia"/>
          <w:color w:val="auto"/>
          <w:highlight w:val="none"/>
          <w:u w:val="single"/>
        </w:rPr>
        <w:t xml:space="preserve"> 2024061586 </w:t>
      </w:r>
      <w:r>
        <w:rPr>
          <w:rFonts w:hint="eastAsia" w:hAnsi="宋体"/>
          <w:bCs/>
          <w:color w:val="auto"/>
          <w:szCs w:val="21"/>
          <w:highlight w:val="none"/>
        </w:rPr>
        <w:t>。</w:t>
      </w:r>
    </w:p>
    <w:p w14:paraId="00AF7AD6">
      <w:pPr>
        <w:pStyle w:val="75"/>
        <w:spacing w:line="360" w:lineRule="auto"/>
        <w:ind w:firstLine="411" w:firstLineChars="196"/>
        <w:rPr>
          <w:bCs/>
          <w:color w:val="auto"/>
          <w:szCs w:val="21"/>
          <w:highlight w:val="none"/>
        </w:rPr>
      </w:pPr>
      <w:r>
        <w:rPr>
          <w:bCs/>
          <w:color w:val="auto"/>
          <w:szCs w:val="21"/>
          <w:highlight w:val="none"/>
        </w:rPr>
        <w:t>4.</w:t>
      </w:r>
      <w:r>
        <w:rPr>
          <w:rFonts w:hint="eastAsia" w:hAnsi="宋体"/>
          <w:bCs/>
          <w:color w:val="auto"/>
          <w:szCs w:val="21"/>
          <w:highlight w:val="none"/>
        </w:rPr>
        <w:t>资金来源：</w:t>
      </w:r>
      <w:r>
        <w:rPr>
          <w:rFonts w:hint="eastAsia" w:hAnsi="宋体"/>
          <w:color w:val="auto"/>
          <w:szCs w:val="21"/>
          <w:highlight w:val="none"/>
          <w:u w:val="single"/>
        </w:rPr>
        <w:t>财政资金</w:t>
      </w:r>
      <w:r>
        <w:rPr>
          <w:rFonts w:hAnsi="宋体"/>
          <w:color w:val="auto"/>
          <w:szCs w:val="21"/>
          <w:highlight w:val="none"/>
          <w:u w:val="single"/>
        </w:rPr>
        <w:t xml:space="preserve"> </w:t>
      </w:r>
      <w:r>
        <w:rPr>
          <w:color w:val="auto"/>
          <w:szCs w:val="21"/>
          <w:highlight w:val="none"/>
          <w:u w:val="single"/>
        </w:rPr>
        <w:t xml:space="preserve"> </w:t>
      </w:r>
      <w:r>
        <w:rPr>
          <w:rFonts w:hint="eastAsia" w:hAnsi="宋体"/>
          <w:bCs/>
          <w:color w:val="auto"/>
          <w:szCs w:val="21"/>
          <w:highlight w:val="none"/>
        </w:rPr>
        <w:t>。</w:t>
      </w:r>
    </w:p>
    <w:p w14:paraId="2847BABC">
      <w:pPr>
        <w:pStyle w:val="75"/>
        <w:spacing w:line="360" w:lineRule="auto"/>
        <w:ind w:firstLine="411" w:firstLineChars="196"/>
        <w:rPr>
          <w:bCs/>
          <w:color w:val="auto"/>
          <w:szCs w:val="21"/>
          <w:highlight w:val="none"/>
          <w:u w:val="single"/>
        </w:rPr>
      </w:pPr>
      <w:r>
        <w:rPr>
          <w:bCs/>
          <w:color w:val="auto"/>
          <w:szCs w:val="21"/>
          <w:highlight w:val="none"/>
        </w:rPr>
        <w:t>5.</w:t>
      </w:r>
      <w:r>
        <w:rPr>
          <w:rFonts w:hint="eastAsia" w:hAnsi="宋体"/>
          <w:bCs/>
          <w:color w:val="auto"/>
          <w:szCs w:val="21"/>
          <w:highlight w:val="none"/>
        </w:rPr>
        <w:t>工程内容：</w:t>
      </w:r>
      <w:r>
        <w:rPr>
          <w:color w:val="auto"/>
          <w:highlight w:val="none"/>
        </w:rPr>
        <w:t>建设膜结构跑廊，建筑面积736.45m2。钢柱及钢梁采用Q355B材质H型钢，PVDF刀刮膜顶棚，地面铺设200mm碎石基层+40mm中粒沥青混凝土+30mm细粒沥青混凝土+13mm厚自结纹混合型塑胶地面，砖砌沙坑1座、沉砂井1座、雨水检查井1座，埋设实木成品起跳板7个，以及跑廊防雷接地、水电工程等。</w:t>
      </w:r>
      <w:r>
        <w:rPr>
          <w:rFonts w:hint="eastAsia" w:ascii="宋体" w:hAnsi="宋体" w:cs="宋体"/>
          <w:color w:val="auto"/>
          <w:szCs w:val="21"/>
          <w:highlight w:val="none"/>
          <w:u w:val="single"/>
        </w:rPr>
        <w:t>（具体以</w:t>
      </w:r>
      <w:r>
        <w:rPr>
          <w:rFonts w:hint="eastAsia" w:ascii="宋体" w:hAnsi="宋体" w:cs="宋体"/>
          <w:color w:val="auto"/>
          <w:szCs w:val="21"/>
          <w:highlight w:val="none"/>
        </w:rPr>
        <w:t>采购文件、施工图纸</w:t>
      </w:r>
      <w:r>
        <w:rPr>
          <w:rFonts w:hint="eastAsia" w:ascii="宋体" w:hAnsi="宋体" w:cs="宋体"/>
          <w:color w:val="auto"/>
          <w:szCs w:val="21"/>
          <w:highlight w:val="none"/>
          <w:u w:val="single"/>
        </w:rPr>
        <w:t>和工程量清单内容为准）</w:t>
      </w:r>
      <w:r>
        <w:rPr>
          <w:rFonts w:hint="eastAsia" w:hAnsi="宋体"/>
          <w:bCs/>
          <w:color w:val="auto"/>
          <w:szCs w:val="21"/>
          <w:highlight w:val="none"/>
          <w:u w:val="single"/>
        </w:rPr>
        <w:t>。</w:t>
      </w:r>
    </w:p>
    <w:p w14:paraId="5085B7B0">
      <w:pPr>
        <w:pStyle w:val="75"/>
        <w:spacing w:line="360" w:lineRule="auto"/>
        <w:ind w:firstLine="411" w:firstLineChars="196"/>
        <w:rPr>
          <w:rFonts w:hAnsi="宋体"/>
          <w:color w:val="auto"/>
          <w:szCs w:val="21"/>
          <w:highlight w:val="none"/>
        </w:rPr>
      </w:pPr>
      <w:r>
        <w:rPr>
          <w:bCs/>
          <w:color w:val="auto"/>
          <w:szCs w:val="21"/>
          <w:highlight w:val="none"/>
        </w:rPr>
        <w:t xml:space="preserve">6. </w:t>
      </w:r>
      <w:r>
        <w:rPr>
          <w:rFonts w:hint="eastAsia" w:hAnsi="宋体"/>
          <w:bCs/>
          <w:color w:val="auto"/>
          <w:szCs w:val="21"/>
          <w:highlight w:val="none"/>
        </w:rPr>
        <w:t>工程承包范围：</w:t>
      </w:r>
      <w:r>
        <w:rPr>
          <w:rFonts w:hint="eastAsia" w:ascii="宋体" w:hAnsi="宋体" w:cs="宋体"/>
          <w:color w:val="auto"/>
          <w:szCs w:val="21"/>
          <w:highlight w:val="none"/>
        </w:rPr>
        <w:t>采购文件、</w:t>
      </w:r>
      <w:r>
        <w:rPr>
          <w:rFonts w:hint="eastAsia" w:ascii="宋体" w:hAnsi="宋体" w:cs="宋体"/>
          <w:color w:val="auto"/>
          <w:szCs w:val="21"/>
          <w:highlight w:val="none"/>
          <w:u w:val="single"/>
        </w:rPr>
        <w:t>施工图纸和工程量清单</w:t>
      </w:r>
      <w:r>
        <w:rPr>
          <w:rFonts w:hint="eastAsia"/>
          <w:color w:val="auto"/>
          <w:highlight w:val="none"/>
          <w:u w:val="single"/>
        </w:rPr>
        <w:t>的全部内容</w:t>
      </w:r>
      <w:r>
        <w:rPr>
          <w:color w:val="auto"/>
          <w:szCs w:val="21"/>
          <w:highlight w:val="none"/>
          <w:u w:val="single"/>
        </w:rPr>
        <w:t xml:space="preserve"> </w:t>
      </w:r>
      <w:r>
        <w:rPr>
          <w:rFonts w:hint="eastAsia" w:hAnsi="宋体"/>
          <w:color w:val="auto"/>
          <w:szCs w:val="21"/>
          <w:highlight w:val="none"/>
        </w:rPr>
        <w:t>。</w:t>
      </w:r>
    </w:p>
    <w:p w14:paraId="7B036261">
      <w:pPr>
        <w:pStyle w:val="75"/>
        <w:spacing w:line="360" w:lineRule="auto"/>
        <w:ind w:firstLine="407" w:firstLineChars="193"/>
        <w:outlineLvl w:val="2"/>
        <w:rPr>
          <w:b/>
          <w:bCs/>
          <w:color w:val="auto"/>
          <w:szCs w:val="21"/>
          <w:highlight w:val="none"/>
        </w:rPr>
      </w:pPr>
      <w:bookmarkStart w:id="205" w:name="_Toc351203482"/>
      <w:r>
        <w:rPr>
          <w:rFonts w:hint="eastAsia" w:hAnsi="宋体"/>
          <w:b/>
          <w:bCs/>
          <w:color w:val="auto"/>
          <w:szCs w:val="21"/>
          <w:highlight w:val="none"/>
        </w:rPr>
        <w:t>二、合同工期</w:t>
      </w:r>
      <w:bookmarkEnd w:id="205"/>
    </w:p>
    <w:p w14:paraId="4ABA4BA1">
      <w:pPr>
        <w:pStyle w:val="75"/>
        <w:spacing w:line="360" w:lineRule="auto"/>
        <w:ind w:firstLine="459"/>
        <w:rPr>
          <w:color w:val="auto"/>
          <w:szCs w:val="21"/>
          <w:highlight w:val="none"/>
        </w:rPr>
      </w:pPr>
      <w:r>
        <w:rPr>
          <w:rFonts w:hint="eastAsia" w:hAnsi="宋体"/>
          <w:color w:val="auto"/>
          <w:szCs w:val="21"/>
          <w:highlight w:val="none"/>
        </w:rPr>
        <w:t>计划开工日期：</w:t>
      </w:r>
      <w:r>
        <w:rPr>
          <w:rFonts w:hint="eastAsia" w:hAnsi="宋体"/>
          <w:color w:val="auto"/>
          <w:szCs w:val="21"/>
          <w:highlight w:val="none"/>
          <w:u w:val="single"/>
        </w:rPr>
        <w:t>2025</w:t>
      </w:r>
      <w:r>
        <w:rPr>
          <w:rFonts w:hint="eastAsia" w:hAnsi="宋体"/>
          <w:color w:val="auto"/>
          <w:szCs w:val="21"/>
          <w:highlight w:val="none"/>
        </w:rPr>
        <w:t>年</w:t>
      </w:r>
      <w:r>
        <w:rPr>
          <w:rFonts w:hint="eastAsia" w:hAnsi="宋体"/>
          <w:color w:val="auto"/>
          <w:szCs w:val="21"/>
          <w:highlight w:val="none"/>
          <w:u w:val="single"/>
        </w:rPr>
        <w:t></w:t>
      </w:r>
      <w:r>
        <w:rPr>
          <w:rFonts w:hAnsi="宋体"/>
          <w:color w:val="auto"/>
          <w:szCs w:val="21"/>
          <w:highlight w:val="none"/>
          <w:u w:val="single"/>
        </w:rPr>
        <w:t xml:space="preserve"> </w:t>
      </w:r>
      <w:r>
        <w:rPr>
          <w:rFonts w:hint="eastAsia" w:hAnsi="宋体"/>
          <w:color w:val="auto"/>
          <w:szCs w:val="21"/>
          <w:highlight w:val="none"/>
          <w:u w:val="single"/>
        </w:rPr>
        <w:t></w:t>
      </w:r>
      <w:r>
        <w:rPr>
          <w:rFonts w:hint="eastAsia" w:hAnsi="宋体"/>
          <w:color w:val="auto"/>
          <w:szCs w:val="21"/>
          <w:highlight w:val="none"/>
        </w:rPr>
        <w:t>月</w:t>
      </w:r>
      <w:r>
        <w:rPr>
          <w:rFonts w:hint="eastAsia" w:hAnsi="宋体"/>
          <w:color w:val="auto"/>
          <w:szCs w:val="21"/>
          <w:highlight w:val="none"/>
          <w:u w:val="single"/>
        </w:rPr>
        <w:t></w:t>
      </w:r>
      <w:r>
        <w:rPr>
          <w:rFonts w:hAnsi="宋体"/>
          <w:color w:val="auto"/>
          <w:szCs w:val="21"/>
          <w:highlight w:val="none"/>
          <w:u w:val="single"/>
        </w:rPr>
        <w:t xml:space="preserve"> </w:t>
      </w:r>
      <w:r>
        <w:rPr>
          <w:rFonts w:hint="eastAsia" w:hAnsi="宋体"/>
          <w:color w:val="auto"/>
          <w:szCs w:val="21"/>
          <w:highlight w:val="none"/>
          <w:u w:val="single"/>
        </w:rPr>
        <w:t></w:t>
      </w:r>
      <w:r>
        <w:rPr>
          <w:rFonts w:hint="eastAsia" w:hAnsi="宋体"/>
          <w:color w:val="auto"/>
          <w:szCs w:val="21"/>
          <w:highlight w:val="none"/>
        </w:rPr>
        <w:t>日。（具体以发包人书面通知为准）</w:t>
      </w:r>
    </w:p>
    <w:p w14:paraId="7F2F8F95">
      <w:pPr>
        <w:pStyle w:val="75"/>
        <w:spacing w:line="360" w:lineRule="auto"/>
        <w:ind w:firstLine="459"/>
        <w:rPr>
          <w:color w:val="auto"/>
          <w:szCs w:val="21"/>
          <w:highlight w:val="none"/>
        </w:rPr>
      </w:pPr>
      <w:r>
        <w:rPr>
          <w:rFonts w:hint="eastAsia" w:hAnsi="宋体"/>
          <w:color w:val="auto"/>
          <w:szCs w:val="21"/>
          <w:highlight w:val="none"/>
        </w:rPr>
        <w:t>计划竣工日期：</w:t>
      </w:r>
      <w:r>
        <w:rPr>
          <w:rFonts w:hint="eastAsia" w:hAnsi="宋体"/>
          <w:color w:val="auto"/>
          <w:szCs w:val="21"/>
          <w:highlight w:val="none"/>
          <w:u w:val="single"/>
        </w:rPr>
        <w:t>2025</w:t>
      </w:r>
      <w:r>
        <w:rPr>
          <w:rFonts w:hint="eastAsia" w:hAnsi="宋体"/>
          <w:color w:val="auto"/>
          <w:szCs w:val="21"/>
          <w:highlight w:val="none"/>
        </w:rPr>
        <w:t>年</w:t>
      </w:r>
      <w:r>
        <w:rPr>
          <w:rFonts w:hAnsi="宋体"/>
          <w:color w:val="auto"/>
          <w:szCs w:val="21"/>
          <w:highlight w:val="none"/>
          <w:u w:val="single"/>
        </w:rPr>
        <w:t xml:space="preserve">  </w:t>
      </w:r>
      <w:r>
        <w:rPr>
          <w:rFonts w:hint="eastAsia" w:hAnsi="宋体"/>
          <w:color w:val="auto"/>
          <w:szCs w:val="21"/>
          <w:highlight w:val="none"/>
        </w:rPr>
        <w:t>月</w:t>
      </w:r>
      <w:r>
        <w:rPr>
          <w:rFonts w:hAnsi="宋体"/>
          <w:color w:val="auto"/>
          <w:szCs w:val="21"/>
          <w:highlight w:val="none"/>
          <w:u w:val="single"/>
        </w:rPr>
        <w:t xml:space="preserve">   </w:t>
      </w:r>
      <w:r>
        <w:rPr>
          <w:rFonts w:hint="eastAsia" w:hAnsi="宋体"/>
          <w:color w:val="auto"/>
          <w:szCs w:val="21"/>
          <w:highlight w:val="none"/>
        </w:rPr>
        <w:t>日。</w:t>
      </w:r>
    </w:p>
    <w:p w14:paraId="0190A180">
      <w:pPr>
        <w:pStyle w:val="75"/>
        <w:spacing w:line="360" w:lineRule="auto"/>
        <w:ind w:firstLine="459"/>
        <w:rPr>
          <w:rFonts w:hAnsi="宋体"/>
          <w:color w:val="auto"/>
          <w:szCs w:val="21"/>
          <w:highlight w:val="none"/>
        </w:rPr>
      </w:pPr>
      <w:r>
        <w:rPr>
          <w:rFonts w:hint="eastAsia" w:hAnsi="宋体"/>
          <w:color w:val="auto"/>
          <w:szCs w:val="21"/>
          <w:highlight w:val="none"/>
        </w:rPr>
        <w:t>工期总日历天数：</w:t>
      </w:r>
      <w:r>
        <w:rPr>
          <w:rFonts w:hint="eastAsia" w:hAnsi="宋体"/>
          <w:color w:val="auto"/>
          <w:szCs w:val="21"/>
          <w:highlight w:val="none"/>
          <w:u w:val="single"/>
        </w:rPr>
        <w:t>50日历</w:t>
      </w:r>
      <w:r>
        <w:rPr>
          <w:rFonts w:hint="eastAsia" w:hAnsi="宋体"/>
          <w:color w:val="auto"/>
          <w:szCs w:val="21"/>
          <w:highlight w:val="none"/>
        </w:rPr>
        <w:t>天。工期总日历天数与根据前述计划开竣工日期计算的工期天数不一致的，以工期总日历天数为准。</w:t>
      </w:r>
    </w:p>
    <w:p w14:paraId="12B9DB8B">
      <w:pPr>
        <w:pStyle w:val="75"/>
        <w:spacing w:line="360" w:lineRule="auto"/>
        <w:ind w:firstLine="459"/>
        <w:outlineLvl w:val="2"/>
        <w:rPr>
          <w:b/>
          <w:bCs/>
          <w:color w:val="auto"/>
          <w:szCs w:val="21"/>
          <w:highlight w:val="none"/>
        </w:rPr>
      </w:pPr>
      <w:bookmarkStart w:id="206" w:name="_Toc351203483"/>
      <w:r>
        <w:rPr>
          <w:rFonts w:hint="eastAsia" w:hAnsi="宋体"/>
          <w:b/>
          <w:bCs/>
          <w:color w:val="auto"/>
          <w:szCs w:val="21"/>
          <w:highlight w:val="none"/>
        </w:rPr>
        <w:t>三、质量标准</w:t>
      </w:r>
      <w:bookmarkEnd w:id="206"/>
    </w:p>
    <w:p w14:paraId="77E28839">
      <w:pPr>
        <w:pStyle w:val="75"/>
        <w:spacing w:line="360" w:lineRule="auto"/>
        <w:ind w:firstLine="459"/>
        <w:rPr>
          <w:rFonts w:hAnsi="宋体"/>
          <w:color w:val="auto"/>
          <w:szCs w:val="21"/>
          <w:highlight w:val="none"/>
        </w:rPr>
      </w:pPr>
      <w:r>
        <w:rPr>
          <w:rFonts w:hint="eastAsia" w:hAnsi="宋体"/>
          <w:color w:val="auto"/>
          <w:szCs w:val="21"/>
          <w:highlight w:val="none"/>
        </w:rPr>
        <w:t>工程质量符合</w:t>
      </w:r>
      <w:r>
        <w:rPr>
          <w:rFonts w:hint="eastAsia" w:ascii="宋体" w:hAnsi="宋体" w:cs="宋体"/>
          <w:color w:val="auto"/>
          <w:highlight w:val="none"/>
          <w:u w:val="single"/>
        </w:rPr>
        <w:t>现行国家相关专业施工验收规范合格</w:t>
      </w:r>
      <w:r>
        <w:rPr>
          <w:rFonts w:hint="eastAsia" w:hAnsi="宋体"/>
          <w:color w:val="auto"/>
          <w:szCs w:val="21"/>
          <w:highlight w:val="none"/>
        </w:rPr>
        <w:t>标准。</w:t>
      </w:r>
    </w:p>
    <w:p w14:paraId="57146651">
      <w:pPr>
        <w:pStyle w:val="75"/>
        <w:spacing w:line="360" w:lineRule="auto"/>
        <w:ind w:firstLine="459"/>
        <w:outlineLvl w:val="2"/>
        <w:rPr>
          <w:rFonts w:hAnsi="宋体"/>
          <w:b/>
          <w:bCs/>
          <w:color w:val="auto"/>
          <w:szCs w:val="21"/>
          <w:highlight w:val="none"/>
        </w:rPr>
      </w:pPr>
      <w:bookmarkStart w:id="207" w:name="_Toc351203484"/>
      <w:r>
        <w:rPr>
          <w:rFonts w:hint="eastAsia" w:hAnsi="宋体"/>
          <w:b/>
          <w:bCs/>
          <w:color w:val="auto"/>
          <w:szCs w:val="21"/>
          <w:highlight w:val="none"/>
        </w:rPr>
        <w:t>四、签约合同价与合同价格形式</w:t>
      </w:r>
      <w:bookmarkEnd w:id="207"/>
    </w:p>
    <w:p w14:paraId="00CD2E29">
      <w:pPr>
        <w:pStyle w:val="75"/>
        <w:spacing w:line="360" w:lineRule="auto"/>
        <w:ind w:firstLine="459"/>
        <w:rPr>
          <w:color w:val="auto"/>
          <w:szCs w:val="21"/>
          <w:highlight w:val="none"/>
        </w:rPr>
      </w:pPr>
      <w:r>
        <w:rPr>
          <w:color w:val="auto"/>
          <w:szCs w:val="21"/>
          <w:highlight w:val="none"/>
        </w:rPr>
        <w:t xml:space="preserve">1. </w:t>
      </w:r>
      <w:r>
        <w:rPr>
          <w:rFonts w:hint="eastAsia" w:hAnsi="宋体"/>
          <w:color w:val="auto"/>
          <w:szCs w:val="21"/>
          <w:highlight w:val="none"/>
        </w:rPr>
        <w:t>签约合同价为：</w:t>
      </w:r>
    </w:p>
    <w:p w14:paraId="6D6E545B">
      <w:pPr>
        <w:pStyle w:val="75"/>
        <w:spacing w:line="360" w:lineRule="auto"/>
        <w:ind w:firstLine="525" w:firstLineChars="250"/>
        <w:rPr>
          <w:rFonts w:hAnsi="宋体"/>
          <w:color w:val="auto"/>
          <w:szCs w:val="21"/>
          <w:highlight w:val="none"/>
        </w:rPr>
      </w:pPr>
      <w:r>
        <w:rPr>
          <w:rFonts w:hint="eastAsia" w:hAnsi="宋体"/>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34785FC8">
      <w:pPr>
        <w:pStyle w:val="75"/>
        <w:spacing w:line="360" w:lineRule="auto"/>
        <w:ind w:firstLine="525" w:firstLineChars="250"/>
        <w:rPr>
          <w:rFonts w:hAnsi="宋体"/>
          <w:color w:val="auto"/>
          <w:szCs w:val="21"/>
          <w:highlight w:val="none"/>
        </w:rPr>
      </w:pPr>
      <w:r>
        <w:rPr>
          <w:rFonts w:hint="eastAsia" w:hAnsi="宋体"/>
          <w:color w:val="auto"/>
          <w:szCs w:val="21"/>
          <w:highlight w:val="none"/>
        </w:rPr>
        <w:t>其中：</w:t>
      </w:r>
    </w:p>
    <w:p w14:paraId="3D983D0A">
      <w:pPr>
        <w:pStyle w:val="75"/>
        <w:spacing w:line="360" w:lineRule="auto"/>
        <w:ind w:firstLine="420" w:firstLineChars="200"/>
        <w:rPr>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）安全文明施工费：</w:t>
      </w:r>
    </w:p>
    <w:p w14:paraId="43023410">
      <w:pPr>
        <w:pStyle w:val="75"/>
        <w:spacing w:line="360" w:lineRule="auto"/>
        <w:ind w:left="420" w:leftChars="200" w:firstLine="525" w:firstLineChars="250"/>
        <w:rPr>
          <w:rFonts w:hAnsi="宋体"/>
          <w:color w:val="auto"/>
          <w:szCs w:val="21"/>
          <w:highlight w:val="none"/>
        </w:rPr>
      </w:pPr>
      <w:r>
        <w:rPr>
          <w:rFonts w:hint="eastAsia"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7724995E">
      <w:pPr>
        <w:pStyle w:val="75"/>
        <w:spacing w:line="360" w:lineRule="auto"/>
        <w:ind w:firstLine="420" w:firstLineChars="200"/>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）材料和工程设备暂估价金额：</w:t>
      </w:r>
    </w:p>
    <w:p w14:paraId="3A5025C0">
      <w:pPr>
        <w:pStyle w:val="75"/>
        <w:spacing w:line="360" w:lineRule="auto"/>
        <w:ind w:firstLine="945" w:firstLineChars="450"/>
        <w:rPr>
          <w:color w:val="auto"/>
          <w:szCs w:val="21"/>
          <w:highlight w:val="none"/>
        </w:rPr>
      </w:pPr>
      <w:r>
        <w:rPr>
          <w:rFonts w:hint="eastAsia"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00D41337">
      <w:pPr>
        <w:pStyle w:val="75"/>
        <w:spacing w:line="360" w:lineRule="auto"/>
        <w:ind w:firstLine="420" w:firstLineChars="200"/>
        <w:rPr>
          <w:color w:val="auto"/>
          <w:szCs w:val="21"/>
          <w:highlight w:val="non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）专业工程暂估价金额：</w:t>
      </w:r>
    </w:p>
    <w:p w14:paraId="3DE7B622">
      <w:pPr>
        <w:pStyle w:val="75"/>
        <w:spacing w:line="360" w:lineRule="auto"/>
        <w:ind w:firstLine="945" w:firstLineChars="450"/>
        <w:rPr>
          <w:color w:val="auto"/>
          <w:szCs w:val="21"/>
          <w:highlight w:val="none"/>
        </w:rPr>
      </w:pPr>
      <w:r>
        <w:rPr>
          <w:rFonts w:hint="eastAsia"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0F3A192A">
      <w:pPr>
        <w:pStyle w:val="75"/>
        <w:spacing w:line="360" w:lineRule="auto"/>
        <w:ind w:firstLine="420" w:firstLineChars="200"/>
        <w:rPr>
          <w:color w:val="auto"/>
          <w:szCs w:val="21"/>
          <w:highlight w:val="none"/>
        </w:rPr>
      </w:pPr>
      <w:r>
        <w:rPr>
          <w:rFonts w:hint="eastAsia" w:hAnsi="宋体"/>
          <w:color w:val="auto"/>
          <w:szCs w:val="21"/>
          <w:highlight w:val="none"/>
        </w:rPr>
        <w:t>（</w:t>
      </w:r>
      <w:r>
        <w:rPr>
          <w:color w:val="auto"/>
          <w:szCs w:val="21"/>
          <w:highlight w:val="none"/>
        </w:rPr>
        <w:t>4</w:t>
      </w:r>
      <w:r>
        <w:rPr>
          <w:rFonts w:hint="eastAsia" w:hAnsi="宋体"/>
          <w:color w:val="auto"/>
          <w:szCs w:val="21"/>
          <w:highlight w:val="none"/>
        </w:rPr>
        <w:t>）暂列金额：</w:t>
      </w:r>
    </w:p>
    <w:p w14:paraId="78282A23">
      <w:pPr>
        <w:pStyle w:val="75"/>
        <w:spacing w:line="360" w:lineRule="auto"/>
        <w:ind w:firstLine="945" w:firstLineChars="450"/>
        <w:rPr>
          <w:rFonts w:hAnsi="宋体"/>
          <w:color w:val="auto"/>
          <w:szCs w:val="21"/>
          <w:highlight w:val="none"/>
        </w:rPr>
      </w:pPr>
      <w:r>
        <w:rPr>
          <w:rFonts w:hint="eastAsia"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380140DB">
      <w:pPr>
        <w:pStyle w:val="75"/>
        <w:spacing w:line="360" w:lineRule="auto"/>
        <w:ind w:firstLine="359" w:firstLineChars="171"/>
        <w:rPr>
          <w:color w:val="auto"/>
          <w:szCs w:val="21"/>
          <w:highlight w:val="none"/>
        </w:rPr>
      </w:pPr>
      <w:r>
        <w:rPr>
          <w:rFonts w:hint="eastAsia" w:hAnsi="宋体"/>
          <w:color w:val="auto"/>
          <w:szCs w:val="21"/>
          <w:highlight w:val="none"/>
        </w:rPr>
        <w:t>（</w:t>
      </w:r>
      <w:r>
        <w:rPr>
          <w:color w:val="auto"/>
          <w:szCs w:val="21"/>
          <w:highlight w:val="none"/>
        </w:rPr>
        <w:t>5</w:t>
      </w:r>
      <w:r>
        <w:rPr>
          <w:rFonts w:hint="eastAsia" w:hAnsi="宋体"/>
          <w:color w:val="auto"/>
          <w:szCs w:val="21"/>
          <w:highlight w:val="none"/>
        </w:rPr>
        <w:t>）增值税额：</w:t>
      </w:r>
    </w:p>
    <w:p w14:paraId="5125D92B">
      <w:pPr>
        <w:pStyle w:val="75"/>
        <w:spacing w:line="360" w:lineRule="auto"/>
        <w:ind w:firstLine="945" w:firstLineChars="450"/>
        <w:rPr>
          <w:rFonts w:hAnsi="宋体"/>
          <w:color w:val="auto"/>
          <w:szCs w:val="21"/>
          <w:highlight w:val="none"/>
        </w:rPr>
      </w:pPr>
      <w:r>
        <w:rPr>
          <w:rFonts w:hint="eastAsia"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int="eastAsia" w:hAnsi="宋体"/>
          <w:color w:val="auto"/>
          <w:szCs w:val="21"/>
          <w:highlight w:val="none"/>
        </w:rPr>
        <w:t>元</w:t>
      </w:r>
      <w:r>
        <w:rPr>
          <w:rFonts w:hint="eastAsia"/>
          <w:color w:val="auto"/>
          <w:szCs w:val="21"/>
          <w:highlight w:val="none"/>
        </w:rPr>
        <w:t>）</w:t>
      </w:r>
      <w:r>
        <w:rPr>
          <w:rFonts w:hint="eastAsia" w:hAnsi="宋体"/>
          <w:color w:val="auto"/>
          <w:szCs w:val="21"/>
          <w:highlight w:val="none"/>
        </w:rPr>
        <w:t>。</w:t>
      </w:r>
    </w:p>
    <w:p w14:paraId="5D1D11E5">
      <w:pPr>
        <w:pStyle w:val="75"/>
        <w:spacing w:line="360" w:lineRule="auto"/>
        <w:ind w:firstLine="987" w:firstLineChars="470"/>
        <w:rPr>
          <w:rFonts w:hAnsi="宋体"/>
          <w:color w:val="auto"/>
          <w:szCs w:val="21"/>
          <w:highlight w:val="none"/>
        </w:rPr>
      </w:pPr>
      <w:r>
        <w:rPr>
          <w:rFonts w:hint="eastAsia" w:hAnsi="宋体"/>
          <w:color w:val="auto"/>
          <w:szCs w:val="21"/>
          <w:highlight w:val="none"/>
        </w:rPr>
        <w:t>增值税率：</w:t>
      </w:r>
      <w:r>
        <w:rPr>
          <w:rFonts w:hAnsi="宋体"/>
          <w:color w:val="auto"/>
          <w:szCs w:val="21"/>
          <w:highlight w:val="none"/>
          <w:u w:val="single"/>
        </w:rPr>
        <w:t xml:space="preserve">  </w:t>
      </w:r>
      <w:r>
        <w:rPr>
          <w:rFonts w:hint="eastAsia" w:hAnsi="宋体"/>
          <w:color w:val="auto"/>
          <w:szCs w:val="21"/>
          <w:highlight w:val="none"/>
          <w:u w:val="single"/>
        </w:rPr>
        <w:t>　　　　　　</w:t>
      </w:r>
      <w:r>
        <w:rPr>
          <w:rFonts w:hAnsi="宋体"/>
          <w:color w:val="auto"/>
          <w:szCs w:val="21"/>
          <w:highlight w:val="none"/>
          <w:u w:val="single"/>
        </w:rPr>
        <w:t xml:space="preserve">  </w:t>
      </w:r>
    </w:p>
    <w:p w14:paraId="629877BF">
      <w:pPr>
        <w:pStyle w:val="75"/>
        <w:spacing w:line="360" w:lineRule="auto"/>
        <w:ind w:firstLine="420" w:firstLineChars="200"/>
        <w:rPr>
          <w:rFonts w:hAnsi="宋体"/>
          <w:color w:val="auto"/>
          <w:szCs w:val="21"/>
          <w:highlight w:val="none"/>
        </w:rPr>
      </w:pPr>
      <w:r>
        <w:rPr>
          <w:color w:val="auto"/>
          <w:szCs w:val="21"/>
          <w:highlight w:val="none"/>
        </w:rPr>
        <w:t xml:space="preserve">2. </w:t>
      </w:r>
      <w:r>
        <w:rPr>
          <w:rFonts w:hint="eastAsia" w:hAnsi="宋体"/>
          <w:color w:val="auto"/>
          <w:szCs w:val="21"/>
          <w:highlight w:val="none"/>
        </w:rPr>
        <w:t>合同价格形式：</w:t>
      </w:r>
      <w:r>
        <w:rPr>
          <w:rFonts w:hint="eastAsia" w:ascii="宋体" w:hAnsi="宋体" w:cs="宋体"/>
          <w:b/>
          <w:color w:val="auto"/>
          <w:highlight w:val="none"/>
          <w:u w:val="single"/>
        </w:rPr>
        <w:t>固定综合单价合同</w:t>
      </w:r>
      <w:r>
        <w:rPr>
          <w:rFonts w:hint="eastAsia" w:hAnsi="宋体"/>
          <w:color w:val="auto"/>
          <w:szCs w:val="21"/>
          <w:highlight w:val="none"/>
        </w:rPr>
        <w:t>。</w:t>
      </w:r>
    </w:p>
    <w:p w14:paraId="4DD8A436">
      <w:pPr>
        <w:pStyle w:val="75"/>
        <w:spacing w:line="360" w:lineRule="auto"/>
        <w:ind w:firstLine="422" w:firstLineChars="200"/>
        <w:outlineLvl w:val="2"/>
        <w:rPr>
          <w:b/>
          <w:bCs/>
          <w:color w:val="auto"/>
          <w:szCs w:val="21"/>
          <w:highlight w:val="none"/>
        </w:rPr>
      </w:pPr>
      <w:bookmarkStart w:id="208" w:name="_Toc351203485"/>
      <w:r>
        <w:rPr>
          <w:rFonts w:hint="eastAsia" w:hAnsi="宋体"/>
          <w:b/>
          <w:bCs/>
          <w:color w:val="auto"/>
          <w:szCs w:val="21"/>
          <w:highlight w:val="none"/>
        </w:rPr>
        <w:t>五、</w:t>
      </w:r>
      <w:bookmarkEnd w:id="208"/>
      <w:r>
        <w:rPr>
          <w:rFonts w:hint="eastAsia" w:hAnsi="宋体"/>
          <w:b/>
          <w:bCs/>
          <w:color w:val="auto"/>
          <w:szCs w:val="21"/>
          <w:highlight w:val="none"/>
        </w:rPr>
        <w:t>项目经理</w:t>
      </w:r>
    </w:p>
    <w:p w14:paraId="06ADCE6C">
      <w:pPr>
        <w:pStyle w:val="75"/>
        <w:spacing w:line="360" w:lineRule="auto"/>
        <w:ind w:firstLine="420" w:firstLineChars="200"/>
        <w:rPr>
          <w:rFonts w:hAnsi="宋体"/>
          <w:color w:val="auto"/>
          <w:szCs w:val="21"/>
          <w:highlight w:val="none"/>
        </w:rPr>
      </w:pPr>
      <w:r>
        <w:rPr>
          <w:rFonts w:hint="eastAsia" w:hAnsi="宋体"/>
          <w:color w:val="auto"/>
          <w:szCs w:val="21"/>
          <w:highlight w:val="none"/>
        </w:rPr>
        <w:t>承包人项目经理：</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rFonts w:hint="eastAsia" w:hAnsi="宋体"/>
          <w:color w:val="auto"/>
          <w:szCs w:val="21"/>
          <w:highlight w:val="none"/>
        </w:rPr>
        <w:t>。</w:t>
      </w:r>
    </w:p>
    <w:p w14:paraId="3F98B845">
      <w:pPr>
        <w:pStyle w:val="75"/>
        <w:spacing w:line="360" w:lineRule="auto"/>
        <w:ind w:firstLine="422" w:firstLineChars="200"/>
        <w:outlineLvl w:val="2"/>
        <w:rPr>
          <w:b/>
          <w:bCs/>
          <w:color w:val="auto"/>
          <w:szCs w:val="21"/>
          <w:highlight w:val="none"/>
        </w:rPr>
      </w:pPr>
      <w:bookmarkStart w:id="209" w:name="_Toc351203486"/>
      <w:r>
        <w:rPr>
          <w:rFonts w:hint="eastAsia" w:hAnsi="宋体"/>
          <w:b/>
          <w:bCs/>
          <w:color w:val="auto"/>
          <w:szCs w:val="21"/>
          <w:highlight w:val="none"/>
        </w:rPr>
        <w:t>六、合同文件构成</w:t>
      </w:r>
      <w:bookmarkEnd w:id="209"/>
    </w:p>
    <w:p w14:paraId="2A069D2B">
      <w:pPr>
        <w:pStyle w:val="75"/>
        <w:spacing w:line="360" w:lineRule="auto"/>
        <w:ind w:firstLine="420" w:firstLineChars="200"/>
        <w:rPr>
          <w:bCs/>
          <w:color w:val="auto"/>
          <w:szCs w:val="21"/>
          <w:highlight w:val="none"/>
        </w:rPr>
      </w:pPr>
      <w:r>
        <w:rPr>
          <w:rFonts w:hint="eastAsia" w:hAnsi="宋体"/>
          <w:bCs/>
          <w:color w:val="auto"/>
          <w:szCs w:val="21"/>
          <w:highlight w:val="none"/>
        </w:rPr>
        <w:t>本协议书与下列文件一起构成合同文件：</w:t>
      </w:r>
    </w:p>
    <w:p w14:paraId="01673146">
      <w:pPr>
        <w:pStyle w:val="7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）成交通知书；</w:t>
      </w:r>
    </w:p>
    <w:p w14:paraId="2BFA77C2">
      <w:pPr>
        <w:pStyle w:val="7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）响应函及其附录；</w:t>
      </w:r>
      <w:r>
        <w:rPr>
          <w:color w:val="auto"/>
          <w:szCs w:val="21"/>
          <w:highlight w:val="none"/>
        </w:rPr>
        <w:t xml:space="preserve"> </w:t>
      </w:r>
    </w:p>
    <w:p w14:paraId="50046768">
      <w:pPr>
        <w:pStyle w:val="7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）专用合同条款及其附件；</w:t>
      </w:r>
    </w:p>
    <w:p w14:paraId="2ECF8192">
      <w:pPr>
        <w:pStyle w:val="7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4</w:t>
      </w:r>
      <w:r>
        <w:rPr>
          <w:rFonts w:hint="eastAsia" w:hAnsi="宋体"/>
          <w:color w:val="auto"/>
          <w:szCs w:val="21"/>
          <w:highlight w:val="none"/>
        </w:rPr>
        <w:t>）通用合同条款；</w:t>
      </w:r>
    </w:p>
    <w:p w14:paraId="11B2A9E5">
      <w:pPr>
        <w:pStyle w:val="7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5</w:t>
      </w:r>
      <w:r>
        <w:rPr>
          <w:rFonts w:hint="eastAsia" w:hAnsi="宋体"/>
          <w:color w:val="auto"/>
          <w:szCs w:val="21"/>
          <w:highlight w:val="none"/>
        </w:rPr>
        <w:t>）技术标准和要求</w:t>
      </w:r>
      <w:r>
        <w:rPr>
          <w:rFonts w:hint="eastAsia"/>
          <w:color w:val="auto"/>
          <w:szCs w:val="21"/>
          <w:highlight w:val="none"/>
        </w:rPr>
        <w:t>；</w:t>
      </w:r>
    </w:p>
    <w:p w14:paraId="59341520">
      <w:pPr>
        <w:pStyle w:val="7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6</w:t>
      </w:r>
      <w:r>
        <w:rPr>
          <w:rFonts w:hint="eastAsia" w:hAnsi="宋体"/>
          <w:color w:val="auto"/>
          <w:szCs w:val="21"/>
          <w:highlight w:val="none"/>
        </w:rPr>
        <w:t>）采购文件及附件（含所有补充通知）；</w:t>
      </w:r>
    </w:p>
    <w:p w14:paraId="111F636B">
      <w:pPr>
        <w:pStyle w:val="75"/>
        <w:autoSpaceDE w:val="0"/>
        <w:autoSpaceDN w:val="0"/>
        <w:adjustRightInd w:val="0"/>
        <w:spacing w:line="360" w:lineRule="auto"/>
        <w:ind w:firstLine="420" w:firstLineChars="200"/>
        <w:jc w:val="left"/>
        <w:rPr>
          <w:color w:val="auto"/>
          <w:szCs w:val="21"/>
          <w:highlight w:val="none"/>
          <w:u w:val="single"/>
        </w:rPr>
      </w:pPr>
      <w:r>
        <w:rPr>
          <w:rFonts w:hint="eastAsia" w:hAnsi="宋体"/>
          <w:color w:val="auto"/>
          <w:szCs w:val="21"/>
          <w:highlight w:val="none"/>
        </w:rPr>
        <w:t>（</w:t>
      </w:r>
      <w:r>
        <w:rPr>
          <w:color w:val="auto"/>
          <w:szCs w:val="21"/>
          <w:highlight w:val="none"/>
        </w:rPr>
        <w:t>7</w:t>
      </w:r>
      <w:r>
        <w:rPr>
          <w:rFonts w:hint="eastAsia" w:hAnsi="宋体"/>
          <w:color w:val="auto"/>
          <w:szCs w:val="21"/>
          <w:highlight w:val="none"/>
        </w:rPr>
        <w:t>）已标价工程量清单；</w:t>
      </w:r>
    </w:p>
    <w:p w14:paraId="06E2FD61">
      <w:pPr>
        <w:pStyle w:val="75"/>
        <w:autoSpaceDE w:val="0"/>
        <w:autoSpaceDN w:val="0"/>
        <w:adjustRightInd w:val="0"/>
        <w:spacing w:line="360" w:lineRule="auto"/>
        <w:ind w:firstLine="420" w:firstLineChars="200"/>
        <w:jc w:val="left"/>
        <w:rPr>
          <w:color w:val="auto"/>
          <w:szCs w:val="21"/>
          <w:highlight w:val="none"/>
          <w:u w:val="single"/>
        </w:rPr>
      </w:pPr>
      <w:r>
        <w:rPr>
          <w:rFonts w:hint="eastAsia" w:hAnsi="宋体"/>
          <w:color w:val="auto"/>
          <w:szCs w:val="21"/>
          <w:highlight w:val="none"/>
        </w:rPr>
        <w:t>（</w:t>
      </w:r>
      <w:r>
        <w:rPr>
          <w:color w:val="auto"/>
          <w:szCs w:val="21"/>
          <w:highlight w:val="none"/>
        </w:rPr>
        <w:t>8</w:t>
      </w:r>
      <w:r>
        <w:rPr>
          <w:rFonts w:hint="eastAsia" w:hAnsi="宋体"/>
          <w:color w:val="auto"/>
          <w:szCs w:val="21"/>
          <w:highlight w:val="none"/>
        </w:rPr>
        <w:t>）图纸（如有）；</w:t>
      </w:r>
    </w:p>
    <w:p w14:paraId="1345502A">
      <w:pPr>
        <w:pStyle w:val="7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9</w:t>
      </w:r>
      <w:r>
        <w:rPr>
          <w:rFonts w:hint="eastAsia" w:hAnsi="宋体"/>
          <w:color w:val="auto"/>
          <w:szCs w:val="21"/>
          <w:highlight w:val="none"/>
        </w:rPr>
        <w:t>）其他合同文件：</w:t>
      </w:r>
    </w:p>
    <w:p w14:paraId="2E83CE41">
      <w:pPr>
        <w:pStyle w:val="75"/>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在合同订立及履行过程中形成的与合同有关的文件均构成合同文件组成部分。</w:t>
      </w:r>
    </w:p>
    <w:p w14:paraId="6CE40CAD">
      <w:pPr>
        <w:pStyle w:val="75"/>
        <w:autoSpaceDE w:val="0"/>
        <w:autoSpaceDN w:val="0"/>
        <w:adjustRightInd w:val="0"/>
        <w:spacing w:line="360" w:lineRule="auto"/>
        <w:ind w:firstLine="420" w:firstLineChars="200"/>
        <w:jc w:val="left"/>
        <w:rPr>
          <w:rFonts w:hAnsi="宋体"/>
          <w:color w:val="auto"/>
          <w:szCs w:val="21"/>
          <w:highlight w:val="none"/>
        </w:rPr>
      </w:pPr>
      <w:r>
        <w:rPr>
          <w:rFonts w:hint="eastAsia" w:hAnsi="宋体"/>
          <w:color w:val="auto"/>
          <w:szCs w:val="21"/>
          <w:highlight w:val="none"/>
        </w:rPr>
        <w:t>上述各项合同文件包括合同当事人就该项合同文件所作出的补充和修改，属于同一类内容的文件，</w:t>
      </w:r>
      <w:r>
        <w:rPr>
          <w:rFonts w:hint="eastAsia" w:hAnsi="宋体" w:cs="宋体"/>
          <w:color w:val="auto"/>
          <w:kern w:val="0"/>
          <w:highlight w:val="none"/>
        </w:rPr>
        <w:t>应以最新签署的为</w:t>
      </w:r>
      <w:r>
        <w:rPr>
          <w:rFonts w:hint="eastAsia" w:hAnsi="宋体"/>
          <w:color w:val="auto"/>
          <w:szCs w:val="21"/>
          <w:highlight w:val="none"/>
        </w:rPr>
        <w:t>准（违反采购文件实质性内容的约定除外）。专用合同条款及其附件须经合同当事人签字或盖章。</w:t>
      </w:r>
    </w:p>
    <w:p w14:paraId="3DB31B1B">
      <w:pPr>
        <w:pStyle w:val="75"/>
        <w:autoSpaceDE w:val="0"/>
        <w:autoSpaceDN w:val="0"/>
        <w:adjustRightInd w:val="0"/>
        <w:spacing w:line="360" w:lineRule="auto"/>
        <w:ind w:firstLine="422" w:firstLineChars="200"/>
        <w:jc w:val="left"/>
        <w:outlineLvl w:val="2"/>
        <w:rPr>
          <w:b/>
          <w:bCs/>
          <w:color w:val="auto"/>
          <w:szCs w:val="21"/>
          <w:highlight w:val="none"/>
        </w:rPr>
      </w:pPr>
      <w:bookmarkStart w:id="210" w:name="_Toc351203487"/>
      <w:r>
        <w:rPr>
          <w:rFonts w:hint="eastAsia" w:hAnsi="宋体"/>
          <w:b/>
          <w:bCs/>
          <w:color w:val="auto"/>
          <w:szCs w:val="21"/>
          <w:highlight w:val="none"/>
        </w:rPr>
        <w:t>七、承诺</w:t>
      </w:r>
      <w:bookmarkEnd w:id="210"/>
    </w:p>
    <w:p w14:paraId="66511185">
      <w:pPr>
        <w:pStyle w:val="75"/>
        <w:spacing w:line="360" w:lineRule="auto"/>
        <w:ind w:firstLine="420" w:firstLineChars="200"/>
        <w:rPr>
          <w:bCs/>
          <w:color w:val="auto"/>
          <w:szCs w:val="21"/>
          <w:highlight w:val="none"/>
        </w:rPr>
      </w:pPr>
      <w:r>
        <w:rPr>
          <w:bCs/>
          <w:color w:val="auto"/>
          <w:szCs w:val="21"/>
          <w:highlight w:val="none"/>
        </w:rPr>
        <w:t xml:space="preserve">1. </w:t>
      </w:r>
      <w:r>
        <w:rPr>
          <w:rFonts w:hint="eastAsia" w:hAnsi="宋体"/>
          <w:bCs/>
          <w:color w:val="auto"/>
          <w:szCs w:val="21"/>
          <w:highlight w:val="none"/>
        </w:rPr>
        <w:t>发包人承诺按照法律规定履行项目审批手续、筹集工程建设资金并按照合同约定的期限和方式支付合同价款。</w:t>
      </w:r>
    </w:p>
    <w:p w14:paraId="20C3E1A3">
      <w:pPr>
        <w:pStyle w:val="75"/>
        <w:spacing w:line="360" w:lineRule="auto"/>
        <w:ind w:firstLine="420" w:firstLineChars="200"/>
        <w:rPr>
          <w:bCs/>
          <w:color w:val="auto"/>
          <w:szCs w:val="21"/>
          <w:highlight w:val="none"/>
        </w:rPr>
      </w:pPr>
      <w:r>
        <w:rPr>
          <w:bCs/>
          <w:color w:val="auto"/>
          <w:szCs w:val="21"/>
          <w:highlight w:val="none"/>
        </w:rPr>
        <w:t xml:space="preserve">2. </w:t>
      </w:r>
      <w:r>
        <w:rPr>
          <w:rFonts w:hint="eastAsia" w:ascii="宋体" w:hAnsi="宋体" w:cs="宋体"/>
          <w:bCs/>
          <w:color w:val="auto"/>
          <w:szCs w:val="21"/>
          <w:highlight w:val="none"/>
        </w:rPr>
        <w:t>发包人承诺协调周边环境、并与相关部门协调保证工期不受影响。</w:t>
      </w:r>
    </w:p>
    <w:p w14:paraId="0A4FD4AF">
      <w:pPr>
        <w:pStyle w:val="75"/>
        <w:spacing w:line="360" w:lineRule="auto"/>
        <w:ind w:firstLine="420" w:firstLineChars="200"/>
        <w:rPr>
          <w:bCs/>
          <w:color w:val="auto"/>
          <w:szCs w:val="21"/>
          <w:highlight w:val="none"/>
        </w:rPr>
      </w:pPr>
      <w:r>
        <w:rPr>
          <w:bCs/>
          <w:color w:val="auto"/>
          <w:szCs w:val="21"/>
          <w:highlight w:val="none"/>
        </w:rPr>
        <w:t xml:space="preserve">3. </w:t>
      </w:r>
      <w:r>
        <w:rPr>
          <w:rFonts w:hint="eastAsia"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7382C7B2">
      <w:pPr>
        <w:pStyle w:val="75"/>
        <w:spacing w:line="360" w:lineRule="auto"/>
        <w:ind w:firstLine="420" w:firstLineChars="200"/>
        <w:rPr>
          <w:rFonts w:hAnsi="宋体"/>
          <w:bCs/>
          <w:color w:val="auto"/>
          <w:szCs w:val="21"/>
          <w:highlight w:val="none"/>
        </w:rPr>
      </w:pPr>
      <w:r>
        <w:rPr>
          <w:bCs/>
          <w:color w:val="auto"/>
          <w:szCs w:val="21"/>
          <w:highlight w:val="none"/>
        </w:rPr>
        <w:t xml:space="preserve">4. </w:t>
      </w:r>
      <w:r>
        <w:rPr>
          <w:rFonts w:hint="eastAsia" w:hAnsi="宋体"/>
          <w:bCs/>
          <w:color w:val="auto"/>
          <w:szCs w:val="21"/>
          <w:highlight w:val="none"/>
        </w:rPr>
        <w:t>发包人和承包人通过招投标形式签订合同的，双方理解并承诺不再就同一工程另行签订与合同实质性内容相背离的协议。</w:t>
      </w:r>
      <w:bookmarkStart w:id="211" w:name="_Toc351203488"/>
    </w:p>
    <w:p w14:paraId="3F91E50C">
      <w:pPr>
        <w:pStyle w:val="75"/>
        <w:spacing w:line="360" w:lineRule="auto"/>
        <w:ind w:firstLine="422" w:firstLineChars="200"/>
        <w:outlineLvl w:val="2"/>
        <w:rPr>
          <w:b/>
          <w:bCs/>
          <w:color w:val="auto"/>
          <w:szCs w:val="21"/>
          <w:highlight w:val="none"/>
        </w:rPr>
      </w:pPr>
      <w:r>
        <w:rPr>
          <w:rFonts w:hint="eastAsia" w:hAnsi="宋体"/>
          <w:b/>
          <w:bCs/>
          <w:color w:val="auto"/>
          <w:szCs w:val="21"/>
          <w:highlight w:val="none"/>
        </w:rPr>
        <w:t>八、词语含义</w:t>
      </w:r>
      <w:bookmarkEnd w:id="211"/>
    </w:p>
    <w:p w14:paraId="7F1B165A">
      <w:pPr>
        <w:pStyle w:val="75"/>
        <w:spacing w:line="360" w:lineRule="auto"/>
        <w:ind w:firstLine="420" w:firstLineChars="200"/>
        <w:rPr>
          <w:rFonts w:hAnsi="宋体"/>
          <w:bCs/>
          <w:color w:val="auto"/>
          <w:szCs w:val="21"/>
          <w:highlight w:val="none"/>
        </w:rPr>
      </w:pPr>
      <w:r>
        <w:rPr>
          <w:rFonts w:hint="eastAsia" w:hAnsi="宋体"/>
          <w:bCs/>
          <w:color w:val="auto"/>
          <w:szCs w:val="21"/>
          <w:highlight w:val="none"/>
        </w:rPr>
        <w:t>本协议书中词语含义与第二部分通用合同条款中赋予的含义相同。</w:t>
      </w:r>
    </w:p>
    <w:p w14:paraId="5FBEA366">
      <w:pPr>
        <w:pStyle w:val="75"/>
        <w:spacing w:line="360" w:lineRule="auto"/>
        <w:ind w:firstLine="422" w:firstLineChars="200"/>
        <w:outlineLvl w:val="2"/>
        <w:rPr>
          <w:b/>
          <w:bCs/>
          <w:color w:val="auto"/>
          <w:szCs w:val="21"/>
          <w:highlight w:val="none"/>
        </w:rPr>
      </w:pPr>
      <w:bookmarkStart w:id="212" w:name="_Toc351203489"/>
      <w:r>
        <w:rPr>
          <w:rFonts w:hint="eastAsia" w:hAnsi="宋体"/>
          <w:b/>
          <w:bCs/>
          <w:color w:val="auto"/>
          <w:szCs w:val="21"/>
          <w:highlight w:val="none"/>
        </w:rPr>
        <w:t>九、签订时间</w:t>
      </w:r>
      <w:bookmarkEnd w:id="212"/>
    </w:p>
    <w:p w14:paraId="4E1EE6D6">
      <w:pPr>
        <w:pStyle w:val="75"/>
        <w:spacing w:line="360" w:lineRule="auto"/>
        <w:ind w:firstLine="420" w:firstLineChars="200"/>
        <w:rPr>
          <w:rFonts w:hAnsi="宋体"/>
          <w:bCs/>
          <w:color w:val="auto"/>
          <w:szCs w:val="21"/>
          <w:highlight w:val="none"/>
        </w:rPr>
      </w:pPr>
      <w:r>
        <w:rPr>
          <w:rFonts w:hint="eastAsia" w:hAnsi="宋体"/>
          <w:bCs/>
          <w:color w:val="auto"/>
          <w:szCs w:val="21"/>
          <w:highlight w:val="none"/>
        </w:rPr>
        <w:t>本合同于</w:t>
      </w:r>
      <w:r>
        <w:rPr>
          <w:bCs/>
          <w:color w:val="auto"/>
          <w:szCs w:val="21"/>
          <w:highlight w:val="none"/>
          <w:u w:val="single"/>
        </w:rPr>
        <w:t xml:space="preserve">         </w:t>
      </w:r>
      <w:r>
        <w:rPr>
          <w:rFonts w:hint="eastAsia" w:hAnsi="宋体"/>
          <w:bCs/>
          <w:color w:val="auto"/>
          <w:szCs w:val="21"/>
          <w:highlight w:val="none"/>
        </w:rPr>
        <w:t>年</w:t>
      </w:r>
      <w:r>
        <w:rPr>
          <w:bCs/>
          <w:color w:val="auto"/>
          <w:szCs w:val="21"/>
          <w:highlight w:val="none"/>
          <w:u w:val="single"/>
        </w:rPr>
        <w:t xml:space="preserve">    </w:t>
      </w:r>
      <w:r>
        <w:rPr>
          <w:rFonts w:hint="eastAsia" w:hAnsi="宋体"/>
          <w:bCs/>
          <w:color w:val="auto"/>
          <w:szCs w:val="21"/>
          <w:highlight w:val="none"/>
        </w:rPr>
        <w:t>月</w:t>
      </w:r>
      <w:r>
        <w:rPr>
          <w:bCs/>
          <w:color w:val="auto"/>
          <w:szCs w:val="21"/>
          <w:highlight w:val="none"/>
          <w:u w:val="single"/>
        </w:rPr>
        <w:t xml:space="preserve">    </w:t>
      </w:r>
      <w:r>
        <w:rPr>
          <w:rFonts w:hint="eastAsia" w:hAnsi="宋体"/>
          <w:bCs/>
          <w:color w:val="auto"/>
          <w:szCs w:val="21"/>
          <w:highlight w:val="none"/>
        </w:rPr>
        <w:t>日签订。</w:t>
      </w:r>
    </w:p>
    <w:p w14:paraId="3A00D9D9">
      <w:pPr>
        <w:pStyle w:val="75"/>
        <w:spacing w:line="360" w:lineRule="auto"/>
        <w:ind w:firstLine="422" w:firstLineChars="200"/>
        <w:outlineLvl w:val="2"/>
        <w:rPr>
          <w:rFonts w:hAnsi="宋体"/>
          <w:b/>
          <w:bCs/>
          <w:color w:val="auto"/>
          <w:szCs w:val="21"/>
          <w:highlight w:val="none"/>
        </w:rPr>
      </w:pPr>
      <w:bookmarkStart w:id="213" w:name="_Toc351203490"/>
      <w:r>
        <w:rPr>
          <w:rFonts w:hint="eastAsia" w:hAnsi="宋体"/>
          <w:b/>
          <w:bCs/>
          <w:color w:val="auto"/>
          <w:szCs w:val="21"/>
          <w:highlight w:val="none"/>
        </w:rPr>
        <w:t>十、签订地点</w:t>
      </w:r>
      <w:bookmarkEnd w:id="213"/>
    </w:p>
    <w:p w14:paraId="142212BC">
      <w:pPr>
        <w:pStyle w:val="7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签订。</w:t>
      </w:r>
    </w:p>
    <w:p w14:paraId="23B28EEE">
      <w:pPr>
        <w:pStyle w:val="75"/>
        <w:spacing w:line="360" w:lineRule="auto"/>
        <w:ind w:firstLine="422" w:firstLineChars="200"/>
        <w:outlineLvl w:val="2"/>
        <w:rPr>
          <w:rFonts w:hint="eastAsia"/>
          <w:b/>
          <w:bCs/>
          <w:color w:val="auto"/>
          <w:szCs w:val="21"/>
          <w:highlight w:val="none"/>
        </w:rPr>
      </w:pPr>
      <w:r>
        <w:rPr>
          <w:rFonts w:hint="eastAsia" w:ascii="宋体" w:hAnsi="宋体" w:cs="宋体"/>
          <w:b/>
          <w:bCs/>
          <w:color w:val="auto"/>
          <w:szCs w:val="21"/>
          <w:highlight w:val="none"/>
        </w:rPr>
        <w:t>十一、补充协议</w:t>
      </w:r>
    </w:p>
    <w:p w14:paraId="7F087309">
      <w:pPr>
        <w:pStyle w:val="75"/>
        <w:spacing w:line="360" w:lineRule="auto"/>
        <w:ind w:firstLine="420" w:firstLineChars="200"/>
        <w:rPr>
          <w:rFonts w:hAnsi="宋体"/>
          <w:bCs/>
          <w:color w:val="auto"/>
          <w:szCs w:val="21"/>
          <w:highlight w:val="none"/>
        </w:rPr>
      </w:pPr>
      <w:r>
        <w:rPr>
          <w:rFonts w:hint="eastAsia" w:hAnsi="宋体"/>
          <w:bCs/>
          <w:color w:val="auto"/>
          <w:szCs w:val="21"/>
          <w:highlight w:val="none"/>
        </w:rPr>
        <w:t>合同未尽事宜，合同当事人另行签订补充协议，补充协议是合同的组成部分。</w:t>
      </w:r>
    </w:p>
    <w:p w14:paraId="578C6AE5">
      <w:pPr>
        <w:pStyle w:val="75"/>
        <w:spacing w:line="360" w:lineRule="auto"/>
        <w:ind w:firstLine="422" w:firstLineChars="200"/>
        <w:outlineLvl w:val="2"/>
        <w:rPr>
          <w:b/>
          <w:bCs/>
          <w:color w:val="auto"/>
          <w:szCs w:val="21"/>
          <w:highlight w:val="none"/>
        </w:rPr>
      </w:pPr>
      <w:bookmarkStart w:id="214" w:name="_Toc351203492"/>
      <w:r>
        <w:rPr>
          <w:rFonts w:hint="eastAsia" w:hAnsi="宋体"/>
          <w:b/>
          <w:bCs/>
          <w:color w:val="auto"/>
          <w:szCs w:val="21"/>
          <w:highlight w:val="none"/>
        </w:rPr>
        <w:t>十二、合同生效</w:t>
      </w:r>
      <w:bookmarkEnd w:id="214"/>
    </w:p>
    <w:p w14:paraId="460A459E">
      <w:pPr>
        <w:pStyle w:val="75"/>
        <w:spacing w:line="360" w:lineRule="auto"/>
        <w:ind w:firstLine="420" w:firstLineChars="200"/>
        <w:rPr>
          <w:rFonts w:hAnsi="宋体"/>
          <w:bCs/>
          <w:color w:val="auto"/>
          <w:szCs w:val="21"/>
          <w:highlight w:val="none"/>
        </w:rPr>
      </w:pPr>
      <w:r>
        <w:rPr>
          <w:rFonts w:hint="eastAsia" w:hAnsi="宋体"/>
          <w:bCs/>
          <w:color w:val="auto"/>
          <w:szCs w:val="21"/>
          <w:highlight w:val="none"/>
        </w:rPr>
        <w:t>本合同自</w:t>
      </w:r>
      <w:r>
        <w:rPr>
          <w:bCs/>
          <w:color w:val="auto"/>
          <w:szCs w:val="21"/>
          <w:highlight w:val="none"/>
          <w:u w:val="single"/>
        </w:rPr>
        <w:t xml:space="preserve">  </w:t>
      </w:r>
      <w:r>
        <w:rPr>
          <w:rFonts w:hint="eastAsia"/>
          <w:bCs/>
          <w:color w:val="auto"/>
          <w:szCs w:val="21"/>
          <w:highlight w:val="none"/>
          <w:u w:val="single"/>
        </w:rPr>
        <w:t>双方法定代表人或其委托代理人签字或盖章并加盖本单位公章后</w:t>
      </w:r>
      <w:r>
        <w:rPr>
          <w:bCs/>
          <w:color w:val="auto"/>
          <w:szCs w:val="21"/>
          <w:highlight w:val="none"/>
          <w:u w:val="single"/>
        </w:rPr>
        <w:t xml:space="preserve">  </w:t>
      </w:r>
      <w:r>
        <w:rPr>
          <w:rFonts w:hint="eastAsia" w:hAnsi="宋体"/>
          <w:bCs/>
          <w:color w:val="auto"/>
          <w:szCs w:val="21"/>
          <w:highlight w:val="none"/>
        </w:rPr>
        <w:t>生效。</w:t>
      </w:r>
    </w:p>
    <w:p w14:paraId="62FBC1CE">
      <w:pPr>
        <w:pStyle w:val="75"/>
        <w:spacing w:line="360" w:lineRule="auto"/>
        <w:ind w:firstLine="422" w:firstLineChars="200"/>
        <w:outlineLvl w:val="2"/>
        <w:rPr>
          <w:b/>
          <w:bCs/>
          <w:color w:val="auto"/>
          <w:szCs w:val="21"/>
          <w:highlight w:val="none"/>
        </w:rPr>
      </w:pPr>
      <w:bookmarkStart w:id="215" w:name="_Toc351203493"/>
      <w:r>
        <w:rPr>
          <w:rFonts w:hint="eastAsia" w:hAnsi="宋体"/>
          <w:b/>
          <w:bCs/>
          <w:color w:val="auto"/>
          <w:szCs w:val="21"/>
          <w:highlight w:val="none"/>
        </w:rPr>
        <w:t>十三、合同份数</w:t>
      </w:r>
      <w:bookmarkEnd w:id="215"/>
    </w:p>
    <w:p w14:paraId="102DD5FF">
      <w:pPr>
        <w:pStyle w:val="75"/>
        <w:spacing w:line="360" w:lineRule="auto"/>
        <w:ind w:firstLine="420" w:firstLineChars="200"/>
        <w:rPr>
          <w:bCs/>
          <w:color w:val="auto"/>
          <w:szCs w:val="21"/>
          <w:highlight w:val="none"/>
        </w:rPr>
      </w:pPr>
      <w:r>
        <w:rPr>
          <w:rFonts w:hint="eastAsia" w:hAnsi="宋体"/>
          <w:bCs/>
          <w:color w:val="auto"/>
          <w:szCs w:val="21"/>
          <w:highlight w:val="none"/>
        </w:rPr>
        <w:t>本合同一式</w:t>
      </w:r>
      <w:r>
        <w:rPr>
          <w:bCs/>
          <w:color w:val="auto"/>
          <w:szCs w:val="21"/>
          <w:highlight w:val="none"/>
          <w:u w:val="single"/>
        </w:rPr>
        <w:t xml:space="preserve">    </w:t>
      </w:r>
      <w:r>
        <w:rPr>
          <w:rFonts w:hint="eastAsia" w:hAnsi="宋体"/>
          <w:bCs/>
          <w:color w:val="auto"/>
          <w:szCs w:val="21"/>
          <w:highlight w:val="none"/>
        </w:rPr>
        <w:t>份，均具有同等法律效力，发包人执</w:t>
      </w:r>
      <w:r>
        <w:rPr>
          <w:bCs/>
          <w:color w:val="auto"/>
          <w:szCs w:val="21"/>
          <w:highlight w:val="none"/>
          <w:u w:val="single"/>
        </w:rPr>
        <w:t xml:space="preserve">    </w:t>
      </w:r>
      <w:r>
        <w:rPr>
          <w:rFonts w:hint="eastAsia" w:hAnsi="宋体"/>
          <w:bCs/>
          <w:color w:val="auto"/>
          <w:szCs w:val="21"/>
          <w:highlight w:val="none"/>
        </w:rPr>
        <w:t>份，承包人执</w:t>
      </w:r>
      <w:r>
        <w:rPr>
          <w:bCs/>
          <w:color w:val="auto"/>
          <w:szCs w:val="21"/>
          <w:highlight w:val="none"/>
          <w:u w:val="single"/>
        </w:rPr>
        <w:t xml:space="preserve">    </w:t>
      </w:r>
      <w:r>
        <w:rPr>
          <w:rFonts w:hint="eastAsia" w:hAnsi="宋体"/>
          <w:bCs/>
          <w:color w:val="auto"/>
          <w:szCs w:val="21"/>
          <w:highlight w:val="none"/>
        </w:rPr>
        <w:t>份。</w:t>
      </w:r>
    </w:p>
    <w:p w14:paraId="2853A138">
      <w:pPr>
        <w:pStyle w:val="75"/>
        <w:spacing w:line="360" w:lineRule="auto"/>
        <w:rPr>
          <w:rFonts w:hAnsi="宋体"/>
          <w:color w:val="auto"/>
          <w:szCs w:val="21"/>
          <w:highlight w:val="none"/>
        </w:rPr>
      </w:pPr>
    </w:p>
    <w:p w14:paraId="2F8D1E2D">
      <w:pPr>
        <w:pStyle w:val="75"/>
        <w:spacing w:line="360" w:lineRule="auto"/>
        <w:rPr>
          <w:color w:val="auto"/>
          <w:szCs w:val="21"/>
          <w:highlight w:val="none"/>
        </w:rPr>
      </w:pPr>
      <w:r>
        <w:rPr>
          <w:rFonts w:hint="eastAsia" w:hAnsi="宋体"/>
          <w:color w:val="auto"/>
          <w:szCs w:val="21"/>
          <w:highlight w:val="none"/>
        </w:rPr>
        <w:t>发包人：</w:t>
      </w:r>
      <w:r>
        <w:rPr>
          <w:color w:val="auto"/>
          <w:szCs w:val="21"/>
          <w:highlight w:val="none"/>
        </w:rPr>
        <w:t xml:space="preserve">  </w:t>
      </w:r>
      <w:r>
        <w:rPr>
          <w:rFonts w:hint="eastAsia"/>
          <w:color w:val="auto"/>
          <w:szCs w:val="21"/>
          <w:highlight w:val="none"/>
        </w:rPr>
        <w:t>（</w:t>
      </w:r>
      <w:r>
        <w:rPr>
          <w:rFonts w:hint="eastAsia" w:hAnsi="宋体"/>
          <w:color w:val="auto"/>
          <w:szCs w:val="21"/>
          <w:highlight w:val="none"/>
        </w:rPr>
        <w:t>公章</w:t>
      </w:r>
      <w:r>
        <w:rPr>
          <w:rFonts w:hint="eastAsia"/>
          <w:color w:val="auto"/>
          <w:szCs w:val="21"/>
          <w:highlight w:val="none"/>
        </w:rPr>
        <w:t>）</w:t>
      </w:r>
      <w:r>
        <w:rPr>
          <w:color w:val="auto"/>
          <w:szCs w:val="21"/>
          <w:highlight w:val="none"/>
        </w:rPr>
        <w:t xml:space="preserve">                           </w:t>
      </w:r>
      <w:r>
        <w:rPr>
          <w:rFonts w:hint="eastAsia" w:hAnsi="宋体"/>
          <w:color w:val="auto"/>
          <w:szCs w:val="21"/>
          <w:highlight w:val="none"/>
        </w:rPr>
        <w:t>承包人：</w:t>
      </w:r>
      <w:r>
        <w:rPr>
          <w:color w:val="auto"/>
          <w:szCs w:val="21"/>
          <w:highlight w:val="none"/>
        </w:rPr>
        <w:t xml:space="preserve">  </w:t>
      </w:r>
      <w:r>
        <w:rPr>
          <w:rFonts w:hint="eastAsia"/>
          <w:color w:val="auto"/>
          <w:szCs w:val="21"/>
          <w:highlight w:val="none"/>
        </w:rPr>
        <w:t>（</w:t>
      </w:r>
      <w:r>
        <w:rPr>
          <w:rFonts w:hint="eastAsia" w:hAnsi="宋体"/>
          <w:color w:val="auto"/>
          <w:szCs w:val="21"/>
          <w:highlight w:val="none"/>
        </w:rPr>
        <w:t>公章</w:t>
      </w:r>
      <w:r>
        <w:rPr>
          <w:rFonts w:hint="eastAsia"/>
          <w:color w:val="auto"/>
          <w:szCs w:val="21"/>
          <w:highlight w:val="none"/>
        </w:rPr>
        <w:t>）</w:t>
      </w:r>
    </w:p>
    <w:p w14:paraId="119D6A65">
      <w:pPr>
        <w:pStyle w:val="75"/>
        <w:spacing w:line="360" w:lineRule="auto"/>
        <w:rPr>
          <w:color w:val="auto"/>
          <w:szCs w:val="21"/>
          <w:highlight w:val="none"/>
        </w:rPr>
      </w:pPr>
      <w:r>
        <w:rPr>
          <w:rFonts w:hint="eastAsia" w:hAnsi="宋体"/>
          <w:color w:val="auto"/>
          <w:szCs w:val="21"/>
          <w:highlight w:val="none"/>
        </w:rPr>
        <w:t>法定代表人或其委托代理人：</w:t>
      </w:r>
      <w:r>
        <w:rPr>
          <w:color w:val="auto"/>
          <w:szCs w:val="21"/>
          <w:highlight w:val="none"/>
        </w:rPr>
        <w:t xml:space="preserve">                    </w:t>
      </w:r>
      <w:r>
        <w:rPr>
          <w:rFonts w:hint="eastAsia" w:hAnsi="宋体"/>
          <w:color w:val="auto"/>
          <w:szCs w:val="21"/>
          <w:highlight w:val="none"/>
        </w:rPr>
        <w:t>法定代表人或其委托代理人：</w:t>
      </w:r>
    </w:p>
    <w:p w14:paraId="5A73208B">
      <w:pPr>
        <w:pStyle w:val="75"/>
        <w:spacing w:line="360" w:lineRule="auto"/>
        <w:rPr>
          <w:color w:val="auto"/>
          <w:szCs w:val="21"/>
          <w:highlight w:val="none"/>
        </w:rPr>
      </w:pPr>
      <w:r>
        <w:rPr>
          <w:rFonts w:hint="eastAsia" w:hAnsi="宋体"/>
          <w:color w:val="auto"/>
          <w:szCs w:val="21"/>
          <w:highlight w:val="none"/>
        </w:rPr>
        <w:t>（签字）</w:t>
      </w:r>
      <w:r>
        <w:rPr>
          <w:color w:val="auto"/>
          <w:szCs w:val="21"/>
          <w:highlight w:val="none"/>
        </w:rPr>
        <w:t xml:space="preserve">                                     </w:t>
      </w:r>
      <w:r>
        <w:rPr>
          <w:rFonts w:hint="eastAsia" w:hAnsi="宋体"/>
          <w:color w:val="auto"/>
          <w:szCs w:val="21"/>
          <w:highlight w:val="none"/>
        </w:rPr>
        <w:t>（签字）</w:t>
      </w:r>
    </w:p>
    <w:p w14:paraId="0745EDAC">
      <w:pPr>
        <w:pStyle w:val="75"/>
        <w:tabs>
          <w:tab w:val="left" w:pos="4410"/>
        </w:tabs>
        <w:spacing w:line="360" w:lineRule="auto"/>
        <w:rPr>
          <w:color w:val="auto"/>
          <w:szCs w:val="21"/>
          <w:highlight w:val="none"/>
        </w:rPr>
      </w:pPr>
      <w:r>
        <w:rPr>
          <w:rFonts w:hint="eastAsia" w:hAnsi="宋体" w:cs="宋体"/>
          <w:color w:val="auto"/>
          <w:highlight w:val="none"/>
        </w:rPr>
        <w:t>统一</w:t>
      </w:r>
      <w:r>
        <w:rPr>
          <w:rFonts w:hint="eastAsia" w:hAnsi="宋体"/>
          <w:color w:val="auto"/>
          <w:szCs w:val="21"/>
          <w:highlight w:val="none"/>
        </w:rPr>
        <w:t>社会信用代码：</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s="宋体"/>
          <w:color w:val="auto"/>
          <w:highlight w:val="none"/>
        </w:rPr>
        <w:t>统一</w:t>
      </w:r>
      <w:r>
        <w:rPr>
          <w:rFonts w:hint="eastAsia" w:hAnsi="宋体"/>
          <w:color w:val="auto"/>
          <w:szCs w:val="21"/>
          <w:highlight w:val="none"/>
        </w:rPr>
        <w:t>社会信用代码：</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p>
    <w:p w14:paraId="4AC6048A">
      <w:pPr>
        <w:pStyle w:val="75"/>
        <w:spacing w:line="360" w:lineRule="auto"/>
        <w:rPr>
          <w:color w:val="auto"/>
          <w:szCs w:val="21"/>
          <w:highlight w:val="none"/>
        </w:rPr>
      </w:pPr>
      <w:r>
        <w:rPr>
          <w:rFonts w:hint="eastAsia" w:hAnsi="宋体"/>
          <w:color w:val="auto"/>
          <w:szCs w:val="21"/>
          <w:highlight w:val="none"/>
        </w:rPr>
        <w:t>地</w:t>
      </w:r>
      <w:r>
        <w:rPr>
          <w:color w:val="auto"/>
          <w:szCs w:val="21"/>
          <w:highlight w:val="none"/>
        </w:rPr>
        <w:t xml:space="preserve">  </w:t>
      </w:r>
      <w:r>
        <w:rPr>
          <w:rFonts w:hint="eastAsia" w:hAnsi="宋体"/>
          <w:color w:val="auto"/>
          <w:szCs w:val="21"/>
          <w:highlight w:val="none"/>
        </w:rPr>
        <w:t>址：</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地</w:t>
      </w:r>
      <w:r>
        <w:rPr>
          <w:color w:val="auto"/>
          <w:szCs w:val="21"/>
          <w:highlight w:val="none"/>
        </w:rPr>
        <w:t xml:space="preserve">  </w:t>
      </w:r>
      <w:r>
        <w:rPr>
          <w:rFonts w:hint="eastAsia" w:hAnsi="宋体"/>
          <w:color w:val="auto"/>
          <w:szCs w:val="21"/>
          <w:highlight w:val="none"/>
        </w:rPr>
        <w:t>址：</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p>
    <w:p w14:paraId="6A0B9692">
      <w:pPr>
        <w:pStyle w:val="75"/>
        <w:spacing w:line="360" w:lineRule="auto"/>
        <w:rPr>
          <w:color w:val="auto"/>
          <w:szCs w:val="21"/>
          <w:highlight w:val="none"/>
        </w:rPr>
      </w:pPr>
      <w:r>
        <w:rPr>
          <w:rFonts w:hint="eastAsia" w:hAnsi="宋体"/>
          <w:color w:val="auto"/>
          <w:szCs w:val="21"/>
          <w:highlight w:val="none"/>
        </w:rPr>
        <w:t>邮政编码：</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邮政编码：</w:t>
      </w:r>
      <w:r>
        <w:rPr>
          <w:rFonts w:hint="eastAsia" w:hAnsi="宋体"/>
          <w:color w:val="auto"/>
          <w:szCs w:val="21"/>
          <w:highlight w:val="none"/>
          <w:u w:val="single"/>
        </w:rPr>
        <w:t></w:t>
      </w:r>
      <w:r>
        <w:rPr>
          <w:color w:val="auto"/>
          <w:szCs w:val="21"/>
          <w:highlight w:val="none"/>
          <w:u w:val="single"/>
        </w:rPr>
        <w:t xml:space="preserve">   </w:t>
      </w:r>
    </w:p>
    <w:p w14:paraId="7366F44C">
      <w:pPr>
        <w:pStyle w:val="75"/>
        <w:spacing w:line="360" w:lineRule="auto"/>
        <w:rPr>
          <w:color w:val="auto"/>
          <w:szCs w:val="21"/>
          <w:highlight w:val="none"/>
        </w:rPr>
      </w:pPr>
      <w:r>
        <w:rPr>
          <w:rFonts w:hint="eastAsia" w:hAnsi="宋体"/>
          <w:color w:val="auto"/>
          <w:szCs w:val="21"/>
          <w:highlight w:val="none"/>
        </w:rPr>
        <w:t>法定代表人：</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法定代表人：</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p>
    <w:p w14:paraId="379C87DD">
      <w:pPr>
        <w:pStyle w:val="75"/>
        <w:spacing w:line="360" w:lineRule="auto"/>
        <w:rPr>
          <w:color w:val="auto"/>
          <w:szCs w:val="21"/>
          <w:highlight w:val="none"/>
        </w:rPr>
      </w:pPr>
      <w:r>
        <w:rPr>
          <w:rFonts w:hint="eastAsia" w:hAnsi="宋体"/>
          <w:color w:val="auto"/>
          <w:szCs w:val="21"/>
          <w:highlight w:val="none"/>
        </w:rPr>
        <w:t>委托代理人：</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委托代理人：</w:t>
      </w:r>
      <w:r>
        <w:rPr>
          <w:rFonts w:hint="eastAsia" w:hAnsi="宋体"/>
          <w:color w:val="auto"/>
          <w:szCs w:val="21"/>
          <w:highlight w:val="none"/>
          <w:u w:val="single"/>
        </w:rPr>
        <w:t></w:t>
      </w:r>
      <w:r>
        <w:rPr>
          <w:color w:val="auto"/>
          <w:szCs w:val="21"/>
          <w:highlight w:val="none"/>
          <w:u w:val="single"/>
        </w:rPr>
        <w:t xml:space="preserve">             </w:t>
      </w:r>
    </w:p>
    <w:p w14:paraId="3CE30706">
      <w:pPr>
        <w:pStyle w:val="75"/>
        <w:spacing w:line="360" w:lineRule="auto"/>
        <w:rPr>
          <w:color w:val="auto"/>
          <w:szCs w:val="21"/>
          <w:highlight w:val="none"/>
        </w:rPr>
      </w:pPr>
      <w:r>
        <w:rPr>
          <w:rFonts w:hint="eastAsia" w:hAnsi="宋体"/>
          <w:color w:val="auto"/>
          <w:szCs w:val="21"/>
          <w:highlight w:val="none"/>
        </w:rPr>
        <w:t>电</w:t>
      </w:r>
      <w:r>
        <w:rPr>
          <w:color w:val="auto"/>
          <w:szCs w:val="21"/>
          <w:highlight w:val="none"/>
        </w:rPr>
        <w:t xml:space="preserve">  </w:t>
      </w:r>
      <w:r>
        <w:rPr>
          <w:rFonts w:hint="eastAsia" w:hAnsi="宋体"/>
          <w:color w:val="auto"/>
          <w:szCs w:val="21"/>
          <w:highlight w:val="none"/>
        </w:rPr>
        <w:t>话：</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电</w:t>
      </w:r>
      <w:r>
        <w:rPr>
          <w:color w:val="auto"/>
          <w:szCs w:val="21"/>
          <w:highlight w:val="none"/>
        </w:rPr>
        <w:t xml:space="preserve">  </w:t>
      </w:r>
      <w:r>
        <w:rPr>
          <w:rFonts w:hint="eastAsia" w:hAnsi="宋体"/>
          <w:color w:val="auto"/>
          <w:szCs w:val="21"/>
          <w:highlight w:val="none"/>
        </w:rPr>
        <w:t>话：</w:t>
      </w:r>
      <w:r>
        <w:rPr>
          <w:rFonts w:hint="eastAsia" w:hAnsi="宋体"/>
          <w:color w:val="auto"/>
          <w:szCs w:val="21"/>
          <w:highlight w:val="none"/>
          <w:u w:val="single"/>
        </w:rPr>
        <w:t></w:t>
      </w:r>
      <w:r>
        <w:rPr>
          <w:color w:val="auto"/>
          <w:szCs w:val="21"/>
          <w:highlight w:val="none"/>
          <w:u w:val="single"/>
        </w:rPr>
        <w:t xml:space="preserve">     </w:t>
      </w:r>
    </w:p>
    <w:p w14:paraId="4331B688">
      <w:pPr>
        <w:pStyle w:val="75"/>
        <w:spacing w:line="360" w:lineRule="auto"/>
        <w:rPr>
          <w:color w:val="auto"/>
          <w:szCs w:val="21"/>
          <w:highlight w:val="none"/>
        </w:rPr>
      </w:pPr>
      <w:r>
        <w:rPr>
          <w:rFonts w:hint="eastAsia" w:hAnsi="宋体"/>
          <w:color w:val="auto"/>
          <w:szCs w:val="21"/>
          <w:highlight w:val="none"/>
        </w:rPr>
        <w:t>传</w:t>
      </w:r>
      <w:r>
        <w:rPr>
          <w:color w:val="auto"/>
          <w:szCs w:val="21"/>
          <w:highlight w:val="none"/>
        </w:rPr>
        <w:t xml:space="preserve">  </w:t>
      </w:r>
      <w:r>
        <w:rPr>
          <w:rFonts w:hint="eastAsia" w:hAnsi="宋体"/>
          <w:color w:val="auto"/>
          <w:szCs w:val="21"/>
          <w:highlight w:val="none"/>
        </w:rPr>
        <w:t>真：</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传</w:t>
      </w:r>
      <w:r>
        <w:rPr>
          <w:color w:val="auto"/>
          <w:szCs w:val="21"/>
          <w:highlight w:val="none"/>
        </w:rPr>
        <w:t xml:space="preserve">  </w:t>
      </w:r>
      <w:r>
        <w:rPr>
          <w:rFonts w:hint="eastAsia" w:hAnsi="宋体"/>
          <w:color w:val="auto"/>
          <w:szCs w:val="21"/>
          <w:highlight w:val="none"/>
        </w:rPr>
        <w:t>真：</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p>
    <w:p w14:paraId="3273D813">
      <w:pPr>
        <w:pStyle w:val="75"/>
        <w:spacing w:line="360" w:lineRule="auto"/>
        <w:rPr>
          <w:color w:val="auto"/>
          <w:szCs w:val="21"/>
          <w:highlight w:val="none"/>
        </w:rPr>
      </w:pPr>
      <w:r>
        <w:rPr>
          <w:rFonts w:hint="eastAsia" w:hAnsi="宋体"/>
          <w:color w:val="auto"/>
          <w:szCs w:val="21"/>
          <w:highlight w:val="none"/>
        </w:rPr>
        <w:t>电子信箱：</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电子信箱：</w:t>
      </w:r>
      <w:r>
        <w:rPr>
          <w:rFonts w:hint="eastAsia" w:hAnsi="宋体"/>
          <w:color w:val="auto"/>
          <w:szCs w:val="21"/>
          <w:highlight w:val="none"/>
          <w:u w:val="single"/>
        </w:rPr>
        <w:t></w:t>
      </w:r>
      <w:r>
        <w:rPr>
          <w:color w:val="auto"/>
          <w:szCs w:val="21"/>
          <w:highlight w:val="none"/>
          <w:u w:val="single"/>
        </w:rPr>
        <w:t xml:space="preserve">   </w:t>
      </w:r>
    </w:p>
    <w:p w14:paraId="2C1AD75D">
      <w:pPr>
        <w:pStyle w:val="75"/>
        <w:spacing w:line="360" w:lineRule="auto"/>
        <w:rPr>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开户银行：</w:t>
      </w:r>
      <w:r>
        <w:rPr>
          <w:rFonts w:hint="eastAsia" w:hAnsi="宋体"/>
          <w:color w:val="auto"/>
          <w:szCs w:val="21"/>
          <w:highlight w:val="none"/>
          <w:u w:val="single"/>
        </w:rPr>
        <w:t></w:t>
      </w:r>
      <w:r>
        <w:rPr>
          <w:color w:val="auto"/>
          <w:szCs w:val="21"/>
          <w:highlight w:val="none"/>
          <w:u w:val="single"/>
        </w:rPr>
        <w:t xml:space="preserve">   </w:t>
      </w:r>
    </w:p>
    <w:p w14:paraId="43B03910">
      <w:pPr>
        <w:pStyle w:val="75"/>
        <w:rPr>
          <w:color w:val="auto"/>
          <w:highlight w:val="none"/>
        </w:rPr>
      </w:pPr>
      <w:r>
        <w:rPr>
          <w:rFonts w:hint="eastAsia" w:hAnsi="宋体"/>
          <w:color w:val="auto"/>
          <w:szCs w:val="21"/>
          <w:highlight w:val="none"/>
        </w:rPr>
        <w:t>账</w:t>
      </w:r>
      <w:r>
        <w:rPr>
          <w:color w:val="auto"/>
          <w:szCs w:val="21"/>
          <w:highlight w:val="none"/>
        </w:rPr>
        <w:t xml:space="preserve">  </w:t>
      </w:r>
      <w:r>
        <w:rPr>
          <w:rFonts w:hint="eastAsia" w:hAnsi="宋体"/>
          <w:color w:val="auto"/>
          <w:szCs w:val="21"/>
          <w:highlight w:val="none"/>
        </w:rPr>
        <w:t>号：</w:t>
      </w:r>
      <w:r>
        <w:rPr>
          <w:rFonts w:hint="eastAsia" w:hAnsi="宋体"/>
          <w:color w:val="auto"/>
          <w:szCs w:val="21"/>
          <w:highlight w:val="none"/>
          <w:u w:val="single"/>
        </w:rPr>
        <w:t></w:t>
      </w:r>
      <w:r>
        <w:rPr>
          <w:color w:val="auto"/>
          <w:szCs w:val="21"/>
          <w:highlight w:val="none"/>
          <w:u w:val="single"/>
        </w:rPr>
        <w:t xml:space="preserve"> </w:t>
      </w:r>
      <w:r>
        <w:rPr>
          <w:rFonts w:hint="eastAsia"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int="eastAsia" w:hAnsi="宋体"/>
          <w:color w:val="auto"/>
          <w:szCs w:val="21"/>
          <w:highlight w:val="none"/>
        </w:rPr>
        <w:t>账</w:t>
      </w:r>
      <w:r>
        <w:rPr>
          <w:color w:val="auto"/>
          <w:szCs w:val="21"/>
          <w:highlight w:val="none"/>
        </w:rPr>
        <w:t xml:space="preserve">  </w:t>
      </w:r>
      <w:r>
        <w:rPr>
          <w:rFonts w:hint="eastAsia" w:hAnsi="宋体"/>
          <w:color w:val="auto"/>
          <w:szCs w:val="21"/>
          <w:highlight w:val="none"/>
        </w:rPr>
        <w:t>号：</w:t>
      </w:r>
      <w:r>
        <w:rPr>
          <w:rFonts w:hint="eastAsia" w:hAnsi="宋体"/>
          <w:color w:val="auto"/>
          <w:szCs w:val="21"/>
          <w:highlight w:val="none"/>
          <w:u w:val="single"/>
        </w:rPr>
        <w:t></w:t>
      </w:r>
      <w:r>
        <w:rPr>
          <w:color w:val="auto"/>
          <w:szCs w:val="21"/>
          <w:highlight w:val="none"/>
          <w:u w:val="single"/>
        </w:rPr>
        <w:t xml:space="preserve">     </w:t>
      </w:r>
      <w:r>
        <w:rPr>
          <w:color w:val="auto"/>
          <w:highlight w:val="none"/>
        </w:rPr>
        <w:t xml:space="preserve"> </w:t>
      </w:r>
    </w:p>
    <w:p w14:paraId="2458B53A">
      <w:pPr>
        <w:rPr>
          <w:rFonts w:ascii="宋体" w:hAnsi="宋体" w:cs="宋体"/>
          <w:color w:val="auto"/>
          <w:sz w:val="20"/>
          <w:highlight w:val="none"/>
        </w:rPr>
      </w:pPr>
      <w:r>
        <w:rPr>
          <w:rFonts w:hint="eastAsia" w:ascii="宋体" w:hAnsi="宋体" w:cs="宋体"/>
          <w:color w:val="auto"/>
          <w:sz w:val="20"/>
          <w:highlight w:val="none"/>
        </w:rPr>
        <w:t xml:space="preserve"> </w:t>
      </w:r>
    </w:p>
    <w:p w14:paraId="74469A74">
      <w:pPr>
        <w:widowControl/>
        <w:jc w:val="left"/>
        <w:rPr>
          <w:rFonts w:ascii="宋体" w:hAnsi="宋体" w:cs="宋体"/>
          <w:color w:val="auto"/>
          <w:highlight w:val="none"/>
          <w:u w:val="single"/>
        </w:rPr>
      </w:pPr>
      <w:r>
        <w:rPr>
          <w:rFonts w:hint="eastAsia" w:ascii="宋体" w:hAnsi="宋体" w:cs="宋体"/>
          <w:color w:val="auto"/>
          <w:highlight w:val="none"/>
        </w:rPr>
        <w:br w:type="page"/>
      </w:r>
    </w:p>
    <w:p w14:paraId="788F92AA">
      <w:pPr>
        <w:pStyle w:val="3"/>
        <w:jc w:val="center"/>
        <w:rPr>
          <w:rFonts w:ascii="宋体" w:hAnsi="宋体" w:cs="宋体"/>
          <w:color w:val="auto"/>
          <w:highlight w:val="none"/>
        </w:rPr>
      </w:pPr>
      <w:bookmarkStart w:id="216" w:name="_Toc23781183"/>
      <w:bookmarkStart w:id="217" w:name="_Toc389065256"/>
      <w:bookmarkStart w:id="218" w:name="_Toc407135192"/>
      <w:bookmarkStart w:id="219" w:name="_Toc166576093"/>
      <w:bookmarkStart w:id="220" w:name="_Toc351203632"/>
      <w:bookmarkStart w:id="221" w:name="_Toc373227691"/>
      <w:bookmarkStart w:id="222" w:name="_Toc373478338"/>
      <w:r>
        <w:rPr>
          <w:rFonts w:hint="eastAsia" w:ascii="宋体" w:hAnsi="宋体" w:cs="宋体"/>
          <w:color w:val="auto"/>
          <w:highlight w:val="none"/>
        </w:rPr>
        <w:t>第二部分 通用合同条款</w:t>
      </w:r>
      <w:bookmarkEnd w:id="216"/>
      <w:bookmarkEnd w:id="217"/>
      <w:bookmarkEnd w:id="218"/>
      <w:bookmarkEnd w:id="219"/>
    </w:p>
    <w:p w14:paraId="056479FC">
      <w:pPr>
        <w:spacing w:line="360" w:lineRule="auto"/>
        <w:ind w:firstLine="422" w:firstLineChars="200"/>
        <w:rPr>
          <w:rFonts w:ascii="宋体" w:hAnsi="宋体" w:cs="宋体"/>
          <w:b/>
          <w:bCs/>
          <w:color w:val="auto"/>
          <w:kern w:val="0"/>
          <w:highlight w:val="none"/>
        </w:rPr>
      </w:pPr>
      <w:r>
        <w:rPr>
          <w:rFonts w:hint="eastAsia" w:ascii="宋体" w:hAnsi="宋体" w:cs="宋体"/>
          <w:b/>
          <w:bCs/>
          <w:color w:val="auto"/>
          <w:kern w:val="0"/>
          <w:highlight w:val="none"/>
        </w:rPr>
        <w:t>采用《建设工程施工合同（示范文本）》（GF—2017—0201）。</w:t>
      </w:r>
    </w:p>
    <w:p w14:paraId="72B0E1F4">
      <w:pPr>
        <w:pStyle w:val="3"/>
        <w:keepNext w:val="0"/>
        <w:keepLines w:val="0"/>
        <w:jc w:val="center"/>
        <w:rPr>
          <w:rFonts w:ascii="宋体" w:hAnsi="宋体" w:cs="宋体"/>
          <w:color w:val="auto"/>
          <w:sz w:val="30"/>
          <w:szCs w:val="30"/>
          <w:highlight w:val="none"/>
        </w:rPr>
      </w:pPr>
      <w:bookmarkStart w:id="223" w:name="_Toc407135193"/>
      <w:bookmarkStart w:id="224" w:name="_Toc389065257"/>
      <w:bookmarkStart w:id="225" w:name="_Toc23781184"/>
      <w:bookmarkStart w:id="226" w:name="_Toc166576094"/>
      <w:r>
        <w:rPr>
          <w:rFonts w:hint="eastAsia" w:ascii="宋体" w:hAnsi="宋体" w:cs="宋体"/>
          <w:color w:val="auto"/>
          <w:sz w:val="30"/>
          <w:szCs w:val="30"/>
          <w:highlight w:val="none"/>
        </w:rPr>
        <w:t>第三部分 专用合同条款</w:t>
      </w:r>
      <w:bookmarkEnd w:id="220"/>
      <w:bookmarkEnd w:id="221"/>
      <w:bookmarkEnd w:id="222"/>
      <w:bookmarkEnd w:id="223"/>
      <w:bookmarkEnd w:id="224"/>
      <w:bookmarkEnd w:id="225"/>
      <w:bookmarkEnd w:id="226"/>
    </w:p>
    <w:p w14:paraId="25458E19">
      <w:pPr>
        <w:spacing w:line="360" w:lineRule="auto"/>
        <w:jc w:val="center"/>
        <w:outlineLvl w:val="1"/>
        <w:rPr>
          <w:rFonts w:ascii="宋体" w:hAnsi="宋体" w:cs="宋体"/>
          <w:b/>
          <w:bCs/>
          <w:color w:val="auto"/>
          <w:kern w:val="0"/>
          <w:szCs w:val="22"/>
          <w:highlight w:val="none"/>
        </w:rPr>
      </w:pPr>
    </w:p>
    <w:p w14:paraId="6DD284CB">
      <w:pPr>
        <w:rPr>
          <w:rFonts w:ascii="宋体" w:hAnsi="宋体" w:cs="宋体"/>
          <w:color w:val="auto"/>
          <w:sz w:val="20"/>
          <w:highlight w:val="none"/>
        </w:rPr>
      </w:pPr>
    </w:p>
    <w:p w14:paraId="240A2232">
      <w:pPr>
        <w:pStyle w:val="84"/>
        <w:keepNext/>
        <w:keepLines/>
        <w:spacing w:before="60" w:after="60" w:line="412" w:lineRule="auto"/>
        <w:ind w:firstLine="422"/>
        <w:outlineLvl w:val="1"/>
        <w:rPr>
          <w:rFonts w:ascii="Arial" w:hAnsi="Arial" w:eastAsia="黑体"/>
          <w:b/>
          <w:bCs/>
          <w:color w:val="auto"/>
          <w:szCs w:val="32"/>
          <w:highlight w:val="none"/>
        </w:rPr>
      </w:pPr>
      <w:bookmarkStart w:id="227" w:name="_Toc373478339"/>
      <w:bookmarkStart w:id="228" w:name="_Toc389065258"/>
      <w:bookmarkStart w:id="229" w:name="_Toc15810"/>
      <w:bookmarkStart w:id="230" w:name="_Toc351203633"/>
      <w:bookmarkStart w:id="231" w:name="_Toc373227692"/>
      <w:r>
        <w:rPr>
          <w:rFonts w:ascii="Arial" w:hAnsi="Arial" w:eastAsia="黑体"/>
          <w:b/>
          <w:bCs/>
          <w:color w:val="auto"/>
          <w:szCs w:val="32"/>
          <w:highlight w:val="none"/>
        </w:rPr>
        <w:t>1</w:t>
      </w:r>
      <w:bookmarkStart w:id="232" w:name="_Toc296347155"/>
      <w:bookmarkStart w:id="233" w:name="_Toc296891196"/>
      <w:bookmarkStart w:id="234" w:name="_Toc296944495"/>
      <w:bookmarkStart w:id="235" w:name="_Toc296346657"/>
      <w:bookmarkStart w:id="236" w:name="_Toc296890984"/>
      <w:bookmarkStart w:id="237" w:name="_Toc297048342"/>
      <w:bookmarkStart w:id="238" w:name="_Toc292559866"/>
      <w:bookmarkStart w:id="239" w:name="_Toc296503156"/>
      <w:bookmarkStart w:id="240" w:name="_Toc292559361"/>
      <w:bookmarkStart w:id="241" w:name="_Toc297120456"/>
      <w:r>
        <w:rPr>
          <w:rFonts w:ascii="Arial" w:hAnsi="Arial" w:eastAsia="黑体"/>
          <w:b/>
          <w:bCs/>
          <w:color w:val="auto"/>
          <w:szCs w:val="32"/>
          <w:highlight w:val="none"/>
        </w:rPr>
        <w:t xml:space="preserve">. </w:t>
      </w:r>
      <w:r>
        <w:rPr>
          <w:rFonts w:hint="eastAsia" w:ascii="Arial" w:hAnsi="宋体" w:eastAsia="黑体"/>
          <w:b/>
          <w:bCs/>
          <w:color w:val="auto"/>
          <w:szCs w:val="32"/>
          <w:highlight w:val="none"/>
        </w:rPr>
        <w:t>一般约定</w:t>
      </w:r>
      <w:bookmarkEnd w:id="227"/>
      <w:bookmarkEnd w:id="228"/>
      <w:bookmarkEnd w:id="229"/>
      <w:bookmarkEnd w:id="230"/>
      <w:bookmarkEnd w:id="231"/>
    </w:p>
    <w:bookmarkEnd w:id="232"/>
    <w:bookmarkEnd w:id="233"/>
    <w:bookmarkEnd w:id="234"/>
    <w:bookmarkEnd w:id="235"/>
    <w:bookmarkEnd w:id="236"/>
    <w:bookmarkEnd w:id="237"/>
    <w:bookmarkEnd w:id="238"/>
    <w:bookmarkEnd w:id="239"/>
    <w:bookmarkEnd w:id="240"/>
    <w:bookmarkEnd w:id="241"/>
    <w:p w14:paraId="2B96B81C">
      <w:pPr>
        <w:pStyle w:val="84"/>
        <w:keepNext/>
        <w:keepLines/>
        <w:spacing w:line="360" w:lineRule="auto"/>
        <w:ind w:firstLine="422"/>
        <w:outlineLvl w:val="2"/>
        <w:rPr>
          <w:rFonts w:ascii="宋体" w:hAnsi="宋体"/>
          <w:b/>
          <w:bCs/>
          <w:color w:val="auto"/>
          <w:szCs w:val="32"/>
          <w:highlight w:val="none"/>
        </w:rPr>
      </w:pPr>
      <w:bookmarkStart w:id="242" w:name="_Toc373478340"/>
      <w:bookmarkStart w:id="243" w:name="_Toc19922"/>
      <w:bookmarkStart w:id="244" w:name="_Toc389065259"/>
      <w:bookmarkStart w:id="245" w:name="_Toc373227693"/>
      <w:r>
        <w:rPr>
          <w:rFonts w:eastAsia="黑体"/>
          <w:b/>
          <w:bCs/>
          <w:color w:val="auto"/>
          <w:szCs w:val="32"/>
          <w:highlight w:val="none"/>
        </w:rPr>
        <w:t>1.1</w:t>
      </w:r>
      <w:r>
        <w:rPr>
          <w:rFonts w:hint="eastAsia" w:ascii="宋体" w:hAnsi="宋体"/>
          <w:b/>
          <w:bCs/>
          <w:color w:val="auto"/>
          <w:szCs w:val="32"/>
          <w:highlight w:val="none"/>
        </w:rPr>
        <w:t xml:space="preserve"> 词语定义</w:t>
      </w:r>
      <w:bookmarkEnd w:id="242"/>
      <w:bookmarkEnd w:id="243"/>
      <w:bookmarkEnd w:id="244"/>
      <w:bookmarkEnd w:id="245"/>
    </w:p>
    <w:p w14:paraId="09C3EABF">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1.1.1 合同</w:t>
      </w:r>
    </w:p>
    <w:p w14:paraId="74BD3D15">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1.1.1.10 其他合同文件包括：</w:t>
      </w:r>
      <w:r>
        <w:rPr>
          <w:rFonts w:hint="eastAsia" w:hAnsi="宋体"/>
          <w:color w:val="auto"/>
          <w:szCs w:val="21"/>
          <w:highlight w:val="none"/>
          <w:u w:val="single"/>
        </w:rPr>
        <w:t>成交通知书、响应函及响应函附录、技术标准和要求、已标价工程量清单、</w:t>
      </w:r>
      <w:r>
        <w:rPr>
          <w:rFonts w:hint="eastAsia" w:hAnsi="宋体"/>
          <w:color w:val="auto"/>
          <w:szCs w:val="32"/>
          <w:highlight w:val="none"/>
          <w:u w:val="single"/>
        </w:rPr>
        <w:t>响应文件及其附件，采购文件及其附件（含补充通知和答疑），履约保证金缴纳证明；履行合同过程中双方法定代表人（或双方工地代表人）书面确认的对合同内容有实质性影响的会议纪要、签证、洽商、设计变更等资料</w:t>
      </w:r>
      <w:r>
        <w:rPr>
          <w:rFonts w:hint="eastAsia" w:hAnsi="宋体"/>
          <w:color w:val="auto"/>
          <w:szCs w:val="21"/>
          <w:highlight w:val="none"/>
        </w:rPr>
        <w:t>。</w:t>
      </w:r>
    </w:p>
    <w:p w14:paraId="39E95634">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合同当事人及其他相关方</w:t>
      </w:r>
    </w:p>
    <w:p w14:paraId="3D57FB5F">
      <w:pPr>
        <w:pStyle w:val="84"/>
        <w:spacing w:line="360" w:lineRule="auto"/>
        <w:ind w:firstLine="420" w:firstLineChars="200"/>
        <w:outlineLvl w:val="2"/>
        <w:rPr>
          <w:rFonts w:ascii="宋体" w:hAnsi="宋体"/>
          <w:color w:val="auto"/>
          <w:szCs w:val="21"/>
          <w:highlight w:val="none"/>
        </w:rPr>
      </w:pPr>
      <w:r>
        <w:rPr>
          <w:rFonts w:hint="eastAsia" w:ascii="宋体" w:hAnsi="宋体"/>
          <w:color w:val="auto"/>
          <w:szCs w:val="21"/>
          <w:highlight w:val="none"/>
        </w:rPr>
        <w:t>1.1.2.4 监理人：</w:t>
      </w:r>
    </w:p>
    <w:p w14:paraId="62E6550F">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0D492A5">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70D8E0">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2092A32">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45152E7">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B34F3BF">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工程和设备</w:t>
      </w:r>
    </w:p>
    <w:p w14:paraId="0E6EBE6C">
      <w:pPr>
        <w:pStyle w:val="84"/>
        <w:spacing w:line="360" w:lineRule="auto"/>
        <w:ind w:firstLine="420" w:firstLineChars="200"/>
        <w:outlineLvl w:val="2"/>
        <w:rPr>
          <w:rFonts w:ascii="宋体" w:hAnsi="宋体"/>
          <w:color w:val="auto"/>
          <w:szCs w:val="21"/>
          <w:highlight w:val="none"/>
        </w:rPr>
      </w:pPr>
      <w:r>
        <w:rPr>
          <w:rFonts w:hint="eastAsia" w:ascii="宋体" w:hAnsi="宋体"/>
          <w:color w:val="auto"/>
          <w:szCs w:val="21"/>
          <w:highlight w:val="none"/>
        </w:rPr>
        <w:t>1.1.3.7 作为施工现场组成部分的其他场所包括：</w:t>
      </w:r>
      <w:r>
        <w:rPr>
          <w:rFonts w:hint="eastAsia" w:ascii="宋体" w:hAnsi="宋体"/>
          <w:color w:val="auto"/>
          <w:szCs w:val="21"/>
          <w:highlight w:val="none"/>
          <w:u w:val="single"/>
        </w:rPr>
        <w:t>按通用条款</w:t>
      </w:r>
      <w:r>
        <w:rPr>
          <w:rFonts w:hint="eastAsia" w:ascii="宋体" w:hAnsi="宋体"/>
          <w:color w:val="auto"/>
          <w:szCs w:val="21"/>
          <w:highlight w:val="none"/>
        </w:rPr>
        <w:t>。</w:t>
      </w:r>
    </w:p>
    <w:p w14:paraId="457E0D32">
      <w:pPr>
        <w:pStyle w:val="84"/>
        <w:spacing w:line="360" w:lineRule="auto"/>
        <w:ind w:firstLine="420" w:firstLineChars="200"/>
        <w:jc w:val="left"/>
        <w:outlineLvl w:val="2"/>
        <w:rPr>
          <w:rFonts w:ascii="宋体" w:hAnsi="宋体"/>
          <w:color w:val="auto"/>
          <w:kern w:val="0"/>
          <w:szCs w:val="21"/>
          <w:highlight w:val="none"/>
        </w:rPr>
      </w:pPr>
      <w:r>
        <w:rPr>
          <w:rFonts w:hint="eastAsia" w:ascii="宋体" w:hAnsi="宋体"/>
          <w:color w:val="auto"/>
          <w:kern w:val="0"/>
          <w:szCs w:val="21"/>
          <w:highlight w:val="none"/>
        </w:rPr>
        <w:t>1.1.3.9 永久占地包括：</w:t>
      </w:r>
      <w:r>
        <w:rPr>
          <w:rFonts w:hint="eastAsia" w:ascii="宋体" w:hAnsi="宋体" w:cs="宋体"/>
          <w:color w:val="auto"/>
          <w:szCs w:val="21"/>
          <w:highlight w:val="none"/>
          <w:u w:val="single"/>
        </w:rPr>
        <w:t>无</w:t>
      </w:r>
      <w:r>
        <w:rPr>
          <w:rFonts w:hint="eastAsia" w:ascii="宋体" w:hAnsi="宋体"/>
          <w:color w:val="auto"/>
          <w:kern w:val="0"/>
          <w:szCs w:val="21"/>
          <w:highlight w:val="none"/>
        </w:rPr>
        <w:t>。</w:t>
      </w:r>
    </w:p>
    <w:p w14:paraId="4DBE98B0">
      <w:pPr>
        <w:pStyle w:val="84"/>
        <w:spacing w:line="360" w:lineRule="auto"/>
        <w:ind w:firstLine="420" w:firstLineChars="200"/>
        <w:jc w:val="left"/>
        <w:outlineLvl w:val="2"/>
        <w:rPr>
          <w:rFonts w:ascii="宋体" w:hAnsi="宋体"/>
          <w:color w:val="auto"/>
          <w:szCs w:val="21"/>
          <w:highlight w:val="none"/>
        </w:rPr>
      </w:pPr>
      <w:r>
        <w:rPr>
          <w:rFonts w:hint="eastAsia" w:ascii="宋体" w:hAnsi="宋体"/>
          <w:color w:val="auto"/>
          <w:kern w:val="0"/>
          <w:szCs w:val="21"/>
          <w:highlight w:val="none"/>
        </w:rPr>
        <w:t>1.1.3.10 临时占地包括：</w:t>
      </w:r>
      <w:r>
        <w:rPr>
          <w:rFonts w:hint="eastAsia" w:ascii="宋体" w:hAnsi="宋体"/>
          <w:color w:val="auto"/>
          <w:highlight w:val="none"/>
          <w:u w:val="single"/>
        </w:rPr>
        <w:t>双方在合同履行过程中确定</w:t>
      </w:r>
      <w:r>
        <w:rPr>
          <w:rFonts w:hint="eastAsia" w:ascii="宋体" w:hAnsi="宋体"/>
          <w:color w:val="auto"/>
          <w:kern w:val="0"/>
          <w:szCs w:val="21"/>
          <w:highlight w:val="none"/>
        </w:rPr>
        <w:t>。</w:t>
      </w:r>
    </w:p>
    <w:p w14:paraId="1BE09809">
      <w:pPr>
        <w:pStyle w:val="84"/>
        <w:keepNext/>
        <w:keepLines/>
        <w:spacing w:line="360" w:lineRule="auto"/>
        <w:ind w:firstLine="422"/>
        <w:outlineLvl w:val="2"/>
        <w:rPr>
          <w:rFonts w:ascii="宋体" w:hAnsi="宋体"/>
          <w:b/>
          <w:bCs/>
          <w:color w:val="auto"/>
          <w:szCs w:val="32"/>
          <w:highlight w:val="none"/>
        </w:rPr>
      </w:pPr>
      <w:bookmarkStart w:id="246" w:name="_Toc373227694"/>
      <w:bookmarkStart w:id="247" w:name="_Toc389065260"/>
      <w:bookmarkStart w:id="248" w:name="_Toc373478341"/>
      <w:bookmarkStart w:id="249" w:name="_Toc5337"/>
      <w:r>
        <w:rPr>
          <w:rFonts w:hint="eastAsia" w:ascii="宋体" w:hAnsi="宋体"/>
          <w:b/>
          <w:bCs/>
          <w:color w:val="auto"/>
          <w:szCs w:val="32"/>
          <w:highlight w:val="none"/>
        </w:rPr>
        <w:t>1.3 法律</w:t>
      </w:r>
      <w:bookmarkEnd w:id="246"/>
      <w:bookmarkEnd w:id="247"/>
      <w:bookmarkEnd w:id="248"/>
      <w:bookmarkEnd w:id="249"/>
    </w:p>
    <w:p w14:paraId="3B5B782A">
      <w:pPr>
        <w:pStyle w:val="84"/>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olor w:val="auto"/>
          <w:highlight w:val="none"/>
          <w:u w:val="single"/>
        </w:rPr>
        <w:t>《中华人民共和国民法典》、《中华人民共和国建筑法》</w:t>
      </w:r>
      <w:r>
        <w:rPr>
          <w:rFonts w:hint="eastAsia" w:ascii="宋体" w:hAnsi="宋体" w:cs="宋体"/>
          <w:color w:val="auto"/>
          <w:szCs w:val="21"/>
          <w:highlight w:val="none"/>
        </w:rPr>
        <w:t>《建设工程质量管理条例》《广西壮族自治区建筑工程安全生产管理办法》《建设工程工程量清单计价规范》(GB50500-2013)《南宁市建设工程施工现场管理若干规定》《建设工程安全生产管理条例》《南宁市住房和城乡建设局关于进一步加强建设工程施工现场管理有关工作的通知》以及国家、住建部、广西壮族自治区、南宁市的相关法律法规、规章、制度、规范性文件等。</w:t>
      </w:r>
    </w:p>
    <w:p w14:paraId="2A1C4F61">
      <w:pPr>
        <w:pStyle w:val="84"/>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承包人承诺：因违反上述任何法律法规、规章、制度或规范性文件而产生的一切责任（包括但不限于行政处罚、违约金等）均由承包人自行承担，发包人因此承担违约金的，有权向承包人追偿，发包人有其他损失的，承包人应当赔偿</w:t>
      </w:r>
      <w:r>
        <w:rPr>
          <w:rFonts w:hint="eastAsia" w:ascii="宋体" w:hAnsi="宋体"/>
          <w:color w:val="auto"/>
          <w:szCs w:val="21"/>
          <w:highlight w:val="none"/>
        </w:rPr>
        <w:t>。</w:t>
      </w:r>
    </w:p>
    <w:p w14:paraId="18FC89DB">
      <w:pPr>
        <w:pStyle w:val="84"/>
        <w:spacing w:line="360" w:lineRule="auto"/>
        <w:ind w:firstLine="420" w:firstLineChars="200"/>
        <w:rPr>
          <w:rFonts w:hint="eastAsia" w:ascii="宋体" w:hAnsi="宋体"/>
          <w:color w:val="auto"/>
          <w:szCs w:val="21"/>
          <w:highlight w:val="none"/>
        </w:rPr>
      </w:pPr>
    </w:p>
    <w:p w14:paraId="29FB310E">
      <w:pPr>
        <w:pStyle w:val="84"/>
        <w:keepNext/>
        <w:keepLines/>
        <w:spacing w:line="360" w:lineRule="auto"/>
        <w:ind w:firstLine="422"/>
        <w:outlineLvl w:val="2"/>
        <w:rPr>
          <w:rFonts w:ascii="宋体" w:hAnsi="宋体"/>
          <w:b/>
          <w:bCs/>
          <w:color w:val="auto"/>
          <w:szCs w:val="32"/>
          <w:highlight w:val="none"/>
        </w:rPr>
      </w:pPr>
      <w:bookmarkStart w:id="250" w:name="_Toc373478342"/>
      <w:bookmarkStart w:id="251" w:name="_Toc12820"/>
      <w:bookmarkStart w:id="252" w:name="_Toc373227695"/>
      <w:bookmarkStart w:id="253" w:name="_Toc389065261"/>
      <w:r>
        <w:rPr>
          <w:rFonts w:hint="eastAsia" w:ascii="宋体" w:hAnsi="宋体"/>
          <w:b/>
          <w:bCs/>
          <w:color w:val="auto"/>
          <w:szCs w:val="32"/>
          <w:highlight w:val="none"/>
        </w:rPr>
        <w:t>1.4 标准和规范</w:t>
      </w:r>
      <w:bookmarkEnd w:id="250"/>
      <w:bookmarkEnd w:id="251"/>
      <w:bookmarkEnd w:id="252"/>
      <w:bookmarkEnd w:id="253"/>
    </w:p>
    <w:p w14:paraId="029E8258">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1.4.1 适用于工程的标准规范包括：</w:t>
      </w:r>
      <w:r>
        <w:rPr>
          <w:rFonts w:hint="eastAsia" w:ascii="宋体" w:hAnsi="宋体"/>
          <w:color w:val="auto"/>
          <w:szCs w:val="21"/>
          <w:highlight w:val="none"/>
          <w:u w:val="single"/>
        </w:rPr>
        <w:t>执行国家、行业和地方颁布的所有现行建筑工程</w:t>
      </w:r>
    </w:p>
    <w:p w14:paraId="3AB9BF4D">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及相关现行工程验收规范、质量检验评定标准 ；若上述标准和规范作出修改时，则以修订后的新标准和规范为准</w:t>
      </w:r>
      <w:r>
        <w:rPr>
          <w:rFonts w:hint="eastAsia" w:ascii="宋体" w:hAnsi="宋体"/>
          <w:color w:val="auto"/>
          <w:szCs w:val="21"/>
          <w:highlight w:val="none"/>
        </w:rPr>
        <w:t>。</w:t>
      </w:r>
    </w:p>
    <w:p w14:paraId="51637D90">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 xml:space="preserve">无         </w:t>
      </w:r>
      <w:r>
        <w:rPr>
          <w:rFonts w:hint="eastAsia" w:ascii="宋体" w:hAnsi="宋体"/>
          <w:color w:val="auto"/>
          <w:szCs w:val="21"/>
          <w:highlight w:val="none"/>
        </w:rPr>
        <w:t>；</w:t>
      </w:r>
    </w:p>
    <w:p w14:paraId="13315808">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无</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0F913EF">
      <w:pPr>
        <w:pStyle w:val="84"/>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无</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2DC2D6BE">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highlight w:val="none"/>
          <w:u w:val="single"/>
        </w:rPr>
        <w:t>现行的国家标准、规范，行业、地方标准、规范由承包人自行收集</w:t>
      </w:r>
      <w:r>
        <w:rPr>
          <w:rFonts w:hint="eastAsia" w:ascii="宋体" w:hAnsi="宋体"/>
          <w:color w:val="auto"/>
          <w:szCs w:val="21"/>
          <w:highlight w:val="none"/>
        </w:rPr>
        <w:t>。</w:t>
      </w:r>
    </w:p>
    <w:p w14:paraId="6881BC61">
      <w:pPr>
        <w:pStyle w:val="84"/>
        <w:keepNext/>
        <w:keepLines/>
        <w:spacing w:line="360" w:lineRule="auto"/>
        <w:ind w:firstLine="422"/>
        <w:outlineLvl w:val="2"/>
        <w:rPr>
          <w:rFonts w:ascii="宋体" w:hAnsi="宋体"/>
          <w:b/>
          <w:bCs/>
          <w:color w:val="auto"/>
          <w:szCs w:val="32"/>
          <w:highlight w:val="none"/>
        </w:rPr>
      </w:pPr>
      <w:bookmarkStart w:id="254" w:name="_Toc373478343"/>
      <w:bookmarkStart w:id="255" w:name="_Toc373227696"/>
      <w:bookmarkStart w:id="256" w:name="_Toc15264"/>
      <w:bookmarkStart w:id="257" w:name="_Toc389065262"/>
      <w:r>
        <w:rPr>
          <w:rFonts w:hint="eastAsia" w:ascii="宋体" w:hAnsi="宋体"/>
          <w:b/>
          <w:bCs/>
          <w:color w:val="auto"/>
          <w:szCs w:val="32"/>
          <w:highlight w:val="none"/>
        </w:rPr>
        <w:t>1.5 合同文件的优先顺序</w:t>
      </w:r>
      <w:bookmarkEnd w:id="254"/>
      <w:bookmarkEnd w:id="255"/>
      <w:bookmarkEnd w:id="256"/>
      <w:bookmarkEnd w:id="257"/>
    </w:p>
    <w:p w14:paraId="4F25ABA3">
      <w:pPr>
        <w:pStyle w:val="7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合同文件组成及优先顺序为：</w:t>
      </w:r>
    </w:p>
    <w:p w14:paraId="6934E63C">
      <w:pPr>
        <w:pStyle w:val="77"/>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（1）合同协议书；</w:t>
      </w:r>
    </w:p>
    <w:p w14:paraId="6194A73C">
      <w:pPr>
        <w:pStyle w:val="77"/>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（2）成交通知书；</w:t>
      </w:r>
    </w:p>
    <w:p w14:paraId="6C20BD73">
      <w:pPr>
        <w:pStyle w:val="77"/>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（3）响应函及其附录；</w:t>
      </w:r>
    </w:p>
    <w:p w14:paraId="2A0986C4">
      <w:pPr>
        <w:pStyle w:val="77"/>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（4）专用合同条款及其附件；</w:t>
      </w:r>
    </w:p>
    <w:p w14:paraId="4FF4D74F">
      <w:pPr>
        <w:pStyle w:val="77"/>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08BFC72D">
      <w:pPr>
        <w:pStyle w:val="77"/>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技术标准和要求；</w:t>
      </w:r>
    </w:p>
    <w:p w14:paraId="582C498A">
      <w:pPr>
        <w:pStyle w:val="77"/>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）图纸（如有）；</w:t>
      </w:r>
    </w:p>
    <w:p w14:paraId="14310834">
      <w:pPr>
        <w:pStyle w:val="77"/>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）已标价工程量清单或预算书；</w:t>
      </w:r>
    </w:p>
    <w:p w14:paraId="364DA958">
      <w:pPr>
        <w:pStyle w:val="77"/>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（9）承包方施工方案等技术、管理文件送发包方签收的责任承担说明文件；</w:t>
      </w:r>
    </w:p>
    <w:p w14:paraId="1818CF8A">
      <w:pPr>
        <w:pStyle w:val="77"/>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建设工程工程量清单计价规范（GB50500-2013）》及其广西实施细则及《关于建筑业实施营业税改征增值税后广西壮族自治区建设工程计价依据调整的通知》（桂建标〔2016〕17号）、《建设工程工程量计算规范（GB50854~50862-2013）》及其广西实施细则（修订本） (适用于实行工程量清单计价的项目) ；</w:t>
      </w:r>
    </w:p>
    <w:p w14:paraId="01B2C403">
      <w:pPr>
        <w:pStyle w:val="77"/>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(11)</w:t>
      </w:r>
      <w:r>
        <w:rPr>
          <w:rFonts w:hint="eastAsia" w:ascii="宋体" w:hAnsi="宋体" w:cs="宋体"/>
          <w:color w:val="auto"/>
          <w:szCs w:val="21"/>
          <w:highlight w:val="none"/>
        </w:rPr>
        <w:t xml:space="preserve">其他合同文件 </w:t>
      </w:r>
      <w:r>
        <w:rPr>
          <w:rFonts w:hint="eastAsia" w:ascii="宋体" w:hAnsi="宋体" w:cs="宋体"/>
          <w:color w:val="auto"/>
          <w:kern w:val="0"/>
          <w:szCs w:val="21"/>
          <w:highlight w:val="none"/>
        </w:rPr>
        <w:t>。</w:t>
      </w:r>
    </w:p>
    <w:p w14:paraId="18AD5D73">
      <w:pPr>
        <w:pStyle w:val="77"/>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22985646">
      <w:pPr>
        <w:pStyle w:val="77"/>
        <w:spacing w:line="360" w:lineRule="auto"/>
        <w:ind w:firstLine="420" w:firstLineChars="200"/>
        <w:rPr>
          <w:rFonts w:ascii="宋体" w:hAnsi="宋体" w:cs="宋体"/>
          <w:color w:val="auto"/>
          <w:sz w:val="24"/>
          <w:szCs w:val="24"/>
          <w:highlight w:val="none"/>
        </w:rPr>
      </w:pPr>
      <w:r>
        <w:rPr>
          <w:rFonts w:hint="eastAsia" w:ascii="宋体" w:hAnsi="宋体" w:cs="宋体"/>
          <w:color w:val="auto"/>
          <w:kern w:val="0"/>
          <w:szCs w:val="21"/>
          <w:highlight w:val="none"/>
        </w:rPr>
        <w:t>说明：（6）、（7）、（8）、（11）填空内容分别限于技术标准和要求、图纸、已标价工程量清单或预算书、其他合同文件四者之一，其优先顺序可根据采取的不同合同方式由双方约定。</w:t>
      </w:r>
    </w:p>
    <w:p w14:paraId="593199AE">
      <w:pPr>
        <w:pStyle w:val="84"/>
        <w:spacing w:line="360" w:lineRule="auto"/>
        <w:ind w:firstLine="420" w:firstLineChars="200"/>
        <w:rPr>
          <w:rFonts w:ascii="宋体" w:hAnsi="宋体"/>
          <w:strike/>
          <w:color w:val="auto"/>
          <w:szCs w:val="21"/>
          <w:highlight w:val="none"/>
        </w:rPr>
      </w:pPr>
    </w:p>
    <w:p w14:paraId="3F81634C">
      <w:pPr>
        <w:pStyle w:val="84"/>
        <w:keepNext/>
        <w:keepLines/>
        <w:spacing w:line="360" w:lineRule="auto"/>
        <w:ind w:firstLine="422"/>
        <w:outlineLvl w:val="2"/>
        <w:rPr>
          <w:rFonts w:ascii="宋体" w:hAnsi="宋体"/>
          <w:b/>
          <w:bCs/>
          <w:color w:val="auto"/>
          <w:szCs w:val="32"/>
          <w:highlight w:val="none"/>
        </w:rPr>
      </w:pPr>
      <w:bookmarkStart w:id="258" w:name="_Toc373478344"/>
      <w:bookmarkStart w:id="259" w:name="_Toc4783"/>
      <w:bookmarkStart w:id="260" w:name="_Toc373227697"/>
      <w:bookmarkStart w:id="261" w:name="_Toc389065263"/>
      <w:r>
        <w:rPr>
          <w:rFonts w:hint="eastAsia" w:ascii="宋体" w:hAnsi="宋体"/>
          <w:b/>
          <w:bCs/>
          <w:color w:val="auto"/>
          <w:szCs w:val="32"/>
          <w:highlight w:val="none"/>
        </w:rPr>
        <w:t>1.6 承包人文件</w:t>
      </w:r>
      <w:bookmarkEnd w:id="258"/>
      <w:bookmarkEnd w:id="259"/>
      <w:bookmarkEnd w:id="260"/>
      <w:bookmarkEnd w:id="261"/>
      <w:r>
        <w:rPr>
          <w:rFonts w:hint="eastAsia" w:ascii="宋体" w:hAnsi="宋体"/>
          <w:b/>
          <w:bCs/>
          <w:color w:val="auto"/>
          <w:szCs w:val="32"/>
          <w:highlight w:val="none"/>
        </w:rPr>
        <w:tab/>
      </w:r>
    </w:p>
    <w:p w14:paraId="68463F7A">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 承包人文件</w:t>
      </w:r>
    </w:p>
    <w:p w14:paraId="1AAF8690">
      <w:pPr>
        <w:pStyle w:val="84"/>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需要由承包人提供的文件，包括：</w:t>
      </w:r>
      <w:r>
        <w:rPr>
          <w:rFonts w:hint="eastAsia" w:ascii="宋体" w:hAnsi="宋体"/>
          <w:color w:val="auto"/>
          <w:szCs w:val="32"/>
          <w:highlight w:val="none"/>
          <w:u w:val="single"/>
        </w:rPr>
        <w:t xml:space="preserve">                   </w:t>
      </w:r>
      <w:r>
        <w:rPr>
          <w:rFonts w:hint="eastAsia" w:ascii="宋体" w:hAnsi="宋体"/>
          <w:color w:val="auto"/>
          <w:szCs w:val="21"/>
          <w:highlight w:val="none"/>
        </w:rPr>
        <w:t>；</w:t>
      </w:r>
    </w:p>
    <w:p w14:paraId="16AC45A0">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ascii="宋体" w:hAnsi="宋体"/>
          <w:color w:val="auto"/>
          <w:szCs w:val="32"/>
          <w:highlight w:val="none"/>
          <w:u w:val="single"/>
        </w:rPr>
        <w:t xml:space="preserve">                           </w:t>
      </w:r>
      <w:r>
        <w:rPr>
          <w:rFonts w:hint="eastAsia" w:ascii="宋体" w:hAnsi="宋体"/>
          <w:color w:val="auto"/>
          <w:szCs w:val="21"/>
          <w:highlight w:val="none"/>
        </w:rPr>
        <w:t>；</w:t>
      </w:r>
    </w:p>
    <w:p w14:paraId="6A3C7525">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ascii="宋体" w:hAnsi="宋体"/>
          <w:color w:val="auto"/>
          <w:szCs w:val="32"/>
          <w:highlight w:val="none"/>
          <w:u w:val="single"/>
        </w:rPr>
        <w:t>电子版一份，纸质版四份</w:t>
      </w:r>
      <w:r>
        <w:rPr>
          <w:rFonts w:hint="eastAsia" w:ascii="宋体" w:hAnsi="宋体"/>
          <w:color w:val="auto"/>
          <w:szCs w:val="21"/>
          <w:highlight w:val="none"/>
        </w:rPr>
        <w:t>；</w:t>
      </w:r>
    </w:p>
    <w:p w14:paraId="3C4F6C98">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ascii="宋体" w:hAnsi="宋体"/>
          <w:color w:val="auto"/>
          <w:highlight w:val="none"/>
          <w:u w:val="single"/>
        </w:rPr>
        <w:t>书面送达</w:t>
      </w:r>
      <w:r>
        <w:rPr>
          <w:rFonts w:hint="eastAsia" w:ascii="宋体" w:hAnsi="宋体"/>
          <w:color w:val="auto"/>
          <w:szCs w:val="21"/>
          <w:highlight w:val="none"/>
        </w:rPr>
        <w:t>；</w:t>
      </w:r>
    </w:p>
    <w:p w14:paraId="5E5128D7">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发包人审批承包人文件的期限：</w:t>
      </w:r>
      <w:r>
        <w:rPr>
          <w:rFonts w:hint="eastAsia" w:ascii="宋体" w:hAnsi="宋体"/>
          <w:color w:val="auto"/>
          <w:highlight w:val="none"/>
          <w:u w:val="single"/>
        </w:rPr>
        <w:t xml:space="preserve">                      </w:t>
      </w:r>
      <w:r>
        <w:rPr>
          <w:rFonts w:hint="eastAsia" w:ascii="宋体" w:hAnsi="宋体"/>
          <w:color w:val="auto"/>
          <w:szCs w:val="21"/>
          <w:highlight w:val="none"/>
        </w:rPr>
        <w:t>。</w:t>
      </w:r>
    </w:p>
    <w:p w14:paraId="3D907FEB">
      <w:pPr>
        <w:pStyle w:val="84"/>
        <w:keepNext/>
        <w:keepLines/>
        <w:spacing w:line="360" w:lineRule="auto"/>
        <w:ind w:firstLine="422"/>
        <w:outlineLvl w:val="2"/>
        <w:rPr>
          <w:rFonts w:ascii="宋体" w:hAnsi="宋体"/>
          <w:b/>
          <w:bCs/>
          <w:color w:val="auto"/>
          <w:szCs w:val="32"/>
          <w:highlight w:val="none"/>
        </w:rPr>
      </w:pPr>
      <w:bookmarkStart w:id="262" w:name="_Toc389065264"/>
      <w:bookmarkStart w:id="263" w:name="_Toc11291"/>
      <w:bookmarkStart w:id="264" w:name="_Toc373478345"/>
      <w:bookmarkStart w:id="265" w:name="_Toc373227698"/>
      <w:r>
        <w:rPr>
          <w:rFonts w:hint="eastAsia" w:ascii="宋体" w:hAnsi="宋体"/>
          <w:b/>
          <w:bCs/>
          <w:color w:val="auto"/>
          <w:szCs w:val="32"/>
          <w:highlight w:val="none"/>
        </w:rPr>
        <w:t>1.7 联络</w:t>
      </w:r>
      <w:bookmarkEnd w:id="262"/>
      <w:bookmarkEnd w:id="263"/>
      <w:bookmarkEnd w:id="264"/>
      <w:bookmarkEnd w:id="265"/>
    </w:p>
    <w:p w14:paraId="224C0DFE">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1.7.1发包人和承包人应当在</w:t>
      </w:r>
      <w:r>
        <w:rPr>
          <w:rFonts w:hint="eastAsia" w:ascii="宋体" w:hAnsi="宋体"/>
          <w:color w:val="auto"/>
          <w:szCs w:val="21"/>
          <w:highlight w:val="none"/>
          <w:u w:val="single"/>
        </w:rPr>
        <w:t xml:space="preserve">7  </w:t>
      </w:r>
      <w:r>
        <w:rPr>
          <w:rFonts w:hint="eastAsia" w:ascii="宋体" w:hAnsi="宋体"/>
          <w:color w:val="auto"/>
          <w:kern w:val="0"/>
          <w:szCs w:val="21"/>
          <w:highlight w:val="none"/>
        </w:rPr>
        <w:t>天内将与合同有关的通知、批准、证明、证书、指示、指令、要求、请求、同意、意见、确定和决定等书面函件送达对方当事人。</w:t>
      </w:r>
    </w:p>
    <w:p w14:paraId="3EE5E449">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1.7.2 发包人接收文件的地点：</w:t>
      </w:r>
      <w:r>
        <w:rPr>
          <w:rFonts w:hint="eastAsia" w:ascii="宋体" w:hAnsi="宋体"/>
          <w:color w:val="auto"/>
          <w:highlight w:val="none"/>
          <w:u w:val="single"/>
        </w:rPr>
        <w:t>施工现场发包人办公室</w:t>
      </w:r>
      <w:r>
        <w:rPr>
          <w:rFonts w:hint="eastAsia" w:ascii="宋体" w:hAnsi="宋体"/>
          <w:color w:val="auto"/>
          <w:kern w:val="0"/>
          <w:szCs w:val="21"/>
          <w:highlight w:val="none"/>
        </w:rPr>
        <w:t>；</w:t>
      </w:r>
    </w:p>
    <w:p w14:paraId="27B27D80">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发包人指定的接收人为：</w:t>
      </w:r>
      <w:r>
        <w:rPr>
          <w:rFonts w:hint="eastAsia" w:ascii="宋体" w:hAnsi="宋体"/>
          <w:color w:val="auto"/>
          <w:highlight w:val="none"/>
          <w:u w:val="single"/>
        </w:rPr>
        <w:t xml:space="preserve">业主代表（现场） </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3288FCA3">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承包人接收文件的地点：</w:t>
      </w:r>
      <w:r>
        <w:rPr>
          <w:rFonts w:hint="eastAsia" w:ascii="宋体" w:hAnsi="宋体"/>
          <w:color w:val="auto"/>
          <w:highlight w:val="none"/>
          <w:u w:val="single"/>
        </w:rPr>
        <w:t>施工现场承包人办公室</w:t>
      </w:r>
      <w:r>
        <w:rPr>
          <w:rFonts w:hint="eastAsia" w:ascii="宋体" w:hAnsi="宋体"/>
          <w:color w:val="auto"/>
          <w:kern w:val="0"/>
          <w:szCs w:val="21"/>
          <w:highlight w:val="none"/>
        </w:rPr>
        <w:t>；</w:t>
      </w:r>
    </w:p>
    <w:p w14:paraId="09E9BE99">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承包人指定的接收人为：</w:t>
      </w:r>
      <w:r>
        <w:rPr>
          <w:rFonts w:hint="eastAsia" w:ascii="宋体" w:hAnsi="宋体"/>
          <w:color w:val="auto"/>
          <w:szCs w:val="32"/>
          <w:highlight w:val="none"/>
          <w:u w:val="single"/>
        </w:rPr>
        <w:t>承包人项目经理</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45F2C023">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监理人接收文件的地点：</w:t>
      </w:r>
      <w:r>
        <w:rPr>
          <w:rFonts w:hint="eastAsia" w:ascii="宋体" w:hAnsi="宋体"/>
          <w:color w:val="auto"/>
          <w:highlight w:val="none"/>
          <w:u w:val="single"/>
        </w:rPr>
        <w:t>施工现场监理人办公室</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458BACC3">
      <w:pPr>
        <w:pStyle w:val="84"/>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监理人指定的接收人为：</w:t>
      </w:r>
      <w:r>
        <w:rPr>
          <w:rFonts w:hint="eastAsia" w:ascii="宋体" w:hAnsi="宋体"/>
          <w:color w:val="auto"/>
          <w:szCs w:val="32"/>
          <w:highlight w:val="none"/>
          <w:u w:val="single"/>
        </w:rPr>
        <w:t>总监理工程师或总监代表</w:t>
      </w:r>
      <w:r>
        <w:rPr>
          <w:rFonts w:hint="eastAsia" w:ascii="宋体" w:hAnsi="宋体"/>
          <w:color w:val="auto"/>
          <w:kern w:val="0"/>
          <w:szCs w:val="21"/>
          <w:highlight w:val="none"/>
        </w:rPr>
        <w:t>。</w:t>
      </w:r>
    </w:p>
    <w:p w14:paraId="42244BDB">
      <w:pPr>
        <w:pStyle w:val="84"/>
        <w:keepNext/>
        <w:keepLines/>
        <w:spacing w:line="360" w:lineRule="auto"/>
        <w:ind w:firstLine="422"/>
        <w:outlineLvl w:val="2"/>
        <w:rPr>
          <w:rFonts w:ascii="宋体" w:hAnsi="宋体"/>
          <w:b/>
          <w:bCs/>
          <w:color w:val="auto"/>
          <w:szCs w:val="32"/>
          <w:highlight w:val="none"/>
        </w:rPr>
      </w:pPr>
      <w:bookmarkStart w:id="266" w:name="_Toc373478346"/>
      <w:bookmarkStart w:id="267" w:name="_Toc373227699"/>
      <w:bookmarkStart w:id="268" w:name="_Toc22269"/>
      <w:bookmarkStart w:id="269" w:name="_Toc389065265"/>
      <w:r>
        <w:rPr>
          <w:rFonts w:hint="eastAsia" w:ascii="宋体" w:hAnsi="宋体"/>
          <w:b/>
          <w:bCs/>
          <w:color w:val="auto"/>
          <w:szCs w:val="32"/>
          <w:highlight w:val="none"/>
        </w:rPr>
        <w:t>1.10 交通运输</w:t>
      </w:r>
      <w:bookmarkEnd w:id="266"/>
      <w:bookmarkEnd w:id="267"/>
      <w:bookmarkEnd w:id="268"/>
      <w:bookmarkEnd w:id="269"/>
    </w:p>
    <w:p w14:paraId="7CF6BFF8">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bookmarkStart w:id="270" w:name="_Toc303539100"/>
      <w:bookmarkStart w:id="271" w:name="_Toc304295521"/>
      <w:bookmarkStart w:id="272" w:name="_Toc300934943"/>
      <w:bookmarkStart w:id="273" w:name="_Toc312677986"/>
      <w:bookmarkStart w:id="274" w:name="_Toc318581155"/>
      <w:r>
        <w:rPr>
          <w:rFonts w:hint="eastAsia" w:ascii="宋体" w:hAnsi="宋体"/>
          <w:color w:val="auto"/>
          <w:szCs w:val="21"/>
          <w:highlight w:val="none"/>
        </w:rPr>
        <w:t>.10.1 出入现场的权利</w:t>
      </w:r>
    </w:p>
    <w:p w14:paraId="138AEAEB">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无</w:t>
      </w:r>
      <w:r>
        <w:rPr>
          <w:rFonts w:hint="eastAsia" w:hAnsi="宋体"/>
          <w:color w:val="auto"/>
          <w:szCs w:val="21"/>
          <w:highlight w:val="none"/>
          <w:u w:val="single"/>
        </w:rPr>
        <w:t>。</w:t>
      </w:r>
    </w:p>
    <w:bookmarkEnd w:id="270"/>
    <w:bookmarkEnd w:id="271"/>
    <w:bookmarkEnd w:id="272"/>
    <w:bookmarkEnd w:id="273"/>
    <w:bookmarkEnd w:id="274"/>
    <w:p w14:paraId="01B38895">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275" w:name="_Toc312677987"/>
      <w:bookmarkStart w:id="276" w:name="_Toc300934944"/>
      <w:bookmarkStart w:id="277" w:name="_Toc304295522"/>
      <w:bookmarkStart w:id="278" w:name="_Toc318581156"/>
      <w:bookmarkStart w:id="279" w:name="_Toc303539101"/>
      <w:r>
        <w:rPr>
          <w:rFonts w:hint="eastAsia" w:ascii="宋体" w:hAnsi="宋体"/>
          <w:color w:val="auto"/>
          <w:szCs w:val="21"/>
          <w:highlight w:val="none"/>
        </w:rPr>
        <w:t>.10.3 场内交通</w:t>
      </w:r>
    </w:p>
    <w:p w14:paraId="57757DA5">
      <w:pPr>
        <w:pStyle w:val="84"/>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关于场外交通和场内交通的边界的约定：</w:t>
      </w:r>
      <w:r>
        <w:rPr>
          <w:rFonts w:hint="eastAsia" w:ascii="宋体" w:hAnsi="宋体"/>
          <w:bCs/>
          <w:color w:val="auto"/>
          <w:kern w:val="0"/>
          <w:highlight w:val="none"/>
          <w:u w:val="single"/>
        </w:rPr>
        <w:t>以工程用地红线界定</w:t>
      </w:r>
      <w:r>
        <w:rPr>
          <w:rFonts w:hint="eastAsia" w:ascii="宋体" w:hAnsi="宋体"/>
          <w:color w:val="auto"/>
          <w:szCs w:val="21"/>
          <w:highlight w:val="none"/>
        </w:rPr>
        <w:t>。</w:t>
      </w:r>
    </w:p>
    <w:p w14:paraId="665CAA5C">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无</w:t>
      </w:r>
      <w:r>
        <w:rPr>
          <w:rFonts w:hint="eastAsia" w:ascii="宋体" w:hAnsi="宋体"/>
          <w:color w:val="auto"/>
          <w:highlight w:val="none"/>
          <w:u w:val="single"/>
        </w:rPr>
        <w:t xml:space="preserve">   。</w:t>
      </w:r>
      <w:bookmarkEnd w:id="275"/>
      <w:bookmarkEnd w:id="276"/>
      <w:bookmarkEnd w:id="277"/>
      <w:bookmarkEnd w:id="278"/>
      <w:bookmarkEnd w:id="279"/>
      <w:bookmarkStart w:id="280" w:name="_Toc318581157"/>
    </w:p>
    <w:p w14:paraId="104A14A1">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 超大件和超重件的运输</w:t>
      </w:r>
    </w:p>
    <w:p w14:paraId="4F270CE3">
      <w:pPr>
        <w:pStyle w:val="84"/>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运输超大件或超重件所需的道路和桥梁临时加固改造费用和其他有关费用</w:t>
      </w:r>
      <w:r>
        <w:rPr>
          <w:rFonts w:hint="eastAsia" w:ascii="宋体" w:hAnsi="宋体"/>
          <w:color w:val="auto"/>
          <w:szCs w:val="21"/>
          <w:highlight w:val="none"/>
          <w:u w:val="single"/>
        </w:rPr>
        <w:t xml:space="preserve"> </w:t>
      </w:r>
      <w:r>
        <w:rPr>
          <w:rFonts w:hint="eastAsia" w:hAnsi="宋体"/>
          <w:color w:val="auto"/>
          <w:szCs w:val="21"/>
          <w:highlight w:val="none"/>
          <w:u w:val="single"/>
        </w:rPr>
        <w:t>由承包人承担</w:t>
      </w:r>
      <w:r>
        <w:rPr>
          <w:rFonts w:hint="eastAsia" w:ascii="宋体" w:hAnsi="宋体"/>
          <w:color w:val="auto"/>
          <w:szCs w:val="21"/>
          <w:highlight w:val="none"/>
        </w:rPr>
        <w:t>。</w:t>
      </w:r>
    </w:p>
    <w:bookmarkEnd w:id="280"/>
    <w:p w14:paraId="5D039FD0">
      <w:pPr>
        <w:pStyle w:val="84"/>
        <w:keepNext/>
        <w:keepLines/>
        <w:spacing w:line="360" w:lineRule="auto"/>
        <w:ind w:firstLine="422"/>
        <w:outlineLvl w:val="2"/>
        <w:rPr>
          <w:rFonts w:ascii="宋体" w:hAnsi="宋体"/>
          <w:b/>
          <w:bCs/>
          <w:color w:val="auto"/>
          <w:szCs w:val="32"/>
          <w:highlight w:val="none"/>
        </w:rPr>
      </w:pPr>
      <w:bookmarkStart w:id="281" w:name="_Toc389065266"/>
      <w:bookmarkStart w:id="282" w:name="_Toc14351"/>
      <w:bookmarkStart w:id="283" w:name="_Toc373478347"/>
      <w:bookmarkStart w:id="284" w:name="_Toc373227700"/>
      <w:r>
        <w:rPr>
          <w:rFonts w:hint="eastAsia" w:ascii="宋体" w:hAnsi="宋体"/>
          <w:b/>
          <w:bCs/>
          <w:color w:val="auto"/>
          <w:szCs w:val="32"/>
          <w:highlight w:val="none"/>
        </w:rPr>
        <w:t>1.11 知识产权</w:t>
      </w:r>
      <w:bookmarkEnd w:id="281"/>
      <w:bookmarkEnd w:id="282"/>
      <w:bookmarkEnd w:id="283"/>
      <w:bookmarkEnd w:id="284"/>
    </w:p>
    <w:p w14:paraId="4B2B9B31">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 关于发包人为实施工程自行编制或委托编制的技术规范以及反映发包人关于合同要求或其他类似性质的文件的著作权的归属：</w:t>
      </w:r>
      <w:r>
        <w:rPr>
          <w:rFonts w:hint="eastAsia" w:ascii="宋体" w:hAnsi="宋体"/>
          <w:color w:val="auto"/>
          <w:szCs w:val="32"/>
          <w:highlight w:val="none"/>
          <w:u w:val="single"/>
        </w:rPr>
        <w:t>执行通用条款1.11条</w:t>
      </w:r>
      <w:r>
        <w:rPr>
          <w:rFonts w:hint="eastAsia" w:ascii="宋体" w:hAnsi="宋体"/>
          <w:color w:val="auto"/>
          <w:szCs w:val="21"/>
          <w:highlight w:val="none"/>
        </w:rPr>
        <w:t>。</w:t>
      </w:r>
    </w:p>
    <w:p w14:paraId="0BAB98D8">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32"/>
          <w:highlight w:val="none"/>
          <w:u w:val="single"/>
        </w:rPr>
        <w:t>执行通用条款1.11条</w:t>
      </w:r>
      <w:r>
        <w:rPr>
          <w:rFonts w:hint="eastAsia" w:ascii="宋体" w:hAnsi="宋体"/>
          <w:color w:val="auto"/>
          <w:szCs w:val="21"/>
          <w:highlight w:val="none"/>
        </w:rPr>
        <w:t>。</w:t>
      </w:r>
    </w:p>
    <w:p w14:paraId="7BB3B8F0">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1.11.2 关于承包人为实施工程所编制文件的著作权的归属：</w:t>
      </w:r>
      <w:r>
        <w:rPr>
          <w:rFonts w:hint="eastAsia" w:ascii="宋体" w:hAnsi="宋体"/>
          <w:color w:val="auto"/>
          <w:szCs w:val="32"/>
          <w:highlight w:val="none"/>
          <w:u w:val="single"/>
        </w:rPr>
        <w:t>执行通用条款1.11条</w:t>
      </w:r>
      <w:r>
        <w:rPr>
          <w:rFonts w:hint="eastAsia" w:ascii="宋体" w:hAnsi="宋体"/>
          <w:color w:val="auto"/>
          <w:szCs w:val="21"/>
          <w:highlight w:val="none"/>
        </w:rPr>
        <w:t>。</w:t>
      </w:r>
    </w:p>
    <w:p w14:paraId="205EE00A">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关于承包人提供的上述文件的使用限制的要求：</w:t>
      </w:r>
      <w:r>
        <w:rPr>
          <w:rFonts w:hint="eastAsia" w:ascii="宋体" w:hAnsi="宋体"/>
          <w:color w:val="auto"/>
          <w:szCs w:val="32"/>
          <w:highlight w:val="none"/>
          <w:u w:val="single"/>
        </w:rPr>
        <w:t>执行通用条款1.11条</w:t>
      </w:r>
      <w:r>
        <w:rPr>
          <w:rFonts w:hint="eastAsia" w:ascii="宋体" w:hAnsi="宋体"/>
          <w:color w:val="auto"/>
          <w:szCs w:val="21"/>
          <w:highlight w:val="none"/>
        </w:rPr>
        <w:t>。</w:t>
      </w:r>
    </w:p>
    <w:p w14:paraId="4A78B889">
      <w:pPr>
        <w:pStyle w:val="84"/>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32"/>
          <w:highlight w:val="none"/>
          <w:u w:val="single"/>
        </w:rPr>
        <w:t>由承包人承担，已包含在签约合同价中，发包人不再另行支付</w:t>
      </w:r>
      <w:r>
        <w:rPr>
          <w:rFonts w:hint="eastAsia" w:ascii="宋体" w:hAnsi="宋体"/>
          <w:color w:val="auto"/>
          <w:kern w:val="0"/>
          <w:szCs w:val="21"/>
          <w:highlight w:val="none"/>
        </w:rPr>
        <w:t>。</w:t>
      </w:r>
    </w:p>
    <w:p w14:paraId="542096C5">
      <w:pPr>
        <w:pStyle w:val="84"/>
        <w:keepNext/>
        <w:keepLines/>
        <w:spacing w:line="360" w:lineRule="auto"/>
        <w:ind w:firstLine="422"/>
        <w:outlineLvl w:val="2"/>
        <w:rPr>
          <w:rFonts w:ascii="宋体" w:hAnsi="宋体"/>
          <w:b/>
          <w:bCs/>
          <w:color w:val="auto"/>
          <w:szCs w:val="32"/>
          <w:highlight w:val="none"/>
        </w:rPr>
      </w:pPr>
      <w:bookmarkStart w:id="285" w:name="_Toc389065267"/>
      <w:bookmarkStart w:id="286" w:name="_Toc373227701"/>
      <w:bookmarkStart w:id="287" w:name="_Toc23074"/>
      <w:bookmarkStart w:id="288" w:name="_Toc373478348"/>
      <w:r>
        <w:rPr>
          <w:rFonts w:hint="eastAsia" w:ascii="宋体" w:hAnsi="宋体"/>
          <w:b/>
          <w:bCs/>
          <w:color w:val="auto"/>
          <w:szCs w:val="32"/>
          <w:highlight w:val="none"/>
        </w:rPr>
        <w:t>1.13工程量清单错误的修正</w:t>
      </w:r>
      <w:bookmarkEnd w:id="285"/>
      <w:bookmarkEnd w:id="286"/>
      <w:bookmarkEnd w:id="287"/>
      <w:bookmarkEnd w:id="288"/>
    </w:p>
    <w:p w14:paraId="1D7141CA">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出现工程量清单工程量偏差时，是否调整合同价格：</w:t>
      </w:r>
      <w:r>
        <w:rPr>
          <w:rFonts w:hint="eastAsia" w:ascii="宋体" w:hAnsi="宋体" w:cs="宋体"/>
          <w:color w:val="auto"/>
          <w:highlight w:val="none"/>
          <w:u w:val="single"/>
        </w:rPr>
        <w:t xml:space="preserve">  是  </w:t>
      </w:r>
      <w:r>
        <w:rPr>
          <w:rFonts w:hint="eastAsia" w:ascii="宋体" w:hAnsi="宋体"/>
          <w:color w:val="auto"/>
          <w:kern w:val="0"/>
          <w:szCs w:val="21"/>
          <w:highlight w:val="none"/>
        </w:rPr>
        <w:t>。</w:t>
      </w:r>
    </w:p>
    <w:p w14:paraId="65FD331B">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允许调整合同价格的工程量偏差范围及其调整办法：</w:t>
      </w:r>
      <w:r>
        <w:rPr>
          <w:rFonts w:hint="eastAsia" w:ascii="宋体" w:hAnsi="宋体"/>
          <w:b/>
          <w:bCs/>
          <w:color w:val="auto"/>
          <w:highlight w:val="none"/>
          <w:u w:val="single"/>
          <w:shd w:val="clear" w:color="auto" w:fill="FFFFFF"/>
        </w:rPr>
        <w:t>按第12.1款执行</w:t>
      </w:r>
      <w:r>
        <w:rPr>
          <w:rFonts w:hint="eastAsia" w:ascii="宋体" w:hAnsi="宋体" w:cs="宋体"/>
          <w:color w:val="auto"/>
          <w:highlight w:val="none"/>
          <w:u w:val="single"/>
        </w:rPr>
        <w:t>。</w:t>
      </w:r>
    </w:p>
    <w:p w14:paraId="388F5BE7">
      <w:pPr>
        <w:pStyle w:val="84"/>
        <w:keepNext/>
        <w:keepLines/>
        <w:spacing w:before="60" w:after="60" w:line="412" w:lineRule="auto"/>
        <w:ind w:firstLine="422"/>
        <w:outlineLvl w:val="1"/>
        <w:rPr>
          <w:rFonts w:ascii="宋体" w:hAnsi="宋体"/>
          <w:b/>
          <w:bCs/>
          <w:color w:val="auto"/>
          <w:szCs w:val="32"/>
          <w:highlight w:val="none"/>
        </w:rPr>
      </w:pPr>
      <w:bookmarkStart w:id="289" w:name="_Toc373478349"/>
      <w:bookmarkStart w:id="290" w:name="_Toc373227702"/>
      <w:bookmarkStart w:id="291" w:name="_Toc351203634"/>
      <w:bookmarkStart w:id="292" w:name="_Toc9409"/>
      <w:bookmarkStart w:id="293" w:name="_Toc389065268"/>
      <w:r>
        <w:rPr>
          <w:rFonts w:hint="eastAsia" w:ascii="宋体" w:hAnsi="宋体"/>
          <w:b/>
          <w:bCs/>
          <w:color w:val="auto"/>
          <w:szCs w:val="32"/>
          <w:highlight w:val="none"/>
        </w:rPr>
        <w:t>2</w:t>
      </w:r>
      <w:bookmarkStart w:id="294" w:name="_Toc296944496"/>
      <w:bookmarkStart w:id="295" w:name="_Toc296347156"/>
      <w:bookmarkStart w:id="296" w:name="_Toc297048343"/>
      <w:bookmarkStart w:id="297" w:name="_Toc297120457"/>
      <w:bookmarkStart w:id="298" w:name="_Toc296503157"/>
      <w:bookmarkStart w:id="299" w:name="_Toc292559362"/>
      <w:bookmarkStart w:id="300" w:name="_Toc292559867"/>
      <w:bookmarkStart w:id="301" w:name="_Toc296891197"/>
      <w:bookmarkStart w:id="302" w:name="_Toc296346658"/>
      <w:bookmarkStart w:id="303" w:name="_Toc296890985"/>
      <w:r>
        <w:rPr>
          <w:rFonts w:hint="eastAsia" w:ascii="宋体" w:hAnsi="宋体"/>
          <w:b/>
          <w:bCs/>
          <w:color w:val="auto"/>
          <w:szCs w:val="32"/>
          <w:highlight w:val="none"/>
        </w:rPr>
        <w:t>. 发包人</w:t>
      </w:r>
      <w:bookmarkEnd w:id="289"/>
      <w:bookmarkEnd w:id="290"/>
      <w:bookmarkEnd w:id="291"/>
      <w:bookmarkEnd w:id="292"/>
      <w:bookmarkEnd w:id="293"/>
    </w:p>
    <w:bookmarkEnd w:id="294"/>
    <w:bookmarkEnd w:id="295"/>
    <w:bookmarkEnd w:id="296"/>
    <w:bookmarkEnd w:id="297"/>
    <w:bookmarkEnd w:id="298"/>
    <w:bookmarkEnd w:id="299"/>
    <w:bookmarkEnd w:id="300"/>
    <w:bookmarkEnd w:id="301"/>
    <w:bookmarkEnd w:id="302"/>
    <w:bookmarkEnd w:id="303"/>
    <w:p w14:paraId="68C8A3B9">
      <w:pPr>
        <w:pStyle w:val="84"/>
        <w:keepNext/>
        <w:keepLines/>
        <w:spacing w:line="360" w:lineRule="auto"/>
        <w:ind w:firstLine="422"/>
        <w:outlineLvl w:val="2"/>
        <w:rPr>
          <w:rFonts w:ascii="宋体" w:hAnsi="宋体"/>
          <w:b/>
          <w:bCs/>
          <w:color w:val="auto"/>
          <w:szCs w:val="32"/>
          <w:highlight w:val="none"/>
        </w:rPr>
      </w:pPr>
      <w:bookmarkStart w:id="304" w:name="_Toc28751"/>
      <w:bookmarkStart w:id="305" w:name="_Toc389065269"/>
      <w:bookmarkStart w:id="306" w:name="_Toc373227703"/>
      <w:bookmarkStart w:id="307" w:name="_Toc373478350"/>
      <w:r>
        <w:rPr>
          <w:rFonts w:hint="eastAsia" w:ascii="宋体" w:hAnsi="宋体"/>
          <w:b/>
          <w:bCs/>
          <w:color w:val="auto"/>
          <w:szCs w:val="32"/>
          <w:highlight w:val="none"/>
        </w:rPr>
        <w:t>2.2 发包人代表</w:t>
      </w:r>
      <w:bookmarkEnd w:id="304"/>
      <w:bookmarkEnd w:id="305"/>
      <w:bookmarkEnd w:id="306"/>
      <w:bookmarkEnd w:id="307"/>
    </w:p>
    <w:p w14:paraId="5AA2D19E">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发包人代表：</w:t>
      </w:r>
    </w:p>
    <w:p w14:paraId="697190FC">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7C722F3">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3321FB">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028762C">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AA53001">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C50FE3">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67C2FA3">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w:t>
      </w:r>
      <w:bookmarkStart w:id="308" w:name="_Hlk85184203"/>
      <w:r>
        <w:rPr>
          <w:rFonts w:hint="eastAsia" w:ascii="宋体" w:hAnsi="宋体"/>
          <w:color w:val="auto"/>
          <w:szCs w:val="21"/>
          <w:highlight w:val="none"/>
          <w:u w:val="single"/>
        </w:rPr>
        <w:t>需加盖发包人下属基建主管部门公章方发生法律效力）</w:t>
      </w:r>
      <w:bookmarkEnd w:id="308"/>
      <w:r>
        <w:rPr>
          <w:rFonts w:hint="eastAsia" w:ascii="宋体" w:hAnsi="宋体"/>
          <w:color w:val="auto"/>
          <w:szCs w:val="21"/>
          <w:highlight w:val="none"/>
          <w:u w:val="single"/>
        </w:rPr>
        <w:t>，审核工程进度报表（需加盖发包人下属基建主管部门公章方发生法律效力）</w:t>
      </w:r>
      <w:r>
        <w:rPr>
          <w:rFonts w:hint="eastAsia" w:ascii="宋体" w:hAnsi="宋体"/>
          <w:color w:val="auto"/>
          <w:szCs w:val="21"/>
          <w:highlight w:val="none"/>
        </w:rPr>
        <w:t>。</w:t>
      </w:r>
    </w:p>
    <w:p w14:paraId="59EE973D">
      <w:pPr>
        <w:pStyle w:val="84"/>
        <w:keepNext/>
        <w:keepLines/>
        <w:spacing w:line="360" w:lineRule="auto"/>
        <w:ind w:firstLine="422"/>
        <w:rPr>
          <w:rFonts w:ascii="宋体" w:hAnsi="宋体"/>
          <w:b/>
          <w:bCs/>
          <w:color w:val="auto"/>
          <w:szCs w:val="32"/>
          <w:highlight w:val="none"/>
        </w:rPr>
      </w:pPr>
      <w:bookmarkStart w:id="309" w:name="_Toc373478351"/>
      <w:bookmarkStart w:id="310" w:name="_Toc389065270"/>
      <w:bookmarkStart w:id="311" w:name="_Toc373227704"/>
      <w:bookmarkStart w:id="312" w:name="_Toc4499"/>
      <w:r>
        <w:rPr>
          <w:rFonts w:hint="eastAsia" w:ascii="宋体" w:hAnsi="宋体"/>
          <w:b/>
          <w:bCs/>
          <w:color w:val="auto"/>
          <w:szCs w:val="32"/>
          <w:highlight w:val="none"/>
        </w:rPr>
        <w:t>2.4 施工现场、施工条件和基础资料的提供</w:t>
      </w:r>
      <w:bookmarkEnd w:id="309"/>
      <w:bookmarkEnd w:id="310"/>
      <w:bookmarkEnd w:id="311"/>
      <w:bookmarkEnd w:id="312"/>
    </w:p>
    <w:p w14:paraId="067AFB34">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2.4.1 提供施工现场</w:t>
      </w:r>
    </w:p>
    <w:p w14:paraId="2FE73944">
      <w:pPr>
        <w:pStyle w:val="84"/>
        <w:spacing w:line="360" w:lineRule="auto"/>
        <w:ind w:firstLine="420" w:firstLineChars="200"/>
        <w:jc w:val="left"/>
        <w:rPr>
          <w:color w:val="auto"/>
          <w:szCs w:val="21"/>
          <w:highlight w:val="none"/>
          <w:u w:val="single"/>
        </w:rPr>
      </w:pPr>
      <w:r>
        <w:rPr>
          <w:rFonts w:hint="eastAsia" w:ascii="宋体" w:hAnsi="宋体"/>
          <w:color w:val="auto"/>
          <w:szCs w:val="21"/>
          <w:highlight w:val="none"/>
        </w:rPr>
        <w:t>关于发包人移交施工现场的期限要求：</w:t>
      </w:r>
      <w:r>
        <w:rPr>
          <w:rFonts w:hint="eastAsia"/>
          <w:color w:val="auto"/>
          <w:szCs w:val="21"/>
          <w:highlight w:val="none"/>
          <w:u w:val="single"/>
        </w:rPr>
        <w:t>施工场地应当在监理人发出的开工令中载明的开工日期前七天具备施工条件并移交给承包人，具体施工条件在施工合同中约定。</w:t>
      </w:r>
    </w:p>
    <w:p w14:paraId="683B8182">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2.4.2 提供施工条件</w:t>
      </w:r>
    </w:p>
    <w:p w14:paraId="257F305F">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关于发包人应负责提供施工所需要的条件，包括：</w:t>
      </w:r>
    </w:p>
    <w:p w14:paraId="15F92F72">
      <w:pPr>
        <w:pStyle w:val="84"/>
        <w:numPr>
          <w:ilvl w:val="0"/>
          <w:numId w:val="5"/>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开工前7天发包人提供施工水、电和网络接入口，临时道路、水、电、管线费用由承包人在投标报价中自行考虑。若供电部门的原因造成停电，承包人必须自行解决施工用电，费用自理</w:t>
      </w:r>
      <w:r>
        <w:rPr>
          <w:rFonts w:hint="eastAsia" w:ascii="宋体" w:hAnsi="宋体"/>
          <w:color w:val="auto"/>
          <w:szCs w:val="21"/>
          <w:highlight w:val="none"/>
        </w:rPr>
        <w:t>。</w:t>
      </w:r>
    </w:p>
    <w:p w14:paraId="4B815931">
      <w:pPr>
        <w:pStyle w:val="84"/>
        <w:numPr>
          <w:ilvl w:val="0"/>
          <w:numId w:val="5"/>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施工场地与公共道路的通道开通时间和要求：</w:t>
      </w:r>
      <w:r>
        <w:rPr>
          <w:rFonts w:hint="eastAsia" w:ascii="宋体" w:hAnsi="宋体"/>
          <w:color w:val="auto"/>
          <w:szCs w:val="21"/>
          <w:highlight w:val="none"/>
          <w:u w:val="single"/>
        </w:rPr>
        <w:t>工程开工前七天开通，施工中出现非承包人原因的阻障，由承包人告知发包人，由发包人负责协调解决，满足施工运输的需要，保证施工期间的畅通</w:t>
      </w:r>
      <w:r>
        <w:rPr>
          <w:rFonts w:hint="eastAsia" w:ascii="宋体" w:hAnsi="宋体"/>
          <w:color w:val="auto"/>
          <w:szCs w:val="21"/>
          <w:highlight w:val="none"/>
        </w:rPr>
        <w:t>。</w:t>
      </w:r>
    </w:p>
    <w:p w14:paraId="5E5947AB">
      <w:pPr>
        <w:pStyle w:val="84"/>
        <w:numPr>
          <w:ilvl w:val="0"/>
          <w:numId w:val="5"/>
        </w:num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协调处理施工场地周围地下管线和邻近建筑物、构筑物（含文物保护建筑）、古树名木的保护工作：</w:t>
      </w:r>
      <w:r>
        <w:rPr>
          <w:rFonts w:hint="eastAsia" w:ascii="宋体" w:hAnsi="宋体"/>
          <w:color w:val="auto"/>
          <w:szCs w:val="21"/>
          <w:highlight w:val="none"/>
          <w:u w:val="single"/>
        </w:rPr>
        <w:t>按通用条款执行。</w:t>
      </w:r>
    </w:p>
    <w:p w14:paraId="2A497788">
      <w:pPr>
        <w:pStyle w:val="84"/>
        <w:numPr>
          <w:ilvl w:val="0"/>
          <w:numId w:val="5"/>
        </w:num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本项目受场地限制无法提供办公场地及劳务人员生活场地，承包人自行解决。</w:t>
      </w:r>
    </w:p>
    <w:p w14:paraId="019E996D">
      <w:pPr>
        <w:pStyle w:val="84"/>
        <w:keepNext/>
        <w:keepLines/>
        <w:spacing w:line="360" w:lineRule="auto"/>
        <w:ind w:firstLine="422"/>
        <w:rPr>
          <w:rFonts w:ascii="宋体" w:hAnsi="宋体"/>
          <w:b/>
          <w:bCs/>
          <w:color w:val="auto"/>
          <w:szCs w:val="32"/>
          <w:highlight w:val="none"/>
        </w:rPr>
      </w:pPr>
      <w:bookmarkStart w:id="313" w:name="_Toc389065271"/>
      <w:bookmarkStart w:id="314" w:name="_Toc373478352"/>
      <w:bookmarkStart w:id="315" w:name="_Toc373227705"/>
      <w:bookmarkStart w:id="316" w:name="_Toc20337"/>
      <w:r>
        <w:rPr>
          <w:rFonts w:hint="eastAsia" w:ascii="宋体" w:hAnsi="宋体"/>
          <w:b/>
          <w:bCs/>
          <w:color w:val="auto"/>
          <w:szCs w:val="32"/>
          <w:highlight w:val="none"/>
        </w:rPr>
        <w:t>2.5 资金来源证明及支付担保</w:t>
      </w:r>
      <w:bookmarkEnd w:id="313"/>
      <w:bookmarkEnd w:id="314"/>
      <w:bookmarkEnd w:id="315"/>
      <w:bookmarkEnd w:id="316"/>
    </w:p>
    <w:p w14:paraId="4FE3CC17">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1F1B9B">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205D021">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ascii="宋体" w:hAnsi="宋体"/>
          <w:color w:val="auto"/>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66ADFC7">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发包人提供的支付担保格式见合同附件9。</w:t>
      </w:r>
    </w:p>
    <w:p w14:paraId="6493B8F5">
      <w:pPr>
        <w:pStyle w:val="84"/>
        <w:spacing w:line="360" w:lineRule="auto"/>
        <w:ind w:firstLine="420" w:firstLineChars="200"/>
        <w:rPr>
          <w:rFonts w:ascii="宋体" w:hAnsi="宋体"/>
          <w:color w:val="auto"/>
          <w:szCs w:val="21"/>
          <w:highlight w:val="none"/>
          <w:u w:val="single"/>
        </w:rPr>
      </w:pPr>
      <w:r>
        <w:rPr>
          <w:rFonts w:hint="eastAsia" w:ascii="宋体" w:hAnsi="宋体"/>
          <w:color w:val="auto"/>
          <w:highlight w:val="none"/>
        </w:rPr>
        <w:t>2.6发包人应按合同约定向承包人及时支付合同条款，发包人在支付进度款时，通过银行转账方式，按进度款的</w:t>
      </w:r>
      <w:r>
        <w:rPr>
          <w:rFonts w:hint="eastAsia" w:ascii="宋体" w:hAnsi="宋体"/>
          <w:color w:val="auto"/>
          <w:highlight w:val="none"/>
          <w:u w:val="single"/>
        </w:rPr>
        <w:t xml:space="preserve"> 10 </w:t>
      </w:r>
      <w:r>
        <w:rPr>
          <w:rFonts w:hint="eastAsia" w:ascii="宋体" w:hAnsi="宋体"/>
          <w:color w:val="auto"/>
          <w:highlight w:val="none"/>
        </w:rPr>
        <w:t>%拨付到承包人农民工工资支付专用账户，专门用于支付农民工工资。</w:t>
      </w:r>
    </w:p>
    <w:p w14:paraId="3BF4D43D">
      <w:pPr>
        <w:pStyle w:val="84"/>
        <w:keepNext/>
        <w:keepLines/>
        <w:spacing w:before="60" w:after="60" w:line="412" w:lineRule="auto"/>
        <w:ind w:firstLine="422"/>
        <w:outlineLvl w:val="1"/>
        <w:rPr>
          <w:rFonts w:ascii="宋体" w:hAnsi="宋体"/>
          <w:b/>
          <w:bCs/>
          <w:color w:val="auto"/>
          <w:szCs w:val="32"/>
          <w:highlight w:val="none"/>
        </w:rPr>
      </w:pPr>
      <w:bookmarkStart w:id="317" w:name="_Toc389065272"/>
      <w:bookmarkStart w:id="318" w:name="_Toc373478353"/>
      <w:bookmarkStart w:id="319" w:name="_Toc26761"/>
      <w:bookmarkStart w:id="320" w:name="_Toc351203635"/>
      <w:bookmarkStart w:id="321" w:name="_Toc373227706"/>
      <w:r>
        <w:rPr>
          <w:rFonts w:hint="eastAsia" w:ascii="宋体" w:hAnsi="宋体"/>
          <w:b/>
          <w:bCs/>
          <w:color w:val="auto"/>
          <w:szCs w:val="32"/>
          <w:highlight w:val="none"/>
        </w:rPr>
        <w:t>3</w:t>
      </w:r>
      <w:bookmarkStart w:id="322" w:name="_Toc296346659"/>
      <w:bookmarkStart w:id="323" w:name="_Toc297120458"/>
      <w:bookmarkStart w:id="324" w:name="_Toc296944497"/>
      <w:bookmarkStart w:id="325" w:name="_Toc296347157"/>
      <w:bookmarkStart w:id="326" w:name="_Toc296891198"/>
      <w:bookmarkStart w:id="327" w:name="_Toc292559363"/>
      <w:bookmarkStart w:id="328" w:name="_Toc296890986"/>
      <w:bookmarkStart w:id="329" w:name="_Toc292559868"/>
      <w:bookmarkStart w:id="330" w:name="_Toc297048344"/>
      <w:bookmarkStart w:id="331" w:name="_Toc296503158"/>
      <w:r>
        <w:rPr>
          <w:rFonts w:hint="eastAsia" w:ascii="宋体" w:hAnsi="宋体"/>
          <w:b/>
          <w:bCs/>
          <w:color w:val="auto"/>
          <w:szCs w:val="32"/>
          <w:highlight w:val="none"/>
        </w:rPr>
        <w:t>. 承包人</w:t>
      </w:r>
      <w:bookmarkEnd w:id="317"/>
      <w:bookmarkEnd w:id="318"/>
      <w:bookmarkEnd w:id="319"/>
      <w:bookmarkEnd w:id="320"/>
      <w:bookmarkEnd w:id="321"/>
    </w:p>
    <w:bookmarkEnd w:id="322"/>
    <w:bookmarkEnd w:id="323"/>
    <w:bookmarkEnd w:id="324"/>
    <w:bookmarkEnd w:id="325"/>
    <w:bookmarkEnd w:id="326"/>
    <w:bookmarkEnd w:id="327"/>
    <w:bookmarkEnd w:id="328"/>
    <w:bookmarkEnd w:id="329"/>
    <w:bookmarkEnd w:id="330"/>
    <w:bookmarkEnd w:id="331"/>
    <w:p w14:paraId="2E60EFAA">
      <w:pPr>
        <w:pStyle w:val="84"/>
        <w:keepNext/>
        <w:keepLines/>
        <w:spacing w:line="360" w:lineRule="auto"/>
        <w:ind w:firstLine="422"/>
        <w:outlineLvl w:val="2"/>
        <w:rPr>
          <w:rFonts w:ascii="宋体" w:hAnsi="宋体"/>
          <w:b/>
          <w:bCs/>
          <w:color w:val="auto"/>
          <w:szCs w:val="32"/>
          <w:highlight w:val="none"/>
        </w:rPr>
      </w:pPr>
      <w:bookmarkStart w:id="332" w:name="_Toc373227707"/>
      <w:bookmarkStart w:id="333" w:name="_Toc373478354"/>
      <w:bookmarkStart w:id="334" w:name="_Toc389065273"/>
      <w:bookmarkStart w:id="335" w:name="_Toc15899"/>
      <w:r>
        <w:rPr>
          <w:rFonts w:hint="eastAsia" w:ascii="宋体" w:hAnsi="宋体"/>
          <w:b/>
          <w:bCs/>
          <w:color w:val="auto"/>
          <w:szCs w:val="32"/>
          <w:highlight w:val="none"/>
        </w:rPr>
        <w:t>3.1 承包人的一般义务</w:t>
      </w:r>
      <w:bookmarkEnd w:id="332"/>
      <w:bookmarkEnd w:id="333"/>
      <w:bookmarkEnd w:id="334"/>
      <w:bookmarkEnd w:id="335"/>
    </w:p>
    <w:p w14:paraId="6C28E4E5">
      <w:pPr>
        <w:pStyle w:val="84"/>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（9）</w:t>
      </w:r>
      <w:r>
        <w:rPr>
          <w:rFonts w:hint="eastAsia" w:ascii="宋体" w:hAnsi="宋体"/>
          <w:color w:val="auto"/>
          <w:szCs w:val="21"/>
          <w:highlight w:val="none"/>
        </w:rPr>
        <w:t>承包人提交的竣工资料的内容：</w:t>
      </w:r>
      <w:r>
        <w:rPr>
          <w:rFonts w:hint="eastAsia" w:ascii="宋体" w:hAnsi="宋体"/>
          <w:color w:val="auto"/>
          <w:szCs w:val="21"/>
          <w:highlight w:val="none"/>
          <w:u w:val="single"/>
        </w:rPr>
        <w:t>工程具备竣工验收条件，承包人按工程竣工验收有关规定，向发包人提交完整的竣工资料及竣工验收报告</w:t>
      </w:r>
      <w:r>
        <w:rPr>
          <w:rFonts w:hint="eastAsia" w:ascii="宋体" w:hAnsi="宋体"/>
          <w:color w:val="auto"/>
          <w:szCs w:val="21"/>
          <w:highlight w:val="none"/>
        </w:rPr>
        <w:t>。</w:t>
      </w:r>
    </w:p>
    <w:p w14:paraId="244E8DBB">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ascii="宋体" w:hAnsi="宋体"/>
          <w:color w:val="auto"/>
          <w:szCs w:val="21"/>
          <w:highlight w:val="none"/>
          <w:u w:val="single"/>
        </w:rPr>
        <w:t>竣工资料及竣工报告 捌 份</w:t>
      </w:r>
      <w:r>
        <w:rPr>
          <w:rFonts w:hint="eastAsia" w:ascii="宋体" w:hAnsi="宋体"/>
          <w:color w:val="auto"/>
          <w:szCs w:val="21"/>
          <w:highlight w:val="none"/>
        </w:rPr>
        <w:t>。</w:t>
      </w:r>
    </w:p>
    <w:p w14:paraId="0D577080">
      <w:pPr>
        <w:pStyle w:val="84"/>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highlight w:val="none"/>
          <w:u w:val="single"/>
        </w:rPr>
        <w:t xml:space="preserve">由承包人承担   </w:t>
      </w:r>
      <w:r>
        <w:rPr>
          <w:rFonts w:hint="eastAsia" w:ascii="宋体" w:hAnsi="宋体"/>
          <w:color w:val="auto"/>
          <w:szCs w:val="21"/>
          <w:highlight w:val="none"/>
        </w:rPr>
        <w:t>。</w:t>
      </w:r>
    </w:p>
    <w:p w14:paraId="6BA29161">
      <w:pPr>
        <w:pStyle w:val="84"/>
        <w:spacing w:line="360" w:lineRule="auto"/>
        <w:ind w:left="424" w:leftChars="202"/>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kern w:val="0"/>
          <w:highlight w:val="none"/>
          <w:u w:val="single"/>
        </w:rPr>
        <w:t xml:space="preserve">由承包人自检合格，认为工程具备完工验收条件须提前3天向工程师提出书面竣工验收申请报告及竣工资料，工程师应在收到竣工验收申请报告后14天内完成审查并报送发包人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DC8E3BD">
      <w:pPr>
        <w:pStyle w:val="84"/>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承包人提交的竣工资料形式要求：</w:t>
      </w:r>
      <w:r>
        <w:rPr>
          <w:color w:val="auto"/>
          <w:szCs w:val="21"/>
          <w:highlight w:val="none"/>
          <w:u w:val="single"/>
        </w:rPr>
        <w:t xml:space="preserve">  </w:t>
      </w:r>
      <w:r>
        <w:rPr>
          <w:rFonts w:hint="eastAsia"/>
          <w:color w:val="auto"/>
          <w:szCs w:val="21"/>
          <w:highlight w:val="none"/>
          <w:u w:val="single"/>
        </w:rPr>
        <w:t>竣工资料及竣工报告纸质捌份、电子版一份</w:t>
      </w:r>
      <w:r>
        <w:rPr>
          <w:color w:val="auto"/>
          <w:szCs w:val="21"/>
          <w:highlight w:val="none"/>
          <w:u w:val="single"/>
        </w:rPr>
        <w:t xml:space="preserve">     </w:t>
      </w:r>
      <w:r>
        <w:rPr>
          <w:rFonts w:hint="eastAsia" w:ascii="宋体" w:hAnsi="宋体"/>
          <w:color w:val="auto"/>
          <w:szCs w:val="21"/>
          <w:highlight w:val="none"/>
        </w:rPr>
        <w:t>。</w:t>
      </w:r>
    </w:p>
    <w:p w14:paraId="4E49796B">
      <w:pPr>
        <w:pStyle w:val="84"/>
        <w:numPr>
          <w:ilvl w:val="0"/>
          <w:numId w:val="6"/>
        </w:numPr>
        <w:spacing w:line="360" w:lineRule="auto"/>
        <w:ind w:left="424" w:leftChars="202" w:firstLine="420"/>
        <w:jc w:val="left"/>
        <w:rPr>
          <w:rFonts w:ascii="宋体" w:hAnsi="宋体"/>
          <w:color w:val="auto"/>
          <w:kern w:val="0"/>
          <w:szCs w:val="21"/>
          <w:highlight w:val="none"/>
        </w:rPr>
      </w:pPr>
      <w:r>
        <w:rPr>
          <w:rFonts w:hint="eastAsia" w:ascii="宋体" w:hAnsi="宋体"/>
          <w:color w:val="auto"/>
          <w:kern w:val="0"/>
          <w:szCs w:val="21"/>
          <w:highlight w:val="none"/>
        </w:rPr>
        <w:t>承包人应履行的其他义务：无</w:t>
      </w:r>
    </w:p>
    <w:p w14:paraId="4FF80DB6">
      <w:pPr>
        <w:pStyle w:val="84"/>
        <w:spacing w:line="360" w:lineRule="auto"/>
        <w:ind w:firstLine="422" w:firstLineChars="200"/>
        <w:jc w:val="left"/>
        <w:rPr>
          <w:rFonts w:ascii="宋体" w:hAnsi="宋体"/>
          <w:b/>
          <w:bCs/>
          <w:color w:val="auto"/>
          <w:szCs w:val="32"/>
          <w:highlight w:val="none"/>
        </w:rPr>
      </w:pPr>
      <w:bookmarkStart w:id="336" w:name="_Toc373478355"/>
      <w:bookmarkStart w:id="337" w:name="_Toc389065274"/>
      <w:bookmarkStart w:id="338" w:name="_Toc373227708"/>
      <w:bookmarkStart w:id="339" w:name="_Toc20483"/>
      <w:r>
        <w:rPr>
          <w:rFonts w:hint="eastAsia" w:ascii="宋体" w:hAnsi="宋体"/>
          <w:b/>
          <w:bCs/>
          <w:color w:val="auto"/>
          <w:szCs w:val="32"/>
          <w:highlight w:val="none"/>
        </w:rPr>
        <w:t>3.2 项目经理</w:t>
      </w:r>
      <w:bookmarkEnd w:id="336"/>
      <w:bookmarkEnd w:id="337"/>
      <w:bookmarkEnd w:id="338"/>
      <w:bookmarkEnd w:id="339"/>
    </w:p>
    <w:p w14:paraId="2751EAC5">
      <w:pPr>
        <w:pStyle w:val="84"/>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14:paraId="3995D78F">
      <w:pPr>
        <w:pStyle w:val="84"/>
        <w:spacing w:line="360" w:lineRule="auto"/>
        <w:ind w:firstLine="420" w:firstLineChars="200"/>
        <w:rPr>
          <w:rFonts w:ascii="宋体" w:hAnsi="宋体"/>
          <w:color w:val="auto"/>
          <w:highlight w:val="none"/>
        </w:rPr>
      </w:pPr>
      <w:r>
        <w:rPr>
          <w:rFonts w:hint="eastAsia" w:ascii="宋体" w:hAnsi="宋体"/>
          <w:color w:val="auto"/>
          <w:highlight w:val="none"/>
        </w:rPr>
        <w:t>姓    名：</w:t>
      </w:r>
      <w:r>
        <w:rPr>
          <w:rFonts w:hint="eastAsia" w:ascii="宋体" w:hAnsi="宋体"/>
          <w:color w:val="auto"/>
          <w:highlight w:val="none"/>
          <w:u w:val="single"/>
        </w:rPr>
        <w:t xml:space="preserve">         </w:t>
      </w:r>
      <w:r>
        <w:rPr>
          <w:rFonts w:hint="eastAsia" w:ascii="宋体" w:hAnsi="宋体"/>
          <w:color w:val="auto"/>
          <w:highlight w:val="none"/>
        </w:rPr>
        <w:t>；</w:t>
      </w:r>
    </w:p>
    <w:p w14:paraId="5E8AE8D5">
      <w:pPr>
        <w:pStyle w:val="84"/>
        <w:spacing w:line="360" w:lineRule="auto"/>
        <w:ind w:firstLine="420" w:firstLineChars="200"/>
        <w:rPr>
          <w:rFonts w:ascii="宋体" w:hAnsi="宋体"/>
          <w:color w:val="auto"/>
          <w:highlight w:val="none"/>
        </w:rPr>
      </w:pPr>
      <w:r>
        <w:rPr>
          <w:rFonts w:hint="eastAsia" w:ascii="宋体" w:hAnsi="宋体"/>
          <w:color w:val="auto"/>
          <w:highlight w:val="none"/>
        </w:rPr>
        <w:t>身份证号：</w:t>
      </w:r>
      <w:r>
        <w:rPr>
          <w:rFonts w:hint="eastAsia" w:ascii="宋体" w:hAnsi="宋体"/>
          <w:color w:val="auto"/>
          <w:highlight w:val="none"/>
          <w:u w:val="single"/>
        </w:rPr>
        <w:t xml:space="preserve">         </w:t>
      </w:r>
      <w:r>
        <w:rPr>
          <w:rFonts w:hint="eastAsia" w:ascii="宋体" w:hAnsi="宋体"/>
          <w:color w:val="auto"/>
          <w:highlight w:val="none"/>
        </w:rPr>
        <w:t>；</w:t>
      </w:r>
    </w:p>
    <w:p w14:paraId="0E8AFA08">
      <w:pPr>
        <w:pStyle w:val="84"/>
        <w:spacing w:line="360" w:lineRule="auto"/>
        <w:ind w:firstLine="420" w:firstLineChars="200"/>
        <w:rPr>
          <w:rFonts w:ascii="宋体" w:hAnsi="宋体"/>
          <w:color w:val="auto"/>
          <w:highlight w:val="none"/>
        </w:rPr>
      </w:pPr>
      <w:r>
        <w:rPr>
          <w:rFonts w:hint="eastAsia" w:ascii="宋体" w:hAnsi="宋体"/>
          <w:color w:val="auto"/>
          <w:highlight w:val="none"/>
        </w:rPr>
        <w:t>建造师执业资格等级：</w:t>
      </w:r>
      <w:r>
        <w:rPr>
          <w:rFonts w:hint="eastAsia" w:ascii="宋体" w:hAnsi="宋体"/>
          <w:color w:val="auto"/>
          <w:highlight w:val="none"/>
          <w:u w:val="single"/>
        </w:rPr>
        <w:t xml:space="preserve">   </w:t>
      </w:r>
      <w:r>
        <w:rPr>
          <w:rFonts w:hint="eastAsia" w:ascii="宋体" w:hAnsi="宋体"/>
          <w:color w:val="auto"/>
          <w:highlight w:val="none"/>
        </w:rPr>
        <w:t>；</w:t>
      </w:r>
    </w:p>
    <w:p w14:paraId="73767F3D">
      <w:pPr>
        <w:pStyle w:val="84"/>
        <w:spacing w:line="360" w:lineRule="auto"/>
        <w:ind w:firstLine="420" w:firstLineChars="200"/>
        <w:rPr>
          <w:rFonts w:ascii="宋体" w:hAnsi="宋体"/>
          <w:color w:val="auto"/>
          <w:highlight w:val="none"/>
        </w:rPr>
      </w:pPr>
      <w:r>
        <w:rPr>
          <w:rFonts w:hint="eastAsia" w:ascii="宋体" w:hAnsi="宋体"/>
          <w:color w:val="auto"/>
          <w:highlight w:val="none"/>
        </w:rPr>
        <w:t>建造师注册证书号：</w:t>
      </w:r>
      <w:r>
        <w:rPr>
          <w:rFonts w:hint="eastAsia" w:ascii="宋体" w:hAnsi="宋体"/>
          <w:color w:val="auto"/>
          <w:highlight w:val="none"/>
          <w:u w:val="single"/>
        </w:rPr>
        <w:t xml:space="preserve"> </w:t>
      </w:r>
      <w:r>
        <w:rPr>
          <w:rFonts w:hint="eastAsia" w:ascii="宋体" w:hAnsi="宋体"/>
          <w:color w:val="auto"/>
          <w:highlight w:val="none"/>
        </w:rPr>
        <w:t>；</w:t>
      </w:r>
    </w:p>
    <w:p w14:paraId="4F720B4D">
      <w:pPr>
        <w:pStyle w:val="84"/>
        <w:spacing w:line="360" w:lineRule="auto"/>
        <w:ind w:firstLine="420" w:firstLineChars="200"/>
        <w:rPr>
          <w:rFonts w:ascii="宋体" w:hAnsi="宋体"/>
          <w:color w:val="auto"/>
          <w:highlight w:val="none"/>
        </w:rPr>
      </w:pPr>
      <w:r>
        <w:rPr>
          <w:rFonts w:hint="eastAsia" w:ascii="宋体" w:hAnsi="宋体"/>
          <w:color w:val="auto"/>
          <w:highlight w:val="none"/>
        </w:rPr>
        <w:t>建造师执业印章号：</w:t>
      </w:r>
      <w:r>
        <w:rPr>
          <w:rFonts w:hint="eastAsia" w:ascii="宋体" w:hAnsi="宋体"/>
          <w:color w:val="auto"/>
          <w:highlight w:val="none"/>
          <w:u w:val="single"/>
        </w:rPr>
        <w:t xml:space="preserve"> </w:t>
      </w:r>
      <w:r>
        <w:rPr>
          <w:rFonts w:hint="eastAsia" w:ascii="宋体" w:hAnsi="宋体"/>
          <w:color w:val="auto"/>
          <w:highlight w:val="none"/>
        </w:rPr>
        <w:t>；</w:t>
      </w:r>
    </w:p>
    <w:p w14:paraId="4D4B54EC">
      <w:pPr>
        <w:pStyle w:val="84"/>
        <w:spacing w:line="360" w:lineRule="auto"/>
        <w:ind w:firstLine="420" w:firstLineChars="200"/>
        <w:rPr>
          <w:rFonts w:ascii="宋体" w:hAnsi="宋体"/>
          <w:color w:val="auto"/>
          <w:highlight w:val="none"/>
        </w:rPr>
      </w:pPr>
      <w:r>
        <w:rPr>
          <w:rFonts w:hint="eastAsia" w:ascii="宋体" w:hAnsi="宋体"/>
          <w:color w:val="auto"/>
          <w:highlight w:val="none"/>
        </w:rPr>
        <w:t>安全生产考核合格证书号：</w:t>
      </w:r>
      <w:r>
        <w:rPr>
          <w:rFonts w:hint="eastAsia" w:ascii="宋体" w:hAnsi="宋体"/>
          <w:color w:val="auto"/>
          <w:highlight w:val="none"/>
          <w:u w:val="single"/>
        </w:rPr>
        <w:t xml:space="preserve"> </w:t>
      </w:r>
      <w:r>
        <w:rPr>
          <w:rFonts w:hint="eastAsia" w:ascii="宋体" w:hAnsi="宋体"/>
          <w:color w:val="auto"/>
          <w:highlight w:val="none"/>
        </w:rPr>
        <w:t>；</w:t>
      </w:r>
    </w:p>
    <w:p w14:paraId="4319F8DD">
      <w:pPr>
        <w:pStyle w:val="84"/>
        <w:spacing w:line="360" w:lineRule="auto"/>
        <w:ind w:firstLine="420" w:firstLineChars="200"/>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xml:space="preserve">         </w:t>
      </w:r>
      <w:r>
        <w:rPr>
          <w:rFonts w:hint="eastAsia" w:ascii="宋体" w:hAnsi="宋体"/>
          <w:color w:val="auto"/>
          <w:highlight w:val="none"/>
        </w:rPr>
        <w:t>；</w:t>
      </w:r>
    </w:p>
    <w:p w14:paraId="2D76E5EC">
      <w:pPr>
        <w:pStyle w:val="84"/>
        <w:spacing w:line="360" w:lineRule="auto"/>
        <w:ind w:firstLine="420" w:firstLineChars="200"/>
        <w:rPr>
          <w:rFonts w:ascii="宋体" w:hAnsi="宋体"/>
          <w:color w:val="auto"/>
          <w:highlight w:val="none"/>
        </w:rPr>
      </w:pPr>
      <w:r>
        <w:rPr>
          <w:rFonts w:hint="eastAsia" w:ascii="宋体" w:hAnsi="宋体"/>
          <w:color w:val="auto"/>
          <w:highlight w:val="none"/>
        </w:rPr>
        <w:t>电子信箱：</w:t>
      </w:r>
      <w:r>
        <w:rPr>
          <w:rFonts w:hint="eastAsia" w:ascii="宋体" w:hAnsi="宋体"/>
          <w:color w:val="auto"/>
          <w:highlight w:val="none"/>
          <w:u w:val="single"/>
        </w:rPr>
        <w:t xml:space="preserve">         </w:t>
      </w:r>
      <w:r>
        <w:rPr>
          <w:rFonts w:hint="eastAsia" w:ascii="宋体" w:hAnsi="宋体"/>
          <w:color w:val="auto"/>
          <w:highlight w:val="none"/>
        </w:rPr>
        <w:t>；</w:t>
      </w:r>
    </w:p>
    <w:p w14:paraId="5DA1727F">
      <w:pPr>
        <w:pStyle w:val="84"/>
        <w:spacing w:line="360" w:lineRule="auto"/>
        <w:ind w:firstLine="420" w:firstLineChars="200"/>
        <w:rPr>
          <w:rFonts w:ascii="宋体" w:hAnsi="宋体"/>
          <w:color w:val="auto"/>
          <w:highlight w:val="none"/>
        </w:rPr>
      </w:pPr>
      <w:r>
        <w:rPr>
          <w:rFonts w:hint="eastAsia" w:ascii="宋体" w:hAnsi="宋体"/>
          <w:color w:val="auto"/>
          <w:highlight w:val="none"/>
        </w:rPr>
        <w:t>通信地址：</w:t>
      </w:r>
      <w:r>
        <w:rPr>
          <w:rFonts w:hint="eastAsia" w:ascii="宋体" w:hAnsi="宋体"/>
          <w:color w:val="auto"/>
          <w:highlight w:val="none"/>
          <w:u w:val="single"/>
        </w:rPr>
        <w:t xml:space="preserve">         </w:t>
      </w:r>
      <w:r>
        <w:rPr>
          <w:rFonts w:hint="eastAsia" w:ascii="宋体" w:hAnsi="宋体"/>
          <w:color w:val="auto"/>
          <w:highlight w:val="none"/>
        </w:rPr>
        <w:t>；</w:t>
      </w:r>
    </w:p>
    <w:p w14:paraId="58E00025">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项目经理仅限于工程的现场施工管理，未经承包人盖章同意授权下不得以承包人名义向外采购材料设备、租用建筑周转材料、雇佣劳动力、签订分包合同等从事一切为承包人设立义务或责任的行为 。承包人项目经理按发包人代表批准的施工组织设计（或施工方案）和依据合同发出的指令、要求组织施工。在情况紧急且无法与发包人代表联系的情况下，可采取保护人员生命和工程、财产安全的紧急措施，并在采取措施后 24小时内向发包人代表送交报告。责任在发包人，由发包人承担由此发生的追加合同价款，相应顺延工期；责任在承包人，由承包人承担费用，工期不顺延，给发包人或相关方造成损失的，由承包人承担赔偿责任</w:t>
      </w:r>
      <w:r>
        <w:rPr>
          <w:rFonts w:hint="eastAsia" w:ascii="宋体" w:hAnsi="宋体"/>
          <w:color w:val="auto"/>
          <w:szCs w:val="21"/>
          <w:highlight w:val="none"/>
        </w:rPr>
        <w:t>。</w:t>
      </w:r>
    </w:p>
    <w:p w14:paraId="34A2EB32">
      <w:pPr>
        <w:pStyle w:val="84"/>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关于项目经理每月在施工现场的时间要求：</w:t>
      </w:r>
      <w:r>
        <w:rPr>
          <w:rFonts w:hint="eastAsia" w:ascii="宋体" w:hAnsi="宋体"/>
          <w:color w:val="auto"/>
          <w:szCs w:val="21"/>
          <w:highlight w:val="none"/>
          <w:u w:val="single"/>
        </w:rPr>
        <w:t>每月在岗带班时间不得少于当月施工时间的80%。</w:t>
      </w:r>
    </w:p>
    <w:p w14:paraId="41FF00FA">
      <w:pPr>
        <w:pStyle w:val="84"/>
        <w:spacing w:line="360" w:lineRule="auto"/>
        <w:ind w:firstLine="420" w:firstLineChars="200"/>
        <w:rPr>
          <w:rFonts w:ascii="宋体" w:hAnsi="宋体"/>
          <w:color w:val="auto"/>
          <w:szCs w:val="21"/>
          <w:highlight w:val="none"/>
          <w:u w:val="single"/>
        </w:rPr>
      </w:pPr>
      <w:r>
        <w:rPr>
          <w:rFonts w:hint="eastAsia" w:ascii="宋体" w:hAnsi="宋体"/>
          <w:color w:val="auto"/>
          <w:kern w:val="0"/>
          <w:szCs w:val="21"/>
          <w:highlight w:val="none"/>
        </w:rPr>
        <w:t>承包人未提交劳动合同，以及没有为项目经理缴纳社会保险证明的违约责任：</w:t>
      </w:r>
      <w:r>
        <w:rPr>
          <w:rFonts w:hint="eastAsia" w:ascii="宋体" w:hAnsi="宋体"/>
          <w:b/>
          <w:color w:val="auto"/>
          <w:highlight w:val="none"/>
          <w:u w:val="single"/>
        </w:rPr>
        <w:t>发包人有权处违约金 3万元，并按照相关规定报行政主管部门处理</w:t>
      </w:r>
      <w:r>
        <w:rPr>
          <w:rFonts w:hint="eastAsia" w:ascii="宋体" w:hAnsi="宋体"/>
          <w:color w:val="auto"/>
          <w:highlight w:val="none"/>
          <w:u w:val="single"/>
        </w:rPr>
        <w:t xml:space="preserve"> </w:t>
      </w:r>
      <w:r>
        <w:rPr>
          <w:rFonts w:hint="eastAsia" w:ascii="宋体" w:hAnsi="宋体"/>
          <w:color w:val="auto"/>
          <w:szCs w:val="21"/>
          <w:highlight w:val="none"/>
        </w:rPr>
        <w:t>。</w:t>
      </w:r>
    </w:p>
    <w:p w14:paraId="7B508AD2">
      <w:pPr>
        <w:pStyle w:val="84"/>
        <w:spacing w:line="360" w:lineRule="auto"/>
        <w:ind w:firstLine="420" w:firstLineChars="200"/>
        <w:rPr>
          <w:rFonts w:ascii="宋体" w:hAnsi="宋体"/>
          <w:color w:val="auto"/>
          <w:szCs w:val="21"/>
          <w:highlight w:val="none"/>
          <w:u w:val="single"/>
        </w:rPr>
      </w:pPr>
      <w:r>
        <w:rPr>
          <w:rFonts w:hint="eastAsia" w:ascii="宋体" w:hAnsi="宋体"/>
          <w:color w:val="auto"/>
          <w:kern w:val="0"/>
          <w:szCs w:val="21"/>
          <w:highlight w:val="none"/>
        </w:rPr>
        <w:t>项目经理未经批准，擅自离开施工现场的违约责任：</w:t>
      </w:r>
      <w:r>
        <w:rPr>
          <w:rFonts w:hint="eastAsia" w:ascii="宋体" w:hAnsi="宋体"/>
          <w:b/>
          <w:color w:val="auto"/>
          <w:szCs w:val="21"/>
          <w:highlight w:val="none"/>
          <w:u w:val="single"/>
        </w:rPr>
        <w:t>项目经理每月在岗带班时间不得少于当月施工时间的80%。未经发包人同意或正当理由，项目经理每月在岗带班时间少于当月施工时间80%的，少在岗带班一天，发包人有权处违约金500元/日（人民币）。</w:t>
      </w:r>
    </w:p>
    <w:p w14:paraId="5029A6EB">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3.2.3 承包人擅自更换项目经理的违约责任：</w:t>
      </w:r>
      <w:r>
        <w:rPr>
          <w:rFonts w:hint="eastAsia" w:ascii="宋体" w:hAnsi="宋体"/>
          <w:b/>
          <w:color w:val="auto"/>
          <w:szCs w:val="21"/>
          <w:highlight w:val="none"/>
          <w:u w:val="single"/>
        </w:rPr>
        <w:t>承包人项目经理必须与承包人投标时所承诺的人员一致，并在开工日期前到任。在监理人向承包人颁发竣工验收报告前，项目经理不得同时兼任其他任何项目的项目经理（符合桂建管﹝2013﹞17号和桂建管﹝2014﹞25号文除外）。未经发包人书面同意，承包人擅自更换项目经理的视为违约，违约金处5000元/人•次（人民币）。</w:t>
      </w:r>
    </w:p>
    <w:p w14:paraId="2F191769">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3.2.4 承包人无正当理由拒绝更换项目经理的违约责任：</w:t>
      </w:r>
      <w:r>
        <w:rPr>
          <w:rFonts w:hint="eastAsia" w:ascii="宋体" w:hAnsi="宋体"/>
          <w:b/>
          <w:color w:val="auto"/>
          <w:szCs w:val="21"/>
          <w:highlight w:val="none"/>
          <w:u w:val="single"/>
        </w:rPr>
        <w:t>因承包人项目经理不称职，发包人要求调换</w:t>
      </w:r>
      <w:r>
        <w:rPr>
          <w:rFonts w:hint="eastAsia" w:ascii="宋体" w:hAnsi="宋体"/>
          <w:b/>
          <w:bCs/>
          <w:color w:val="auto"/>
          <w:szCs w:val="21"/>
          <w:highlight w:val="none"/>
          <w:u w:val="single"/>
        </w:rPr>
        <w:t>的承包人必须在7天内调换，未及时调换的，</w:t>
      </w:r>
      <w:r>
        <w:rPr>
          <w:rFonts w:hint="eastAsia" w:ascii="宋体" w:hAnsi="宋体"/>
          <w:b/>
          <w:color w:val="auto"/>
          <w:szCs w:val="21"/>
          <w:highlight w:val="none"/>
          <w:u w:val="single"/>
        </w:rPr>
        <w:t>视为承包人违约，必须向发包人交纳处违约金5000元/人•次（人民币）</w:t>
      </w:r>
      <w:r>
        <w:rPr>
          <w:rFonts w:hint="eastAsia" w:ascii="宋体" w:hAnsi="宋体"/>
          <w:color w:val="auto"/>
          <w:szCs w:val="21"/>
          <w:highlight w:val="none"/>
        </w:rPr>
        <w:t>。</w:t>
      </w:r>
    </w:p>
    <w:p w14:paraId="21DAB698">
      <w:pPr>
        <w:pStyle w:val="84"/>
        <w:keepNext/>
        <w:keepLines/>
        <w:spacing w:line="360" w:lineRule="auto"/>
        <w:ind w:firstLine="422"/>
        <w:outlineLvl w:val="2"/>
        <w:rPr>
          <w:rFonts w:ascii="宋体" w:hAnsi="宋体"/>
          <w:b/>
          <w:bCs/>
          <w:color w:val="auto"/>
          <w:szCs w:val="32"/>
          <w:highlight w:val="none"/>
        </w:rPr>
      </w:pPr>
      <w:bookmarkStart w:id="340" w:name="_Toc17124"/>
      <w:bookmarkStart w:id="341" w:name="_Toc373478356"/>
      <w:bookmarkStart w:id="342" w:name="_Toc373227709"/>
      <w:bookmarkStart w:id="343" w:name="_Toc389065275"/>
      <w:r>
        <w:rPr>
          <w:rFonts w:hint="eastAsia" w:ascii="宋体" w:hAnsi="宋体"/>
          <w:b/>
          <w:bCs/>
          <w:color w:val="auto"/>
          <w:szCs w:val="32"/>
          <w:highlight w:val="none"/>
        </w:rPr>
        <w:t>3.3 承包人人员</w:t>
      </w:r>
      <w:bookmarkEnd w:id="340"/>
      <w:bookmarkEnd w:id="341"/>
      <w:bookmarkEnd w:id="342"/>
      <w:bookmarkEnd w:id="343"/>
    </w:p>
    <w:p w14:paraId="28A3EA12">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 承包人提交项目管理机构及施工现场管理人员安排报告（格式见合同附件5）的期限：</w:t>
      </w:r>
      <w:r>
        <w:rPr>
          <w:rFonts w:hint="eastAsia" w:ascii="宋体" w:hAnsi="宋体"/>
          <w:color w:val="auto"/>
          <w:szCs w:val="21"/>
          <w:highlight w:val="none"/>
          <w:u w:val="single"/>
        </w:rPr>
        <w:t xml:space="preserve"> 开工前 7 日内  </w:t>
      </w:r>
      <w:r>
        <w:rPr>
          <w:rFonts w:hint="eastAsia" w:ascii="宋体" w:hAnsi="宋体"/>
          <w:color w:val="auto"/>
          <w:szCs w:val="21"/>
          <w:highlight w:val="none"/>
        </w:rPr>
        <w:t>。</w:t>
      </w:r>
    </w:p>
    <w:p w14:paraId="489A2847">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3.3.2承包人须严格按照响应文件要求配备现场管理人员，并做好出勤记录。</w:t>
      </w:r>
    </w:p>
    <w:p w14:paraId="627C019D">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ascii="宋体" w:hAnsi="宋体"/>
          <w:color w:val="auto"/>
          <w:szCs w:val="21"/>
          <w:highlight w:val="none"/>
          <w:u w:val="single"/>
        </w:rPr>
        <w:t>因承包人主要施工管理人员不称职，发包人要求调换而无正当理由拒绝撤换或未及时调换的，视为承包人违约，必须向发包人交纳处违约金，处罚标准：技术负责人3000元/人•次（人民币）；专业工程师2000元/人•次（人民币）</w:t>
      </w:r>
      <w:r>
        <w:rPr>
          <w:rFonts w:hint="eastAsia" w:ascii="宋体" w:hAnsi="宋体"/>
          <w:color w:val="auto"/>
          <w:szCs w:val="21"/>
          <w:highlight w:val="none"/>
        </w:rPr>
        <w:t>。</w:t>
      </w:r>
    </w:p>
    <w:p w14:paraId="77071FEF">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 xml:space="preserve">  业主方项目负责人书面同意  </w:t>
      </w:r>
      <w:r>
        <w:rPr>
          <w:rFonts w:hint="eastAsia" w:ascii="宋体" w:hAnsi="宋体"/>
          <w:color w:val="auto"/>
          <w:szCs w:val="21"/>
          <w:highlight w:val="none"/>
        </w:rPr>
        <w:t>。</w:t>
      </w:r>
    </w:p>
    <w:p w14:paraId="72C5BBA6">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3.3.5 承包人擅自更换主要施工管理人员的违约责任：</w:t>
      </w:r>
      <w:r>
        <w:rPr>
          <w:rFonts w:hint="eastAsia" w:ascii="宋体" w:hAnsi="宋体"/>
          <w:color w:val="auto"/>
          <w:szCs w:val="21"/>
          <w:highlight w:val="none"/>
          <w:u w:val="single"/>
        </w:rPr>
        <w:t>项目技术负责人、专职安全员及其承诺的其它在场管理人员未经发包人书面同意不准擅自更换，擅自更换项目技术负责人处5000元/人•次（人民币）违约金；擅自更换专职安全员处2000元/人•次（人民币）违约金；擅自更换其它在场管理人员处2000元/人•次（人民币）违约金</w:t>
      </w:r>
      <w:r>
        <w:rPr>
          <w:rFonts w:hint="eastAsia" w:ascii="宋体" w:hAnsi="宋体"/>
          <w:color w:val="auto"/>
          <w:szCs w:val="21"/>
          <w:highlight w:val="none"/>
        </w:rPr>
        <w:t>。</w:t>
      </w:r>
    </w:p>
    <w:p w14:paraId="4FE49608">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ascii="宋体" w:hAnsi="宋体"/>
          <w:color w:val="auto"/>
          <w:szCs w:val="21"/>
          <w:highlight w:val="none"/>
          <w:u w:val="single"/>
        </w:rPr>
        <w:t>未经发包人同意，项目负责人、施工项目经理擅自离开施工现场4小时以上的，视为承包人违约，发包人有权处违约金500元/人•次（人民币）；未经发包人同意，技术负责人、施工管理负责人（项目副经理）擅自离开施工现场4小时以上的，视为承包人违约，发包人有权处违约金400元/人•次（人民币）；未经发包人同意，施工员、专职安全员擅自离开施工现场4小时以上的，视为承包人违约，发包人有权处违约金300元/人•次（人民币）；其它在场管理人员擅自离开施工现场4小时以上的，视为承包人违约，发包人有权处违约金200元/人•次（人民币）；人员擅自离场连续离场超过1日的，按照1日2次累计。</w:t>
      </w:r>
    </w:p>
    <w:p w14:paraId="1873301F">
      <w:pPr>
        <w:pStyle w:val="84"/>
        <w:keepNext/>
        <w:keepLines/>
        <w:spacing w:line="360" w:lineRule="auto"/>
        <w:ind w:firstLine="422"/>
        <w:outlineLvl w:val="2"/>
        <w:rPr>
          <w:rFonts w:ascii="宋体" w:hAnsi="宋体"/>
          <w:b/>
          <w:bCs/>
          <w:color w:val="auto"/>
          <w:szCs w:val="32"/>
          <w:highlight w:val="none"/>
        </w:rPr>
      </w:pPr>
      <w:bookmarkStart w:id="344" w:name="_Toc373227710"/>
      <w:bookmarkStart w:id="345" w:name="_Toc373478357"/>
      <w:bookmarkStart w:id="346" w:name="_Toc389065276"/>
      <w:bookmarkStart w:id="347" w:name="_Toc3880"/>
      <w:r>
        <w:rPr>
          <w:rFonts w:hint="eastAsia" w:ascii="宋体" w:hAnsi="宋体"/>
          <w:b/>
          <w:bCs/>
          <w:color w:val="auto"/>
          <w:szCs w:val="32"/>
          <w:highlight w:val="none"/>
        </w:rPr>
        <w:t>3</w:t>
      </w:r>
      <w:bookmarkStart w:id="348" w:name="_Toc304295523"/>
      <w:bookmarkStart w:id="349" w:name="_Toc296944498"/>
      <w:bookmarkStart w:id="350" w:name="_Toc297216151"/>
      <w:bookmarkStart w:id="351" w:name="_Toc297048345"/>
      <w:bookmarkStart w:id="352" w:name="_Toc300934945"/>
      <w:bookmarkStart w:id="353" w:name="_Toc312677988"/>
      <w:bookmarkStart w:id="354" w:name="_Toc292559364"/>
      <w:bookmarkStart w:id="355" w:name="_Toc292559869"/>
      <w:bookmarkStart w:id="356" w:name="_Toc296347158"/>
      <w:bookmarkStart w:id="357" w:name="_Toc296346660"/>
      <w:bookmarkStart w:id="358" w:name="_Toc297120459"/>
      <w:bookmarkStart w:id="359" w:name="_Toc297123492"/>
      <w:bookmarkStart w:id="360" w:name="_Toc296891199"/>
      <w:bookmarkStart w:id="361" w:name="_Toc303539102"/>
      <w:bookmarkStart w:id="362" w:name="_Toc296503159"/>
      <w:bookmarkStart w:id="363" w:name="_Toc296890987"/>
      <w:r>
        <w:rPr>
          <w:rFonts w:hint="eastAsia" w:ascii="宋体" w:hAnsi="宋体"/>
          <w:b/>
          <w:bCs/>
          <w:color w:val="auto"/>
          <w:szCs w:val="32"/>
          <w:highlight w:val="none"/>
        </w:rPr>
        <w:t>.5 分包</w:t>
      </w:r>
      <w:bookmarkEnd w:id="344"/>
      <w:bookmarkEnd w:id="345"/>
      <w:bookmarkEnd w:id="346"/>
      <w:bookmarkEnd w:id="347"/>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14:paraId="7CE153DD">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bookmarkStart w:id="364" w:name="_Toc318581158"/>
      <w:bookmarkStart w:id="365" w:name="_Toc297048346"/>
      <w:bookmarkStart w:id="366" w:name="_Toc297216152"/>
      <w:bookmarkStart w:id="367" w:name="_Toc304295524"/>
      <w:bookmarkStart w:id="368" w:name="_Toc296890988"/>
      <w:bookmarkStart w:id="369" w:name="_Toc312677989"/>
      <w:bookmarkStart w:id="370" w:name="_Toc296503160"/>
      <w:bookmarkStart w:id="371" w:name="_Toc296891200"/>
      <w:bookmarkStart w:id="372" w:name="_Toc296944499"/>
      <w:bookmarkStart w:id="373" w:name="_Toc300934946"/>
      <w:bookmarkStart w:id="374" w:name="_Toc292559365"/>
      <w:bookmarkStart w:id="375" w:name="_Toc297123493"/>
      <w:bookmarkStart w:id="376" w:name="_Toc296347159"/>
      <w:bookmarkStart w:id="377" w:name="_Toc296346661"/>
      <w:bookmarkStart w:id="378" w:name="_Toc297120460"/>
      <w:bookmarkStart w:id="379" w:name="_Toc303539103"/>
      <w:bookmarkStart w:id="380" w:name="_Toc292559870"/>
      <w:r>
        <w:rPr>
          <w:rFonts w:hint="eastAsia" w:ascii="宋体" w:hAnsi="宋体"/>
          <w:color w:val="auto"/>
          <w:szCs w:val="21"/>
          <w:highlight w:val="none"/>
        </w:rPr>
        <w:t>.5.1 分包的一般约定</w:t>
      </w:r>
    </w:p>
    <w:p w14:paraId="38DF74CA">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w:t>
      </w:r>
      <w:r>
        <w:rPr>
          <w:rFonts w:hint="eastAsia"/>
          <w:color w:val="auto"/>
          <w:szCs w:val="21"/>
          <w:highlight w:val="none"/>
          <w:u w:val="single"/>
        </w:rPr>
        <w:t>本项目包含的所有工程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91C232">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AB48F25">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381" w:name="_Toc318581159"/>
      <w:bookmarkStart w:id="382" w:name="_Toc312677990"/>
      <w:r>
        <w:rPr>
          <w:rFonts w:hint="eastAsia" w:ascii="宋体" w:hAnsi="宋体"/>
          <w:color w:val="auto"/>
          <w:szCs w:val="21"/>
          <w:highlight w:val="none"/>
        </w:rPr>
        <w:t>.5.2 分包的确定</w:t>
      </w:r>
    </w:p>
    <w:p w14:paraId="2B9D9111">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无   </w:t>
      </w:r>
      <w:r>
        <w:rPr>
          <w:rFonts w:hint="eastAsia" w:ascii="宋体" w:hAnsi="宋体"/>
          <w:color w:val="auto"/>
          <w:szCs w:val="21"/>
          <w:highlight w:val="none"/>
        </w:rPr>
        <w:t>。</w:t>
      </w:r>
    </w:p>
    <w:bookmarkEnd w:id="381"/>
    <w:bookmarkEnd w:id="382"/>
    <w:p w14:paraId="6E84BE53">
      <w:pPr>
        <w:pStyle w:val="84"/>
        <w:keepNext/>
        <w:keepLines/>
        <w:spacing w:line="360" w:lineRule="auto"/>
        <w:ind w:firstLine="422"/>
        <w:outlineLvl w:val="2"/>
        <w:rPr>
          <w:rFonts w:ascii="宋体" w:hAnsi="宋体"/>
          <w:b/>
          <w:bCs/>
          <w:color w:val="auto"/>
          <w:szCs w:val="32"/>
          <w:highlight w:val="none"/>
        </w:rPr>
      </w:pPr>
      <w:bookmarkStart w:id="383" w:name="_Toc8082"/>
      <w:bookmarkStart w:id="384" w:name="_Toc373478358"/>
      <w:bookmarkStart w:id="385" w:name="_Toc373227711"/>
      <w:bookmarkStart w:id="386" w:name="_Toc389065277"/>
      <w:r>
        <w:rPr>
          <w:rFonts w:hint="eastAsia" w:ascii="宋体" w:hAnsi="宋体"/>
          <w:b/>
          <w:bCs/>
          <w:color w:val="auto"/>
          <w:szCs w:val="32"/>
          <w:highlight w:val="none"/>
        </w:rPr>
        <w:t>3.6 工程照管与成品、半成品保护</w:t>
      </w:r>
      <w:bookmarkEnd w:id="383"/>
      <w:bookmarkEnd w:id="384"/>
      <w:bookmarkEnd w:id="385"/>
      <w:bookmarkEnd w:id="386"/>
    </w:p>
    <w:p w14:paraId="5304AB3B">
      <w:pPr>
        <w:pStyle w:val="84"/>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 xml:space="preserve">  </w:t>
      </w:r>
      <w:r>
        <w:rPr>
          <w:rFonts w:hint="eastAsia" w:ascii="宋体" w:hAnsi="宋体" w:cs="宋体"/>
          <w:color w:val="auto"/>
          <w:kern w:val="0"/>
          <w:highlight w:val="none"/>
          <w:u w:val="single"/>
        </w:rPr>
        <w:t>从开工之日起至竣工验收合格交付使用之日止</w:t>
      </w:r>
      <w:r>
        <w:rPr>
          <w:rFonts w:hint="eastAsia" w:ascii="宋体" w:hAnsi="宋体"/>
          <w:color w:val="auto"/>
          <w:kern w:val="0"/>
          <w:highlight w:val="none"/>
          <w:u w:val="single"/>
        </w:rPr>
        <w:t>。</w:t>
      </w:r>
    </w:p>
    <w:p w14:paraId="27B36D75">
      <w:pPr>
        <w:pStyle w:val="84"/>
        <w:keepNext/>
        <w:keepLines/>
        <w:spacing w:line="360" w:lineRule="auto"/>
        <w:ind w:firstLine="422"/>
        <w:outlineLvl w:val="2"/>
        <w:rPr>
          <w:rFonts w:ascii="宋体" w:hAnsi="宋体"/>
          <w:b/>
          <w:bCs/>
          <w:color w:val="auto"/>
          <w:szCs w:val="32"/>
          <w:highlight w:val="none"/>
        </w:rPr>
      </w:pPr>
      <w:bookmarkStart w:id="387" w:name="_Toc389065278"/>
      <w:bookmarkStart w:id="388" w:name="_Toc373227712"/>
      <w:bookmarkStart w:id="389" w:name="_Toc373478359"/>
      <w:bookmarkStart w:id="390" w:name="_Toc8926"/>
      <w:r>
        <w:rPr>
          <w:rFonts w:hint="eastAsia" w:ascii="宋体" w:hAnsi="宋体"/>
          <w:b/>
          <w:bCs/>
          <w:color w:val="auto"/>
          <w:szCs w:val="32"/>
          <w:highlight w:val="none"/>
        </w:rPr>
        <w:t>3.7 履约</w:t>
      </w:r>
      <w:bookmarkEnd w:id="387"/>
      <w:bookmarkEnd w:id="388"/>
      <w:bookmarkEnd w:id="389"/>
      <w:r>
        <w:rPr>
          <w:rFonts w:hint="eastAsia" w:ascii="宋体" w:hAnsi="宋体"/>
          <w:b/>
          <w:bCs/>
          <w:color w:val="auto"/>
          <w:szCs w:val="32"/>
          <w:highlight w:val="none"/>
        </w:rPr>
        <w:t>保证金</w:t>
      </w:r>
      <w:bookmarkEnd w:id="390"/>
    </w:p>
    <w:p w14:paraId="08AF4543">
      <w:pPr>
        <w:spacing w:line="360" w:lineRule="auto"/>
        <w:ind w:firstLine="420" w:firstLineChars="200"/>
        <w:jc w:val="left"/>
        <w:rPr>
          <w:rFonts w:ascii="宋体" w:hAnsi="宋体" w:cs="宋体"/>
          <w:color w:val="auto"/>
          <w:szCs w:val="21"/>
          <w:highlight w:val="none"/>
        </w:rPr>
      </w:pPr>
      <w:bookmarkStart w:id="391" w:name="_Toc389065279"/>
      <w:bookmarkStart w:id="392" w:name="_Toc351203636"/>
      <w:bookmarkStart w:id="393" w:name="_Toc373478360"/>
      <w:bookmarkStart w:id="394" w:name="_Toc373227713"/>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14:paraId="3A20F555">
      <w:pPr>
        <w:pStyle w:val="84"/>
        <w:spacing w:line="360" w:lineRule="auto"/>
        <w:ind w:firstLine="420" w:firstLineChars="200"/>
        <w:rPr>
          <w:color w:val="auto"/>
          <w:highlight w:val="none"/>
        </w:rPr>
      </w:pPr>
      <w:r>
        <w:rPr>
          <w:rFonts w:hint="eastAsia" w:ascii="宋体" w:hAnsi="宋体" w:cs="宋体"/>
          <w:color w:val="auto"/>
          <w:szCs w:val="21"/>
          <w:highlight w:val="none"/>
        </w:rPr>
        <w:t>承包人提供履约担保的形式、金额及期限：</w:t>
      </w:r>
      <w:r>
        <w:rPr>
          <w:rFonts w:hint="eastAsia" w:ascii="宋体" w:hAnsi="宋体" w:cs="宋体"/>
          <w:color w:val="auto"/>
          <w:szCs w:val="21"/>
          <w:highlight w:val="none"/>
          <w:u w:val="single"/>
        </w:rPr>
        <w:t xml:space="preserve"> 见3.7.1 </w:t>
      </w:r>
      <w:r>
        <w:rPr>
          <w:rFonts w:hint="eastAsia" w:ascii="宋体" w:hAnsi="宋体"/>
          <w:color w:val="auto"/>
          <w:szCs w:val="21"/>
          <w:highlight w:val="none"/>
        </w:rPr>
        <w:t>。</w:t>
      </w:r>
    </w:p>
    <w:p w14:paraId="3ED63371">
      <w:pPr>
        <w:pStyle w:val="84"/>
        <w:spacing w:line="360" w:lineRule="auto"/>
        <w:ind w:firstLine="422"/>
        <w:jc w:val="left"/>
        <w:rPr>
          <w:rFonts w:ascii="宋体" w:hAnsi="宋体"/>
          <w:b/>
          <w:color w:val="auto"/>
          <w:szCs w:val="21"/>
          <w:highlight w:val="none"/>
        </w:rPr>
      </w:pPr>
      <w:r>
        <w:rPr>
          <w:rFonts w:hint="eastAsia" w:ascii="宋体" w:hAnsi="宋体"/>
          <w:b/>
          <w:color w:val="auto"/>
          <w:szCs w:val="21"/>
          <w:highlight w:val="none"/>
        </w:rPr>
        <w:t>3.7.1履约保证金的缴纳方式：</w:t>
      </w:r>
    </w:p>
    <w:p w14:paraId="5B788134">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（1）承包人可通过银行转账方式向发包人缴纳</w:t>
      </w:r>
      <w:r>
        <w:rPr>
          <w:rFonts w:hint="eastAsia" w:ascii="宋体" w:hAnsi="宋体"/>
          <w:color w:val="auto"/>
          <w:szCs w:val="21"/>
          <w:highlight w:val="none"/>
          <w:u w:val="single"/>
        </w:rPr>
        <w:t>成交金额2%的</w:t>
      </w:r>
      <w:r>
        <w:rPr>
          <w:rFonts w:hint="eastAsia" w:ascii="宋体" w:hAnsi="宋体"/>
          <w:color w:val="auto"/>
          <w:szCs w:val="21"/>
          <w:highlight w:val="none"/>
        </w:rPr>
        <w:t>履约保证金。</w:t>
      </w:r>
    </w:p>
    <w:p w14:paraId="34399292">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（2）承包人提供履约担保，具体的形式、金额及期限为：</w:t>
      </w:r>
      <w:bookmarkStart w:id="395" w:name="OLE_LINK97"/>
      <w:bookmarkStart w:id="396" w:name="OLE_LINK98"/>
      <w:r>
        <w:rPr>
          <w:rFonts w:hint="eastAsia" w:ascii="宋体" w:hAnsi="宋体"/>
          <w:color w:val="auto"/>
          <w:szCs w:val="21"/>
          <w:highlight w:val="none"/>
          <w:u w:val="single"/>
        </w:rPr>
        <w:t>承包人在收到成交通知书后，须在20日内向发包人提交成交金额的2%的履约担保（格式见合同附件7）。履约担保的有效期应当自本合同生效之日起至发包人签认并由监理人向承包人出具竣工验收报告之日止。如果承包人无法获得一份不带具体截止日期的担保，履约担保中应当有“变更工程竣工日期的，保证期间按照变更后的竣工日期做相应调整”或类似约定的条款。</w:t>
      </w:r>
      <w:bookmarkEnd w:id="395"/>
      <w:bookmarkEnd w:id="396"/>
    </w:p>
    <w:p w14:paraId="7D6EFDDF">
      <w:pPr>
        <w:pStyle w:val="84"/>
        <w:spacing w:line="360" w:lineRule="auto"/>
        <w:ind w:firstLine="422"/>
        <w:jc w:val="left"/>
        <w:rPr>
          <w:rFonts w:ascii="宋体" w:hAnsi="宋体"/>
          <w:b/>
          <w:color w:val="auto"/>
          <w:szCs w:val="21"/>
          <w:highlight w:val="none"/>
        </w:rPr>
      </w:pPr>
      <w:r>
        <w:rPr>
          <w:rFonts w:hint="eastAsia" w:ascii="宋体" w:hAnsi="宋体"/>
          <w:b/>
          <w:color w:val="auto"/>
          <w:szCs w:val="21"/>
          <w:highlight w:val="none"/>
        </w:rPr>
        <w:t>3.7.2履约保证金的退还：</w:t>
      </w:r>
    </w:p>
    <w:p w14:paraId="232513F3">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采用银行转账方式缴纳履约保证金的，工程竣工验收合格并对验收发现的问题完成整改后的5个工作日内，发包人支付履约保证金的50%；承包人向发包人完成（施工）竣工资料移交手续后，可向发包人申请退还剩余履约保证金，发包人应在收到申请之日起28个日历天内扣减承包人赔偿金和其他应从承包人扣回的款项后，在5个工作日内将履约保证金的余额退还给承包人（无息）。</w:t>
      </w:r>
    </w:p>
    <w:p w14:paraId="7C9EF59F">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承包人提供履约担保的，承包人向发包人完成（施工）竣工资料移交手续后，可向发包人申请退还履约保函或申请解除工程担保，发包人应在收到申请之日起5个工作日内将履约保函退还给承包人或同意解除担保。</w:t>
      </w:r>
    </w:p>
    <w:p w14:paraId="5B397C4D">
      <w:pPr>
        <w:pStyle w:val="84"/>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承包人在成交后7个工作日内，按南府发[2007]51 号文规定将农民工工资保障金存入帐户。工程竣工验收结算经审定后，按照规定程序，将农民工工资保障金没有使用或剩余的金额退还给承包人（无息）。</w:t>
      </w:r>
    </w:p>
    <w:p w14:paraId="052DDE2C">
      <w:pPr>
        <w:pStyle w:val="84"/>
        <w:keepNext/>
        <w:keepLines/>
        <w:spacing w:before="60" w:after="60" w:line="412" w:lineRule="auto"/>
        <w:ind w:firstLine="422"/>
        <w:outlineLvl w:val="1"/>
        <w:rPr>
          <w:rFonts w:ascii="宋体" w:hAnsi="宋体"/>
          <w:b/>
          <w:bCs/>
          <w:color w:val="auto"/>
          <w:szCs w:val="32"/>
          <w:highlight w:val="none"/>
        </w:rPr>
      </w:pPr>
      <w:bookmarkStart w:id="397" w:name="_Toc32460"/>
      <w:r>
        <w:rPr>
          <w:rFonts w:hint="eastAsia" w:ascii="宋体" w:hAnsi="宋体"/>
          <w:b/>
          <w:bCs/>
          <w:color w:val="auto"/>
          <w:szCs w:val="32"/>
          <w:highlight w:val="none"/>
        </w:rPr>
        <w:t>4</w:t>
      </w:r>
      <w:bookmarkStart w:id="398" w:name="_Toc296503162"/>
      <w:bookmarkStart w:id="399" w:name="_Toc296890990"/>
      <w:bookmarkStart w:id="400" w:name="_Toc296944501"/>
      <w:bookmarkStart w:id="401" w:name="_Toc292559366"/>
      <w:bookmarkStart w:id="402" w:name="_Toc297048348"/>
      <w:bookmarkStart w:id="403" w:name="_Toc296891202"/>
      <w:bookmarkStart w:id="404" w:name="_Toc297120462"/>
      <w:bookmarkStart w:id="405" w:name="_Toc296347161"/>
      <w:bookmarkStart w:id="406" w:name="_Toc296346663"/>
      <w:bookmarkStart w:id="407" w:name="_Toc292559871"/>
      <w:bookmarkStart w:id="408" w:name="_Toc267251413"/>
      <w:r>
        <w:rPr>
          <w:rFonts w:hint="eastAsia" w:ascii="宋体" w:hAnsi="宋体"/>
          <w:b/>
          <w:bCs/>
          <w:color w:val="auto"/>
          <w:szCs w:val="32"/>
          <w:highlight w:val="none"/>
        </w:rPr>
        <w:t>. 监</w:t>
      </w:r>
      <w:bookmarkEnd w:id="398"/>
      <w:bookmarkEnd w:id="399"/>
      <w:bookmarkEnd w:id="400"/>
      <w:bookmarkEnd w:id="401"/>
      <w:bookmarkEnd w:id="402"/>
      <w:bookmarkEnd w:id="403"/>
      <w:bookmarkEnd w:id="404"/>
      <w:bookmarkEnd w:id="405"/>
      <w:bookmarkEnd w:id="406"/>
      <w:bookmarkEnd w:id="407"/>
      <w:bookmarkEnd w:id="408"/>
      <w:r>
        <w:rPr>
          <w:rFonts w:hint="eastAsia" w:ascii="宋体" w:hAnsi="宋体"/>
          <w:b/>
          <w:bCs/>
          <w:color w:val="auto"/>
          <w:szCs w:val="32"/>
          <w:highlight w:val="none"/>
        </w:rPr>
        <w:t>理人</w:t>
      </w:r>
      <w:bookmarkEnd w:id="391"/>
      <w:bookmarkEnd w:id="392"/>
      <w:bookmarkEnd w:id="393"/>
      <w:bookmarkEnd w:id="394"/>
      <w:bookmarkEnd w:id="397"/>
    </w:p>
    <w:p w14:paraId="75C8290D">
      <w:pPr>
        <w:pStyle w:val="84"/>
        <w:keepNext/>
        <w:keepLines/>
        <w:spacing w:line="360" w:lineRule="auto"/>
        <w:ind w:firstLine="422"/>
        <w:outlineLvl w:val="2"/>
        <w:rPr>
          <w:rFonts w:ascii="宋体" w:hAnsi="宋体"/>
          <w:b/>
          <w:bCs/>
          <w:color w:val="auto"/>
          <w:szCs w:val="32"/>
          <w:highlight w:val="none"/>
        </w:rPr>
      </w:pPr>
      <w:bookmarkStart w:id="409" w:name="_Toc28478"/>
      <w:bookmarkStart w:id="410" w:name="_Toc373227714"/>
      <w:bookmarkStart w:id="411" w:name="_Toc373478361"/>
      <w:bookmarkStart w:id="412" w:name="_Toc389065280"/>
      <w:r>
        <w:rPr>
          <w:rFonts w:hint="eastAsia" w:ascii="宋体" w:hAnsi="宋体"/>
          <w:b/>
          <w:bCs/>
          <w:color w:val="auto"/>
          <w:szCs w:val="32"/>
          <w:highlight w:val="none"/>
        </w:rPr>
        <w:t>4.1 监理人的一般规定</w:t>
      </w:r>
      <w:bookmarkEnd w:id="409"/>
      <w:bookmarkEnd w:id="410"/>
      <w:bookmarkEnd w:id="411"/>
      <w:bookmarkEnd w:id="412"/>
    </w:p>
    <w:p w14:paraId="38FD3C71">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 xml:space="preserve">  按监理合同中约定的条款执行</w:t>
      </w:r>
      <w:r>
        <w:rPr>
          <w:rFonts w:hint="eastAsia" w:ascii="宋体" w:hAnsi="宋体"/>
          <w:color w:val="auto"/>
          <w:szCs w:val="21"/>
          <w:highlight w:val="none"/>
        </w:rPr>
        <w:t>。</w:t>
      </w:r>
    </w:p>
    <w:p w14:paraId="430F211B">
      <w:pPr>
        <w:pStyle w:val="84"/>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 xml:space="preserve">  按监理合同中约定的条款执行</w:t>
      </w:r>
      <w:r>
        <w:rPr>
          <w:rFonts w:hint="eastAsia" w:ascii="宋体" w:hAnsi="宋体"/>
          <w:color w:val="auto"/>
          <w:szCs w:val="21"/>
          <w:highlight w:val="none"/>
        </w:rPr>
        <w:t xml:space="preserve">。 </w:t>
      </w:r>
    </w:p>
    <w:p w14:paraId="6687624E">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按监理合同中约定的条款执行</w:t>
      </w:r>
      <w:r>
        <w:rPr>
          <w:rFonts w:hint="eastAsia" w:ascii="宋体" w:hAnsi="宋体"/>
          <w:color w:val="auto"/>
          <w:szCs w:val="21"/>
          <w:highlight w:val="none"/>
        </w:rPr>
        <w:t>。</w:t>
      </w:r>
    </w:p>
    <w:p w14:paraId="7A51EABA">
      <w:pPr>
        <w:pStyle w:val="84"/>
        <w:keepNext/>
        <w:keepLines/>
        <w:spacing w:line="360" w:lineRule="auto"/>
        <w:ind w:firstLine="422"/>
        <w:outlineLvl w:val="2"/>
        <w:rPr>
          <w:rFonts w:ascii="宋体" w:hAnsi="宋体"/>
          <w:b/>
          <w:bCs/>
          <w:color w:val="auto"/>
          <w:szCs w:val="32"/>
          <w:highlight w:val="none"/>
        </w:rPr>
      </w:pPr>
      <w:bookmarkStart w:id="413" w:name="_Toc12326"/>
      <w:bookmarkStart w:id="414" w:name="_Toc389065281"/>
      <w:bookmarkStart w:id="415" w:name="_Toc373227715"/>
      <w:bookmarkStart w:id="416" w:name="_Toc373478362"/>
      <w:r>
        <w:rPr>
          <w:rFonts w:hint="eastAsia" w:ascii="宋体" w:hAnsi="宋体"/>
          <w:b/>
          <w:bCs/>
          <w:color w:val="auto"/>
          <w:szCs w:val="32"/>
          <w:highlight w:val="none"/>
        </w:rPr>
        <w:t>4.2 监理人员</w:t>
      </w:r>
      <w:bookmarkEnd w:id="413"/>
      <w:bookmarkEnd w:id="414"/>
      <w:bookmarkEnd w:id="415"/>
      <w:bookmarkEnd w:id="416"/>
    </w:p>
    <w:p w14:paraId="1C983A60">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总监理工程师：</w:t>
      </w:r>
    </w:p>
    <w:p w14:paraId="39B79E3B">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2B198D2">
      <w:pPr>
        <w:pStyle w:val="84"/>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70BBD38">
      <w:pPr>
        <w:pStyle w:val="84"/>
        <w:spacing w:line="360" w:lineRule="auto"/>
        <w:ind w:firstLine="420" w:firstLineChars="200"/>
        <w:rPr>
          <w:rFonts w:hAnsi="宋体"/>
          <w:color w:val="auto"/>
          <w:szCs w:val="21"/>
          <w:highlight w:val="none"/>
        </w:rPr>
      </w:pPr>
      <w:r>
        <w:rPr>
          <w:rFonts w:hint="eastAsia" w:hAnsi="宋体"/>
          <w:color w:val="auto"/>
          <w:szCs w:val="21"/>
          <w:highlight w:val="none"/>
        </w:rPr>
        <w:t>监理工程师执业资格证书号：</w:t>
      </w:r>
      <w:r>
        <w:rPr>
          <w:color w:val="auto"/>
          <w:szCs w:val="21"/>
          <w:highlight w:val="none"/>
          <w:u w:val="single"/>
        </w:rPr>
        <w:t xml:space="preserve"> </w:t>
      </w:r>
      <w:r>
        <w:rPr>
          <w:rFonts w:hint="eastAsia" w:hAnsi="宋体"/>
          <w:color w:val="auto"/>
          <w:szCs w:val="21"/>
          <w:highlight w:val="none"/>
        </w:rPr>
        <w:t>；</w:t>
      </w:r>
    </w:p>
    <w:p w14:paraId="0B3FC7D1">
      <w:pPr>
        <w:pStyle w:val="84"/>
        <w:spacing w:line="360" w:lineRule="auto"/>
        <w:ind w:firstLine="420" w:firstLineChars="200"/>
        <w:rPr>
          <w:color w:val="auto"/>
          <w:szCs w:val="21"/>
          <w:highlight w:val="none"/>
        </w:rPr>
      </w:pPr>
      <w:r>
        <w:rPr>
          <w:rFonts w:hint="eastAsia" w:hAnsi="宋体"/>
          <w:color w:val="auto"/>
          <w:szCs w:val="21"/>
          <w:highlight w:val="none"/>
        </w:rPr>
        <w:t>联系电话：</w:t>
      </w:r>
      <w:r>
        <w:rPr>
          <w:color w:val="auto"/>
          <w:szCs w:val="21"/>
          <w:highlight w:val="none"/>
          <w:u w:val="single"/>
        </w:rPr>
        <w:t xml:space="preserve">   </w:t>
      </w:r>
      <w:r>
        <w:rPr>
          <w:rFonts w:hint="eastAsia" w:hAnsi="宋体"/>
          <w:color w:val="auto"/>
          <w:szCs w:val="21"/>
          <w:highlight w:val="none"/>
        </w:rPr>
        <w:t>；</w:t>
      </w:r>
    </w:p>
    <w:p w14:paraId="4C2E6541">
      <w:pPr>
        <w:pStyle w:val="84"/>
        <w:spacing w:line="360" w:lineRule="auto"/>
        <w:ind w:firstLine="420" w:firstLineChars="200"/>
        <w:rPr>
          <w:color w:val="auto"/>
          <w:szCs w:val="21"/>
          <w:highlight w:val="none"/>
        </w:rPr>
      </w:pPr>
      <w:r>
        <w:rPr>
          <w:rFonts w:hint="eastAsia" w:hAnsi="宋体"/>
          <w:color w:val="auto"/>
          <w:szCs w:val="21"/>
          <w:highlight w:val="none"/>
        </w:rPr>
        <w:t>电子信箱：</w:t>
      </w:r>
      <w:r>
        <w:rPr>
          <w:color w:val="auto"/>
          <w:szCs w:val="21"/>
          <w:highlight w:val="none"/>
          <w:u w:val="single"/>
        </w:rPr>
        <w:t xml:space="preserve">   </w:t>
      </w:r>
      <w:r>
        <w:rPr>
          <w:rFonts w:hint="eastAsia" w:hAnsi="宋体"/>
          <w:color w:val="auto"/>
          <w:szCs w:val="21"/>
          <w:highlight w:val="none"/>
        </w:rPr>
        <w:t>；</w:t>
      </w:r>
    </w:p>
    <w:p w14:paraId="66BBC1C5">
      <w:pPr>
        <w:pStyle w:val="84"/>
        <w:spacing w:line="360" w:lineRule="auto"/>
        <w:ind w:firstLine="420" w:firstLineChars="200"/>
        <w:rPr>
          <w:color w:val="auto"/>
          <w:szCs w:val="21"/>
          <w:highlight w:val="none"/>
        </w:rPr>
      </w:pPr>
      <w:r>
        <w:rPr>
          <w:rFonts w:hint="eastAsia" w:hAnsi="宋体"/>
          <w:color w:val="auto"/>
          <w:szCs w:val="21"/>
          <w:highlight w:val="none"/>
        </w:rPr>
        <w:t>通信地址：</w:t>
      </w:r>
      <w:r>
        <w:rPr>
          <w:color w:val="auto"/>
          <w:szCs w:val="21"/>
          <w:highlight w:val="none"/>
          <w:u w:val="single"/>
        </w:rPr>
        <w:t xml:space="preserve">   </w:t>
      </w:r>
      <w:r>
        <w:rPr>
          <w:rFonts w:hint="eastAsia" w:hAnsi="宋体"/>
          <w:color w:val="auto"/>
          <w:szCs w:val="21"/>
          <w:highlight w:val="none"/>
        </w:rPr>
        <w:t>；</w:t>
      </w:r>
    </w:p>
    <w:p w14:paraId="79442FD8">
      <w:pPr>
        <w:pStyle w:val="84"/>
        <w:spacing w:line="360" w:lineRule="auto"/>
        <w:ind w:firstLine="420" w:firstLineChars="200"/>
        <w:rPr>
          <w:color w:val="auto"/>
          <w:szCs w:val="21"/>
          <w:highlight w:val="none"/>
        </w:rPr>
      </w:pPr>
      <w:r>
        <w:rPr>
          <w:rFonts w:hint="eastAsia" w:hAnsi="宋体"/>
          <w:color w:val="auto"/>
          <w:szCs w:val="21"/>
          <w:highlight w:val="none"/>
        </w:rPr>
        <w:t>关于监理人的其他约定：</w:t>
      </w:r>
      <w:r>
        <w:rPr>
          <w:color w:val="auto"/>
          <w:szCs w:val="21"/>
          <w:highlight w:val="none"/>
          <w:u w:val="single"/>
        </w:rPr>
        <w:t xml:space="preserve">   </w:t>
      </w:r>
      <w:r>
        <w:rPr>
          <w:rFonts w:hint="eastAsia" w:hAnsi="宋体"/>
          <w:color w:val="auto"/>
          <w:szCs w:val="21"/>
          <w:highlight w:val="none"/>
        </w:rPr>
        <w:t>。</w:t>
      </w:r>
    </w:p>
    <w:p w14:paraId="407F3438">
      <w:pPr>
        <w:pStyle w:val="84"/>
        <w:keepNext/>
        <w:keepLines/>
        <w:spacing w:line="360" w:lineRule="auto"/>
        <w:ind w:firstLine="422"/>
        <w:outlineLvl w:val="2"/>
        <w:rPr>
          <w:rFonts w:eastAsia="黑体"/>
          <w:b/>
          <w:bCs/>
          <w:color w:val="auto"/>
          <w:szCs w:val="32"/>
          <w:highlight w:val="none"/>
        </w:rPr>
      </w:pPr>
      <w:bookmarkStart w:id="417" w:name="_Toc373478363"/>
      <w:bookmarkStart w:id="418" w:name="_Toc373227716"/>
      <w:bookmarkStart w:id="419" w:name="_Toc6626"/>
      <w:bookmarkStart w:id="420" w:name="_Toc389065282"/>
      <w:r>
        <w:rPr>
          <w:rFonts w:eastAsia="黑体"/>
          <w:b/>
          <w:bCs/>
          <w:color w:val="auto"/>
          <w:szCs w:val="32"/>
          <w:highlight w:val="none"/>
        </w:rPr>
        <w:t xml:space="preserve">4.4 </w:t>
      </w:r>
      <w:r>
        <w:rPr>
          <w:rFonts w:hint="eastAsia" w:hAnsi="宋体" w:eastAsia="黑体"/>
          <w:b/>
          <w:bCs/>
          <w:color w:val="auto"/>
          <w:szCs w:val="32"/>
          <w:highlight w:val="none"/>
        </w:rPr>
        <w:t>商定或确定</w:t>
      </w:r>
      <w:bookmarkEnd w:id="417"/>
      <w:bookmarkEnd w:id="418"/>
      <w:bookmarkEnd w:id="419"/>
      <w:bookmarkEnd w:id="420"/>
    </w:p>
    <w:p w14:paraId="0618484D">
      <w:pPr>
        <w:pStyle w:val="84"/>
        <w:spacing w:line="360" w:lineRule="auto"/>
        <w:ind w:firstLine="420" w:firstLineChars="200"/>
        <w:rPr>
          <w:color w:val="auto"/>
          <w:szCs w:val="21"/>
          <w:highlight w:val="none"/>
        </w:rPr>
      </w:pPr>
      <w:bookmarkStart w:id="421" w:name="_Toc267251418"/>
      <w:r>
        <w:rPr>
          <w:rFonts w:hint="eastAsia" w:hAnsi="宋体"/>
          <w:color w:val="auto"/>
          <w:szCs w:val="21"/>
          <w:highlight w:val="none"/>
        </w:rPr>
        <w:t>在发包人和承包人不能通过协商达成一致意见时，发包人授权监理人对以下事项进行确定：</w:t>
      </w:r>
    </w:p>
    <w:p w14:paraId="149B933C">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w:t>
      </w:r>
      <w:r>
        <w:rPr>
          <w:color w:val="auto"/>
          <w:szCs w:val="21"/>
          <w:highlight w:val="none"/>
          <w:u w:val="single"/>
        </w:rPr>
        <w:t xml:space="preserve">                                   </w:t>
      </w:r>
      <w:r>
        <w:rPr>
          <w:rFonts w:hint="eastAsia" w:hAnsi="宋体"/>
          <w:color w:val="auto"/>
          <w:szCs w:val="21"/>
          <w:highlight w:val="none"/>
        </w:rPr>
        <w:t>；</w:t>
      </w:r>
    </w:p>
    <w:p w14:paraId="27BD3ED8">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color w:val="auto"/>
          <w:szCs w:val="21"/>
          <w:highlight w:val="none"/>
          <w:u w:val="single"/>
        </w:rPr>
        <w:t xml:space="preserve">                                   </w:t>
      </w:r>
      <w:r>
        <w:rPr>
          <w:rFonts w:hint="eastAsia" w:hAnsi="宋体"/>
          <w:color w:val="auto"/>
          <w:szCs w:val="21"/>
          <w:highlight w:val="none"/>
        </w:rPr>
        <w:t>；</w:t>
      </w:r>
    </w:p>
    <w:p w14:paraId="6E8611C0">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w:t>
      </w:r>
      <w:r>
        <w:rPr>
          <w:color w:val="auto"/>
          <w:szCs w:val="21"/>
          <w:highlight w:val="none"/>
          <w:u w:val="single"/>
        </w:rPr>
        <w:t xml:space="preserve">                                   </w:t>
      </w:r>
      <w:r>
        <w:rPr>
          <w:rFonts w:hint="eastAsia" w:hAnsi="宋体"/>
          <w:color w:val="auto"/>
          <w:szCs w:val="21"/>
          <w:highlight w:val="none"/>
        </w:rPr>
        <w:t>。</w:t>
      </w:r>
    </w:p>
    <w:p w14:paraId="16882CAC">
      <w:pPr>
        <w:pStyle w:val="84"/>
        <w:keepNext/>
        <w:keepLines/>
        <w:spacing w:before="60" w:after="60" w:line="412" w:lineRule="auto"/>
        <w:ind w:firstLine="422"/>
        <w:outlineLvl w:val="1"/>
        <w:rPr>
          <w:rFonts w:ascii="Arial" w:hAnsi="Arial" w:eastAsia="黑体"/>
          <w:b/>
          <w:bCs/>
          <w:color w:val="auto"/>
          <w:szCs w:val="32"/>
          <w:highlight w:val="none"/>
        </w:rPr>
      </w:pPr>
      <w:bookmarkStart w:id="422" w:name="_Toc373478364"/>
      <w:bookmarkStart w:id="423" w:name="_Toc373227717"/>
      <w:bookmarkStart w:id="424" w:name="_Toc28100"/>
      <w:bookmarkStart w:id="425" w:name="_Toc351203637"/>
      <w:bookmarkStart w:id="426" w:name="_Toc389065283"/>
      <w:r>
        <w:rPr>
          <w:rFonts w:ascii="Arial" w:hAnsi="Arial" w:eastAsia="黑体"/>
          <w:b/>
          <w:bCs/>
          <w:color w:val="auto"/>
          <w:szCs w:val="32"/>
          <w:highlight w:val="none"/>
        </w:rPr>
        <w:t>5</w:t>
      </w:r>
      <w:bookmarkEnd w:id="421"/>
      <w:bookmarkStart w:id="427" w:name="_Toc296890991"/>
      <w:bookmarkStart w:id="428" w:name="_Toc296944502"/>
      <w:bookmarkStart w:id="429" w:name="_Toc292559872"/>
      <w:bookmarkStart w:id="430" w:name="_Toc296503163"/>
      <w:bookmarkStart w:id="431" w:name="_Toc292559367"/>
      <w:bookmarkStart w:id="432" w:name="_Toc296346664"/>
      <w:bookmarkStart w:id="433" w:name="_Toc297048349"/>
      <w:bookmarkStart w:id="434" w:name="_Toc296891203"/>
      <w:bookmarkStart w:id="435" w:name="_Toc297120463"/>
      <w:bookmarkStart w:id="436" w:name="_Toc296347162"/>
      <w:r>
        <w:rPr>
          <w:rFonts w:ascii="Arial" w:hAnsi="Arial" w:eastAsia="黑体"/>
          <w:b/>
          <w:bCs/>
          <w:color w:val="auto"/>
          <w:szCs w:val="32"/>
          <w:highlight w:val="none"/>
        </w:rPr>
        <w:t xml:space="preserve">. </w:t>
      </w:r>
      <w:r>
        <w:rPr>
          <w:rFonts w:hint="eastAsia" w:ascii="Arial" w:hAnsi="宋体" w:eastAsia="黑体"/>
          <w:b/>
          <w:bCs/>
          <w:color w:val="auto"/>
          <w:szCs w:val="32"/>
          <w:highlight w:val="none"/>
        </w:rPr>
        <w:t>工程质量</w:t>
      </w:r>
      <w:bookmarkEnd w:id="422"/>
      <w:bookmarkEnd w:id="423"/>
      <w:bookmarkEnd w:id="424"/>
      <w:bookmarkEnd w:id="425"/>
      <w:bookmarkEnd w:id="426"/>
    </w:p>
    <w:p w14:paraId="2E1C8FF2">
      <w:pPr>
        <w:pStyle w:val="84"/>
        <w:keepNext/>
        <w:keepLines/>
        <w:spacing w:line="360" w:lineRule="auto"/>
        <w:ind w:firstLine="422"/>
        <w:outlineLvl w:val="2"/>
        <w:rPr>
          <w:rFonts w:eastAsia="黑体"/>
          <w:b/>
          <w:bCs/>
          <w:color w:val="auto"/>
          <w:szCs w:val="32"/>
          <w:highlight w:val="none"/>
        </w:rPr>
      </w:pPr>
      <w:bookmarkStart w:id="437" w:name="_Toc373478365"/>
      <w:bookmarkStart w:id="438" w:name="_Toc15241"/>
      <w:bookmarkStart w:id="439" w:name="_Toc373227718"/>
      <w:bookmarkStart w:id="440" w:name="_Toc389065284"/>
      <w:r>
        <w:rPr>
          <w:rFonts w:eastAsia="黑体"/>
          <w:b/>
          <w:bCs/>
          <w:color w:val="auto"/>
          <w:szCs w:val="32"/>
          <w:highlight w:val="none"/>
        </w:rPr>
        <w:t xml:space="preserve">5.1 </w:t>
      </w:r>
      <w:r>
        <w:rPr>
          <w:rFonts w:hint="eastAsia" w:hAnsi="宋体" w:eastAsia="黑体"/>
          <w:b/>
          <w:bCs/>
          <w:color w:val="auto"/>
          <w:szCs w:val="32"/>
          <w:highlight w:val="none"/>
        </w:rPr>
        <w:t>质量要求</w:t>
      </w:r>
      <w:bookmarkEnd w:id="437"/>
      <w:bookmarkEnd w:id="438"/>
      <w:bookmarkEnd w:id="439"/>
      <w:bookmarkEnd w:id="440"/>
    </w:p>
    <w:p w14:paraId="17407357">
      <w:pPr>
        <w:pStyle w:val="84"/>
        <w:spacing w:line="360" w:lineRule="auto"/>
        <w:ind w:firstLine="420" w:firstLineChars="200"/>
        <w:jc w:val="left"/>
        <w:rPr>
          <w:color w:val="auto"/>
          <w:szCs w:val="21"/>
          <w:highlight w:val="none"/>
          <w:u w:val="single"/>
        </w:rPr>
      </w:pPr>
      <w:r>
        <w:rPr>
          <w:color w:val="auto"/>
          <w:szCs w:val="21"/>
          <w:highlight w:val="none"/>
        </w:rPr>
        <w:t>5</w:t>
      </w:r>
      <w:bookmarkStart w:id="441" w:name="_Toc304295527"/>
      <w:bookmarkStart w:id="442" w:name="_Toc300934949"/>
      <w:bookmarkStart w:id="443" w:name="_Toc297216155"/>
      <w:bookmarkStart w:id="444" w:name="_Toc303539106"/>
      <w:bookmarkStart w:id="445" w:name="_Toc318581164"/>
      <w:bookmarkStart w:id="446" w:name="_Toc312677997"/>
      <w:bookmarkStart w:id="447" w:name="_Toc297123496"/>
      <w:r>
        <w:rPr>
          <w:color w:val="auto"/>
          <w:szCs w:val="21"/>
          <w:highlight w:val="none"/>
        </w:rPr>
        <w:t xml:space="preserve">.1.1 </w:t>
      </w:r>
      <w:r>
        <w:rPr>
          <w:rFonts w:hint="eastAsia" w:hAnsi="宋体"/>
          <w:color w:val="auto"/>
          <w:szCs w:val="21"/>
          <w:highlight w:val="none"/>
        </w:rPr>
        <w:t>特殊质量标准和要求：</w:t>
      </w:r>
      <w:r>
        <w:rPr>
          <w:rFonts w:hint="eastAsia"/>
          <w:b/>
          <w:color w:val="auto"/>
          <w:szCs w:val="21"/>
          <w:highlight w:val="none"/>
          <w:u w:val="single"/>
        </w:rPr>
        <w:t>严格执行广西壮族自治区住房和城乡建设厅《关于严格实行房屋建筑和市政基础设施工程质量终身责任承诺、终身责任信息档案等制度的通知》</w:t>
      </w:r>
      <w:r>
        <w:rPr>
          <w:b/>
          <w:color w:val="auto"/>
          <w:szCs w:val="21"/>
          <w:highlight w:val="none"/>
          <w:u w:val="single"/>
        </w:rPr>
        <w:t>(</w:t>
      </w:r>
      <w:r>
        <w:rPr>
          <w:rFonts w:hint="eastAsia"/>
          <w:b/>
          <w:color w:val="auto"/>
          <w:szCs w:val="21"/>
          <w:highlight w:val="none"/>
          <w:u w:val="single"/>
        </w:rPr>
        <w:t>桂建管</w:t>
      </w:r>
      <w:r>
        <w:rPr>
          <w:b/>
          <w:color w:val="auto"/>
          <w:szCs w:val="21"/>
          <w:highlight w:val="none"/>
          <w:u w:val="single"/>
        </w:rPr>
        <w:t>[2014]96</w:t>
      </w:r>
      <w:r>
        <w:rPr>
          <w:rFonts w:hint="eastAsia"/>
          <w:b/>
          <w:color w:val="auto"/>
          <w:szCs w:val="21"/>
          <w:highlight w:val="none"/>
          <w:u w:val="single"/>
        </w:rPr>
        <w:t>号</w:t>
      </w:r>
      <w:r>
        <w:rPr>
          <w:b/>
          <w:color w:val="auto"/>
          <w:szCs w:val="21"/>
          <w:highlight w:val="none"/>
          <w:u w:val="single"/>
        </w:rPr>
        <w:t>)</w:t>
      </w:r>
      <w:r>
        <w:rPr>
          <w:rFonts w:hint="eastAsia"/>
          <w:b/>
          <w:color w:val="auto"/>
          <w:szCs w:val="21"/>
          <w:highlight w:val="none"/>
          <w:u w:val="single"/>
        </w:rPr>
        <w:t>和南宁市城乡建设委员会《关于落实建设工程质量终身责任，加强工程质量管理的通知》（南建质安</w:t>
      </w:r>
      <w:r>
        <w:rPr>
          <w:b/>
          <w:color w:val="auto"/>
          <w:szCs w:val="21"/>
          <w:highlight w:val="none"/>
          <w:u w:val="single"/>
        </w:rPr>
        <w:t>[2014]155</w:t>
      </w:r>
      <w:r>
        <w:rPr>
          <w:rFonts w:hint="eastAsia"/>
          <w:b/>
          <w:color w:val="auto"/>
          <w:szCs w:val="21"/>
          <w:highlight w:val="none"/>
          <w:u w:val="single"/>
        </w:rPr>
        <w:t>号）要求，落实建设工程质量终身责任</w:t>
      </w:r>
      <w:r>
        <w:rPr>
          <w:rFonts w:hint="eastAsia"/>
          <w:b/>
          <w:color w:val="auto"/>
          <w:szCs w:val="21"/>
          <w:highlight w:val="none"/>
        </w:rPr>
        <w:t>。</w:t>
      </w:r>
    </w:p>
    <w:p w14:paraId="5DB1C950">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关于工程奖项的约定：</w:t>
      </w:r>
      <w:r>
        <w:rPr>
          <w:color w:val="auto"/>
          <w:kern w:val="0"/>
          <w:highlight w:val="none"/>
          <w:u w:val="single"/>
        </w:rPr>
        <w:t xml:space="preserve"> </w:t>
      </w:r>
      <w:r>
        <w:rPr>
          <w:rFonts w:hint="eastAsia"/>
          <w:color w:val="auto"/>
          <w:kern w:val="0"/>
          <w:highlight w:val="none"/>
          <w:u w:val="single"/>
        </w:rPr>
        <w:t>无</w:t>
      </w:r>
      <w:r>
        <w:rPr>
          <w:rFonts w:hint="eastAsia" w:hAnsi="宋体"/>
          <w:color w:val="auto"/>
          <w:szCs w:val="21"/>
          <w:highlight w:val="none"/>
        </w:rPr>
        <w:t>。</w:t>
      </w:r>
    </w:p>
    <w:p w14:paraId="4FE69A08">
      <w:pPr>
        <w:pStyle w:val="84"/>
        <w:spacing w:line="360" w:lineRule="auto"/>
        <w:ind w:firstLine="420" w:firstLineChars="200"/>
        <w:jc w:val="left"/>
        <w:rPr>
          <w:rFonts w:hAnsi="宋体"/>
          <w:color w:val="auto"/>
          <w:szCs w:val="21"/>
          <w:highlight w:val="none"/>
        </w:rPr>
      </w:pPr>
      <w:r>
        <w:rPr>
          <w:rFonts w:hAnsi="宋体"/>
          <w:color w:val="auto"/>
          <w:szCs w:val="21"/>
          <w:highlight w:val="none"/>
        </w:rPr>
        <w:t xml:space="preserve">5.3 </w:t>
      </w:r>
      <w:r>
        <w:rPr>
          <w:rFonts w:hint="eastAsia" w:hAnsi="宋体"/>
          <w:color w:val="auto"/>
          <w:szCs w:val="21"/>
          <w:highlight w:val="none"/>
        </w:rPr>
        <w:t>隐蔽工程检查</w:t>
      </w:r>
    </w:p>
    <w:p w14:paraId="198322DE">
      <w:pPr>
        <w:pStyle w:val="84"/>
        <w:spacing w:line="360" w:lineRule="auto"/>
        <w:ind w:firstLine="420" w:firstLineChars="200"/>
        <w:jc w:val="left"/>
        <w:rPr>
          <w:color w:val="auto"/>
          <w:szCs w:val="21"/>
          <w:highlight w:val="none"/>
          <w:u w:val="single"/>
        </w:rPr>
      </w:pPr>
      <w:r>
        <w:rPr>
          <w:color w:val="auto"/>
          <w:szCs w:val="21"/>
          <w:highlight w:val="none"/>
        </w:rPr>
        <w:t>5.3.2</w:t>
      </w:r>
      <w:r>
        <w:rPr>
          <w:rFonts w:hint="eastAsia" w:hAnsi="宋体"/>
          <w:color w:val="auto"/>
          <w:szCs w:val="21"/>
          <w:highlight w:val="none"/>
        </w:rPr>
        <w:t>承包人提前通知监理人隐蔽工程检查的期限的约定：</w:t>
      </w:r>
      <w:r>
        <w:rPr>
          <w:rFonts w:hint="eastAsia" w:hAnsi="宋体"/>
          <w:bCs/>
          <w:color w:val="auto"/>
          <w:szCs w:val="21"/>
          <w:highlight w:val="none"/>
        </w:rPr>
        <w:t>工程隐蔽或中间验收前</w:t>
      </w:r>
      <w:r>
        <w:rPr>
          <w:bCs/>
          <w:color w:val="auto"/>
          <w:szCs w:val="21"/>
          <w:highlight w:val="none"/>
        </w:rPr>
        <w:t>12</w:t>
      </w:r>
      <w:r>
        <w:rPr>
          <w:rFonts w:hint="eastAsia" w:hAnsi="宋体"/>
          <w:bCs/>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191167B">
      <w:pPr>
        <w:pStyle w:val="84"/>
        <w:spacing w:line="360" w:lineRule="auto"/>
        <w:ind w:firstLine="420" w:firstLineChars="200"/>
        <w:jc w:val="left"/>
        <w:rPr>
          <w:color w:val="auto"/>
          <w:szCs w:val="21"/>
          <w:highlight w:val="none"/>
        </w:rPr>
      </w:pPr>
      <w:r>
        <w:rPr>
          <w:rFonts w:hint="eastAsia" w:hAnsi="宋体"/>
          <w:color w:val="auto"/>
          <w:szCs w:val="21"/>
          <w:highlight w:val="none"/>
        </w:rPr>
        <w:t>监理人不能按时进行检查时，应提前</w:t>
      </w:r>
      <w:r>
        <w:rPr>
          <w:color w:val="auto"/>
          <w:szCs w:val="21"/>
          <w:highlight w:val="none"/>
          <w:u w:val="single"/>
        </w:rPr>
        <w:t xml:space="preserve"> 8 </w:t>
      </w:r>
      <w:r>
        <w:rPr>
          <w:rFonts w:hint="eastAsia" w:hAnsi="宋体"/>
          <w:color w:val="auto"/>
          <w:szCs w:val="21"/>
          <w:highlight w:val="none"/>
        </w:rPr>
        <w:t>小时提交书面延期要求。</w:t>
      </w:r>
    </w:p>
    <w:p w14:paraId="0A6FB1C5">
      <w:pPr>
        <w:pStyle w:val="84"/>
        <w:spacing w:line="360" w:lineRule="auto"/>
        <w:ind w:firstLine="420" w:firstLineChars="200"/>
        <w:jc w:val="left"/>
        <w:rPr>
          <w:color w:val="auto"/>
          <w:szCs w:val="21"/>
          <w:highlight w:val="none"/>
        </w:rPr>
      </w:pPr>
      <w:r>
        <w:rPr>
          <w:rFonts w:hint="eastAsia" w:hAnsi="宋体"/>
          <w:color w:val="auto"/>
          <w:szCs w:val="21"/>
          <w:highlight w:val="none"/>
        </w:rPr>
        <w:t>关于延期最长不得超过：</w:t>
      </w:r>
      <w:r>
        <w:rPr>
          <w:color w:val="auto"/>
          <w:szCs w:val="21"/>
          <w:highlight w:val="none"/>
          <w:u w:val="single"/>
        </w:rPr>
        <w:t xml:space="preserve">  24  </w:t>
      </w:r>
      <w:r>
        <w:rPr>
          <w:rFonts w:hint="eastAsia" w:hAnsi="宋体"/>
          <w:color w:val="auto"/>
          <w:szCs w:val="21"/>
          <w:highlight w:val="none"/>
        </w:rPr>
        <w:t>小时。</w:t>
      </w:r>
    </w:p>
    <w:p w14:paraId="5DC1F0CA">
      <w:pPr>
        <w:pStyle w:val="84"/>
        <w:keepNext/>
        <w:keepLines/>
        <w:spacing w:before="60" w:after="60" w:line="410" w:lineRule="exact"/>
        <w:ind w:firstLine="422"/>
        <w:outlineLvl w:val="1"/>
        <w:rPr>
          <w:rFonts w:ascii="Arial" w:hAnsi="Arial" w:eastAsia="黑体"/>
          <w:b/>
          <w:bCs/>
          <w:color w:val="auto"/>
          <w:szCs w:val="32"/>
          <w:highlight w:val="none"/>
        </w:rPr>
      </w:pPr>
      <w:bookmarkStart w:id="448" w:name="_Toc373227719"/>
      <w:bookmarkStart w:id="449" w:name="_Toc351203638"/>
      <w:bookmarkStart w:id="450" w:name="_Toc389065285"/>
      <w:bookmarkStart w:id="451" w:name="_Toc373478366"/>
      <w:bookmarkStart w:id="452" w:name="_Toc16364"/>
      <w:r>
        <w:rPr>
          <w:rFonts w:ascii="Arial" w:hAnsi="Arial" w:eastAsia="黑体"/>
          <w:b/>
          <w:bCs/>
          <w:color w:val="auto"/>
          <w:szCs w:val="32"/>
          <w:highlight w:val="none"/>
        </w:rPr>
        <w:t xml:space="preserve">6. </w:t>
      </w:r>
      <w:r>
        <w:rPr>
          <w:rFonts w:hint="eastAsia" w:ascii="Arial" w:hAnsi="Arial" w:eastAsia="黑体"/>
          <w:b/>
          <w:bCs/>
          <w:color w:val="auto"/>
          <w:szCs w:val="32"/>
          <w:highlight w:val="none"/>
        </w:rPr>
        <w:t>安全文明施工与环境保护</w:t>
      </w:r>
      <w:bookmarkEnd w:id="448"/>
      <w:bookmarkEnd w:id="449"/>
      <w:bookmarkEnd w:id="450"/>
      <w:bookmarkEnd w:id="451"/>
      <w:bookmarkEnd w:id="452"/>
    </w:p>
    <w:p w14:paraId="1A8A6906">
      <w:pPr>
        <w:pStyle w:val="84"/>
        <w:keepNext/>
        <w:keepLines/>
        <w:spacing w:line="410" w:lineRule="exact"/>
        <w:ind w:firstLine="422"/>
        <w:rPr>
          <w:rFonts w:eastAsia="黑体"/>
          <w:b/>
          <w:bCs/>
          <w:color w:val="auto"/>
          <w:szCs w:val="32"/>
          <w:highlight w:val="none"/>
        </w:rPr>
      </w:pPr>
      <w:bookmarkStart w:id="453" w:name="_Toc373227720"/>
      <w:bookmarkStart w:id="454" w:name="_Toc373478367"/>
      <w:bookmarkStart w:id="455" w:name="_Toc19419"/>
      <w:bookmarkStart w:id="456" w:name="_Toc389065286"/>
      <w:r>
        <w:rPr>
          <w:rFonts w:eastAsia="黑体"/>
          <w:b/>
          <w:bCs/>
          <w:color w:val="auto"/>
          <w:szCs w:val="32"/>
          <w:highlight w:val="none"/>
        </w:rPr>
        <w:t xml:space="preserve">6.1 </w:t>
      </w:r>
      <w:r>
        <w:rPr>
          <w:rFonts w:hint="eastAsia" w:eastAsia="黑体"/>
          <w:b/>
          <w:bCs/>
          <w:color w:val="auto"/>
          <w:szCs w:val="32"/>
          <w:highlight w:val="none"/>
        </w:rPr>
        <w:t>安全文明施工</w:t>
      </w:r>
      <w:bookmarkEnd w:id="453"/>
      <w:bookmarkEnd w:id="454"/>
      <w:bookmarkEnd w:id="455"/>
      <w:bookmarkEnd w:id="456"/>
    </w:p>
    <w:p w14:paraId="6FCCB656">
      <w:pPr>
        <w:pStyle w:val="84"/>
        <w:spacing w:line="410" w:lineRule="exact"/>
        <w:ind w:firstLine="420" w:firstLineChars="200"/>
        <w:jc w:val="left"/>
        <w:rPr>
          <w:rFonts w:hAnsi="宋体"/>
          <w:color w:val="auto"/>
          <w:szCs w:val="21"/>
          <w:highlight w:val="none"/>
          <w:u w:val="single"/>
        </w:rPr>
      </w:pPr>
      <w:r>
        <w:rPr>
          <w:color w:val="auto"/>
          <w:szCs w:val="21"/>
          <w:highlight w:val="none"/>
        </w:rPr>
        <w:t xml:space="preserve">6.1.1 </w:t>
      </w:r>
      <w:r>
        <w:rPr>
          <w:rFonts w:hint="eastAsia" w:hAnsi="宋体"/>
          <w:color w:val="auto"/>
          <w:szCs w:val="21"/>
          <w:highlight w:val="none"/>
        </w:rPr>
        <w:t>项目安全生产的达标目标及相应事项的约定：</w:t>
      </w:r>
      <w:r>
        <w:rPr>
          <w:rFonts w:hint="eastAsia" w:hAnsi="宋体"/>
          <w:color w:val="auto"/>
          <w:szCs w:val="21"/>
          <w:highlight w:val="none"/>
          <w:u w:val="single"/>
        </w:rPr>
        <w:t>要求达到《建筑施工安全检查标准》</w:t>
      </w:r>
    </w:p>
    <w:p w14:paraId="338F0F4D">
      <w:pPr>
        <w:pStyle w:val="84"/>
        <w:spacing w:line="410" w:lineRule="exact"/>
        <w:ind w:firstLine="420" w:firstLineChars="200"/>
        <w:jc w:val="left"/>
        <w:rPr>
          <w:rFonts w:hAnsi="宋体"/>
          <w:color w:val="auto"/>
          <w:szCs w:val="21"/>
          <w:highlight w:val="none"/>
          <w:u w:val="single"/>
        </w:rPr>
      </w:pPr>
      <w:r>
        <w:rPr>
          <w:rFonts w:hint="eastAsia" w:hAnsi="宋体"/>
          <w:color w:val="auto"/>
          <w:szCs w:val="21"/>
          <w:highlight w:val="none"/>
          <w:u w:val="single"/>
        </w:rPr>
        <w:t>（</w:t>
      </w:r>
      <w:r>
        <w:rPr>
          <w:rFonts w:hAnsi="宋体"/>
          <w:color w:val="auto"/>
          <w:szCs w:val="21"/>
          <w:highlight w:val="none"/>
          <w:u w:val="single"/>
        </w:rPr>
        <w:t>JGJ59-2011</w:t>
      </w:r>
      <w:r>
        <w:rPr>
          <w:rFonts w:hint="eastAsia" w:hAnsi="宋体"/>
          <w:color w:val="auto"/>
          <w:szCs w:val="21"/>
          <w:highlight w:val="none"/>
          <w:u w:val="single"/>
        </w:rPr>
        <w:t>）的标准和符合《广西壮族自治区建筑工程安全防护、文明施工措施费及使用管理细则》（桂建质【</w:t>
      </w:r>
      <w:r>
        <w:rPr>
          <w:rFonts w:hAnsi="宋体"/>
          <w:color w:val="auto"/>
          <w:szCs w:val="21"/>
          <w:highlight w:val="none"/>
          <w:u w:val="single"/>
        </w:rPr>
        <w:t>2015</w:t>
      </w:r>
      <w:r>
        <w:rPr>
          <w:rFonts w:hint="eastAsia" w:hAnsi="宋体"/>
          <w:color w:val="auto"/>
          <w:szCs w:val="21"/>
          <w:highlight w:val="none"/>
          <w:u w:val="single"/>
        </w:rPr>
        <w:t>】</w:t>
      </w:r>
      <w:r>
        <w:rPr>
          <w:rFonts w:hAnsi="宋体"/>
          <w:color w:val="auto"/>
          <w:szCs w:val="21"/>
          <w:highlight w:val="none"/>
          <w:u w:val="single"/>
        </w:rPr>
        <w:t xml:space="preserve">16 </w:t>
      </w:r>
      <w:r>
        <w:rPr>
          <w:rFonts w:hint="eastAsia" w:hAnsi="宋体"/>
          <w:color w:val="auto"/>
          <w:szCs w:val="21"/>
          <w:highlight w:val="none"/>
          <w:u w:val="single"/>
        </w:rPr>
        <w:t>号文）规定</w:t>
      </w:r>
      <w:r>
        <w:rPr>
          <w:rFonts w:hint="eastAsia" w:hAnsi="宋体"/>
          <w:color w:val="auto"/>
          <w:szCs w:val="21"/>
          <w:highlight w:val="none"/>
        </w:rPr>
        <w:t>。</w:t>
      </w:r>
    </w:p>
    <w:p w14:paraId="5B932383">
      <w:pPr>
        <w:pStyle w:val="84"/>
        <w:spacing w:line="410" w:lineRule="exact"/>
        <w:ind w:firstLine="420" w:firstLineChars="200"/>
        <w:jc w:val="left"/>
        <w:rPr>
          <w:color w:val="auto"/>
          <w:szCs w:val="21"/>
          <w:highlight w:val="none"/>
        </w:rPr>
      </w:pPr>
      <w:r>
        <w:rPr>
          <w:rFonts w:hint="eastAsia" w:hAnsi="宋体"/>
          <w:color w:val="auto"/>
          <w:szCs w:val="21"/>
          <w:highlight w:val="none"/>
        </w:rPr>
        <w:t>关于安全文明施工奖项的约定：</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01AA42CA">
      <w:pPr>
        <w:pStyle w:val="84"/>
        <w:spacing w:line="410" w:lineRule="exact"/>
        <w:ind w:firstLine="420" w:firstLineChars="200"/>
        <w:jc w:val="left"/>
        <w:rPr>
          <w:color w:val="auto"/>
          <w:szCs w:val="21"/>
          <w:highlight w:val="none"/>
          <w:u w:val="single"/>
        </w:rPr>
      </w:pPr>
      <w:r>
        <w:rPr>
          <w:color w:val="auto"/>
          <w:szCs w:val="21"/>
          <w:highlight w:val="none"/>
        </w:rPr>
        <w:t xml:space="preserve">6.1.4 </w:t>
      </w:r>
      <w:r>
        <w:rPr>
          <w:rFonts w:hint="eastAsia" w:hAnsi="宋体"/>
          <w:color w:val="auto"/>
          <w:szCs w:val="21"/>
          <w:highlight w:val="none"/>
        </w:rPr>
        <w:t>关于治安保卫的特别约定：</w:t>
      </w:r>
      <w:r>
        <w:rPr>
          <w:rFonts w:hint="eastAsia"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2E56984">
      <w:pPr>
        <w:pStyle w:val="84"/>
        <w:spacing w:line="410" w:lineRule="exact"/>
        <w:ind w:firstLine="420" w:firstLineChars="200"/>
        <w:jc w:val="left"/>
        <w:rPr>
          <w:color w:val="auto"/>
          <w:szCs w:val="21"/>
          <w:highlight w:val="none"/>
        </w:rPr>
      </w:pPr>
      <w:r>
        <w:rPr>
          <w:rFonts w:hint="eastAsia" w:hAnsi="宋体"/>
          <w:color w:val="auto"/>
          <w:szCs w:val="21"/>
          <w:highlight w:val="none"/>
        </w:rPr>
        <w:t>关于编制施工场地治安管理计划的约定：</w:t>
      </w:r>
      <w:r>
        <w:rPr>
          <w:color w:val="auto"/>
          <w:szCs w:val="21"/>
          <w:highlight w:val="none"/>
          <w:u w:val="single"/>
        </w:rPr>
        <w:t xml:space="preserve">    </w:t>
      </w:r>
      <w:r>
        <w:rPr>
          <w:rFonts w:hint="eastAsia"/>
          <w:color w:val="auto"/>
          <w:szCs w:val="21"/>
          <w:highlight w:val="none"/>
          <w:u w:val="single"/>
        </w:rPr>
        <w:t>开工前提供施工场地治安管理计划</w:t>
      </w:r>
      <w:r>
        <w:rPr>
          <w:rFonts w:hint="eastAsia"/>
          <w:color w:val="auto"/>
          <w:highlight w:val="none"/>
        </w:rPr>
        <w:t>并向发包人、监理人备案</w:t>
      </w:r>
      <w:r>
        <w:rPr>
          <w:color w:val="auto"/>
          <w:szCs w:val="21"/>
          <w:highlight w:val="none"/>
          <w:u w:val="single"/>
        </w:rPr>
        <w:t xml:space="preserve">    </w:t>
      </w:r>
      <w:r>
        <w:rPr>
          <w:rFonts w:hint="eastAsia" w:hAnsi="宋体"/>
          <w:color w:val="auto"/>
          <w:szCs w:val="21"/>
          <w:highlight w:val="none"/>
        </w:rPr>
        <w:t>。</w:t>
      </w:r>
    </w:p>
    <w:p w14:paraId="1684D32E">
      <w:pPr>
        <w:pStyle w:val="84"/>
        <w:spacing w:line="410" w:lineRule="exact"/>
        <w:ind w:firstLine="420" w:firstLineChars="200"/>
        <w:jc w:val="left"/>
        <w:rPr>
          <w:color w:val="auto"/>
          <w:szCs w:val="21"/>
          <w:highlight w:val="none"/>
        </w:rPr>
      </w:pPr>
      <w:r>
        <w:rPr>
          <w:color w:val="auto"/>
          <w:szCs w:val="21"/>
          <w:highlight w:val="none"/>
        </w:rPr>
        <w:t xml:space="preserve">6.1.5 </w:t>
      </w:r>
      <w:r>
        <w:rPr>
          <w:rFonts w:hint="eastAsia" w:hAnsi="宋体"/>
          <w:color w:val="auto"/>
          <w:szCs w:val="21"/>
          <w:highlight w:val="none"/>
        </w:rPr>
        <w:t>文明施工</w:t>
      </w:r>
    </w:p>
    <w:p w14:paraId="624A77B3">
      <w:pPr>
        <w:pStyle w:val="84"/>
        <w:spacing w:line="410" w:lineRule="exact"/>
        <w:ind w:firstLine="420" w:firstLineChars="200"/>
        <w:jc w:val="left"/>
        <w:rPr>
          <w:rFonts w:hAnsi="宋体"/>
          <w:bCs/>
          <w:color w:val="auto"/>
          <w:szCs w:val="21"/>
          <w:highlight w:val="none"/>
        </w:rPr>
      </w:pPr>
      <w:r>
        <w:rPr>
          <w:rFonts w:hint="eastAsia" w:hAnsi="宋体"/>
          <w:color w:val="auto"/>
          <w:szCs w:val="21"/>
          <w:highlight w:val="none"/>
        </w:rPr>
        <w:t>合同当事人对文明施工的要求：</w:t>
      </w:r>
      <w:r>
        <w:rPr>
          <w:rFonts w:hint="eastAsia" w:hAnsi="宋体"/>
          <w:bCs/>
          <w:color w:val="auto"/>
          <w:szCs w:val="21"/>
          <w:highlight w:val="none"/>
        </w:rPr>
        <w:t>严格执行《大气污染防治法》（主席令第三十一号）、《南宁市建设工程质量和安全生产管理办法》（南宁市人民政府令</w:t>
      </w:r>
      <w:r>
        <w:rPr>
          <w:rFonts w:hAnsi="宋体"/>
          <w:bCs/>
          <w:color w:val="auto"/>
          <w:szCs w:val="21"/>
          <w:highlight w:val="none"/>
        </w:rPr>
        <w:t xml:space="preserve"> </w:t>
      </w:r>
      <w:r>
        <w:rPr>
          <w:rFonts w:hint="eastAsia" w:hAnsi="宋体"/>
          <w:bCs/>
          <w:color w:val="auto"/>
          <w:szCs w:val="21"/>
          <w:highlight w:val="none"/>
        </w:rPr>
        <w:t>第</w:t>
      </w:r>
      <w:r>
        <w:rPr>
          <w:rFonts w:hAnsi="宋体"/>
          <w:bCs/>
          <w:color w:val="auto"/>
          <w:szCs w:val="21"/>
          <w:highlight w:val="none"/>
        </w:rPr>
        <w:t>46</w:t>
      </w:r>
      <w:r>
        <w:rPr>
          <w:rFonts w:hint="eastAsia" w:hAnsi="宋体"/>
          <w:bCs/>
          <w:color w:val="auto"/>
          <w:szCs w:val="21"/>
          <w:highlight w:val="none"/>
        </w:rPr>
        <w:t>号）、《南宁市建设工程质量安全标准化图集》、《南宁市建设工程施工现场管理若干规定》（南宁市人民政府令</w:t>
      </w:r>
      <w:r>
        <w:rPr>
          <w:rFonts w:hAnsi="宋体"/>
          <w:bCs/>
          <w:color w:val="auto"/>
          <w:szCs w:val="21"/>
          <w:highlight w:val="none"/>
        </w:rPr>
        <w:t xml:space="preserve"> </w:t>
      </w:r>
      <w:r>
        <w:rPr>
          <w:rFonts w:hint="eastAsia" w:hAnsi="宋体"/>
          <w:bCs/>
          <w:color w:val="auto"/>
          <w:szCs w:val="21"/>
          <w:highlight w:val="none"/>
        </w:rPr>
        <w:t>第</w:t>
      </w:r>
      <w:r>
        <w:rPr>
          <w:rFonts w:hAnsi="宋体"/>
          <w:bCs/>
          <w:color w:val="auto"/>
          <w:szCs w:val="21"/>
          <w:highlight w:val="none"/>
        </w:rPr>
        <w:t>8</w:t>
      </w:r>
      <w:r>
        <w:rPr>
          <w:rFonts w:hint="eastAsia" w:hAnsi="宋体"/>
          <w:bCs/>
          <w:color w:val="auto"/>
          <w:szCs w:val="21"/>
          <w:highlight w:val="none"/>
        </w:rPr>
        <w:t>号）和发包人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w:t>
      </w:r>
      <w:r>
        <w:rPr>
          <w:rFonts w:hint="eastAsia"/>
          <w:bCs/>
          <w:color w:val="auto"/>
          <w:szCs w:val="21"/>
          <w:highlight w:val="none"/>
        </w:rPr>
        <w:t>土方作业严格执行南宁市城乡建设委员会印发的《南宁市土方作业文明施工工作导则》要求。</w:t>
      </w:r>
      <w:r>
        <w:rPr>
          <w:rFonts w:hint="eastAsia" w:hAnsi="宋体"/>
          <w:bCs/>
          <w:color w:val="auto"/>
          <w:szCs w:val="21"/>
          <w:highlight w:val="none"/>
        </w:rPr>
        <w:t>确保建设工程各项安全防护、文明施工措施及其费用在工地一线按标准落实到位。</w:t>
      </w:r>
    </w:p>
    <w:p w14:paraId="5D408A33">
      <w:pPr>
        <w:pStyle w:val="84"/>
        <w:spacing w:line="410" w:lineRule="exact"/>
        <w:ind w:firstLine="420" w:firstLineChars="200"/>
        <w:jc w:val="left"/>
        <w:rPr>
          <w:rFonts w:hAnsi="宋体"/>
          <w:bCs/>
          <w:color w:val="auto"/>
          <w:szCs w:val="21"/>
          <w:highlight w:val="none"/>
        </w:rPr>
      </w:pPr>
      <w:bookmarkStart w:id="457" w:name="_Toc389065287"/>
      <w:bookmarkStart w:id="458" w:name="_Toc373478368"/>
      <w:bookmarkStart w:id="459" w:name="_Toc373227721"/>
      <w:r>
        <w:rPr>
          <w:rFonts w:hAnsi="宋体"/>
          <w:bCs/>
          <w:color w:val="auto"/>
          <w:szCs w:val="21"/>
          <w:highlight w:val="none"/>
        </w:rPr>
        <w:t xml:space="preserve">6.1.6 </w:t>
      </w:r>
      <w:r>
        <w:rPr>
          <w:rFonts w:hint="eastAsia" w:hAnsi="宋体"/>
          <w:bCs/>
          <w:color w:val="auto"/>
          <w:szCs w:val="21"/>
          <w:highlight w:val="none"/>
        </w:rPr>
        <w:t>关于安全文明施工费支付比例和支付期限的约定：</w:t>
      </w:r>
    </w:p>
    <w:p w14:paraId="716D16B0">
      <w:pPr>
        <w:pStyle w:val="84"/>
        <w:spacing w:line="410" w:lineRule="exact"/>
        <w:ind w:left="420" w:leftChars="200"/>
        <w:jc w:val="left"/>
        <w:rPr>
          <w:rFonts w:hAnsi="宋体"/>
          <w:bCs/>
          <w:color w:val="auto"/>
          <w:szCs w:val="21"/>
          <w:highlight w:val="none"/>
        </w:rPr>
      </w:pPr>
      <w:r>
        <w:rPr>
          <w:rFonts w:hint="eastAsia" w:hAnsi="宋体"/>
          <w:bCs/>
          <w:color w:val="auto"/>
          <w:szCs w:val="21"/>
          <w:highlight w:val="none"/>
        </w:rPr>
        <w:t>关于安全文明施工费支付比例和支付期限的约定</w:t>
      </w:r>
      <w:r>
        <w:rPr>
          <w:rFonts w:hAnsi="宋体"/>
          <w:bCs/>
          <w:color w:val="auto"/>
          <w:szCs w:val="21"/>
          <w:highlight w:val="none"/>
        </w:rPr>
        <w:t>:</w:t>
      </w:r>
    </w:p>
    <w:p w14:paraId="7BED3245">
      <w:pPr>
        <w:pStyle w:val="84"/>
        <w:spacing w:line="410" w:lineRule="exact"/>
        <w:ind w:firstLine="420" w:firstLineChars="200"/>
        <w:jc w:val="left"/>
        <w:rPr>
          <w:rFonts w:hAnsi="宋体"/>
          <w:bCs/>
          <w:color w:val="auto"/>
          <w:szCs w:val="21"/>
          <w:highlight w:val="none"/>
        </w:rPr>
      </w:pPr>
      <w:r>
        <w:rPr>
          <w:rFonts w:hint="eastAsia" w:hAnsi="宋体"/>
          <w:bCs/>
          <w:color w:val="auto"/>
          <w:szCs w:val="21"/>
          <w:highlight w:val="none"/>
        </w:rPr>
        <w:t>（</w:t>
      </w:r>
      <w:r>
        <w:rPr>
          <w:rFonts w:hAnsi="宋体"/>
          <w:bCs/>
          <w:color w:val="auto"/>
          <w:szCs w:val="21"/>
          <w:highlight w:val="none"/>
        </w:rPr>
        <w:t>1</w:t>
      </w:r>
      <w:r>
        <w:rPr>
          <w:rFonts w:hint="eastAsia" w:hAnsi="宋体"/>
          <w:bCs/>
          <w:color w:val="auto"/>
          <w:szCs w:val="21"/>
          <w:highlight w:val="none"/>
        </w:rPr>
        <w:t>）本合同价款已包含安全文明施工费￥</w:t>
      </w:r>
      <w:r>
        <w:rPr>
          <w:rFonts w:hAnsi="宋体"/>
          <w:bCs/>
          <w:color w:val="auto"/>
          <w:szCs w:val="21"/>
          <w:highlight w:val="none"/>
          <w:u w:val="single"/>
        </w:rPr>
        <w:t xml:space="preserve">     </w:t>
      </w:r>
      <w:r>
        <w:rPr>
          <w:rFonts w:hint="eastAsia" w:hAnsi="宋体"/>
          <w:bCs/>
          <w:color w:val="auto"/>
          <w:szCs w:val="21"/>
          <w:highlight w:val="none"/>
        </w:rPr>
        <w:t>元。</w:t>
      </w:r>
    </w:p>
    <w:p w14:paraId="4FD3CB3B">
      <w:pPr>
        <w:pStyle w:val="84"/>
        <w:spacing w:line="410" w:lineRule="exact"/>
        <w:jc w:val="left"/>
        <w:rPr>
          <w:color w:val="auto"/>
          <w:highlight w:val="none"/>
        </w:rPr>
      </w:pPr>
      <w:r>
        <w:rPr>
          <w:rFonts w:hAnsi="宋体"/>
          <w:bCs/>
          <w:color w:val="auto"/>
          <w:szCs w:val="21"/>
          <w:highlight w:val="none"/>
        </w:rPr>
        <w:t xml:space="preserve">    </w:t>
      </w:r>
      <w:r>
        <w:rPr>
          <w:rFonts w:hint="eastAsia" w:hAnsi="宋体"/>
          <w:bCs/>
          <w:color w:val="auto"/>
          <w:szCs w:val="21"/>
          <w:highlight w:val="none"/>
        </w:rPr>
        <w:t>（</w:t>
      </w:r>
      <w:r>
        <w:rPr>
          <w:rFonts w:hAnsi="宋体"/>
          <w:bCs/>
          <w:color w:val="auto"/>
          <w:szCs w:val="21"/>
          <w:highlight w:val="none"/>
        </w:rPr>
        <w:t>2</w:t>
      </w:r>
      <w:r>
        <w:rPr>
          <w:rFonts w:hint="eastAsia" w:hAnsi="宋体"/>
          <w:bCs/>
          <w:color w:val="auto"/>
          <w:szCs w:val="21"/>
          <w:highlight w:val="none"/>
        </w:rPr>
        <w:t>）使用要求</w:t>
      </w:r>
      <w:r>
        <w:rPr>
          <w:rFonts w:hAnsi="宋体"/>
          <w:bCs/>
          <w:color w:val="auto"/>
          <w:szCs w:val="21"/>
          <w:highlight w:val="none"/>
        </w:rPr>
        <w:t>:</w:t>
      </w:r>
      <w:r>
        <w:rPr>
          <w:rFonts w:hint="eastAsia"/>
          <w:color w:val="auto"/>
          <w:highlight w:val="none"/>
        </w:rPr>
        <w:t>本工程合同价款已包含安全防护、文明施工措施费。使用要求：专款专用，具体按《广西壮族自治区建设工程安全文明施工费使用管理细则》（桂建质【</w:t>
      </w:r>
      <w:r>
        <w:rPr>
          <w:color w:val="auto"/>
          <w:highlight w:val="none"/>
        </w:rPr>
        <w:t>2015</w:t>
      </w:r>
      <w:r>
        <w:rPr>
          <w:rFonts w:hint="eastAsia"/>
          <w:color w:val="auto"/>
          <w:highlight w:val="none"/>
        </w:rPr>
        <w:t>】</w:t>
      </w:r>
      <w:r>
        <w:rPr>
          <w:color w:val="auto"/>
          <w:highlight w:val="none"/>
        </w:rPr>
        <w:t>16</w:t>
      </w:r>
      <w:r>
        <w:rPr>
          <w:rFonts w:hint="eastAsia"/>
          <w:color w:val="auto"/>
          <w:highlight w:val="none"/>
        </w:rPr>
        <w:t>号）和</w:t>
      </w:r>
      <w:r>
        <w:rPr>
          <w:color w:val="auto"/>
          <w:highlight w:val="none"/>
        </w:rPr>
        <w:t xml:space="preserve"> </w:t>
      </w:r>
      <w:r>
        <w:rPr>
          <w:rFonts w:hint="eastAsia"/>
          <w:color w:val="auto"/>
          <w:highlight w:val="none"/>
        </w:rPr>
        <w:t>南宁市相关规定执行。安全防护、文明施工措施费与工程款同步支付（按相关规定缴纳及支付）。安全防护、</w:t>
      </w:r>
      <w:r>
        <w:rPr>
          <w:color w:val="auto"/>
          <w:highlight w:val="none"/>
        </w:rPr>
        <w:t xml:space="preserve"> </w:t>
      </w:r>
      <w:r>
        <w:rPr>
          <w:rFonts w:hint="eastAsia"/>
          <w:color w:val="auto"/>
          <w:highlight w:val="none"/>
        </w:rPr>
        <w:t>文明施工措施费以成交人已标价工程量清单中的金额为准，结算时不予调整。</w:t>
      </w:r>
    </w:p>
    <w:p w14:paraId="3B0EAD09">
      <w:pPr>
        <w:pStyle w:val="84"/>
        <w:spacing w:line="410" w:lineRule="exact"/>
        <w:jc w:val="left"/>
        <w:rPr>
          <w:rFonts w:hAnsi="宋体"/>
          <w:bCs/>
          <w:color w:val="auto"/>
          <w:szCs w:val="21"/>
          <w:highlight w:val="none"/>
        </w:rPr>
      </w:pPr>
      <w:r>
        <w:rPr>
          <w:rFonts w:hAnsi="宋体"/>
          <w:bCs/>
          <w:color w:val="auto"/>
          <w:szCs w:val="21"/>
          <w:highlight w:val="none"/>
        </w:rPr>
        <w:t xml:space="preserve">    </w:t>
      </w:r>
      <w:r>
        <w:rPr>
          <w:rFonts w:hint="eastAsia" w:hAnsi="宋体"/>
          <w:bCs/>
          <w:color w:val="auto"/>
          <w:szCs w:val="21"/>
          <w:highlight w:val="none"/>
        </w:rPr>
        <w:t>（</w:t>
      </w:r>
      <w:r>
        <w:rPr>
          <w:rFonts w:hAnsi="宋体"/>
          <w:bCs/>
          <w:color w:val="auto"/>
          <w:szCs w:val="21"/>
          <w:highlight w:val="none"/>
        </w:rPr>
        <w:t>3</w:t>
      </w:r>
      <w:r>
        <w:rPr>
          <w:rFonts w:hint="eastAsia" w:hAnsi="宋体"/>
          <w:bCs/>
          <w:color w:val="auto"/>
          <w:szCs w:val="21"/>
          <w:highlight w:val="none"/>
        </w:rPr>
        <w:t>）支付约定：按广西、南宁市、城区相关规定执行。</w:t>
      </w:r>
    </w:p>
    <w:p w14:paraId="094CF43F">
      <w:pPr>
        <w:pStyle w:val="84"/>
        <w:autoSpaceDE w:val="0"/>
        <w:autoSpaceDN w:val="0"/>
        <w:adjustRightInd w:val="0"/>
        <w:spacing w:line="410" w:lineRule="exact"/>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4</w:t>
      </w:r>
      <w:r>
        <w:rPr>
          <w:rFonts w:hint="eastAsia" w:hAnsi="宋体"/>
          <w:color w:val="auto"/>
          <w:kern w:val="0"/>
          <w:szCs w:val="21"/>
          <w:highlight w:val="none"/>
        </w:rPr>
        <w:t>）建设单位按规定将安全生产费用转入施工单位设立的安全生产费用专户。</w:t>
      </w:r>
    </w:p>
    <w:p w14:paraId="586A9FC8">
      <w:pPr>
        <w:pStyle w:val="84"/>
        <w:autoSpaceDE w:val="0"/>
        <w:autoSpaceDN w:val="0"/>
        <w:adjustRightInd w:val="0"/>
        <w:spacing w:line="410" w:lineRule="exact"/>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5</w:t>
      </w:r>
      <w:r>
        <w:rPr>
          <w:rFonts w:hint="eastAsia" w:hAnsi="宋体"/>
          <w:color w:val="auto"/>
          <w:kern w:val="0"/>
          <w:szCs w:val="21"/>
          <w:highlight w:val="none"/>
        </w:rPr>
        <w:t>）工程施工完成后安全生产费用尚有结余的，结余部分由建设单位收回。</w:t>
      </w:r>
    </w:p>
    <w:p w14:paraId="42796074">
      <w:pPr>
        <w:pStyle w:val="84"/>
        <w:autoSpaceDE w:val="0"/>
        <w:autoSpaceDN w:val="0"/>
        <w:adjustRightInd w:val="0"/>
        <w:spacing w:line="410" w:lineRule="exact"/>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6</w:t>
      </w:r>
      <w:r>
        <w:rPr>
          <w:rFonts w:hint="eastAsia" w:hAnsi="宋体"/>
          <w:color w:val="auto"/>
          <w:kern w:val="0"/>
          <w:szCs w:val="21"/>
          <w:highlight w:val="none"/>
        </w:rPr>
        <w:t>）施工单位将安全生产费用使用情况定期报告建设单位和监理单位，并提供相应的材料接受建设行政主管部门对此事项监管。</w:t>
      </w:r>
    </w:p>
    <w:p w14:paraId="17C9F92D">
      <w:pPr>
        <w:pStyle w:val="84"/>
        <w:autoSpaceDE w:val="0"/>
        <w:autoSpaceDN w:val="0"/>
        <w:adjustRightInd w:val="0"/>
        <w:spacing w:line="410" w:lineRule="exact"/>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7</w:t>
      </w:r>
      <w:r>
        <w:rPr>
          <w:rFonts w:hint="eastAsia" w:hAnsi="宋体"/>
          <w:color w:val="auto"/>
          <w:kern w:val="0"/>
          <w:szCs w:val="21"/>
          <w:highlight w:val="none"/>
        </w:rPr>
        <w:t>）安全生产费用专户：××××公司安全生产费用专户。账号：</w:t>
      </w:r>
      <w:r>
        <w:rPr>
          <w:rFonts w:hAnsi="宋体"/>
          <w:color w:val="auto"/>
          <w:kern w:val="0"/>
          <w:szCs w:val="21"/>
          <w:highlight w:val="none"/>
        </w:rPr>
        <w:t xml:space="preserve">                 </w:t>
      </w:r>
      <w:r>
        <w:rPr>
          <w:rFonts w:hint="eastAsia" w:hAnsi="宋体"/>
          <w:color w:val="auto"/>
          <w:kern w:val="0"/>
          <w:szCs w:val="21"/>
          <w:highlight w:val="none"/>
        </w:rPr>
        <w:t>。</w:t>
      </w:r>
    </w:p>
    <w:p w14:paraId="4254B9A2">
      <w:pPr>
        <w:pStyle w:val="84"/>
        <w:keepNext/>
        <w:keepLines/>
        <w:spacing w:line="360" w:lineRule="auto"/>
        <w:ind w:firstLine="422"/>
        <w:outlineLvl w:val="2"/>
        <w:rPr>
          <w:rFonts w:hAnsi="宋体" w:cs="宋体"/>
          <w:color w:val="auto"/>
          <w:kern w:val="0"/>
          <w:highlight w:val="none"/>
        </w:rPr>
      </w:pPr>
      <w:bookmarkStart w:id="460" w:name="_Toc30263"/>
      <w:r>
        <w:rPr>
          <w:rFonts w:eastAsia="黑体"/>
          <w:b/>
          <w:bCs/>
          <w:color w:val="auto"/>
          <w:szCs w:val="32"/>
          <w:highlight w:val="none"/>
        </w:rPr>
        <w:t xml:space="preserve">6.3 </w:t>
      </w:r>
      <w:r>
        <w:rPr>
          <w:rFonts w:hint="eastAsia" w:hAnsi="宋体" w:cs="宋体"/>
          <w:color w:val="auto"/>
          <w:kern w:val="0"/>
          <w:highlight w:val="none"/>
        </w:rPr>
        <w:t>环境保护</w:t>
      </w:r>
      <w:bookmarkEnd w:id="457"/>
      <w:bookmarkEnd w:id="458"/>
      <w:bookmarkEnd w:id="459"/>
      <w:bookmarkEnd w:id="460"/>
    </w:p>
    <w:p w14:paraId="2BC34C01">
      <w:pPr>
        <w:pStyle w:val="84"/>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因施工需要，经发包人批准，由承包人办理有关施工场地交通、环卫和施工噪音管理等手续，费用由承包人负责。</w:t>
      </w:r>
    </w:p>
    <w:p w14:paraId="26244E74">
      <w:pPr>
        <w:pStyle w:val="84"/>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经过城市道路的施工车辆，必须按交警、城管、运输等部门相关规定执行。由于施工车辆造成的道路、环境等污染，其责任和费用均由承包人承担。</w:t>
      </w:r>
    </w:p>
    <w:p w14:paraId="70591244">
      <w:pPr>
        <w:pStyle w:val="84"/>
        <w:spacing w:line="360" w:lineRule="auto"/>
        <w:ind w:firstLine="420" w:firstLineChars="200"/>
        <w:jc w:val="left"/>
        <w:rPr>
          <w:rFonts w:hAnsi="宋体"/>
          <w:color w:val="auto"/>
          <w:kern w:val="0"/>
          <w:szCs w:val="21"/>
          <w:highlight w:val="none"/>
          <w:u w:val="single"/>
        </w:rPr>
      </w:pPr>
      <w:r>
        <w:rPr>
          <w:rFonts w:hint="eastAsia" w:hAnsi="宋体"/>
          <w:color w:val="auto"/>
          <w:szCs w:val="21"/>
          <w:highlight w:val="none"/>
          <w:u w:val="single"/>
        </w:rPr>
        <w:t>根据《南宁市挥发性有机物污染防治实施方案（</w:t>
      </w:r>
      <w:r>
        <w:rPr>
          <w:rFonts w:hAnsi="宋体"/>
          <w:color w:val="auto"/>
          <w:szCs w:val="21"/>
          <w:highlight w:val="none"/>
          <w:u w:val="single"/>
        </w:rPr>
        <w:t>2019-2020</w:t>
      </w:r>
      <w:r>
        <w:rPr>
          <w:rFonts w:hint="eastAsia" w:hAnsi="宋体"/>
          <w:color w:val="auto"/>
          <w:szCs w:val="21"/>
          <w:highlight w:val="none"/>
          <w:u w:val="single"/>
        </w:rPr>
        <w:t>年）》（南环委办</w:t>
      </w:r>
      <w:r>
        <w:rPr>
          <w:rFonts w:hint="eastAsia" w:hAnsi="宋体"/>
          <w:color w:val="auto"/>
          <w:kern w:val="0"/>
          <w:szCs w:val="21"/>
          <w:highlight w:val="none"/>
          <w:u w:val="single"/>
        </w:rPr>
        <w:t>〔</w:t>
      </w:r>
      <w:r>
        <w:rPr>
          <w:rFonts w:hAnsi="宋体"/>
          <w:color w:val="auto"/>
          <w:kern w:val="0"/>
          <w:szCs w:val="21"/>
          <w:highlight w:val="none"/>
          <w:u w:val="single"/>
        </w:rPr>
        <w:t>2019</w:t>
      </w:r>
      <w:r>
        <w:rPr>
          <w:rFonts w:hint="eastAsia" w:hAnsi="宋体"/>
          <w:color w:val="auto"/>
          <w:kern w:val="0"/>
          <w:szCs w:val="21"/>
          <w:highlight w:val="none"/>
          <w:u w:val="single"/>
        </w:rPr>
        <w:t>〕</w:t>
      </w:r>
      <w:r>
        <w:rPr>
          <w:rFonts w:hAnsi="宋体"/>
          <w:color w:val="auto"/>
          <w:kern w:val="0"/>
          <w:szCs w:val="21"/>
          <w:highlight w:val="none"/>
          <w:u w:val="single"/>
        </w:rPr>
        <w:t>166</w:t>
      </w:r>
      <w:r>
        <w:rPr>
          <w:rFonts w:hint="eastAsia" w:hAnsi="宋体"/>
          <w:color w:val="auto"/>
          <w:kern w:val="0"/>
          <w:szCs w:val="21"/>
          <w:highlight w:val="none"/>
          <w:u w:val="single"/>
        </w:rPr>
        <w:t>号）文件精神，宜优先使用低</w:t>
      </w:r>
      <w:r>
        <w:rPr>
          <w:rFonts w:hAnsi="宋体"/>
          <w:color w:val="auto"/>
          <w:kern w:val="0"/>
          <w:szCs w:val="21"/>
          <w:highlight w:val="none"/>
          <w:u w:val="single"/>
        </w:rPr>
        <w:t>VOCs</w:t>
      </w:r>
      <w:r>
        <w:rPr>
          <w:rFonts w:hint="eastAsia" w:hAnsi="宋体"/>
          <w:color w:val="auto"/>
          <w:kern w:val="0"/>
          <w:szCs w:val="21"/>
          <w:highlight w:val="none"/>
          <w:u w:val="single"/>
        </w:rPr>
        <w:t>含量的涂料、油漆和有机溶剂。</w:t>
      </w:r>
    </w:p>
    <w:bookmarkEnd w:id="441"/>
    <w:bookmarkEnd w:id="442"/>
    <w:bookmarkEnd w:id="443"/>
    <w:bookmarkEnd w:id="444"/>
    <w:bookmarkEnd w:id="445"/>
    <w:bookmarkEnd w:id="446"/>
    <w:bookmarkEnd w:id="447"/>
    <w:p w14:paraId="3CFA9114">
      <w:pPr>
        <w:pStyle w:val="84"/>
        <w:spacing w:line="360" w:lineRule="auto"/>
        <w:ind w:firstLine="420" w:firstLineChars="200"/>
        <w:jc w:val="left"/>
        <w:rPr>
          <w:rFonts w:hAnsi="宋体"/>
          <w:color w:val="auto"/>
          <w:kern w:val="0"/>
          <w:szCs w:val="21"/>
          <w:highlight w:val="none"/>
          <w:u w:val="single"/>
        </w:rPr>
      </w:pPr>
      <w:bookmarkStart w:id="461" w:name="_Toc351203639"/>
      <w:bookmarkStart w:id="462" w:name="_Toc373478369"/>
      <w:bookmarkStart w:id="463" w:name="_Toc89"/>
      <w:bookmarkStart w:id="464" w:name="_Toc373227722"/>
      <w:bookmarkStart w:id="465" w:name="_Toc389065288"/>
      <w:r>
        <w:rPr>
          <w:rFonts w:hint="eastAsia" w:hAnsi="宋体"/>
          <w:color w:val="auto"/>
          <w:kern w:val="0"/>
          <w:szCs w:val="21"/>
          <w:highlight w:val="none"/>
        </w:rPr>
        <w:t>6.4关于安全文明施工及环境保护的其他约定：</w:t>
      </w:r>
      <w:r>
        <w:rPr>
          <w:rFonts w:hint="eastAsia" w:hAnsi="宋体"/>
          <w:color w:val="auto"/>
          <w:kern w:val="0"/>
          <w:szCs w:val="21"/>
          <w:highlight w:val="none"/>
          <w:u w:val="single"/>
        </w:rPr>
        <w:t>（1）承包人应严格依据相关文件及响应文件的要求，切实做好施工现场的安全文明施工与环境保护工作。 若未达到响应文件规定标准，发包人将依据带有时间水印的现场照片等有效证据，对施工单位处以 500元/天的违约金。（2）承包人应定期对施工人员进行安全文明教育，并保存好相关资料，以备发包人检查。</w:t>
      </w:r>
    </w:p>
    <w:p w14:paraId="6F3852E6">
      <w:pPr>
        <w:pStyle w:val="84"/>
        <w:keepNext/>
        <w:keepLines/>
        <w:spacing w:before="60" w:after="60" w:line="412" w:lineRule="auto"/>
        <w:ind w:firstLine="422"/>
        <w:outlineLvl w:val="1"/>
        <w:rPr>
          <w:rFonts w:ascii="Arial" w:hAnsi="Arial" w:eastAsia="黑体"/>
          <w:b/>
          <w:bCs/>
          <w:color w:val="auto"/>
          <w:szCs w:val="32"/>
          <w:highlight w:val="none"/>
        </w:rPr>
      </w:pPr>
      <w:r>
        <w:rPr>
          <w:rFonts w:ascii="Arial" w:hAnsi="Arial" w:eastAsia="黑体"/>
          <w:b/>
          <w:bCs/>
          <w:color w:val="auto"/>
          <w:szCs w:val="32"/>
          <w:highlight w:val="none"/>
        </w:rPr>
        <w:t xml:space="preserve">7. </w:t>
      </w:r>
      <w:r>
        <w:rPr>
          <w:rFonts w:hint="eastAsia" w:ascii="Arial" w:hAnsi="Arial" w:eastAsia="黑体"/>
          <w:b/>
          <w:bCs/>
          <w:color w:val="auto"/>
          <w:szCs w:val="32"/>
          <w:highlight w:val="none"/>
        </w:rPr>
        <w:t>工期和进度</w:t>
      </w:r>
      <w:bookmarkEnd w:id="461"/>
      <w:bookmarkEnd w:id="462"/>
      <w:bookmarkEnd w:id="463"/>
      <w:bookmarkEnd w:id="464"/>
      <w:bookmarkEnd w:id="465"/>
    </w:p>
    <w:p w14:paraId="72CA61A9">
      <w:pPr>
        <w:pStyle w:val="84"/>
        <w:keepNext/>
        <w:keepLines/>
        <w:spacing w:line="360" w:lineRule="auto"/>
        <w:ind w:firstLine="422"/>
        <w:outlineLvl w:val="2"/>
        <w:rPr>
          <w:rFonts w:eastAsia="黑体"/>
          <w:b/>
          <w:bCs/>
          <w:color w:val="auto"/>
          <w:szCs w:val="32"/>
          <w:highlight w:val="none"/>
        </w:rPr>
      </w:pPr>
      <w:bookmarkStart w:id="466" w:name="_Toc373227723"/>
      <w:bookmarkStart w:id="467" w:name="_Toc11077"/>
      <w:bookmarkStart w:id="468" w:name="_Toc389065289"/>
      <w:bookmarkStart w:id="469" w:name="_Toc373478370"/>
      <w:r>
        <w:rPr>
          <w:rFonts w:eastAsia="黑体"/>
          <w:b/>
          <w:bCs/>
          <w:color w:val="auto"/>
          <w:szCs w:val="32"/>
          <w:highlight w:val="none"/>
        </w:rPr>
        <w:t xml:space="preserve">7.1 </w:t>
      </w:r>
      <w:r>
        <w:rPr>
          <w:rFonts w:hint="eastAsia" w:eastAsia="黑体"/>
          <w:b/>
          <w:bCs/>
          <w:color w:val="auto"/>
          <w:szCs w:val="32"/>
          <w:highlight w:val="none"/>
        </w:rPr>
        <w:t>施工组织设计</w:t>
      </w:r>
      <w:bookmarkEnd w:id="466"/>
      <w:bookmarkEnd w:id="467"/>
      <w:bookmarkEnd w:id="468"/>
      <w:bookmarkEnd w:id="469"/>
    </w:p>
    <w:p w14:paraId="178C529B">
      <w:pPr>
        <w:pStyle w:val="84"/>
        <w:autoSpaceDE w:val="0"/>
        <w:autoSpaceDN w:val="0"/>
        <w:adjustRightInd w:val="0"/>
        <w:spacing w:line="360" w:lineRule="auto"/>
        <w:ind w:firstLine="420" w:firstLineChars="200"/>
        <w:jc w:val="left"/>
        <w:rPr>
          <w:color w:val="auto"/>
          <w:szCs w:val="21"/>
          <w:highlight w:val="none"/>
          <w:u w:val="single"/>
        </w:rPr>
      </w:pPr>
      <w:r>
        <w:rPr>
          <w:color w:val="auto"/>
          <w:szCs w:val="21"/>
          <w:highlight w:val="none"/>
        </w:rPr>
        <w:t xml:space="preserve">7.1.1 </w:t>
      </w:r>
      <w:r>
        <w:rPr>
          <w:rFonts w:hint="eastAsia" w:hAnsi="宋体"/>
          <w:color w:val="auto"/>
          <w:szCs w:val="21"/>
          <w:highlight w:val="none"/>
        </w:rPr>
        <w:t>合</w:t>
      </w:r>
      <w:r>
        <w:rPr>
          <w:rFonts w:hint="eastAsia" w:hAnsi="宋体"/>
          <w:color w:val="auto"/>
          <w:kern w:val="0"/>
          <w:szCs w:val="21"/>
          <w:highlight w:val="none"/>
        </w:rPr>
        <w:t>同当事人约定的施工组织设计应包括的其他内容：</w:t>
      </w:r>
      <w:r>
        <w:rPr>
          <w:rFonts w:hint="eastAsia"/>
          <w:color w:val="auto"/>
          <w:kern w:val="0"/>
          <w:szCs w:val="21"/>
          <w:highlight w:val="none"/>
          <w:u w:val="single"/>
        </w:rPr>
        <w:t xml:space="preserve">根据国家工期定额和使用需要及成交供应商的承诺，确定工程总工期为    </w:t>
      </w:r>
      <w:r>
        <w:rPr>
          <w:color w:val="auto"/>
          <w:kern w:val="0"/>
          <w:szCs w:val="21"/>
          <w:highlight w:val="none"/>
          <w:u w:val="single"/>
        </w:rPr>
        <w:t xml:space="preserve"> </w:t>
      </w:r>
      <w:r>
        <w:rPr>
          <w:rFonts w:hint="eastAsia"/>
          <w:color w:val="auto"/>
          <w:kern w:val="0"/>
          <w:szCs w:val="21"/>
          <w:highlight w:val="none"/>
          <w:u w:val="single"/>
        </w:rPr>
        <w:t>天，开工时间以开工令约定的时间为准，竣工时间以通过竣工验收为准。</w:t>
      </w:r>
    </w:p>
    <w:p w14:paraId="7F5C4AEF">
      <w:pPr>
        <w:pStyle w:val="84"/>
        <w:autoSpaceDE w:val="0"/>
        <w:autoSpaceDN w:val="0"/>
        <w:adjustRightInd w:val="0"/>
        <w:spacing w:line="360" w:lineRule="auto"/>
        <w:ind w:firstLine="420" w:firstLineChars="200"/>
        <w:jc w:val="left"/>
        <w:rPr>
          <w:color w:val="auto"/>
          <w:kern w:val="0"/>
          <w:szCs w:val="21"/>
          <w:highlight w:val="none"/>
        </w:rPr>
      </w:pPr>
      <w:r>
        <w:rPr>
          <w:color w:val="auto"/>
          <w:szCs w:val="21"/>
          <w:highlight w:val="none"/>
        </w:rPr>
        <w:t xml:space="preserve">7.1.2 </w:t>
      </w:r>
      <w:r>
        <w:rPr>
          <w:rFonts w:hint="eastAsia" w:hAnsi="宋体"/>
          <w:color w:val="auto"/>
          <w:kern w:val="0"/>
          <w:szCs w:val="21"/>
          <w:highlight w:val="none"/>
        </w:rPr>
        <w:t>施工组织设计的提交和修改</w:t>
      </w:r>
    </w:p>
    <w:p w14:paraId="1C111FE7">
      <w:pPr>
        <w:pStyle w:val="84"/>
        <w:autoSpaceDE w:val="0"/>
        <w:autoSpaceDN w:val="0"/>
        <w:adjustRightInd w:val="0"/>
        <w:spacing w:line="360" w:lineRule="auto"/>
        <w:ind w:firstLine="420" w:firstLineChars="200"/>
        <w:jc w:val="left"/>
        <w:rPr>
          <w:color w:val="auto"/>
          <w:szCs w:val="21"/>
          <w:highlight w:val="none"/>
          <w:u w:val="single"/>
        </w:rPr>
      </w:pPr>
      <w:r>
        <w:rPr>
          <w:rFonts w:hint="eastAsia" w:hAnsi="宋体"/>
          <w:color w:val="auto"/>
          <w:kern w:val="0"/>
          <w:szCs w:val="21"/>
          <w:highlight w:val="none"/>
        </w:rPr>
        <w:t>承包人提交详细施工组织设计的期限的约定：</w:t>
      </w:r>
      <w:r>
        <w:rPr>
          <w:rFonts w:hAnsi="宋体"/>
          <w:color w:val="auto"/>
          <w:szCs w:val="21"/>
          <w:highlight w:val="none"/>
          <w:u w:val="single"/>
        </w:rPr>
        <w:t xml:space="preserve">     </w:t>
      </w:r>
      <w:r>
        <w:rPr>
          <w:rFonts w:hint="eastAsia" w:hAnsi="宋体"/>
          <w:color w:val="auto"/>
          <w:szCs w:val="21"/>
          <w:highlight w:val="none"/>
          <w:u w:val="single"/>
        </w:rPr>
        <w:t>开工前</w:t>
      </w:r>
      <w:r>
        <w:rPr>
          <w:rFonts w:hAnsi="宋体"/>
          <w:color w:val="auto"/>
          <w:szCs w:val="21"/>
          <w:highlight w:val="none"/>
          <w:u w:val="single"/>
        </w:rPr>
        <w:t>10</w:t>
      </w:r>
      <w:r>
        <w:rPr>
          <w:rFonts w:hint="eastAsia" w:hAnsi="宋体"/>
          <w:color w:val="auto"/>
          <w:szCs w:val="21"/>
          <w:highlight w:val="none"/>
          <w:u w:val="single"/>
        </w:rPr>
        <w:t>天内</w:t>
      </w:r>
      <w:r>
        <w:rPr>
          <w:rFonts w:hAnsi="宋体"/>
          <w:color w:val="auto"/>
          <w:szCs w:val="21"/>
          <w:highlight w:val="none"/>
          <w:u w:val="single"/>
        </w:rPr>
        <w:t xml:space="preserve">    </w:t>
      </w:r>
      <w:r>
        <w:rPr>
          <w:rFonts w:hint="eastAsia" w:hAnsi="宋体"/>
          <w:color w:val="auto"/>
          <w:szCs w:val="21"/>
          <w:highlight w:val="none"/>
          <w:u w:val="single"/>
        </w:rPr>
        <w:t>。</w:t>
      </w:r>
    </w:p>
    <w:p w14:paraId="017F64B8">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发包人和监理人在收到详细的施工组织设计后确认或提出修改意见的期</w:t>
      </w:r>
    </w:p>
    <w:p w14:paraId="0F87441F">
      <w:pPr>
        <w:pStyle w:val="84"/>
        <w:spacing w:line="360" w:lineRule="auto"/>
        <w:jc w:val="left"/>
        <w:rPr>
          <w:color w:val="auto"/>
          <w:szCs w:val="21"/>
          <w:highlight w:val="none"/>
        </w:rPr>
      </w:pPr>
      <w:r>
        <w:rPr>
          <w:rFonts w:hint="eastAsia" w:hAnsi="宋体"/>
          <w:color w:val="auto"/>
          <w:szCs w:val="21"/>
          <w:highlight w:val="none"/>
        </w:rPr>
        <w:t>限：</w:t>
      </w:r>
      <w:r>
        <w:rPr>
          <w:rFonts w:hAnsi="宋体"/>
          <w:color w:val="auto"/>
          <w:szCs w:val="21"/>
          <w:highlight w:val="none"/>
          <w:u w:val="single"/>
        </w:rPr>
        <w:t xml:space="preserve">        </w:t>
      </w:r>
      <w:r>
        <w:rPr>
          <w:rFonts w:hint="eastAsia" w:hAnsi="宋体"/>
          <w:color w:val="auto"/>
          <w:szCs w:val="21"/>
          <w:highlight w:val="none"/>
          <w:u w:val="single"/>
        </w:rPr>
        <w:t>开工前</w:t>
      </w:r>
      <w:r>
        <w:rPr>
          <w:rFonts w:hAnsi="宋体"/>
          <w:color w:val="auto"/>
          <w:szCs w:val="21"/>
          <w:highlight w:val="none"/>
          <w:u w:val="single"/>
        </w:rPr>
        <w:t>10</w:t>
      </w:r>
      <w:r>
        <w:rPr>
          <w:rFonts w:hint="eastAsia" w:hAnsi="宋体"/>
          <w:color w:val="auto"/>
          <w:szCs w:val="21"/>
          <w:highlight w:val="none"/>
          <w:u w:val="single"/>
        </w:rPr>
        <w:t>天内</w:t>
      </w:r>
      <w:r>
        <w:rPr>
          <w:rFonts w:hAnsi="宋体"/>
          <w:color w:val="auto"/>
          <w:szCs w:val="21"/>
          <w:highlight w:val="none"/>
          <w:u w:val="single"/>
        </w:rPr>
        <w:t xml:space="preserve">        </w:t>
      </w:r>
      <w:r>
        <w:rPr>
          <w:rFonts w:hint="eastAsia" w:hAnsi="宋体"/>
          <w:color w:val="auto"/>
          <w:szCs w:val="21"/>
          <w:highlight w:val="none"/>
        </w:rPr>
        <w:t>。</w:t>
      </w:r>
    </w:p>
    <w:p w14:paraId="784EFEE1">
      <w:pPr>
        <w:pStyle w:val="84"/>
        <w:keepNext/>
        <w:keepLines/>
        <w:spacing w:line="360" w:lineRule="auto"/>
        <w:ind w:firstLine="422"/>
        <w:outlineLvl w:val="2"/>
        <w:rPr>
          <w:rFonts w:eastAsia="黑体"/>
          <w:b/>
          <w:bCs/>
          <w:color w:val="auto"/>
          <w:szCs w:val="32"/>
          <w:highlight w:val="none"/>
        </w:rPr>
      </w:pPr>
      <w:bookmarkStart w:id="470" w:name="_Toc389065290"/>
      <w:bookmarkStart w:id="471" w:name="_Toc24506"/>
      <w:bookmarkStart w:id="472" w:name="_Toc373478371"/>
      <w:bookmarkStart w:id="473" w:name="_Toc373227724"/>
      <w:r>
        <w:rPr>
          <w:rFonts w:eastAsia="黑体"/>
          <w:b/>
          <w:bCs/>
          <w:color w:val="auto"/>
          <w:szCs w:val="32"/>
          <w:highlight w:val="none"/>
        </w:rPr>
        <w:t>7</w:t>
      </w:r>
      <w:bookmarkStart w:id="474" w:name="_Toc303539123"/>
      <w:bookmarkStart w:id="475" w:name="_Toc304295541"/>
      <w:bookmarkStart w:id="476" w:name="_Toc300934966"/>
      <w:bookmarkStart w:id="477" w:name="_Toc297123514"/>
      <w:bookmarkStart w:id="478" w:name="_Toc312678005"/>
      <w:bookmarkStart w:id="479" w:name="_Toc297216173"/>
      <w:bookmarkStart w:id="480" w:name="_Toc312677479"/>
      <w:r>
        <w:rPr>
          <w:rFonts w:eastAsia="黑体"/>
          <w:b/>
          <w:bCs/>
          <w:color w:val="auto"/>
          <w:szCs w:val="32"/>
          <w:highlight w:val="none"/>
        </w:rPr>
        <w:t xml:space="preserve">.2 </w:t>
      </w:r>
      <w:r>
        <w:rPr>
          <w:rFonts w:hint="eastAsia" w:eastAsia="黑体"/>
          <w:b/>
          <w:bCs/>
          <w:color w:val="auto"/>
          <w:szCs w:val="32"/>
          <w:highlight w:val="none"/>
        </w:rPr>
        <w:t>施工进度计划</w:t>
      </w:r>
      <w:bookmarkEnd w:id="470"/>
      <w:bookmarkEnd w:id="471"/>
      <w:bookmarkEnd w:id="472"/>
      <w:bookmarkEnd w:id="473"/>
    </w:p>
    <w:p w14:paraId="3E36EBAD">
      <w:pPr>
        <w:pStyle w:val="84"/>
        <w:spacing w:line="360" w:lineRule="auto"/>
        <w:ind w:firstLine="420" w:firstLineChars="200"/>
        <w:jc w:val="left"/>
        <w:rPr>
          <w:color w:val="auto"/>
          <w:szCs w:val="21"/>
          <w:highlight w:val="none"/>
        </w:rPr>
      </w:pPr>
      <w:r>
        <w:rPr>
          <w:color w:val="auto"/>
          <w:szCs w:val="21"/>
          <w:highlight w:val="none"/>
        </w:rPr>
        <w:t xml:space="preserve">7.2.2 </w:t>
      </w:r>
      <w:r>
        <w:rPr>
          <w:rFonts w:hint="eastAsia" w:hAnsi="宋体"/>
          <w:color w:val="auto"/>
          <w:szCs w:val="21"/>
          <w:highlight w:val="none"/>
        </w:rPr>
        <w:t>施工进度计划的修订</w:t>
      </w:r>
    </w:p>
    <w:p w14:paraId="122569F4">
      <w:pPr>
        <w:pStyle w:val="84"/>
        <w:spacing w:line="360" w:lineRule="auto"/>
        <w:ind w:firstLine="420" w:firstLineChars="200"/>
        <w:jc w:val="left"/>
        <w:rPr>
          <w:color w:val="auto"/>
          <w:szCs w:val="21"/>
          <w:highlight w:val="none"/>
        </w:rPr>
      </w:pPr>
      <w:r>
        <w:rPr>
          <w:rFonts w:hint="eastAsia" w:hAnsi="宋体"/>
          <w:color w:val="auto"/>
          <w:szCs w:val="21"/>
          <w:highlight w:val="none"/>
        </w:rPr>
        <w:t>发包人和监理人在收到修订的施工进度计划后确认或提出修改意见的期限：</w:t>
      </w:r>
      <w:r>
        <w:rPr>
          <w:rFonts w:hint="eastAsia" w:hAnsi="宋体"/>
          <w:color w:val="auto"/>
          <w:szCs w:val="21"/>
          <w:highlight w:val="none"/>
          <w:u w:val="single"/>
        </w:rPr>
        <w:t>开工前</w:t>
      </w:r>
      <w:r>
        <w:rPr>
          <w:rFonts w:hAnsi="宋体"/>
          <w:color w:val="auto"/>
          <w:szCs w:val="21"/>
          <w:highlight w:val="none"/>
          <w:u w:val="single"/>
        </w:rPr>
        <w:t>10</w:t>
      </w:r>
      <w:r>
        <w:rPr>
          <w:rFonts w:hint="eastAsia" w:hAnsi="宋体"/>
          <w:color w:val="auto"/>
          <w:szCs w:val="21"/>
          <w:highlight w:val="none"/>
          <w:u w:val="single"/>
        </w:rPr>
        <w:t>天内</w:t>
      </w:r>
      <w:r>
        <w:rPr>
          <w:rFonts w:hint="eastAsia" w:hAnsi="宋体"/>
          <w:color w:val="auto"/>
          <w:szCs w:val="21"/>
          <w:highlight w:val="none"/>
        </w:rPr>
        <w:t>。</w:t>
      </w:r>
    </w:p>
    <w:p w14:paraId="1013DCE4">
      <w:pPr>
        <w:pStyle w:val="84"/>
        <w:keepNext/>
        <w:keepLines/>
        <w:spacing w:line="360" w:lineRule="auto"/>
        <w:ind w:firstLine="422"/>
        <w:outlineLvl w:val="2"/>
        <w:rPr>
          <w:rFonts w:eastAsia="黑体"/>
          <w:b/>
          <w:bCs/>
          <w:color w:val="auto"/>
          <w:szCs w:val="32"/>
          <w:highlight w:val="none"/>
        </w:rPr>
      </w:pPr>
      <w:bookmarkStart w:id="481" w:name="_Toc373227725"/>
      <w:bookmarkStart w:id="482" w:name="_Toc389065291"/>
      <w:bookmarkStart w:id="483" w:name="_Toc12066"/>
      <w:bookmarkStart w:id="484" w:name="_Toc373478372"/>
      <w:r>
        <w:rPr>
          <w:rFonts w:eastAsia="黑体"/>
          <w:b/>
          <w:bCs/>
          <w:color w:val="auto"/>
          <w:szCs w:val="32"/>
          <w:highlight w:val="none"/>
        </w:rPr>
        <w:t xml:space="preserve">7.3 </w:t>
      </w:r>
      <w:r>
        <w:rPr>
          <w:rFonts w:hint="eastAsia" w:eastAsia="黑体"/>
          <w:b/>
          <w:bCs/>
          <w:color w:val="auto"/>
          <w:szCs w:val="32"/>
          <w:highlight w:val="none"/>
        </w:rPr>
        <w:t>开工</w:t>
      </w:r>
      <w:bookmarkEnd w:id="481"/>
      <w:bookmarkEnd w:id="482"/>
      <w:bookmarkEnd w:id="483"/>
      <w:bookmarkEnd w:id="484"/>
    </w:p>
    <w:p w14:paraId="393E4FD0">
      <w:pPr>
        <w:spacing w:line="360" w:lineRule="auto"/>
        <w:ind w:firstLine="420" w:firstLineChars="200"/>
        <w:jc w:val="left"/>
        <w:rPr>
          <w:color w:val="auto"/>
          <w:szCs w:val="22"/>
          <w:highlight w:val="none"/>
        </w:rPr>
      </w:pPr>
      <w:r>
        <w:rPr>
          <w:color w:val="auto"/>
          <w:highlight w:val="none"/>
        </w:rPr>
        <w:t xml:space="preserve">7.3.1 </w:t>
      </w:r>
      <w:r>
        <w:rPr>
          <w:rFonts w:hint="eastAsia" w:hAnsi="宋体" w:cs="宋体"/>
          <w:color w:val="auto"/>
          <w:highlight w:val="none"/>
        </w:rPr>
        <w:t>开工准备</w:t>
      </w:r>
    </w:p>
    <w:p w14:paraId="11111829">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hAnsi="宋体"/>
          <w:color w:val="auto"/>
          <w:szCs w:val="21"/>
          <w:highlight w:val="none"/>
          <w:u w:val="single"/>
        </w:rPr>
        <w:t>开工前</w:t>
      </w:r>
      <w:r>
        <w:rPr>
          <w:rFonts w:hAnsi="宋体"/>
          <w:color w:val="auto"/>
          <w:szCs w:val="21"/>
          <w:highlight w:val="none"/>
          <w:u w:val="single"/>
        </w:rPr>
        <w:t>10</w:t>
      </w:r>
      <w:r>
        <w:rPr>
          <w:rFonts w:hint="eastAsia" w:hAnsi="宋体"/>
          <w:color w:val="auto"/>
          <w:szCs w:val="21"/>
          <w:highlight w:val="none"/>
          <w:u w:val="single"/>
        </w:rPr>
        <w:t>天内</w:t>
      </w:r>
      <w:r>
        <w:rPr>
          <w:color w:val="auto"/>
          <w:highlight w:val="none"/>
          <w:u w:val="single"/>
        </w:rPr>
        <w:t xml:space="preserve">         </w:t>
      </w:r>
      <w:r>
        <w:rPr>
          <w:rFonts w:hint="eastAsia" w:hAnsi="宋体" w:cs="宋体"/>
          <w:color w:val="auto"/>
          <w:highlight w:val="none"/>
        </w:rPr>
        <w:t>。</w:t>
      </w:r>
    </w:p>
    <w:p w14:paraId="04CB94A6">
      <w:pPr>
        <w:pStyle w:val="90"/>
        <w:wordWrap w:val="0"/>
        <w:spacing w:line="400" w:lineRule="exact"/>
        <w:ind w:firstLine="420" w:firstLineChars="200"/>
        <w:jc w:val="left"/>
        <w:rPr>
          <w:color w:val="auto"/>
          <w:szCs w:val="21"/>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hAnsi="宋体"/>
          <w:color w:val="auto"/>
          <w:szCs w:val="21"/>
          <w:highlight w:val="none"/>
          <w:u w:val="single"/>
        </w:rPr>
        <w:t>开工前</w:t>
      </w:r>
      <w:r>
        <w:rPr>
          <w:rFonts w:hAnsi="宋体"/>
          <w:color w:val="auto"/>
          <w:szCs w:val="21"/>
          <w:highlight w:val="none"/>
          <w:u w:val="single"/>
        </w:rPr>
        <w:t>10</w:t>
      </w:r>
      <w:r>
        <w:rPr>
          <w:rFonts w:hint="eastAsia" w:hAnsi="宋体"/>
          <w:color w:val="auto"/>
          <w:szCs w:val="21"/>
          <w:highlight w:val="none"/>
          <w:u w:val="single"/>
        </w:rPr>
        <w:t>天内</w:t>
      </w:r>
      <w:r>
        <w:rPr>
          <w:color w:val="auto"/>
          <w:highlight w:val="none"/>
          <w:u w:val="single"/>
        </w:rPr>
        <w:t xml:space="preserve">         </w:t>
      </w:r>
      <w:r>
        <w:rPr>
          <w:rFonts w:hint="eastAsia" w:hAnsi="宋体" w:cs="宋体"/>
          <w:color w:val="auto"/>
          <w:highlight w:val="none"/>
        </w:rPr>
        <w:t>。</w:t>
      </w:r>
    </w:p>
    <w:bookmarkEnd w:id="474"/>
    <w:bookmarkEnd w:id="475"/>
    <w:bookmarkEnd w:id="476"/>
    <w:bookmarkEnd w:id="477"/>
    <w:bookmarkEnd w:id="478"/>
    <w:bookmarkEnd w:id="479"/>
    <w:bookmarkEnd w:id="480"/>
    <w:p w14:paraId="34B416D8">
      <w:pPr>
        <w:pStyle w:val="84"/>
        <w:keepNext/>
        <w:keepLines/>
        <w:spacing w:line="360" w:lineRule="auto"/>
        <w:ind w:firstLine="422"/>
        <w:outlineLvl w:val="2"/>
        <w:rPr>
          <w:rFonts w:eastAsia="黑体"/>
          <w:b/>
          <w:bCs/>
          <w:color w:val="auto"/>
          <w:szCs w:val="32"/>
          <w:highlight w:val="none"/>
        </w:rPr>
      </w:pPr>
      <w:bookmarkStart w:id="485" w:name="_Toc5444"/>
      <w:bookmarkStart w:id="486" w:name="_Toc373478373"/>
      <w:bookmarkStart w:id="487" w:name="_Toc389065292"/>
      <w:bookmarkStart w:id="488" w:name="_Toc373227726"/>
      <w:r>
        <w:rPr>
          <w:rFonts w:eastAsia="黑体"/>
          <w:b/>
          <w:bCs/>
          <w:color w:val="auto"/>
          <w:szCs w:val="32"/>
          <w:highlight w:val="none"/>
        </w:rPr>
        <w:t xml:space="preserve">7.4 </w:t>
      </w:r>
      <w:r>
        <w:rPr>
          <w:rFonts w:hint="eastAsia" w:hAnsi="宋体" w:eastAsia="黑体"/>
          <w:b/>
          <w:bCs/>
          <w:color w:val="auto"/>
          <w:szCs w:val="32"/>
          <w:highlight w:val="none"/>
        </w:rPr>
        <w:t>测量放线</w:t>
      </w:r>
      <w:bookmarkEnd w:id="485"/>
      <w:bookmarkEnd w:id="486"/>
      <w:bookmarkEnd w:id="487"/>
      <w:bookmarkEnd w:id="488"/>
    </w:p>
    <w:p w14:paraId="583D8992">
      <w:pPr>
        <w:pStyle w:val="84"/>
        <w:spacing w:line="360" w:lineRule="auto"/>
        <w:ind w:firstLine="420" w:firstLineChars="200"/>
        <w:jc w:val="left"/>
        <w:rPr>
          <w:rFonts w:hAnsi="宋体"/>
          <w:color w:val="auto"/>
          <w:szCs w:val="21"/>
          <w:highlight w:val="none"/>
        </w:rPr>
      </w:pPr>
      <w:r>
        <w:rPr>
          <w:color w:val="auto"/>
          <w:szCs w:val="21"/>
          <w:highlight w:val="none"/>
        </w:rPr>
        <w:t>7.4.1</w:t>
      </w:r>
      <w:r>
        <w:rPr>
          <w:rFonts w:hint="eastAsia" w:hAnsi="宋体"/>
          <w:color w:val="auto"/>
          <w:szCs w:val="21"/>
          <w:highlight w:val="none"/>
        </w:rPr>
        <w:t>发包人通过监理人向承包人提供测量基准点、基准线和水准点及其书面资料的期限：</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szCs w:val="21"/>
          <w:highlight w:val="none"/>
        </w:rPr>
        <w:t>。</w:t>
      </w:r>
    </w:p>
    <w:p w14:paraId="3C199D6B">
      <w:pPr>
        <w:pStyle w:val="84"/>
        <w:keepNext/>
        <w:keepLines/>
        <w:spacing w:line="360" w:lineRule="auto"/>
        <w:ind w:firstLine="422"/>
        <w:outlineLvl w:val="2"/>
        <w:rPr>
          <w:rFonts w:eastAsia="黑体"/>
          <w:b/>
          <w:bCs/>
          <w:color w:val="auto"/>
          <w:szCs w:val="32"/>
          <w:highlight w:val="none"/>
        </w:rPr>
      </w:pPr>
      <w:bookmarkStart w:id="489" w:name="_Toc389065293"/>
      <w:bookmarkStart w:id="490" w:name="_Toc21949"/>
      <w:bookmarkStart w:id="491" w:name="_Toc373227727"/>
      <w:bookmarkStart w:id="492" w:name="_Toc373478374"/>
      <w:r>
        <w:rPr>
          <w:rFonts w:eastAsia="黑体"/>
          <w:b/>
          <w:bCs/>
          <w:color w:val="auto"/>
          <w:szCs w:val="32"/>
          <w:highlight w:val="none"/>
        </w:rPr>
        <w:t>7</w:t>
      </w:r>
      <w:bookmarkStart w:id="493" w:name="_Toc312678010"/>
      <w:bookmarkStart w:id="494" w:name="_Toc312677484"/>
      <w:bookmarkStart w:id="495" w:name="_Toc297216175"/>
      <w:bookmarkStart w:id="496" w:name="_Toc304295546"/>
      <w:bookmarkStart w:id="497" w:name="_Toc303539125"/>
      <w:bookmarkStart w:id="498" w:name="_Toc297123516"/>
      <w:bookmarkStart w:id="499" w:name="_Toc300934968"/>
      <w:r>
        <w:rPr>
          <w:rFonts w:eastAsia="黑体"/>
          <w:b/>
          <w:bCs/>
          <w:color w:val="auto"/>
          <w:szCs w:val="32"/>
          <w:highlight w:val="none"/>
        </w:rPr>
        <w:t xml:space="preserve">.5 </w:t>
      </w:r>
      <w:r>
        <w:rPr>
          <w:rFonts w:hint="eastAsia" w:hAnsi="宋体" w:eastAsia="黑体"/>
          <w:b/>
          <w:bCs/>
          <w:color w:val="auto"/>
          <w:szCs w:val="32"/>
          <w:highlight w:val="none"/>
        </w:rPr>
        <w:t>工期延误</w:t>
      </w:r>
      <w:bookmarkEnd w:id="489"/>
      <w:bookmarkEnd w:id="490"/>
      <w:bookmarkEnd w:id="491"/>
      <w:bookmarkEnd w:id="492"/>
    </w:p>
    <w:bookmarkEnd w:id="493"/>
    <w:bookmarkEnd w:id="494"/>
    <w:bookmarkEnd w:id="495"/>
    <w:bookmarkEnd w:id="496"/>
    <w:bookmarkEnd w:id="497"/>
    <w:bookmarkEnd w:id="498"/>
    <w:bookmarkEnd w:id="499"/>
    <w:p w14:paraId="598D73FD">
      <w:pPr>
        <w:pStyle w:val="84"/>
        <w:spacing w:line="360" w:lineRule="auto"/>
        <w:ind w:firstLine="420" w:firstLineChars="200"/>
        <w:jc w:val="left"/>
        <w:rPr>
          <w:color w:val="auto"/>
          <w:szCs w:val="21"/>
          <w:highlight w:val="none"/>
        </w:rPr>
      </w:pPr>
      <w:r>
        <w:rPr>
          <w:color w:val="auto"/>
          <w:szCs w:val="21"/>
          <w:highlight w:val="none"/>
        </w:rPr>
        <w:t xml:space="preserve">7.5.1 </w:t>
      </w:r>
      <w:r>
        <w:rPr>
          <w:rFonts w:hint="eastAsia" w:hAnsi="宋体"/>
          <w:color w:val="auto"/>
          <w:szCs w:val="21"/>
          <w:highlight w:val="none"/>
        </w:rPr>
        <w:t>因发包人原因导致工期延误</w:t>
      </w:r>
    </w:p>
    <w:p w14:paraId="2B7235BE">
      <w:pPr>
        <w:pStyle w:val="84"/>
        <w:spacing w:line="360" w:lineRule="auto"/>
        <w:ind w:firstLine="420" w:firstLineChars="200"/>
        <w:jc w:val="left"/>
        <w:rPr>
          <w:color w:val="auto"/>
          <w:szCs w:val="21"/>
          <w:highlight w:val="none"/>
        </w:rPr>
      </w:pPr>
      <w:r>
        <w:rPr>
          <w:rFonts w:hint="eastAsia" w:hAnsi="宋体"/>
          <w:color w:val="auto"/>
          <w:szCs w:val="21"/>
          <w:highlight w:val="none"/>
        </w:rPr>
        <w:t>因发包</w:t>
      </w:r>
      <w:r>
        <w:rPr>
          <w:rFonts w:hint="eastAsia"/>
          <w:color w:val="auto"/>
          <w:szCs w:val="21"/>
          <w:highlight w:val="none"/>
        </w:rPr>
        <w:t>人原因导致工期延误的其他情形：</w:t>
      </w:r>
      <w:r>
        <w:rPr>
          <w:rFonts w:hint="eastAsia" w:ascii="宋体" w:hAnsi="宋体" w:cs="宋体"/>
          <w:color w:val="auto"/>
          <w:szCs w:val="21"/>
          <w:highlight w:val="none"/>
          <w:u w:val="single"/>
        </w:rPr>
        <w:t>①</w:t>
      </w:r>
      <w:r>
        <w:rPr>
          <w:rFonts w:hint="eastAsia"/>
          <w:color w:val="auto"/>
          <w:szCs w:val="21"/>
          <w:highlight w:val="none"/>
          <w:u w:val="single"/>
        </w:rPr>
        <w:t>重大图纸变更影响关键线路工序施工；</w:t>
      </w:r>
      <w:r>
        <w:rPr>
          <w:rFonts w:hint="eastAsia" w:ascii="宋体" w:hAnsi="宋体" w:cs="宋体"/>
          <w:color w:val="auto"/>
          <w:szCs w:val="21"/>
          <w:highlight w:val="none"/>
          <w:u w:val="single"/>
        </w:rPr>
        <w:t>②</w:t>
      </w:r>
      <w:r>
        <w:rPr>
          <w:rFonts w:hint="eastAsia"/>
          <w:color w:val="auto"/>
          <w:szCs w:val="21"/>
          <w:highlight w:val="none"/>
          <w:u w:val="single"/>
        </w:rPr>
        <w:t>施工期间如因停电、停水连续</w:t>
      </w:r>
      <w:r>
        <w:rPr>
          <w:color w:val="auto"/>
          <w:szCs w:val="21"/>
          <w:highlight w:val="none"/>
          <w:u w:val="single"/>
        </w:rPr>
        <w:t>8</w:t>
      </w:r>
      <w:r>
        <w:rPr>
          <w:rFonts w:hint="eastAsia"/>
          <w:color w:val="auto"/>
          <w:szCs w:val="21"/>
          <w:highlight w:val="none"/>
          <w:u w:val="single"/>
        </w:rPr>
        <w:t>小时以上或一周内间歇性停水、停电累计</w:t>
      </w:r>
      <w:r>
        <w:rPr>
          <w:color w:val="auto"/>
          <w:szCs w:val="21"/>
          <w:highlight w:val="none"/>
          <w:u w:val="single"/>
        </w:rPr>
        <w:t>8</w:t>
      </w:r>
      <w:r>
        <w:rPr>
          <w:rFonts w:hint="eastAsia"/>
          <w:color w:val="auto"/>
          <w:szCs w:val="21"/>
          <w:highlight w:val="none"/>
          <w:u w:val="single"/>
        </w:rPr>
        <w:t>小时（含</w:t>
      </w:r>
      <w:r>
        <w:rPr>
          <w:color w:val="auto"/>
          <w:szCs w:val="21"/>
          <w:highlight w:val="none"/>
          <w:u w:val="single"/>
        </w:rPr>
        <w:t>8</w:t>
      </w:r>
      <w:r>
        <w:rPr>
          <w:rFonts w:hint="eastAsia"/>
          <w:color w:val="auto"/>
          <w:szCs w:val="21"/>
          <w:highlight w:val="none"/>
          <w:u w:val="single"/>
        </w:rPr>
        <w:t>小时）影响正常施工的。</w:t>
      </w:r>
      <w:r>
        <w:rPr>
          <w:rFonts w:hint="eastAsia" w:ascii="宋体" w:hAnsi="宋体" w:cs="宋体"/>
          <w:color w:val="auto"/>
          <w:szCs w:val="21"/>
          <w:highlight w:val="none"/>
          <w:u w:val="single"/>
        </w:rPr>
        <w:t>③</w:t>
      </w:r>
      <w:r>
        <w:rPr>
          <w:rFonts w:hint="eastAsia"/>
          <w:color w:val="auto"/>
          <w:szCs w:val="21"/>
          <w:highlight w:val="none"/>
          <w:u w:val="single"/>
        </w:rPr>
        <w:t>政府指令性停工。</w:t>
      </w:r>
      <w:r>
        <w:rPr>
          <w:rFonts w:hint="eastAsia" w:ascii="宋体" w:hAnsi="宋体" w:cs="宋体"/>
          <w:color w:val="auto"/>
          <w:szCs w:val="21"/>
          <w:highlight w:val="none"/>
          <w:u w:val="single"/>
        </w:rPr>
        <w:t>④</w:t>
      </w:r>
      <w:r>
        <w:rPr>
          <w:rFonts w:hint="eastAsia"/>
          <w:color w:val="auto"/>
          <w:szCs w:val="21"/>
          <w:highlight w:val="none"/>
          <w:u w:val="single"/>
        </w:rPr>
        <w:t>在施工过程中遇到地下障碍物、溶洞、岩石、文物或地下管线的。</w:t>
      </w:r>
      <w:r>
        <w:rPr>
          <w:rFonts w:hint="eastAsia" w:ascii="宋体" w:hAnsi="宋体" w:cs="宋体"/>
          <w:color w:val="auto"/>
          <w:szCs w:val="21"/>
          <w:highlight w:val="none"/>
          <w:u w:val="single"/>
        </w:rPr>
        <w:t>⑤</w:t>
      </w:r>
      <w:r>
        <w:rPr>
          <w:rFonts w:hint="eastAsia"/>
          <w:color w:val="auto"/>
          <w:szCs w:val="21"/>
          <w:highlight w:val="none"/>
          <w:u w:val="single"/>
        </w:rPr>
        <w:t>因发包人未能及时确认变更价格或甲供材料提供延误的。</w:t>
      </w:r>
      <w:r>
        <w:rPr>
          <w:rFonts w:hint="eastAsia" w:ascii="宋体" w:hAnsi="宋体" w:cs="宋体"/>
          <w:color w:val="auto"/>
          <w:szCs w:val="21"/>
          <w:highlight w:val="none"/>
          <w:u w:val="single"/>
        </w:rPr>
        <w:t>⑥</w:t>
      </w:r>
      <w:r>
        <w:rPr>
          <w:rFonts w:hint="eastAsia"/>
          <w:color w:val="auto"/>
          <w:szCs w:val="21"/>
          <w:highlight w:val="none"/>
          <w:u w:val="single"/>
        </w:rPr>
        <w:t>非承包人的责任造成的工期延误其他情形。</w:t>
      </w:r>
    </w:p>
    <w:p w14:paraId="55B27D65">
      <w:pPr>
        <w:pStyle w:val="88"/>
        <w:wordWrap w:val="0"/>
        <w:spacing w:line="400" w:lineRule="exact"/>
        <w:ind w:firstLine="420" w:firstLineChars="200"/>
        <w:jc w:val="left"/>
        <w:rPr>
          <w:color w:val="auto"/>
          <w:szCs w:val="21"/>
          <w:highlight w:val="none"/>
          <w:u w:val="single"/>
        </w:rPr>
      </w:pPr>
      <w:r>
        <w:rPr>
          <w:rFonts w:hint="eastAsia"/>
          <w:color w:val="auto"/>
          <w:highlight w:val="none"/>
        </w:rPr>
        <w:t>当上述顺延情况发生后，承包人在28天内向监理工程师及发包人提出延期申请，逾期不提出申请的，视为承包人责任，不再办理工期签证。</w:t>
      </w:r>
      <w:r>
        <w:rPr>
          <w:rFonts w:hint="eastAsia"/>
          <w:color w:val="auto"/>
          <w:szCs w:val="21"/>
          <w:highlight w:val="none"/>
          <w:u w:val="single"/>
        </w:rPr>
        <w:t>发包人代表收到报告后28天内给予书面批复，逾期不予答复，承包人即可认为延期要求已被确认。</w:t>
      </w:r>
    </w:p>
    <w:p w14:paraId="32C929ED">
      <w:pPr>
        <w:pStyle w:val="84"/>
        <w:spacing w:line="360" w:lineRule="auto"/>
        <w:ind w:firstLine="420" w:firstLineChars="200"/>
        <w:jc w:val="left"/>
        <w:rPr>
          <w:color w:val="auto"/>
          <w:szCs w:val="21"/>
          <w:highlight w:val="none"/>
        </w:rPr>
      </w:pPr>
    </w:p>
    <w:p w14:paraId="20B97587">
      <w:pPr>
        <w:pStyle w:val="84"/>
        <w:spacing w:line="360" w:lineRule="auto"/>
        <w:ind w:firstLine="420" w:firstLineChars="200"/>
        <w:jc w:val="left"/>
        <w:rPr>
          <w:color w:val="auto"/>
          <w:szCs w:val="21"/>
          <w:highlight w:val="none"/>
        </w:rPr>
      </w:pPr>
      <w:r>
        <w:rPr>
          <w:color w:val="auto"/>
          <w:szCs w:val="21"/>
          <w:highlight w:val="none"/>
        </w:rPr>
        <w:t>7</w:t>
      </w:r>
      <w:bookmarkStart w:id="500" w:name="_Toc318581169"/>
      <w:bookmarkStart w:id="501" w:name="_Toc312678012"/>
      <w:bookmarkStart w:id="502" w:name="_Toc312677486"/>
      <w:bookmarkStart w:id="503" w:name="_Toc303539127"/>
      <w:bookmarkStart w:id="504" w:name="_Toc297216177"/>
      <w:bookmarkStart w:id="505" w:name="_Toc297123518"/>
      <w:bookmarkStart w:id="506" w:name="_Toc300934970"/>
      <w:bookmarkStart w:id="507" w:name="_Toc304295548"/>
      <w:r>
        <w:rPr>
          <w:color w:val="auto"/>
          <w:szCs w:val="21"/>
          <w:highlight w:val="none"/>
        </w:rPr>
        <w:t xml:space="preserve">.5.2 </w:t>
      </w:r>
      <w:r>
        <w:rPr>
          <w:rFonts w:hint="eastAsia" w:hAnsi="宋体"/>
          <w:color w:val="auto"/>
          <w:szCs w:val="21"/>
          <w:highlight w:val="none"/>
        </w:rPr>
        <w:t>因承包人原因导致工期延误</w:t>
      </w:r>
    </w:p>
    <w:bookmarkEnd w:id="500"/>
    <w:bookmarkEnd w:id="501"/>
    <w:bookmarkEnd w:id="502"/>
    <w:p w14:paraId="5D67BBC1">
      <w:pPr>
        <w:pStyle w:val="84"/>
        <w:spacing w:line="360" w:lineRule="auto"/>
        <w:ind w:firstLine="420" w:firstLineChars="200"/>
        <w:jc w:val="left"/>
        <w:rPr>
          <w:strike/>
          <w:color w:val="auto"/>
          <w:szCs w:val="21"/>
          <w:highlight w:val="none"/>
        </w:rPr>
      </w:pPr>
      <w:r>
        <w:rPr>
          <w:rFonts w:hint="eastAsia"/>
          <w:color w:val="auto"/>
          <w:szCs w:val="21"/>
          <w:highlight w:val="none"/>
        </w:rPr>
        <w:t>双方约定经监理工程师确认，工期相应顺延的情况：</w:t>
      </w:r>
    </w:p>
    <w:p w14:paraId="32668E1D">
      <w:pPr>
        <w:pStyle w:val="88"/>
        <w:wordWrap w:val="0"/>
        <w:spacing w:line="400" w:lineRule="exact"/>
        <w:ind w:firstLine="420" w:firstLineChars="200"/>
        <w:jc w:val="left"/>
        <w:rPr>
          <w:rFonts w:ascii="宋体" w:hAnsi="宋体"/>
          <w:color w:val="auto"/>
          <w:szCs w:val="21"/>
          <w:highlight w:val="none"/>
        </w:rPr>
      </w:pPr>
      <w:r>
        <w:rPr>
          <w:rFonts w:hint="eastAsia"/>
          <w:color w:val="auto"/>
          <w:kern w:val="0"/>
          <w:highlight w:val="none"/>
        </w:rPr>
        <w:t>由于以下原因之一造成竣工日期推迟的延误，承包人应在延误事项发生之日起</w:t>
      </w:r>
      <w:r>
        <w:rPr>
          <w:color w:val="auto"/>
          <w:kern w:val="0"/>
          <w:highlight w:val="none"/>
        </w:rPr>
        <w:t>14</w:t>
      </w:r>
      <w:r>
        <w:rPr>
          <w:rFonts w:hint="eastAsia"/>
          <w:color w:val="auto"/>
          <w:kern w:val="0"/>
          <w:highlight w:val="none"/>
        </w:rPr>
        <w:t>天内通知发包方和监理方确认，否则工期不予顺延</w:t>
      </w:r>
      <w:r>
        <w:rPr>
          <w:rFonts w:hint="eastAsia" w:ascii="宋体" w:hAnsi="宋体"/>
          <w:color w:val="auto"/>
          <w:szCs w:val="21"/>
          <w:highlight w:val="none"/>
        </w:rPr>
        <w:t>：</w:t>
      </w:r>
    </w:p>
    <w:p w14:paraId="76A00865">
      <w:pPr>
        <w:pStyle w:val="77"/>
        <w:spacing w:line="500" w:lineRule="exact"/>
        <w:ind w:firstLine="420" w:firstLineChars="200"/>
        <w:rPr>
          <w:rFonts w:ascii="宋体" w:hAnsi="宋体"/>
          <w:color w:val="auto"/>
          <w:highlight w:val="none"/>
          <w:u w:val="single"/>
        </w:rPr>
      </w:pPr>
      <w:r>
        <w:rPr>
          <w:rFonts w:hint="eastAsia" w:ascii="宋体" w:hAnsi="宋体"/>
          <w:color w:val="auto"/>
          <w:highlight w:val="none"/>
          <w:u w:val="single"/>
        </w:rPr>
        <w:t>⑴ 在施工过程中遇到地勘报告未明确的地下障碍物、淤泥、流沙、溶洞、岩石的。</w:t>
      </w:r>
    </w:p>
    <w:p w14:paraId="7302ABB3">
      <w:pPr>
        <w:pStyle w:val="77"/>
        <w:spacing w:line="500" w:lineRule="exact"/>
        <w:ind w:firstLine="420" w:firstLineChars="200"/>
        <w:rPr>
          <w:rFonts w:ascii="宋体" w:hAnsi="宋体"/>
          <w:color w:val="auto"/>
          <w:highlight w:val="none"/>
          <w:u w:val="single"/>
        </w:rPr>
      </w:pPr>
      <w:r>
        <w:rPr>
          <w:rFonts w:hint="eastAsia" w:ascii="宋体" w:hAnsi="宋体"/>
          <w:color w:val="auto"/>
          <w:highlight w:val="none"/>
          <w:u w:val="single"/>
        </w:rPr>
        <w:t>⑵政府指令性要求停工的（重要会议）。</w:t>
      </w:r>
    </w:p>
    <w:p w14:paraId="1B774D14">
      <w:pPr>
        <w:pStyle w:val="77"/>
        <w:spacing w:line="500" w:lineRule="exact"/>
        <w:ind w:firstLine="420" w:firstLineChars="200"/>
        <w:rPr>
          <w:rFonts w:ascii="宋体" w:hAnsi="宋体"/>
          <w:color w:val="auto"/>
          <w:highlight w:val="none"/>
          <w:u w:val="single"/>
        </w:rPr>
      </w:pPr>
      <w:r>
        <w:rPr>
          <w:rFonts w:hint="eastAsia" w:ascii="宋体" w:hAnsi="宋体"/>
          <w:color w:val="auto"/>
          <w:highlight w:val="none"/>
          <w:u w:val="single"/>
        </w:rPr>
        <w:t>⑶非承包人的责任造成的工期延误并经发包人工程师同意或承包人有证据证明的可顺延工期的其他情况。</w:t>
      </w:r>
    </w:p>
    <w:p w14:paraId="7342243A">
      <w:pPr>
        <w:pStyle w:val="77"/>
        <w:spacing w:line="360" w:lineRule="auto"/>
        <w:ind w:firstLine="420" w:firstLineChars="200"/>
        <w:jc w:val="left"/>
        <w:rPr>
          <w:color w:val="auto"/>
          <w:szCs w:val="21"/>
          <w:highlight w:val="none"/>
        </w:rPr>
      </w:pPr>
      <w:r>
        <w:rPr>
          <w:rFonts w:hint="eastAsia"/>
          <w:color w:val="auto"/>
          <w:highlight w:val="none"/>
          <w:u w:val="single"/>
        </w:rPr>
        <w:t>⑷其余按本合同《通用条款》规定执行。</w:t>
      </w:r>
    </w:p>
    <w:bookmarkEnd w:id="503"/>
    <w:bookmarkEnd w:id="504"/>
    <w:bookmarkEnd w:id="505"/>
    <w:bookmarkEnd w:id="506"/>
    <w:bookmarkEnd w:id="507"/>
    <w:p w14:paraId="414C0C82">
      <w:pPr>
        <w:pStyle w:val="90"/>
        <w:wordWrap w:val="0"/>
        <w:spacing w:line="400" w:lineRule="exact"/>
        <w:ind w:firstLine="420" w:firstLineChars="200"/>
        <w:jc w:val="left"/>
        <w:rPr>
          <w:rFonts w:hAnsi="宋体" w:cs="宋体"/>
          <w:color w:val="auto"/>
          <w:highlight w:val="none"/>
          <w:u w:val="single"/>
        </w:rPr>
      </w:pPr>
      <w:bookmarkStart w:id="508" w:name="_Toc318581171"/>
      <w:bookmarkStart w:id="509" w:name="_Toc312678014"/>
      <w:r>
        <w:rPr>
          <w:rFonts w:hint="eastAsia" w:ascii="Times New Roman" w:hAnsi="Times New Roman"/>
          <w:color w:val="auto"/>
          <w:szCs w:val="21"/>
          <w:highlight w:val="none"/>
        </w:rPr>
        <w:t>因承包人原因造成工期延误，逾期竣工违约金的计算方法为：</w:t>
      </w:r>
      <w:r>
        <w:rPr>
          <w:rFonts w:hint="eastAsia" w:ascii="宋体" w:hAnsi="宋体" w:cs="宋体"/>
          <w:color w:val="auto"/>
          <w:highlight w:val="none"/>
          <w:u w:val="single"/>
        </w:rPr>
        <w:t>每延误一天</w:t>
      </w:r>
      <w:r>
        <w:rPr>
          <w:rFonts w:hint="eastAsia" w:ascii="宋体" w:cs="宋体"/>
          <w:color w:val="auto"/>
          <w:highlight w:val="none"/>
          <w:u w:val="single"/>
        </w:rPr>
        <w:t>,</w:t>
      </w:r>
      <w:r>
        <w:rPr>
          <w:rFonts w:hint="eastAsia" w:ascii="宋体" w:hAnsi="宋体" w:cs="宋体"/>
          <w:color w:val="auto"/>
          <w:highlight w:val="none"/>
          <w:u w:val="single"/>
        </w:rPr>
        <w:t>按合同价款的万分之四处罚</w:t>
      </w:r>
      <w:r>
        <w:rPr>
          <w:rFonts w:hint="eastAsia" w:ascii="宋体" w:cs="宋体"/>
          <w:color w:val="auto"/>
          <w:highlight w:val="none"/>
          <w:u w:val="single"/>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r>
        <w:rPr>
          <w:rFonts w:ascii="Times New Roman" w:hAnsi="Times New Roman"/>
          <w:b/>
          <w:color w:val="auto"/>
          <w:szCs w:val="21"/>
          <w:highlight w:val="none"/>
          <w:u w:val="single"/>
        </w:rPr>
        <w:t>此赔偿款的支付并不能解除承包人应完成工程的责任或合同规定的其他责任。</w:t>
      </w:r>
    </w:p>
    <w:p w14:paraId="4C411EFC">
      <w:pPr>
        <w:pStyle w:val="90"/>
        <w:wordWrap w:val="0"/>
        <w:spacing w:line="400" w:lineRule="exact"/>
        <w:ind w:firstLine="420" w:firstLineChars="200"/>
        <w:jc w:val="left"/>
        <w:rPr>
          <w:rFonts w:hAnsi="宋体" w:cs="宋体"/>
          <w:color w:val="auto"/>
          <w:highlight w:val="none"/>
        </w:rPr>
      </w:pPr>
      <w:r>
        <w:rPr>
          <w:rFonts w:hint="eastAsia" w:hAnsi="宋体" w:cs="宋体"/>
          <w:color w:val="auto"/>
          <w:highlight w:val="none"/>
        </w:rPr>
        <w:t>因承包人原因造成工期延误，逾期竣工违约金的上限：</w:t>
      </w:r>
      <w:r>
        <w:rPr>
          <w:rFonts w:hint="eastAsia" w:ascii="宋体" w:hAnsi="宋体" w:cs="宋体"/>
          <w:color w:val="auto"/>
          <w:highlight w:val="none"/>
          <w:u w:val="single"/>
        </w:rPr>
        <w:t>合同价款的5%</w:t>
      </w:r>
    </w:p>
    <w:bookmarkEnd w:id="508"/>
    <w:bookmarkEnd w:id="509"/>
    <w:p w14:paraId="6BF92AA8">
      <w:pPr>
        <w:pStyle w:val="84"/>
        <w:keepNext/>
        <w:keepLines/>
        <w:spacing w:line="360" w:lineRule="auto"/>
        <w:ind w:firstLine="422"/>
        <w:outlineLvl w:val="2"/>
        <w:rPr>
          <w:rFonts w:eastAsia="黑体"/>
          <w:b/>
          <w:bCs/>
          <w:color w:val="auto"/>
          <w:szCs w:val="32"/>
          <w:highlight w:val="none"/>
        </w:rPr>
      </w:pPr>
      <w:bookmarkStart w:id="510" w:name="_Toc11238"/>
      <w:bookmarkStart w:id="511" w:name="_Toc389065294"/>
      <w:bookmarkStart w:id="512" w:name="_Toc373478375"/>
      <w:bookmarkStart w:id="513" w:name="_Toc373227728"/>
      <w:r>
        <w:rPr>
          <w:rFonts w:eastAsia="黑体"/>
          <w:b/>
          <w:bCs/>
          <w:color w:val="auto"/>
          <w:szCs w:val="32"/>
          <w:highlight w:val="none"/>
        </w:rPr>
        <w:t>7</w:t>
      </w:r>
      <w:bookmarkStart w:id="514" w:name="_Toc300934971"/>
      <w:bookmarkStart w:id="515" w:name="_Toc303539128"/>
      <w:bookmarkStart w:id="516" w:name="_Toc297123519"/>
      <w:bookmarkStart w:id="517" w:name="_Toc304295549"/>
      <w:bookmarkStart w:id="518" w:name="_Toc312678015"/>
      <w:bookmarkStart w:id="519" w:name="_Toc297216178"/>
      <w:r>
        <w:rPr>
          <w:rFonts w:eastAsia="黑体"/>
          <w:b/>
          <w:bCs/>
          <w:color w:val="auto"/>
          <w:szCs w:val="32"/>
          <w:highlight w:val="none"/>
        </w:rPr>
        <w:t xml:space="preserve">.6 </w:t>
      </w:r>
      <w:r>
        <w:rPr>
          <w:rFonts w:hint="eastAsia" w:eastAsia="黑体"/>
          <w:b/>
          <w:bCs/>
          <w:color w:val="auto"/>
          <w:szCs w:val="32"/>
          <w:highlight w:val="none"/>
        </w:rPr>
        <w:t>不</w:t>
      </w:r>
      <w:bookmarkEnd w:id="514"/>
      <w:bookmarkEnd w:id="515"/>
      <w:bookmarkEnd w:id="516"/>
      <w:bookmarkEnd w:id="517"/>
      <w:bookmarkEnd w:id="518"/>
      <w:bookmarkEnd w:id="519"/>
      <w:r>
        <w:rPr>
          <w:rFonts w:hint="eastAsia" w:eastAsia="黑体"/>
          <w:b/>
          <w:bCs/>
          <w:color w:val="auto"/>
          <w:szCs w:val="32"/>
          <w:highlight w:val="none"/>
        </w:rPr>
        <w:t>利物质条件</w:t>
      </w:r>
      <w:bookmarkEnd w:id="510"/>
      <w:bookmarkEnd w:id="511"/>
      <w:bookmarkEnd w:id="512"/>
      <w:bookmarkEnd w:id="513"/>
    </w:p>
    <w:p w14:paraId="3853D66C">
      <w:pPr>
        <w:pStyle w:val="84"/>
        <w:spacing w:line="360" w:lineRule="auto"/>
        <w:ind w:firstLine="420" w:firstLineChars="200"/>
        <w:jc w:val="left"/>
        <w:rPr>
          <w:color w:val="auto"/>
          <w:szCs w:val="21"/>
          <w:highlight w:val="none"/>
          <w:u w:val="single"/>
        </w:rPr>
      </w:pPr>
      <w:bookmarkStart w:id="520" w:name="_Toc297123520"/>
      <w:bookmarkStart w:id="521" w:name="_Toc303539129"/>
      <w:bookmarkStart w:id="522" w:name="_Toc318581172"/>
      <w:bookmarkStart w:id="523" w:name="_Toc300934972"/>
      <w:bookmarkStart w:id="524" w:name="_Toc297216179"/>
      <w:bookmarkStart w:id="525" w:name="_Toc312678016"/>
      <w:bookmarkStart w:id="526" w:name="_Toc304295550"/>
      <w:r>
        <w:rPr>
          <w:rFonts w:hint="eastAsia" w:hAnsi="宋体"/>
          <w:color w:val="auto"/>
          <w:szCs w:val="21"/>
          <w:highlight w:val="none"/>
        </w:rPr>
        <w:t>不利物质条件的其他情形和有关约定：</w:t>
      </w:r>
      <w:bookmarkStart w:id="527" w:name="EB7fdf90601d764aa184b779fadbede5bc"/>
      <w:r>
        <w:rPr>
          <w:rFonts w:hint="eastAsia"/>
          <w:color w:val="auto"/>
          <w:highlight w:val="none"/>
          <w:u w:val="single"/>
        </w:rPr>
        <w:t>不利物质条件的其他情形和有关约定：</w:t>
      </w:r>
      <w:r>
        <w:rPr>
          <w:color w:val="auto"/>
          <w:highlight w:val="none"/>
          <w:u w:val="single"/>
        </w:rPr>
        <w:t xml:space="preserve"> 1.</w:t>
      </w:r>
      <w:r>
        <w:rPr>
          <w:rFonts w:hint="eastAsia"/>
          <w:color w:val="auto"/>
          <w:highlight w:val="none"/>
          <w:u w:val="single"/>
        </w:rPr>
        <w:t>战争、动乱、空中飞行物体坠落；</w:t>
      </w:r>
      <w:r>
        <w:rPr>
          <w:color w:val="auto"/>
          <w:highlight w:val="none"/>
          <w:u w:val="single"/>
        </w:rPr>
        <w:t>2.</w:t>
      </w:r>
      <w:r>
        <w:rPr>
          <w:rFonts w:hint="eastAsia"/>
          <w:color w:val="auto"/>
          <w:highlight w:val="none"/>
          <w:u w:val="single"/>
        </w:rPr>
        <w:t>其余按本合同通用相关条款执行</w:t>
      </w:r>
      <w:bookmarkEnd w:id="527"/>
      <w:r>
        <w:rPr>
          <w:rFonts w:hint="eastAsia" w:hAnsi="宋体"/>
          <w:color w:val="auto"/>
          <w:szCs w:val="21"/>
          <w:highlight w:val="none"/>
        </w:rPr>
        <w:t>。</w:t>
      </w:r>
    </w:p>
    <w:bookmarkEnd w:id="520"/>
    <w:bookmarkEnd w:id="521"/>
    <w:bookmarkEnd w:id="522"/>
    <w:bookmarkEnd w:id="523"/>
    <w:bookmarkEnd w:id="524"/>
    <w:bookmarkEnd w:id="525"/>
    <w:bookmarkEnd w:id="526"/>
    <w:p w14:paraId="4AC10877">
      <w:pPr>
        <w:pStyle w:val="84"/>
        <w:keepNext/>
        <w:keepLines/>
        <w:spacing w:line="360" w:lineRule="auto"/>
        <w:ind w:firstLine="422"/>
        <w:outlineLvl w:val="2"/>
        <w:rPr>
          <w:rFonts w:eastAsia="黑体"/>
          <w:b/>
          <w:bCs/>
          <w:color w:val="auto"/>
          <w:szCs w:val="32"/>
          <w:highlight w:val="none"/>
        </w:rPr>
      </w:pPr>
      <w:bookmarkStart w:id="528" w:name="_Toc373227729"/>
      <w:bookmarkStart w:id="529" w:name="_Toc21019"/>
      <w:bookmarkStart w:id="530" w:name="_Toc389065295"/>
      <w:bookmarkStart w:id="531" w:name="_Toc373478376"/>
      <w:r>
        <w:rPr>
          <w:rFonts w:eastAsia="黑体"/>
          <w:b/>
          <w:bCs/>
          <w:color w:val="auto"/>
          <w:szCs w:val="32"/>
          <w:highlight w:val="none"/>
        </w:rPr>
        <w:t>7</w:t>
      </w:r>
      <w:bookmarkStart w:id="532" w:name="_Toc300934973"/>
      <w:bookmarkStart w:id="533" w:name="_Toc304295551"/>
      <w:bookmarkStart w:id="534" w:name="_Toc297216180"/>
      <w:bookmarkStart w:id="535" w:name="_Toc297123521"/>
      <w:bookmarkStart w:id="536" w:name="_Toc303539130"/>
      <w:bookmarkStart w:id="537" w:name="_Toc312678017"/>
      <w:r>
        <w:rPr>
          <w:rFonts w:eastAsia="黑体"/>
          <w:b/>
          <w:bCs/>
          <w:color w:val="auto"/>
          <w:szCs w:val="32"/>
          <w:highlight w:val="none"/>
        </w:rPr>
        <w:t xml:space="preserve">.7 </w:t>
      </w:r>
      <w:r>
        <w:rPr>
          <w:rFonts w:hint="eastAsia" w:eastAsia="黑体"/>
          <w:b/>
          <w:bCs/>
          <w:color w:val="auto"/>
          <w:szCs w:val="32"/>
          <w:highlight w:val="none"/>
        </w:rPr>
        <w:t>异常恶劣的气候条件</w:t>
      </w:r>
      <w:bookmarkEnd w:id="528"/>
      <w:bookmarkEnd w:id="529"/>
      <w:bookmarkEnd w:id="530"/>
      <w:bookmarkEnd w:id="531"/>
    </w:p>
    <w:bookmarkEnd w:id="532"/>
    <w:bookmarkEnd w:id="533"/>
    <w:bookmarkEnd w:id="534"/>
    <w:bookmarkEnd w:id="535"/>
    <w:bookmarkEnd w:id="536"/>
    <w:bookmarkEnd w:id="537"/>
    <w:p w14:paraId="4CC07A6E">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发包人和承包人同意以下情形视为异常恶劣的气候条件：</w:t>
      </w:r>
      <w:bookmarkStart w:id="538" w:name="_Toc373478377"/>
      <w:bookmarkStart w:id="539" w:name="_Toc373227730"/>
      <w:bookmarkStart w:id="540" w:name="_Toc22298"/>
      <w:bookmarkStart w:id="541" w:name="_Toc389065296"/>
    </w:p>
    <w:p w14:paraId="7EF7C96A">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）日降雨量大于</w:t>
      </w:r>
      <w:r>
        <w:rPr>
          <w:rFonts w:hAnsi="宋体"/>
          <w:color w:val="auto"/>
          <w:szCs w:val="21"/>
          <w:highlight w:val="none"/>
        </w:rPr>
        <w:t xml:space="preserve"> 100 </w:t>
      </w:r>
      <w:r>
        <w:rPr>
          <w:rFonts w:hint="eastAsia" w:hAnsi="宋体"/>
          <w:color w:val="auto"/>
          <w:szCs w:val="21"/>
          <w:highlight w:val="none"/>
        </w:rPr>
        <w:t>㎜的雨日；</w:t>
      </w:r>
    </w:p>
    <w:p w14:paraId="2AC97493">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 xml:space="preserve">6 </w:t>
      </w:r>
      <w:r>
        <w:rPr>
          <w:rFonts w:hint="eastAsia" w:hAnsi="宋体"/>
          <w:color w:val="auto"/>
          <w:szCs w:val="21"/>
          <w:highlight w:val="none"/>
        </w:rPr>
        <w:t>级及以上的</w:t>
      </w:r>
      <w:r>
        <w:rPr>
          <w:rFonts w:hint="eastAsia"/>
          <w:color w:val="auto"/>
          <w:szCs w:val="21"/>
          <w:highlight w:val="none"/>
        </w:rPr>
        <w:t>持续</w:t>
      </w:r>
      <w:r>
        <w:rPr>
          <w:color w:val="auto"/>
          <w:szCs w:val="21"/>
          <w:highlight w:val="none"/>
        </w:rPr>
        <w:t>1</w:t>
      </w:r>
      <w:r>
        <w:rPr>
          <w:rFonts w:hint="eastAsia"/>
          <w:color w:val="auto"/>
          <w:szCs w:val="21"/>
          <w:highlight w:val="none"/>
        </w:rPr>
        <w:t>天的</w:t>
      </w:r>
      <w:r>
        <w:rPr>
          <w:rFonts w:hint="eastAsia" w:hAnsi="宋体"/>
          <w:color w:val="auto"/>
          <w:szCs w:val="21"/>
          <w:highlight w:val="none"/>
        </w:rPr>
        <w:t>大风（以气象部门鉴定为准）；</w:t>
      </w:r>
    </w:p>
    <w:p w14:paraId="4232029F">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）日气温超过</w:t>
      </w:r>
      <w:r>
        <w:rPr>
          <w:rFonts w:hAnsi="宋体"/>
          <w:color w:val="auto"/>
          <w:szCs w:val="21"/>
          <w:highlight w:val="none"/>
        </w:rPr>
        <w:t xml:space="preserve"> 40</w:t>
      </w:r>
      <w:r>
        <w:rPr>
          <w:rFonts w:hint="eastAsia" w:hAnsi="宋体"/>
          <w:color w:val="auto"/>
          <w:szCs w:val="21"/>
          <w:highlight w:val="none"/>
        </w:rPr>
        <w:t>℃的高温大于</w:t>
      </w:r>
      <w:r>
        <w:rPr>
          <w:rFonts w:hAnsi="宋体"/>
          <w:color w:val="auto"/>
          <w:szCs w:val="21"/>
          <w:highlight w:val="none"/>
        </w:rPr>
        <w:t xml:space="preserve"> 2 </w:t>
      </w:r>
      <w:r>
        <w:rPr>
          <w:rFonts w:hint="eastAsia" w:hAnsi="宋体"/>
          <w:color w:val="auto"/>
          <w:szCs w:val="21"/>
          <w:highlight w:val="none"/>
        </w:rPr>
        <w:t>天；</w:t>
      </w:r>
    </w:p>
    <w:p w14:paraId="0B470BF1">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）日气温低于</w:t>
      </w:r>
      <w:r>
        <w:rPr>
          <w:rFonts w:hAnsi="宋体"/>
          <w:color w:val="auto"/>
          <w:szCs w:val="21"/>
          <w:highlight w:val="none"/>
        </w:rPr>
        <w:t xml:space="preserve"> -10</w:t>
      </w:r>
      <w:r>
        <w:rPr>
          <w:rFonts w:hint="eastAsia" w:hAnsi="宋体"/>
          <w:color w:val="auto"/>
          <w:szCs w:val="21"/>
          <w:highlight w:val="none"/>
        </w:rPr>
        <w:t>℃的严寒大于</w:t>
      </w:r>
      <w:r>
        <w:rPr>
          <w:rFonts w:hAnsi="宋体"/>
          <w:color w:val="auto"/>
          <w:szCs w:val="21"/>
          <w:highlight w:val="none"/>
        </w:rPr>
        <w:t xml:space="preserve"> 2 </w:t>
      </w:r>
      <w:r>
        <w:rPr>
          <w:rFonts w:hint="eastAsia" w:hAnsi="宋体"/>
          <w:color w:val="auto"/>
          <w:szCs w:val="21"/>
          <w:highlight w:val="none"/>
        </w:rPr>
        <w:t>天；</w:t>
      </w:r>
    </w:p>
    <w:p w14:paraId="29FFE5C4">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）造成工程损坏的冰雹和大雪灾害；</w:t>
      </w:r>
    </w:p>
    <w:p w14:paraId="15B112A4">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6</w:t>
      </w:r>
      <w:r>
        <w:rPr>
          <w:rFonts w:hint="eastAsia" w:hAnsi="宋体"/>
          <w:color w:val="auto"/>
          <w:szCs w:val="21"/>
          <w:highlight w:val="none"/>
        </w:rPr>
        <w:t>）</w:t>
      </w:r>
      <w:r>
        <w:rPr>
          <w:rFonts w:hAnsi="宋体"/>
          <w:color w:val="auto"/>
          <w:szCs w:val="21"/>
          <w:highlight w:val="none"/>
        </w:rPr>
        <w:t xml:space="preserve">6 </w:t>
      </w:r>
      <w:r>
        <w:rPr>
          <w:rFonts w:hint="eastAsia" w:hAnsi="宋体"/>
          <w:color w:val="auto"/>
          <w:szCs w:val="21"/>
          <w:highlight w:val="none"/>
        </w:rPr>
        <w:t>级及以上的地震；</w:t>
      </w:r>
    </w:p>
    <w:p w14:paraId="4E332CC3">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7</w:t>
      </w:r>
      <w:r>
        <w:rPr>
          <w:rFonts w:hint="eastAsia" w:hAnsi="宋体"/>
          <w:color w:val="auto"/>
          <w:szCs w:val="21"/>
          <w:highlight w:val="none"/>
        </w:rPr>
        <w:t>）</w:t>
      </w:r>
      <w:r>
        <w:rPr>
          <w:rFonts w:hAnsi="宋体"/>
          <w:color w:val="auto"/>
          <w:szCs w:val="21"/>
          <w:highlight w:val="none"/>
        </w:rPr>
        <w:t xml:space="preserve">50 </w:t>
      </w:r>
      <w:r>
        <w:rPr>
          <w:rFonts w:hint="eastAsia" w:hAnsi="宋体"/>
          <w:color w:val="auto"/>
          <w:szCs w:val="21"/>
          <w:highlight w:val="none"/>
        </w:rPr>
        <w:t>年一遇及以上的洪水；</w:t>
      </w:r>
    </w:p>
    <w:p w14:paraId="690F666D">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8</w:t>
      </w:r>
      <w:r>
        <w:rPr>
          <w:rFonts w:hint="eastAsia" w:hAnsi="宋体"/>
          <w:color w:val="auto"/>
          <w:szCs w:val="21"/>
          <w:highlight w:val="none"/>
        </w:rPr>
        <w:t>）能见度低于</w:t>
      </w:r>
      <w:r>
        <w:rPr>
          <w:rFonts w:hAnsi="宋体"/>
          <w:color w:val="auto"/>
          <w:szCs w:val="21"/>
          <w:highlight w:val="none"/>
        </w:rPr>
        <w:t xml:space="preserve"> 200 </w:t>
      </w:r>
      <w:r>
        <w:rPr>
          <w:rFonts w:hint="eastAsia" w:hAnsi="宋体"/>
          <w:color w:val="auto"/>
          <w:szCs w:val="21"/>
          <w:highlight w:val="none"/>
        </w:rPr>
        <w:t>米的雾或霾天气。</w:t>
      </w:r>
    </w:p>
    <w:p w14:paraId="5C606750">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9</w:t>
      </w:r>
      <w:r>
        <w:rPr>
          <w:rFonts w:hint="eastAsia" w:hAnsi="宋体"/>
          <w:color w:val="auto"/>
          <w:szCs w:val="21"/>
          <w:highlight w:val="none"/>
        </w:rPr>
        <w:t>）其他异常恶劣气候灾害</w:t>
      </w:r>
    </w:p>
    <w:p w14:paraId="54F8684F">
      <w:pPr>
        <w:pStyle w:val="84"/>
        <w:spacing w:line="360" w:lineRule="auto"/>
        <w:ind w:firstLine="420" w:firstLineChars="200"/>
        <w:jc w:val="left"/>
        <w:outlineLvl w:val="2"/>
        <w:rPr>
          <w:color w:val="auto"/>
          <w:szCs w:val="21"/>
          <w:highlight w:val="none"/>
        </w:rPr>
      </w:pPr>
      <w:r>
        <w:rPr>
          <w:color w:val="auto"/>
          <w:highlight w:val="none"/>
        </w:rPr>
        <w:t xml:space="preserve">7.9 </w:t>
      </w:r>
      <w:r>
        <w:rPr>
          <w:rFonts w:hint="eastAsia" w:hAnsi="宋体"/>
          <w:color w:val="auto"/>
          <w:highlight w:val="none"/>
        </w:rPr>
        <w:t>提前竣工</w:t>
      </w:r>
      <w:bookmarkEnd w:id="538"/>
      <w:bookmarkEnd w:id="539"/>
      <w:bookmarkEnd w:id="540"/>
      <w:bookmarkEnd w:id="541"/>
    </w:p>
    <w:p w14:paraId="3EF822DD">
      <w:pPr>
        <w:pStyle w:val="84"/>
        <w:spacing w:line="360" w:lineRule="auto"/>
        <w:ind w:firstLine="420" w:firstLineChars="200"/>
        <w:jc w:val="left"/>
        <w:rPr>
          <w:rFonts w:hAnsi="宋体"/>
          <w:color w:val="auto"/>
          <w:szCs w:val="21"/>
          <w:highlight w:val="none"/>
        </w:rPr>
      </w:pPr>
      <w:r>
        <w:rPr>
          <w:color w:val="auto"/>
          <w:szCs w:val="21"/>
          <w:highlight w:val="none"/>
        </w:rPr>
        <w:t>7.9.2</w:t>
      </w:r>
      <w:r>
        <w:rPr>
          <w:rFonts w:hint="eastAsia" w:hAnsi="宋体"/>
          <w:color w:val="auto"/>
          <w:szCs w:val="21"/>
          <w:highlight w:val="none"/>
        </w:rPr>
        <w:t>提前竣工（赶工）增加费的计算方法：</w:t>
      </w:r>
      <w:r>
        <w:rPr>
          <w:color w:val="auto"/>
          <w:szCs w:val="21"/>
          <w:highlight w:val="none"/>
          <w:u w:val="single"/>
        </w:rPr>
        <w:t xml:space="preserve">   </w:t>
      </w:r>
      <w:r>
        <w:rPr>
          <w:rFonts w:hint="eastAsia"/>
          <w:color w:val="auto"/>
          <w:szCs w:val="21"/>
          <w:highlight w:val="none"/>
          <w:u w:val="single"/>
        </w:rPr>
        <w:t>由双方根据实际情况另行约定</w:t>
      </w:r>
      <w:r>
        <w:rPr>
          <w:rFonts w:hint="eastAsia" w:hAnsi="宋体"/>
          <w:color w:val="auto"/>
          <w:szCs w:val="21"/>
          <w:highlight w:val="none"/>
        </w:rPr>
        <w:t>。</w:t>
      </w:r>
    </w:p>
    <w:p w14:paraId="694DE8C4">
      <w:pPr>
        <w:pStyle w:val="84"/>
        <w:keepNext/>
        <w:keepLines/>
        <w:spacing w:before="60" w:after="60" w:line="412" w:lineRule="auto"/>
        <w:ind w:firstLine="422"/>
        <w:outlineLvl w:val="1"/>
        <w:rPr>
          <w:rFonts w:ascii="Arial" w:hAnsi="Arial" w:eastAsia="黑体"/>
          <w:b/>
          <w:bCs/>
          <w:color w:val="auto"/>
          <w:szCs w:val="32"/>
          <w:highlight w:val="none"/>
        </w:rPr>
      </w:pPr>
      <w:bookmarkStart w:id="542" w:name="_Toc373227731"/>
      <w:bookmarkStart w:id="543" w:name="_Toc351203640"/>
      <w:bookmarkStart w:id="544" w:name="_Toc389065297"/>
      <w:bookmarkStart w:id="545" w:name="_Toc373478378"/>
      <w:bookmarkStart w:id="546" w:name="_Toc19507"/>
      <w:r>
        <w:rPr>
          <w:rFonts w:ascii="Arial" w:hAnsi="Arial" w:eastAsia="黑体"/>
          <w:b/>
          <w:bCs/>
          <w:color w:val="auto"/>
          <w:szCs w:val="32"/>
          <w:highlight w:val="none"/>
        </w:rPr>
        <w:t xml:space="preserve">8. </w:t>
      </w:r>
      <w:r>
        <w:rPr>
          <w:rFonts w:hint="eastAsia" w:ascii="Arial" w:hAnsi="Arial" w:eastAsia="黑体"/>
          <w:b/>
          <w:bCs/>
          <w:color w:val="auto"/>
          <w:szCs w:val="32"/>
          <w:highlight w:val="none"/>
        </w:rPr>
        <w:t>材料与设备</w:t>
      </w:r>
      <w:bookmarkEnd w:id="542"/>
      <w:bookmarkEnd w:id="543"/>
      <w:bookmarkEnd w:id="544"/>
      <w:bookmarkEnd w:id="545"/>
      <w:bookmarkEnd w:id="546"/>
    </w:p>
    <w:bookmarkEnd w:id="427"/>
    <w:bookmarkEnd w:id="428"/>
    <w:bookmarkEnd w:id="429"/>
    <w:bookmarkEnd w:id="430"/>
    <w:bookmarkEnd w:id="431"/>
    <w:bookmarkEnd w:id="432"/>
    <w:bookmarkEnd w:id="433"/>
    <w:bookmarkEnd w:id="434"/>
    <w:bookmarkEnd w:id="435"/>
    <w:bookmarkEnd w:id="436"/>
    <w:p w14:paraId="2C503CF7">
      <w:pPr>
        <w:pStyle w:val="84"/>
        <w:keepNext/>
        <w:keepLines/>
        <w:spacing w:line="360" w:lineRule="auto"/>
        <w:ind w:firstLine="422"/>
        <w:rPr>
          <w:rFonts w:eastAsia="黑体"/>
          <w:b/>
          <w:bCs/>
          <w:color w:val="auto"/>
          <w:szCs w:val="32"/>
          <w:highlight w:val="none"/>
        </w:rPr>
      </w:pPr>
      <w:bookmarkStart w:id="547" w:name="_Toc373227732"/>
      <w:bookmarkStart w:id="548" w:name="_Toc373478379"/>
      <w:bookmarkStart w:id="549" w:name="_Toc24535"/>
      <w:bookmarkStart w:id="550" w:name="_Toc389065298"/>
      <w:r>
        <w:rPr>
          <w:rFonts w:eastAsia="黑体"/>
          <w:b/>
          <w:bCs/>
          <w:color w:val="auto"/>
          <w:szCs w:val="32"/>
          <w:highlight w:val="none"/>
        </w:rPr>
        <w:t xml:space="preserve">8.2 </w:t>
      </w:r>
      <w:r>
        <w:rPr>
          <w:rFonts w:hint="eastAsia" w:eastAsia="黑体"/>
          <w:b/>
          <w:bCs/>
          <w:color w:val="auto"/>
          <w:szCs w:val="32"/>
          <w:highlight w:val="none"/>
        </w:rPr>
        <w:t>承包人采购材料与工程设备</w:t>
      </w:r>
      <w:bookmarkEnd w:id="547"/>
      <w:bookmarkEnd w:id="548"/>
      <w:bookmarkEnd w:id="549"/>
      <w:bookmarkEnd w:id="550"/>
    </w:p>
    <w:p w14:paraId="2244EB9F">
      <w:pPr>
        <w:pStyle w:val="91"/>
        <w:shd w:val="clear" w:color="auto" w:fill="FFFFFF"/>
        <w:wordWrap w:val="0"/>
        <w:spacing w:before="0" w:beforeAutospacing="0" w:after="0" w:afterAutospacing="0" w:line="400" w:lineRule="exact"/>
        <w:ind w:firstLine="420"/>
        <w:rPr>
          <w:rFonts w:ascii="Times New Roman" w:hAnsi="Times New Roman"/>
          <w:b/>
          <w:color w:val="auto"/>
          <w:sz w:val="21"/>
          <w:szCs w:val="21"/>
          <w:highlight w:val="none"/>
        </w:rPr>
      </w:pPr>
      <w:bookmarkStart w:id="551" w:name="_Toc373227733"/>
      <w:bookmarkStart w:id="552" w:name="_Toc389065299"/>
      <w:bookmarkStart w:id="553" w:name="_Toc373478380"/>
      <w:r>
        <w:rPr>
          <w:rFonts w:hint="eastAsia" w:ascii="Times New Roman" w:hAnsi="Times New Roman"/>
          <w:b/>
          <w:color w:val="auto"/>
          <w:sz w:val="21"/>
          <w:szCs w:val="21"/>
          <w:highlight w:val="none"/>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目录中选用重要建设工程材料。</w:t>
      </w:r>
    </w:p>
    <w:p w14:paraId="5CD9C53D">
      <w:pPr>
        <w:pStyle w:val="88"/>
        <w:widowControl/>
        <w:shd w:val="clear" w:color="auto" w:fill="FFFFFF"/>
        <w:wordWrap w:val="0"/>
        <w:spacing w:line="400" w:lineRule="exact"/>
        <w:ind w:firstLine="420"/>
        <w:jc w:val="left"/>
        <w:rPr>
          <w:b/>
          <w:color w:val="auto"/>
          <w:kern w:val="44"/>
          <w:szCs w:val="21"/>
          <w:highlight w:val="none"/>
        </w:rPr>
      </w:pPr>
      <w:r>
        <w:rPr>
          <w:b/>
          <w:color w:val="auto"/>
          <w:kern w:val="44"/>
          <w:szCs w:val="21"/>
          <w:highlight w:val="none"/>
        </w:rPr>
        <w:t xml:space="preserve">8.2.1 </w:t>
      </w:r>
      <w:r>
        <w:rPr>
          <w:rFonts w:hint="eastAsia"/>
          <w:b/>
          <w:color w:val="auto"/>
          <w:kern w:val="44"/>
          <w:szCs w:val="21"/>
          <w:highlight w:val="none"/>
        </w:rPr>
        <w:t>由承包人采购、供应的材料，承包人需提前向监理人及发包人报验。</w:t>
      </w:r>
    </w:p>
    <w:p w14:paraId="1EC44933">
      <w:pPr>
        <w:pStyle w:val="88"/>
        <w:widowControl/>
        <w:shd w:val="clear" w:color="auto" w:fill="FFFFFF"/>
        <w:wordWrap w:val="0"/>
        <w:spacing w:line="400" w:lineRule="exact"/>
        <w:ind w:firstLine="420"/>
        <w:jc w:val="left"/>
        <w:rPr>
          <w:b/>
          <w:color w:val="auto"/>
          <w:kern w:val="44"/>
          <w:szCs w:val="21"/>
          <w:highlight w:val="none"/>
        </w:rPr>
      </w:pPr>
      <w:r>
        <w:rPr>
          <w:b/>
          <w:color w:val="auto"/>
          <w:kern w:val="44"/>
          <w:szCs w:val="21"/>
          <w:highlight w:val="none"/>
        </w:rPr>
        <w:t xml:space="preserve">8.2.2 </w:t>
      </w:r>
      <w:r>
        <w:rPr>
          <w:rFonts w:hint="eastAsia"/>
          <w:b/>
          <w:color w:val="auto"/>
          <w:kern w:val="44"/>
          <w:szCs w:val="21"/>
          <w:highlight w:val="none"/>
        </w:rPr>
        <w:t>承包人采购材料进场同时，需提供与报验相同的产品合格证及相关检测报告，若不能提供的，该批材料按不合格产品清退出场。</w:t>
      </w:r>
      <w:bookmarkStart w:id="554" w:name="_Toc508188907"/>
    </w:p>
    <w:p w14:paraId="221F16AB">
      <w:pPr>
        <w:pStyle w:val="92"/>
        <w:wordWrap w:val="0"/>
        <w:spacing w:line="400" w:lineRule="exact"/>
        <w:ind w:firstLine="422" w:firstLineChars="200"/>
        <w:outlineLvl w:val="9"/>
        <w:rPr>
          <w:rFonts w:hAnsi="宋体"/>
          <w:b w:val="0"/>
          <w:bCs w:val="0"/>
          <w:color w:val="auto"/>
          <w:kern w:val="0"/>
          <w:sz w:val="21"/>
          <w:szCs w:val="21"/>
          <w:highlight w:val="none"/>
        </w:rPr>
      </w:pPr>
      <w:bookmarkStart w:id="555" w:name="_Toc531093162"/>
      <w:bookmarkStart w:id="556" w:name="_Toc3731651"/>
      <w:bookmarkStart w:id="557" w:name="_Toc35594732"/>
      <w:bookmarkStart w:id="558" w:name="_Toc18954279"/>
      <w:bookmarkStart w:id="559" w:name="_Toc35590582"/>
      <w:bookmarkStart w:id="560" w:name="_Toc166576095"/>
      <w:bookmarkStart w:id="561" w:name="_Toc3731867"/>
      <w:r>
        <w:rPr>
          <w:bCs w:val="0"/>
          <w:color w:val="auto"/>
          <w:sz w:val="21"/>
          <w:szCs w:val="21"/>
          <w:highlight w:val="none"/>
        </w:rPr>
        <w:t>8.3</w:t>
      </w:r>
      <w:r>
        <w:rPr>
          <w:rFonts w:hint="eastAsia"/>
          <w:bCs w:val="0"/>
          <w:color w:val="auto"/>
          <w:sz w:val="21"/>
          <w:szCs w:val="21"/>
          <w:highlight w:val="none"/>
        </w:rPr>
        <w:t>对发包人在招标时有“参照或相当于”约定的材料，承包人在施工过程中必须按类似于或优于所约定品牌、厂家和等级进行采购，当发包人与承包人对采购文件所约定的材料有争议时，发包人有权要求承包人按采购文件有“参照或相当于”标明材料品牌的材料进行采购，并在结算时按投标单价支付</w:t>
      </w:r>
      <w:r>
        <w:rPr>
          <w:rFonts w:hint="eastAsia" w:hAnsi="宋体"/>
          <w:b w:val="0"/>
          <w:bCs w:val="0"/>
          <w:color w:val="auto"/>
          <w:kern w:val="0"/>
          <w:sz w:val="21"/>
          <w:szCs w:val="21"/>
          <w:highlight w:val="none"/>
        </w:rPr>
        <w:t>。</w:t>
      </w:r>
      <w:bookmarkEnd w:id="554"/>
      <w:bookmarkEnd w:id="555"/>
      <w:bookmarkEnd w:id="556"/>
      <w:bookmarkEnd w:id="557"/>
      <w:bookmarkEnd w:id="558"/>
      <w:bookmarkEnd w:id="559"/>
      <w:bookmarkEnd w:id="560"/>
      <w:bookmarkEnd w:id="561"/>
    </w:p>
    <w:p w14:paraId="14814FF5">
      <w:pPr>
        <w:pStyle w:val="92"/>
        <w:wordWrap w:val="0"/>
        <w:ind w:firstLine="422" w:firstLineChars="200"/>
        <w:outlineLvl w:val="9"/>
        <w:rPr>
          <w:bCs w:val="0"/>
          <w:color w:val="auto"/>
          <w:sz w:val="21"/>
          <w:szCs w:val="21"/>
          <w:highlight w:val="none"/>
        </w:rPr>
      </w:pPr>
      <w:r>
        <w:rPr>
          <w:rFonts w:hint="eastAsia"/>
          <w:bCs w:val="0"/>
          <w:color w:val="auto"/>
          <w:sz w:val="21"/>
          <w:szCs w:val="21"/>
          <w:highlight w:val="none"/>
        </w:rPr>
        <w:t>对于特殊材料及配件施工单位须提前向后勤基建处水电与维修服务中心提交申请，经中心审核确定并签署采购同意书后方可采购 。</w:t>
      </w:r>
    </w:p>
    <w:p w14:paraId="0498D90E">
      <w:pPr>
        <w:pStyle w:val="88"/>
        <w:spacing w:line="360" w:lineRule="auto"/>
        <w:ind w:firstLine="420" w:firstLineChars="200"/>
        <w:rPr>
          <w:color w:val="auto"/>
          <w:highlight w:val="none"/>
        </w:rPr>
      </w:pPr>
      <w:r>
        <w:rPr>
          <w:rFonts w:hint="eastAsia"/>
          <w:color w:val="auto"/>
          <w:highlight w:val="none"/>
        </w:rPr>
        <w:t>承包人负责采购的材料设备，包括一般材料设备和主要材料设备，均应符合设计、标准规范、采购文件、专用条款和补充条款约定的要求以及响应文件的承诺，提供产品质量合格证明，并对其采购的材料设备负责。承包人完全按照采购文件的要求进行报价并对响应报价负全部责任，施工过程中承包人不得因报价过低而向发包人提出无法采购满足采购文件要求的材料设备，发包人也不因此予以任何补偿。</w:t>
      </w:r>
    </w:p>
    <w:p w14:paraId="3595F81C">
      <w:pPr>
        <w:pStyle w:val="88"/>
        <w:spacing w:line="360" w:lineRule="auto"/>
        <w:ind w:firstLine="420" w:firstLineChars="200"/>
        <w:rPr>
          <w:color w:val="auto"/>
          <w:highlight w:val="none"/>
        </w:rPr>
      </w:pPr>
      <w:r>
        <w:rPr>
          <w:rFonts w:hint="eastAsia"/>
          <w:color w:val="auto"/>
          <w:highlight w:val="none"/>
        </w:rPr>
        <w:t>承包人将由其提供的材料和工程设备的供货人及品种、规格、数量和供货时间等报送监理人和发包人审批的期限：在采购前应至少提前一个月报送。</w:t>
      </w:r>
    </w:p>
    <w:p w14:paraId="24ACFE77">
      <w:pPr>
        <w:pStyle w:val="88"/>
        <w:spacing w:line="360" w:lineRule="auto"/>
        <w:ind w:firstLine="420" w:firstLineChars="200"/>
        <w:rPr>
          <w:rFonts w:hAnsi="宋体"/>
          <w:color w:val="auto"/>
          <w:kern w:val="0"/>
          <w:szCs w:val="21"/>
          <w:highlight w:val="none"/>
        </w:rPr>
      </w:pPr>
      <w:r>
        <w:rPr>
          <w:rFonts w:hint="eastAsia" w:hAnsi="宋体"/>
          <w:color w:val="auto"/>
          <w:kern w:val="0"/>
          <w:szCs w:val="21"/>
          <w:highlight w:val="none"/>
        </w:rPr>
        <w:t>对发包人</w:t>
      </w:r>
      <w:r>
        <w:rPr>
          <w:rFonts w:hint="eastAsia"/>
          <w:color w:val="auto"/>
          <w:highlight w:val="none"/>
        </w:rPr>
        <w:t>采购文件</w:t>
      </w:r>
      <w:r>
        <w:rPr>
          <w:rFonts w:hint="eastAsia" w:hAnsi="宋体"/>
          <w:color w:val="auto"/>
          <w:kern w:val="0"/>
          <w:szCs w:val="21"/>
          <w:highlight w:val="none"/>
        </w:rPr>
        <w:t>中列明有档次要求的主要材料或设备，承包人应按响应文件列明的品牌进行采购。为了保证主要材料和设备的质量，如果承包人提交的不是发包人合同中提供的参考品质品牌产品，承包人须在采购前应至少提前一个月报送 3 家以上承包人认为性价比较好的品牌及报价（含佐证材料），发包人根据自身掌握的信息及承包人报送的信息对各品牌与承包人共同进行考察，如承包人报送的品牌符合发包人要求，则选用承包人报送的品牌；如承包人报送的品牌经考察不符合要求，则发包人有权拒绝采用。上述发包人的认可选用不涉及合同单价的调整，而且上述发包人的同意，也并不能免除合同规定的承包人任何义务和责任。如承包人在采购前未报送发包人确认，每发生一次承包人向发包人支付违约金人民币 5000 元，发包人有权要求承包人将未报送发包人确认且不符合要求的材料设备退场并责令承包人重新采购施工，责任和费用概由承包人负责。材料设备经发包人确认后，不免除承包人对材料设备的技术规格错误及质量问题的责任。若承包人未在约定的期限内报送品牌的，由此导致的期限延误及损失，由承包人承担。</w:t>
      </w:r>
    </w:p>
    <w:p w14:paraId="1776DE52">
      <w:pPr>
        <w:pStyle w:val="84"/>
        <w:autoSpaceDE w:val="0"/>
        <w:autoSpaceDN w:val="0"/>
        <w:adjustRightInd w:val="0"/>
        <w:spacing w:line="360" w:lineRule="auto"/>
        <w:ind w:firstLine="422" w:firstLineChars="200"/>
        <w:jc w:val="left"/>
        <w:rPr>
          <w:rFonts w:hint="eastAsia"/>
          <w:color w:val="auto"/>
          <w:highlight w:val="none"/>
        </w:rPr>
      </w:pPr>
      <w:r>
        <w:rPr>
          <w:rFonts w:hint="eastAsia" w:ascii="宋体" w:hAnsi="宋体" w:cs="宋体"/>
          <w:b/>
          <w:bCs/>
          <w:color w:val="auto"/>
          <w:szCs w:val="21"/>
          <w:highlight w:val="none"/>
          <w:shd w:val="clear" w:color="auto" w:fill="FFFFFF"/>
        </w:rPr>
        <w:t>对发包人在招标时，没有明确约定参照或相当于**品牌、档次的材料和设备，或双方对材料和设备选择有争议的，发包人有权要求承包人按不低于</w:t>
      </w:r>
      <w:r>
        <w:rPr>
          <w:rFonts w:hint="eastAsia" w:ascii="宋体" w:hAnsi="宋体" w:cs="宋体"/>
          <w:b/>
          <w:bCs/>
          <w:color w:val="auto"/>
          <w:szCs w:val="21"/>
          <w:highlight w:val="none"/>
          <w:shd w:val="clear" w:color="auto" w:fill="FFFFFF"/>
          <w:lang w:val="en-US" w:eastAsia="zh-CN"/>
        </w:rPr>
        <w:t>工程量清单</w:t>
      </w:r>
      <w:r>
        <w:rPr>
          <w:rFonts w:hint="eastAsia" w:ascii="宋体" w:hAnsi="宋体" w:cs="宋体"/>
          <w:b/>
          <w:bCs/>
          <w:color w:val="auto"/>
          <w:szCs w:val="21"/>
          <w:highlight w:val="none"/>
          <w:shd w:val="clear" w:color="auto" w:fill="FFFFFF"/>
        </w:rPr>
        <w:t>相同细目的材料或设备价格进行采购。</w:t>
      </w:r>
    </w:p>
    <w:p w14:paraId="5E492501">
      <w:pPr>
        <w:pStyle w:val="84"/>
        <w:keepNext/>
        <w:keepLines/>
        <w:spacing w:line="360" w:lineRule="auto"/>
        <w:ind w:firstLine="422"/>
        <w:rPr>
          <w:rFonts w:eastAsia="黑体"/>
          <w:b/>
          <w:bCs/>
          <w:color w:val="auto"/>
          <w:szCs w:val="32"/>
          <w:highlight w:val="none"/>
        </w:rPr>
      </w:pPr>
      <w:bookmarkStart w:id="562" w:name="_Toc3731"/>
      <w:r>
        <w:rPr>
          <w:rFonts w:eastAsia="黑体"/>
          <w:b/>
          <w:bCs/>
          <w:color w:val="auto"/>
          <w:szCs w:val="32"/>
          <w:highlight w:val="none"/>
        </w:rPr>
        <w:t>8</w:t>
      </w:r>
      <w:bookmarkStart w:id="563" w:name="_Toc296944506"/>
      <w:bookmarkStart w:id="564" w:name="_Toc280868654"/>
      <w:bookmarkStart w:id="565" w:name="_Toc303539136"/>
      <w:bookmarkStart w:id="566" w:name="_Toc292559877"/>
      <w:bookmarkStart w:id="567" w:name="_Toc297120467"/>
      <w:bookmarkStart w:id="568" w:name="_Toc312677493"/>
      <w:bookmarkStart w:id="569" w:name="_Toc296346668"/>
      <w:bookmarkStart w:id="570" w:name="_Toc296503167"/>
      <w:bookmarkStart w:id="571" w:name="_Toc304295556"/>
      <w:bookmarkStart w:id="572" w:name="_Toc312678019"/>
      <w:bookmarkStart w:id="573" w:name="_Toc300934979"/>
      <w:bookmarkStart w:id="574" w:name="_Toc296891207"/>
      <w:bookmarkStart w:id="575" w:name="_Toc297123527"/>
      <w:bookmarkStart w:id="576" w:name="_Toc297048353"/>
      <w:bookmarkStart w:id="577" w:name="_Toc296890995"/>
      <w:bookmarkStart w:id="578" w:name="_Toc292559372"/>
      <w:bookmarkStart w:id="579" w:name="_Toc297216186"/>
      <w:bookmarkStart w:id="580" w:name="_Toc296347166"/>
      <w:bookmarkStart w:id="581" w:name="_Toc280868655"/>
      <w:bookmarkStart w:id="582" w:name="_Toc280868656"/>
      <w:bookmarkStart w:id="583" w:name="_Toc267251424"/>
      <w:r>
        <w:rPr>
          <w:rFonts w:eastAsia="黑体"/>
          <w:b/>
          <w:bCs/>
          <w:color w:val="auto"/>
          <w:szCs w:val="32"/>
          <w:highlight w:val="none"/>
        </w:rPr>
        <w:t xml:space="preserve">.4 </w:t>
      </w:r>
      <w:r>
        <w:rPr>
          <w:rFonts w:hint="eastAsia" w:eastAsia="黑体"/>
          <w:b/>
          <w:bCs/>
          <w:color w:val="auto"/>
          <w:szCs w:val="32"/>
          <w:highlight w:val="none"/>
        </w:rPr>
        <w:t>材料与工程设备的保管与使用</w:t>
      </w:r>
      <w:bookmarkEnd w:id="551"/>
      <w:bookmarkEnd w:id="552"/>
      <w:bookmarkEnd w:id="553"/>
      <w:bookmarkEnd w:id="562"/>
    </w:p>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14:paraId="29EB8159">
      <w:pPr>
        <w:pStyle w:val="84"/>
        <w:spacing w:line="360" w:lineRule="auto"/>
        <w:ind w:firstLine="420" w:firstLineChars="200"/>
        <w:jc w:val="left"/>
        <w:outlineLvl w:val="2"/>
        <w:rPr>
          <w:color w:val="auto"/>
          <w:szCs w:val="21"/>
          <w:highlight w:val="none"/>
          <w:u w:val="single"/>
        </w:rPr>
      </w:pPr>
      <w:r>
        <w:rPr>
          <w:color w:val="auto"/>
          <w:szCs w:val="21"/>
          <w:highlight w:val="none"/>
        </w:rPr>
        <w:t>8</w:t>
      </w:r>
      <w:bookmarkStart w:id="584" w:name="_Toc292559373"/>
      <w:bookmarkStart w:id="585" w:name="_Toc292559878"/>
      <w:bookmarkStart w:id="586" w:name="_Toc296891208"/>
      <w:bookmarkStart w:id="587" w:name="_Toc297216187"/>
      <w:bookmarkStart w:id="588" w:name="_Toc300934980"/>
      <w:bookmarkStart w:id="589" w:name="_Toc297123528"/>
      <w:bookmarkStart w:id="590" w:name="_Toc297120468"/>
      <w:bookmarkStart w:id="591" w:name="_Toc296346669"/>
      <w:bookmarkStart w:id="592" w:name="_Toc312677494"/>
      <w:bookmarkStart w:id="593" w:name="_Toc318581173"/>
      <w:bookmarkStart w:id="594" w:name="_Toc303539137"/>
      <w:bookmarkStart w:id="595" w:name="_Toc296944507"/>
      <w:bookmarkStart w:id="596" w:name="_Toc312678020"/>
      <w:bookmarkStart w:id="597" w:name="_Toc304295557"/>
      <w:bookmarkStart w:id="598" w:name="_Toc296347167"/>
      <w:bookmarkStart w:id="599" w:name="_Toc297048354"/>
      <w:bookmarkStart w:id="600" w:name="_Toc296503168"/>
      <w:bookmarkStart w:id="601" w:name="_Toc296890996"/>
      <w:r>
        <w:rPr>
          <w:color w:val="auto"/>
          <w:szCs w:val="21"/>
          <w:highlight w:val="none"/>
        </w:rPr>
        <w:t>.4.1</w:t>
      </w:r>
      <w:r>
        <w:rPr>
          <w:rFonts w:hint="eastAsia" w:hAnsi="宋体"/>
          <w:color w:val="auto"/>
          <w:szCs w:val="21"/>
          <w:highlight w:val="none"/>
        </w:rPr>
        <w:t>发包人供应的材料设备的保管费用的承担：</w:t>
      </w:r>
      <w:r>
        <w:rPr>
          <w:rFonts w:hint="eastAsia"/>
          <w:color w:val="auto"/>
          <w:szCs w:val="32"/>
          <w:highlight w:val="none"/>
          <w:u w:val="single"/>
        </w:rPr>
        <w:t>由承包人承担</w:t>
      </w:r>
      <w:r>
        <w:rPr>
          <w:rFonts w:hint="eastAsia" w:hAnsi="宋体"/>
          <w:color w:val="auto"/>
          <w:szCs w:val="21"/>
          <w:highlight w:val="none"/>
        </w:rPr>
        <w:t>。</w:t>
      </w:r>
    </w:p>
    <w:bookmarkEnd w:id="584"/>
    <w:bookmarkEnd w:id="585"/>
    <w:p w14:paraId="5DB0A708">
      <w:pPr>
        <w:pStyle w:val="84"/>
        <w:keepNext/>
        <w:keepLines/>
        <w:spacing w:line="360" w:lineRule="auto"/>
        <w:ind w:firstLine="422"/>
        <w:outlineLvl w:val="2"/>
        <w:rPr>
          <w:rFonts w:eastAsia="黑体"/>
          <w:b/>
          <w:bCs/>
          <w:color w:val="auto"/>
          <w:szCs w:val="32"/>
          <w:highlight w:val="none"/>
        </w:rPr>
      </w:pPr>
      <w:bookmarkStart w:id="602" w:name="_Toc15900"/>
      <w:bookmarkStart w:id="603" w:name="_Toc373478381"/>
      <w:bookmarkStart w:id="604" w:name="_Toc373227734"/>
      <w:bookmarkStart w:id="605" w:name="_Toc389065300"/>
      <w:r>
        <w:rPr>
          <w:rFonts w:eastAsia="黑体"/>
          <w:b/>
          <w:bCs/>
          <w:color w:val="auto"/>
          <w:szCs w:val="32"/>
          <w:highlight w:val="none"/>
        </w:rPr>
        <w:t xml:space="preserve">8.6 </w:t>
      </w:r>
      <w:r>
        <w:rPr>
          <w:rFonts w:hint="eastAsia" w:hAnsi="宋体" w:eastAsia="黑体"/>
          <w:b/>
          <w:bCs/>
          <w:color w:val="auto"/>
          <w:szCs w:val="32"/>
          <w:highlight w:val="none"/>
        </w:rPr>
        <w:t>样品</w:t>
      </w:r>
      <w:bookmarkEnd w:id="602"/>
      <w:bookmarkEnd w:id="603"/>
      <w:bookmarkEnd w:id="604"/>
      <w:bookmarkEnd w:id="605"/>
    </w:p>
    <w:p w14:paraId="5D0BF07D">
      <w:pPr>
        <w:pStyle w:val="84"/>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 xml:space="preserve">8.6.1 </w:t>
      </w:r>
      <w:r>
        <w:rPr>
          <w:rFonts w:hint="eastAsia" w:hAnsi="宋体"/>
          <w:color w:val="auto"/>
          <w:kern w:val="0"/>
          <w:szCs w:val="21"/>
          <w:highlight w:val="none"/>
        </w:rPr>
        <w:t>样品的报送与封存</w:t>
      </w:r>
    </w:p>
    <w:p w14:paraId="7FB90C21">
      <w:pPr>
        <w:pStyle w:val="84"/>
        <w:autoSpaceDE w:val="0"/>
        <w:autoSpaceDN w:val="0"/>
        <w:adjustRightInd w:val="0"/>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需要承包人报送样品的材料或工程设备，样品的种类、名称、规格、数量要求：承包人应</w:t>
      </w:r>
      <w:r>
        <w:rPr>
          <w:rFonts w:hint="eastAsia" w:hAnsi="宋体"/>
          <w:color w:val="auto"/>
          <w:szCs w:val="21"/>
          <w:highlight w:val="none"/>
          <w:u w:val="single"/>
        </w:rPr>
        <w:t>按不得低于招标工程量清单中所列参考品牌的中档产品，且符合设计的要求报送材料、设备样品，</w:t>
      </w:r>
      <w:r>
        <w:rPr>
          <w:rFonts w:hint="eastAsia" w:hAnsi="宋体"/>
          <w:color w:val="auto"/>
          <w:kern w:val="0"/>
          <w:szCs w:val="21"/>
          <w:highlight w:val="none"/>
        </w:rPr>
        <w:t>提交拟选用合格的材料样品（三种以上）送发包人选定，</w:t>
      </w:r>
      <w:r>
        <w:rPr>
          <w:rFonts w:hint="eastAsia" w:hAnsi="宋体"/>
          <w:color w:val="auto"/>
          <w:szCs w:val="21"/>
          <w:highlight w:val="none"/>
          <w:u w:val="single"/>
        </w:rPr>
        <w:t>经发包人同意确认后才能采购和使用</w:t>
      </w:r>
      <w:r>
        <w:rPr>
          <w:rFonts w:hint="eastAsia" w:hAnsi="宋体"/>
          <w:color w:val="auto"/>
          <w:kern w:val="0"/>
          <w:szCs w:val="21"/>
          <w:highlight w:val="none"/>
        </w:rPr>
        <w:t>。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p>
    <w:p w14:paraId="3327B1B8">
      <w:pPr>
        <w:pStyle w:val="84"/>
        <w:keepNext/>
        <w:keepLines/>
        <w:spacing w:line="360" w:lineRule="auto"/>
        <w:ind w:firstLine="422"/>
        <w:outlineLvl w:val="2"/>
        <w:rPr>
          <w:rFonts w:eastAsia="黑体"/>
          <w:b/>
          <w:bCs/>
          <w:color w:val="auto"/>
          <w:szCs w:val="32"/>
          <w:highlight w:val="none"/>
        </w:rPr>
      </w:pPr>
      <w:bookmarkStart w:id="606" w:name="_Toc373478382"/>
      <w:bookmarkStart w:id="607" w:name="_Toc373227735"/>
      <w:bookmarkStart w:id="608" w:name="_Toc389065301"/>
      <w:bookmarkStart w:id="609" w:name="_Toc21051"/>
      <w:r>
        <w:rPr>
          <w:rFonts w:eastAsia="黑体"/>
          <w:b/>
          <w:bCs/>
          <w:color w:val="auto"/>
          <w:szCs w:val="32"/>
          <w:highlight w:val="none"/>
        </w:rPr>
        <w:t xml:space="preserve">8.8 </w:t>
      </w:r>
      <w:r>
        <w:rPr>
          <w:rFonts w:hint="eastAsia" w:eastAsia="黑体"/>
          <w:b/>
          <w:bCs/>
          <w:color w:val="auto"/>
          <w:szCs w:val="32"/>
          <w:highlight w:val="none"/>
        </w:rPr>
        <w:t>施工设备和临时设施</w:t>
      </w:r>
      <w:bookmarkEnd w:id="606"/>
      <w:bookmarkEnd w:id="607"/>
      <w:bookmarkEnd w:id="608"/>
      <w:bookmarkEnd w:id="609"/>
    </w:p>
    <w:p w14:paraId="73BEA28E">
      <w:pPr>
        <w:pStyle w:val="84"/>
        <w:autoSpaceDE w:val="0"/>
        <w:autoSpaceDN w:val="0"/>
        <w:adjustRightInd w:val="0"/>
        <w:spacing w:line="360" w:lineRule="auto"/>
        <w:ind w:firstLine="420" w:firstLineChars="200"/>
        <w:jc w:val="left"/>
        <w:rPr>
          <w:color w:val="auto"/>
          <w:szCs w:val="21"/>
          <w:highlight w:val="none"/>
        </w:rPr>
      </w:pPr>
      <w:r>
        <w:rPr>
          <w:color w:val="auto"/>
          <w:szCs w:val="21"/>
          <w:highlight w:val="none"/>
        </w:rPr>
        <w:t xml:space="preserve">8.8.1 </w:t>
      </w:r>
      <w:r>
        <w:rPr>
          <w:rFonts w:hint="eastAsia" w:hAnsi="宋体"/>
          <w:color w:val="auto"/>
          <w:szCs w:val="21"/>
          <w:highlight w:val="none"/>
        </w:rPr>
        <w:t>承包人提供的施工设备和临时设施</w:t>
      </w:r>
    </w:p>
    <w:p w14:paraId="7AD007B7">
      <w:pPr>
        <w:pStyle w:val="84"/>
        <w:autoSpaceDE w:val="0"/>
        <w:autoSpaceDN w:val="0"/>
        <w:adjustRightInd w:val="0"/>
        <w:spacing w:line="360" w:lineRule="auto"/>
        <w:ind w:firstLine="420" w:firstLineChars="200"/>
        <w:jc w:val="left"/>
        <w:rPr>
          <w:color w:val="auto"/>
          <w:szCs w:val="21"/>
          <w:highlight w:val="none"/>
        </w:rPr>
      </w:pPr>
      <w:r>
        <w:rPr>
          <w:rFonts w:hint="eastAsia"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szCs w:val="21"/>
          <w:highlight w:val="none"/>
        </w:rPr>
        <w:t>承包人用于本工程</w:t>
      </w:r>
      <w:r>
        <w:rPr>
          <w:rFonts w:hint="eastAsia"/>
          <w:color w:val="auto"/>
          <w:szCs w:val="21"/>
          <w:highlight w:val="none"/>
        </w:rPr>
        <w:t>的主要机械设备清单见合同附件</w:t>
      </w:r>
      <w:r>
        <w:rPr>
          <w:color w:val="auto"/>
          <w:szCs w:val="21"/>
          <w:highlight w:val="none"/>
        </w:rPr>
        <w:t>4</w:t>
      </w:r>
      <w:r>
        <w:rPr>
          <w:rFonts w:hint="eastAsia"/>
          <w:color w:val="auto"/>
          <w:szCs w:val="21"/>
          <w:highlight w:val="none"/>
        </w:rPr>
        <w:t>。</w:t>
      </w:r>
    </w:p>
    <w:p w14:paraId="62122A6A">
      <w:pPr>
        <w:pStyle w:val="84"/>
        <w:autoSpaceDE w:val="0"/>
        <w:autoSpaceDN w:val="0"/>
        <w:adjustRightInd w:val="0"/>
        <w:spacing w:line="360" w:lineRule="auto"/>
        <w:ind w:firstLine="420" w:firstLineChars="200"/>
        <w:jc w:val="left"/>
        <w:rPr>
          <w:color w:val="auto"/>
          <w:szCs w:val="21"/>
          <w:highlight w:val="none"/>
        </w:rPr>
      </w:pPr>
      <w:r>
        <w:rPr>
          <w:rFonts w:hint="eastAsia"/>
          <w:color w:val="auto"/>
          <w:szCs w:val="21"/>
          <w:highlight w:val="none"/>
        </w:rPr>
        <w:t>关于修建临时设施费用承担的约定：</w:t>
      </w:r>
    </w:p>
    <w:p w14:paraId="7B0023E1">
      <w:pPr>
        <w:pStyle w:val="84"/>
        <w:autoSpaceDE w:val="0"/>
        <w:autoSpaceDN w:val="0"/>
        <w:adjustRightInd w:val="0"/>
        <w:spacing w:line="360" w:lineRule="auto"/>
        <w:ind w:firstLine="420" w:firstLineChars="200"/>
        <w:jc w:val="left"/>
        <w:rPr>
          <w:color w:val="auto"/>
          <w:szCs w:val="21"/>
          <w:highlight w:val="none"/>
        </w:rPr>
      </w:pPr>
      <w:r>
        <w:rPr>
          <w:rFonts w:hint="eastAsia"/>
          <w:color w:val="auto"/>
          <w:szCs w:val="21"/>
          <w:highlight w:val="none"/>
          <w:u w:val="single"/>
        </w:rPr>
        <w:t>①承包人负责合同实施期间其合同段内临时交通道路（含场内外连接公共交通道路）和交通设施的修建、维修、养护和交通管理工作，并承担一切费用</w:t>
      </w:r>
      <w:r>
        <w:rPr>
          <w:rFonts w:hint="eastAsia"/>
          <w:color w:val="auto"/>
          <w:szCs w:val="21"/>
          <w:highlight w:val="none"/>
        </w:rPr>
        <w:t>。</w:t>
      </w:r>
    </w:p>
    <w:p w14:paraId="5A44E24B">
      <w:pPr>
        <w:pStyle w:val="84"/>
        <w:autoSpaceDE w:val="0"/>
        <w:autoSpaceDN w:val="0"/>
        <w:adjustRightInd w:val="0"/>
        <w:spacing w:line="360" w:lineRule="auto"/>
        <w:ind w:firstLine="420" w:firstLineChars="200"/>
        <w:jc w:val="left"/>
        <w:rPr>
          <w:color w:val="auto"/>
          <w:szCs w:val="21"/>
          <w:highlight w:val="none"/>
        </w:rPr>
      </w:pPr>
      <w:r>
        <w:rPr>
          <w:rFonts w:hint="eastAsia"/>
          <w:color w:val="auto"/>
          <w:szCs w:val="21"/>
          <w:highlight w:val="none"/>
          <w:u w:val="single"/>
        </w:rPr>
        <w:t>②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color w:val="auto"/>
          <w:szCs w:val="21"/>
          <w:highlight w:val="none"/>
        </w:rPr>
        <w:t>。</w:t>
      </w:r>
    </w:p>
    <w:p w14:paraId="17AD634F">
      <w:pPr>
        <w:pStyle w:val="84"/>
        <w:autoSpaceDE w:val="0"/>
        <w:autoSpaceDN w:val="0"/>
        <w:adjustRightInd w:val="0"/>
        <w:spacing w:line="360" w:lineRule="auto"/>
        <w:ind w:firstLine="420" w:firstLineChars="200"/>
        <w:jc w:val="left"/>
        <w:rPr>
          <w:color w:val="auto"/>
          <w:szCs w:val="21"/>
          <w:highlight w:val="none"/>
        </w:rPr>
      </w:pPr>
      <w:r>
        <w:rPr>
          <w:color w:val="auto"/>
          <w:szCs w:val="21"/>
          <w:highlight w:val="none"/>
        </w:rPr>
        <w:t xml:space="preserve">8.8.2 </w:t>
      </w:r>
      <w:r>
        <w:rPr>
          <w:rFonts w:hint="eastAsia" w:hAnsi="宋体"/>
          <w:color w:val="auto"/>
          <w:szCs w:val="21"/>
          <w:highlight w:val="none"/>
        </w:rPr>
        <w:t>发包人提供的施工设备和临时设施</w:t>
      </w:r>
    </w:p>
    <w:p w14:paraId="1911E371">
      <w:pPr>
        <w:pStyle w:val="90"/>
        <w:wordWrap w:val="0"/>
        <w:autoSpaceDE w:val="0"/>
        <w:autoSpaceDN w:val="0"/>
        <w:adjustRightInd w:val="0"/>
        <w:spacing w:line="400" w:lineRule="exact"/>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发包人提供的施工设备和临时设施：</w:t>
      </w:r>
      <w:r>
        <w:rPr>
          <w:rFonts w:hint="eastAsia" w:ascii="Times New Roman" w:hAnsi="Times New Roman"/>
          <w:b/>
          <w:color w:val="auto"/>
          <w:szCs w:val="21"/>
          <w:highlight w:val="none"/>
        </w:rPr>
        <w:t>除专用合同条款另有约定的其他独立承包人和监理人指示的他人提供条件外，承包人运入施工场地的所有施工设备以及在施工场地建设的临时设施仅限于用本合同工程，</w:t>
      </w:r>
      <w:r>
        <w:rPr>
          <w:rFonts w:hint="eastAsia" w:ascii="Times New Roman" w:hAnsi="Times New Roman"/>
          <w:b/>
          <w:color w:val="auto"/>
          <w:szCs w:val="21"/>
          <w:highlight w:val="none"/>
          <w:u w:val="single"/>
        </w:rPr>
        <w:t>免费提供给发包人、监理工程师和其他施工人员用于本工程项目相关配套工程</w:t>
      </w:r>
      <w:r>
        <w:rPr>
          <w:rFonts w:hint="eastAsia" w:ascii="Times New Roman" w:hAnsi="Times New Roman"/>
          <w:color w:val="auto"/>
          <w:szCs w:val="21"/>
          <w:highlight w:val="none"/>
        </w:rPr>
        <w:t>。</w:t>
      </w:r>
    </w:p>
    <w:p w14:paraId="511C1F73">
      <w:pPr>
        <w:pStyle w:val="88"/>
        <w:wordWrap w:val="0"/>
        <w:autoSpaceDE w:val="0"/>
        <w:autoSpaceDN w:val="0"/>
        <w:adjustRightInd w:val="0"/>
        <w:spacing w:line="400" w:lineRule="exact"/>
        <w:ind w:firstLine="420" w:firstLineChars="200"/>
        <w:jc w:val="left"/>
        <w:rPr>
          <w:b/>
          <w:color w:val="auto"/>
          <w:szCs w:val="21"/>
          <w:highlight w:val="none"/>
          <w:u w:val="single"/>
        </w:rPr>
      </w:pPr>
      <w:r>
        <w:rPr>
          <w:rFonts w:hint="eastAsia"/>
          <w:color w:val="auto"/>
          <w:szCs w:val="21"/>
          <w:highlight w:val="none"/>
        </w:rPr>
        <w:t>发包人提供的施工设备和临时设施的运行、维护、拆除、清运费用的承担人：</w:t>
      </w:r>
      <w:r>
        <w:rPr>
          <w:b/>
          <w:color w:val="auto"/>
          <w:szCs w:val="21"/>
          <w:highlight w:val="none"/>
          <w:u w:val="single"/>
        </w:rPr>
        <w:t>①</w:t>
      </w:r>
      <w:r>
        <w:rPr>
          <w:rFonts w:hint="eastAsia"/>
          <w:b/>
          <w:color w:val="auto"/>
          <w:szCs w:val="21"/>
          <w:highlight w:val="none"/>
          <w:u w:val="single"/>
        </w:rPr>
        <w:t>承包人负责合同实施期间其合同段内临时交通道路（含场内外连接公共交通道路）和交通设施的修建、维修、养护和交通管理工作，并承担一切费用。</w:t>
      </w:r>
    </w:p>
    <w:p w14:paraId="51C26F5C">
      <w:pPr>
        <w:pStyle w:val="90"/>
        <w:wordWrap w:val="0"/>
        <w:autoSpaceDE w:val="0"/>
        <w:autoSpaceDN w:val="0"/>
        <w:adjustRightInd w:val="0"/>
        <w:spacing w:line="400" w:lineRule="exact"/>
        <w:ind w:firstLine="422" w:firstLineChars="200"/>
        <w:jc w:val="left"/>
        <w:rPr>
          <w:rFonts w:ascii="Times New Roman" w:hAnsi="Times New Roman"/>
          <w:color w:val="auto"/>
          <w:szCs w:val="21"/>
          <w:highlight w:val="none"/>
        </w:rPr>
      </w:pPr>
      <w:r>
        <w:rPr>
          <w:rFonts w:hint="eastAsia" w:ascii="宋体" w:hAnsi="宋体" w:cs="宋体"/>
          <w:b/>
          <w:color w:val="auto"/>
          <w:szCs w:val="21"/>
          <w:highlight w:val="none"/>
          <w:u w:val="single"/>
        </w:rPr>
        <w:t>②</w:t>
      </w:r>
      <w:r>
        <w:rPr>
          <w:rFonts w:hint="eastAsia" w:ascii="Times New Roman" w:hAnsi="Times New Roman"/>
          <w:b/>
          <w:color w:val="auto"/>
          <w:szCs w:val="21"/>
          <w:highlight w:val="none"/>
          <w:u w:val="single"/>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Times New Roman" w:hAnsi="Times New Roman"/>
          <w:color w:val="auto"/>
          <w:szCs w:val="21"/>
          <w:highlight w:val="none"/>
        </w:rPr>
        <w:t>。</w:t>
      </w:r>
    </w:p>
    <w:p w14:paraId="56BA8B91">
      <w:pPr>
        <w:pStyle w:val="84"/>
        <w:autoSpaceDE w:val="0"/>
        <w:autoSpaceDN w:val="0"/>
        <w:adjustRightInd w:val="0"/>
        <w:spacing w:line="360" w:lineRule="auto"/>
        <w:ind w:firstLine="420" w:firstLineChars="200"/>
        <w:jc w:val="left"/>
        <w:rPr>
          <w:rFonts w:hAnsi="宋体"/>
          <w:color w:val="auto"/>
          <w:szCs w:val="21"/>
          <w:highlight w:val="none"/>
        </w:rPr>
      </w:pPr>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14:paraId="3686F390">
      <w:pPr>
        <w:pStyle w:val="84"/>
        <w:keepNext/>
        <w:keepLines/>
        <w:spacing w:before="60" w:after="60" w:line="412" w:lineRule="auto"/>
        <w:ind w:firstLine="422"/>
        <w:outlineLvl w:val="1"/>
        <w:rPr>
          <w:rFonts w:ascii="Arial" w:hAnsi="Arial" w:eastAsia="黑体"/>
          <w:b/>
          <w:bCs/>
          <w:color w:val="auto"/>
          <w:szCs w:val="32"/>
          <w:highlight w:val="none"/>
        </w:rPr>
      </w:pPr>
      <w:bookmarkStart w:id="610" w:name="_Toc351203641"/>
      <w:bookmarkStart w:id="611" w:name="_Toc373478383"/>
      <w:bookmarkStart w:id="612" w:name="_Toc27616"/>
      <w:bookmarkStart w:id="613" w:name="_Toc389065302"/>
      <w:bookmarkStart w:id="614" w:name="_Toc373227736"/>
      <w:r>
        <w:rPr>
          <w:rFonts w:ascii="Arial" w:hAnsi="Arial" w:eastAsia="黑体"/>
          <w:b/>
          <w:bCs/>
          <w:color w:val="auto"/>
          <w:szCs w:val="32"/>
          <w:highlight w:val="none"/>
        </w:rPr>
        <w:t>9</w:t>
      </w:r>
      <w:bookmarkEnd w:id="581"/>
      <w:bookmarkEnd w:id="582"/>
      <w:bookmarkEnd w:id="583"/>
      <w:bookmarkStart w:id="615" w:name="_Toc300934982"/>
      <w:bookmarkStart w:id="616" w:name="_Toc303539139"/>
      <w:bookmarkStart w:id="617" w:name="_Toc312678021"/>
      <w:bookmarkStart w:id="618" w:name="_Toc312677495"/>
      <w:bookmarkStart w:id="619" w:name="_Toc304295559"/>
      <w:bookmarkStart w:id="620" w:name="_Toc297123533"/>
      <w:bookmarkStart w:id="621" w:name="_Toc297216192"/>
      <w:bookmarkStart w:id="622" w:name="_Toc267251427"/>
      <w:bookmarkStart w:id="623" w:name="_Toc296944512"/>
      <w:bookmarkStart w:id="624" w:name="_Toc267251428"/>
      <w:bookmarkStart w:id="625" w:name="_Toc297120473"/>
      <w:bookmarkStart w:id="626" w:name="_Toc296346674"/>
      <w:bookmarkStart w:id="627" w:name="_Toc296503173"/>
      <w:bookmarkStart w:id="628" w:name="_Toc296891001"/>
      <w:bookmarkStart w:id="629" w:name="_Toc297048359"/>
      <w:bookmarkStart w:id="630" w:name="_Toc292559378"/>
      <w:bookmarkStart w:id="631" w:name="_Toc296891213"/>
      <w:bookmarkStart w:id="632" w:name="_Toc292559883"/>
      <w:bookmarkStart w:id="633" w:name="_Toc296347172"/>
      <w:r>
        <w:rPr>
          <w:rFonts w:ascii="Arial" w:hAnsi="Arial" w:eastAsia="黑体"/>
          <w:b/>
          <w:bCs/>
          <w:color w:val="auto"/>
          <w:szCs w:val="32"/>
          <w:highlight w:val="none"/>
        </w:rPr>
        <w:t xml:space="preserve">. </w:t>
      </w:r>
      <w:r>
        <w:rPr>
          <w:rFonts w:hint="eastAsia" w:ascii="Arial" w:hAnsi="Arial" w:eastAsia="黑体"/>
          <w:b/>
          <w:bCs/>
          <w:color w:val="auto"/>
          <w:szCs w:val="32"/>
          <w:highlight w:val="none"/>
        </w:rPr>
        <w:t>试验与检验</w:t>
      </w:r>
      <w:bookmarkEnd w:id="610"/>
      <w:bookmarkEnd w:id="611"/>
      <w:bookmarkEnd w:id="612"/>
      <w:bookmarkEnd w:id="613"/>
      <w:bookmarkEnd w:id="614"/>
    </w:p>
    <w:bookmarkEnd w:id="615"/>
    <w:bookmarkEnd w:id="616"/>
    <w:bookmarkEnd w:id="617"/>
    <w:bookmarkEnd w:id="618"/>
    <w:bookmarkEnd w:id="619"/>
    <w:bookmarkEnd w:id="620"/>
    <w:bookmarkEnd w:id="621"/>
    <w:p w14:paraId="559372B0">
      <w:pPr>
        <w:pStyle w:val="84"/>
        <w:keepNext/>
        <w:keepLines/>
        <w:spacing w:line="360" w:lineRule="auto"/>
        <w:ind w:firstLine="422"/>
        <w:outlineLvl w:val="2"/>
        <w:rPr>
          <w:rFonts w:eastAsia="黑体"/>
          <w:b/>
          <w:bCs/>
          <w:color w:val="auto"/>
          <w:szCs w:val="32"/>
          <w:highlight w:val="none"/>
        </w:rPr>
      </w:pPr>
      <w:bookmarkStart w:id="634" w:name="_Toc373227737"/>
      <w:bookmarkStart w:id="635" w:name="_Toc389065303"/>
      <w:bookmarkStart w:id="636" w:name="_Toc373478384"/>
      <w:bookmarkStart w:id="637" w:name="_Toc8792"/>
      <w:r>
        <w:rPr>
          <w:rFonts w:eastAsia="黑体"/>
          <w:b/>
          <w:bCs/>
          <w:color w:val="auto"/>
          <w:szCs w:val="32"/>
          <w:highlight w:val="none"/>
        </w:rPr>
        <w:t>9</w:t>
      </w:r>
      <w:bookmarkStart w:id="638" w:name="_Toc297123534"/>
      <w:bookmarkStart w:id="639" w:name="_Toc312678022"/>
      <w:bookmarkStart w:id="640" w:name="_Toc304295560"/>
      <w:bookmarkStart w:id="641" w:name="_Toc300934983"/>
      <w:bookmarkStart w:id="642" w:name="_Toc297216193"/>
      <w:bookmarkStart w:id="643" w:name="_Toc312677496"/>
      <w:bookmarkStart w:id="644" w:name="_Toc303539140"/>
      <w:r>
        <w:rPr>
          <w:rFonts w:eastAsia="黑体"/>
          <w:b/>
          <w:bCs/>
          <w:color w:val="auto"/>
          <w:szCs w:val="32"/>
          <w:highlight w:val="none"/>
        </w:rPr>
        <w:t xml:space="preserve">.1 </w:t>
      </w:r>
      <w:r>
        <w:rPr>
          <w:rFonts w:hint="eastAsia" w:eastAsia="黑体"/>
          <w:b/>
          <w:bCs/>
          <w:color w:val="auto"/>
          <w:szCs w:val="32"/>
          <w:highlight w:val="none"/>
        </w:rPr>
        <w:t>试验设备与试验人员</w:t>
      </w:r>
      <w:bookmarkEnd w:id="634"/>
      <w:bookmarkEnd w:id="635"/>
      <w:bookmarkEnd w:id="636"/>
      <w:bookmarkEnd w:id="637"/>
    </w:p>
    <w:bookmarkEnd w:id="638"/>
    <w:bookmarkEnd w:id="639"/>
    <w:bookmarkEnd w:id="640"/>
    <w:bookmarkEnd w:id="641"/>
    <w:bookmarkEnd w:id="642"/>
    <w:bookmarkEnd w:id="643"/>
    <w:bookmarkEnd w:id="644"/>
    <w:p w14:paraId="630C0216">
      <w:pPr>
        <w:pStyle w:val="84"/>
        <w:spacing w:line="360" w:lineRule="auto"/>
        <w:ind w:firstLine="420" w:firstLineChars="200"/>
        <w:jc w:val="left"/>
        <w:rPr>
          <w:color w:val="auto"/>
          <w:szCs w:val="21"/>
          <w:highlight w:val="none"/>
        </w:rPr>
      </w:pPr>
      <w:r>
        <w:rPr>
          <w:color w:val="auto"/>
          <w:szCs w:val="21"/>
          <w:highlight w:val="none"/>
        </w:rPr>
        <w:t>9</w:t>
      </w:r>
      <w:bookmarkStart w:id="645" w:name="_Toc297216194"/>
      <w:bookmarkStart w:id="646" w:name="_Toc300934984"/>
      <w:bookmarkStart w:id="647" w:name="_Toc312678023"/>
      <w:bookmarkStart w:id="648" w:name="_Toc304295561"/>
      <w:bookmarkStart w:id="649" w:name="_Toc303539141"/>
      <w:bookmarkStart w:id="650" w:name="_Toc312677497"/>
      <w:bookmarkStart w:id="651" w:name="_Toc297123535"/>
      <w:bookmarkStart w:id="652" w:name="_Toc318581174"/>
      <w:r>
        <w:rPr>
          <w:color w:val="auto"/>
          <w:szCs w:val="21"/>
          <w:highlight w:val="none"/>
        </w:rPr>
        <w:t xml:space="preserve">.1.2 </w:t>
      </w:r>
      <w:r>
        <w:rPr>
          <w:rFonts w:hint="eastAsia" w:hAnsi="宋体"/>
          <w:color w:val="auto"/>
          <w:szCs w:val="21"/>
          <w:highlight w:val="none"/>
        </w:rPr>
        <w:t>试验设备</w:t>
      </w:r>
    </w:p>
    <w:p w14:paraId="71EDC85C">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施工现场需要配置的试验场所：</w:t>
      </w:r>
      <w:bookmarkEnd w:id="645"/>
      <w:bookmarkEnd w:id="646"/>
      <w:bookmarkEnd w:id="647"/>
      <w:bookmarkEnd w:id="648"/>
      <w:bookmarkEnd w:id="649"/>
      <w:bookmarkEnd w:id="650"/>
      <w:bookmarkEnd w:id="651"/>
      <w:bookmarkStart w:id="653" w:name="_Toc300934985"/>
      <w:bookmarkStart w:id="654" w:name="_Toc297216195"/>
      <w:bookmarkStart w:id="655" w:name="_Toc312678024"/>
      <w:bookmarkStart w:id="656" w:name="_Toc303539142"/>
      <w:bookmarkStart w:id="657" w:name="_Toc304295562"/>
      <w:bookmarkStart w:id="658" w:name="_Toc312677498"/>
      <w:bookmarkStart w:id="659" w:name="_Toc297123536"/>
      <w:r>
        <w:rPr>
          <w:rFonts w:hint="eastAsia"/>
          <w:color w:val="auto"/>
          <w:highlight w:val="none"/>
          <w:u w:val="single"/>
        </w:rPr>
        <w:t>承包人根据施工需要自行确定</w:t>
      </w:r>
      <w:r>
        <w:rPr>
          <w:rFonts w:hint="eastAsia" w:hAnsi="宋体"/>
          <w:color w:val="auto"/>
          <w:szCs w:val="21"/>
          <w:highlight w:val="none"/>
        </w:rPr>
        <w:t>。</w:t>
      </w:r>
    </w:p>
    <w:p w14:paraId="6BA6A518">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施工现场需要配备的试验设备：</w:t>
      </w:r>
      <w:r>
        <w:rPr>
          <w:rFonts w:hint="eastAsia"/>
          <w:color w:val="auto"/>
          <w:highlight w:val="none"/>
          <w:u w:val="single"/>
        </w:rPr>
        <w:t>承包人根据施工需要自行确定</w:t>
      </w:r>
      <w:r>
        <w:rPr>
          <w:rFonts w:hint="eastAsia" w:hAnsi="宋体"/>
          <w:color w:val="auto"/>
          <w:szCs w:val="21"/>
          <w:highlight w:val="none"/>
        </w:rPr>
        <w:t>。</w:t>
      </w:r>
    </w:p>
    <w:p w14:paraId="782D9E4C">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施工现场需要具备的其他试验条件：</w:t>
      </w:r>
      <w:r>
        <w:rPr>
          <w:rFonts w:hint="eastAsia"/>
          <w:color w:val="auto"/>
          <w:highlight w:val="none"/>
          <w:u w:val="single"/>
        </w:rPr>
        <w:t>承包人根据施工需要自行确定</w:t>
      </w:r>
      <w:r>
        <w:rPr>
          <w:rFonts w:hint="eastAsia" w:hAnsi="宋体"/>
          <w:color w:val="auto"/>
          <w:szCs w:val="21"/>
          <w:highlight w:val="none"/>
        </w:rPr>
        <w:t>。</w:t>
      </w:r>
    </w:p>
    <w:p w14:paraId="45D87D9B">
      <w:pPr>
        <w:pStyle w:val="84"/>
        <w:keepNext/>
        <w:keepLines/>
        <w:spacing w:line="360" w:lineRule="auto"/>
        <w:ind w:firstLine="422"/>
        <w:outlineLvl w:val="2"/>
        <w:rPr>
          <w:rFonts w:eastAsia="黑体"/>
          <w:b/>
          <w:bCs/>
          <w:color w:val="auto"/>
          <w:szCs w:val="32"/>
          <w:highlight w:val="none"/>
        </w:rPr>
      </w:pPr>
      <w:bookmarkStart w:id="660" w:name="_Toc389065304"/>
      <w:bookmarkStart w:id="661" w:name="_Toc373227738"/>
      <w:bookmarkStart w:id="662" w:name="_Toc9320"/>
      <w:bookmarkStart w:id="663" w:name="_Toc373478385"/>
      <w:r>
        <w:rPr>
          <w:rFonts w:eastAsia="黑体"/>
          <w:b/>
          <w:bCs/>
          <w:color w:val="auto"/>
          <w:szCs w:val="32"/>
          <w:highlight w:val="none"/>
        </w:rPr>
        <w:t xml:space="preserve">9.4 </w:t>
      </w:r>
      <w:r>
        <w:rPr>
          <w:rFonts w:hint="eastAsia" w:hAnsi="宋体" w:eastAsia="黑体"/>
          <w:b/>
          <w:bCs/>
          <w:color w:val="auto"/>
          <w:szCs w:val="32"/>
          <w:highlight w:val="none"/>
        </w:rPr>
        <w:t>现场工艺试验</w:t>
      </w:r>
      <w:bookmarkEnd w:id="660"/>
      <w:bookmarkEnd w:id="661"/>
      <w:bookmarkEnd w:id="662"/>
      <w:bookmarkEnd w:id="663"/>
      <w:r>
        <w:rPr>
          <w:rFonts w:eastAsia="黑体"/>
          <w:b/>
          <w:bCs/>
          <w:color w:val="auto"/>
          <w:szCs w:val="32"/>
          <w:highlight w:val="none"/>
        </w:rPr>
        <w:t xml:space="preserve"> </w:t>
      </w:r>
    </w:p>
    <w:p w14:paraId="18E5F75C">
      <w:pPr>
        <w:pStyle w:val="84"/>
        <w:spacing w:line="360" w:lineRule="auto"/>
        <w:ind w:firstLine="420" w:firstLineChars="200"/>
        <w:jc w:val="left"/>
        <w:rPr>
          <w:color w:val="auto"/>
          <w:szCs w:val="21"/>
          <w:highlight w:val="none"/>
        </w:rPr>
      </w:pPr>
      <w:r>
        <w:rPr>
          <w:rFonts w:hint="eastAsia" w:hAnsi="宋体"/>
          <w:color w:val="auto"/>
          <w:szCs w:val="21"/>
          <w:highlight w:val="none"/>
        </w:rPr>
        <w:t>现场工艺试验的有关约定：</w:t>
      </w:r>
      <w:r>
        <w:rPr>
          <w:rFonts w:hint="eastAsia"/>
          <w:color w:val="auto"/>
          <w:highlight w:val="none"/>
          <w:u w:val="single"/>
        </w:rPr>
        <w:t>承包人根据施工需要自行确定</w:t>
      </w:r>
      <w:r>
        <w:rPr>
          <w:rFonts w:hint="eastAsia" w:hAnsi="宋体"/>
          <w:color w:val="auto"/>
          <w:szCs w:val="21"/>
          <w:highlight w:val="none"/>
        </w:rPr>
        <w:t>。</w:t>
      </w:r>
    </w:p>
    <w:p w14:paraId="4203F6B4">
      <w:pPr>
        <w:pStyle w:val="84"/>
        <w:keepNext/>
        <w:keepLines/>
        <w:spacing w:line="360" w:lineRule="auto"/>
        <w:ind w:firstLine="422"/>
        <w:outlineLvl w:val="2"/>
        <w:rPr>
          <w:rFonts w:eastAsia="黑体"/>
          <w:b/>
          <w:bCs/>
          <w:color w:val="auto"/>
          <w:szCs w:val="32"/>
          <w:highlight w:val="none"/>
        </w:rPr>
      </w:pPr>
      <w:bookmarkStart w:id="664" w:name="_Toc24256"/>
      <w:bookmarkStart w:id="665" w:name="OLE_LINK1"/>
      <w:r>
        <w:rPr>
          <w:rFonts w:eastAsia="黑体"/>
          <w:b/>
          <w:bCs/>
          <w:color w:val="auto"/>
          <w:szCs w:val="32"/>
          <w:highlight w:val="none"/>
        </w:rPr>
        <w:t xml:space="preserve">9.5 </w:t>
      </w:r>
      <w:r>
        <w:rPr>
          <w:rFonts w:hint="eastAsia" w:hAnsi="宋体" w:eastAsia="黑体"/>
          <w:b/>
          <w:bCs/>
          <w:color w:val="auto"/>
          <w:szCs w:val="32"/>
          <w:highlight w:val="none"/>
        </w:rPr>
        <w:t>检验费用</w:t>
      </w:r>
      <w:bookmarkEnd w:id="664"/>
    </w:p>
    <w:p w14:paraId="3A118C6A">
      <w:pPr>
        <w:pStyle w:val="84"/>
        <w:spacing w:line="360" w:lineRule="auto"/>
        <w:ind w:firstLine="411" w:firstLineChars="196"/>
        <w:rPr>
          <w:color w:val="auto"/>
          <w:szCs w:val="21"/>
          <w:highlight w:val="none"/>
        </w:rPr>
      </w:pPr>
      <w:r>
        <w:rPr>
          <w:rFonts w:hint="eastAsia" w:hAnsi="宋体"/>
          <w:color w:val="auto"/>
          <w:szCs w:val="21"/>
          <w:highlight w:val="none"/>
        </w:rPr>
        <w:t>根据《建设工程质量检测管理办法》（建设部令第</w:t>
      </w:r>
      <w:r>
        <w:rPr>
          <w:color w:val="auto"/>
          <w:szCs w:val="21"/>
          <w:highlight w:val="none"/>
        </w:rPr>
        <w:t>141</w:t>
      </w:r>
      <w:r>
        <w:rPr>
          <w:rFonts w:hint="eastAsia" w:hAnsi="宋体"/>
          <w:color w:val="auto"/>
          <w:szCs w:val="21"/>
          <w:highlight w:val="none"/>
        </w:rPr>
        <w:t>号）以及</w:t>
      </w:r>
      <w:r>
        <w:rPr>
          <w:rFonts w:hint="eastAsia" w:hAnsi="宋体"/>
          <w:bCs/>
          <w:color w:val="auto"/>
          <w:szCs w:val="21"/>
          <w:highlight w:val="none"/>
        </w:rPr>
        <w:t>《广西壮族自治区建设工程质量检测管理规定》</w:t>
      </w:r>
      <w:r>
        <w:rPr>
          <w:rFonts w:hint="eastAsia"/>
          <w:bCs/>
          <w:color w:val="auto"/>
          <w:szCs w:val="21"/>
          <w:highlight w:val="none"/>
        </w:rPr>
        <w:t>（</w:t>
      </w:r>
      <w:r>
        <w:rPr>
          <w:rFonts w:hint="eastAsia" w:hAnsi="宋体"/>
          <w:bCs/>
          <w:color w:val="auto"/>
          <w:szCs w:val="21"/>
          <w:highlight w:val="none"/>
        </w:rPr>
        <w:t>桂建管</w:t>
      </w:r>
      <w:r>
        <w:rPr>
          <w:rFonts w:hint="eastAsia"/>
          <w:bCs/>
          <w:color w:val="auto"/>
          <w:szCs w:val="21"/>
          <w:highlight w:val="none"/>
        </w:rPr>
        <w:t>〔</w:t>
      </w:r>
      <w:r>
        <w:rPr>
          <w:bCs/>
          <w:color w:val="auto"/>
          <w:szCs w:val="21"/>
          <w:highlight w:val="none"/>
        </w:rPr>
        <w:t>2013</w:t>
      </w:r>
      <w:r>
        <w:rPr>
          <w:rFonts w:hint="eastAsia"/>
          <w:bCs/>
          <w:color w:val="auto"/>
          <w:szCs w:val="21"/>
          <w:highlight w:val="none"/>
        </w:rPr>
        <w:t>〕</w:t>
      </w:r>
      <w:r>
        <w:rPr>
          <w:bCs/>
          <w:color w:val="auto"/>
          <w:szCs w:val="21"/>
          <w:highlight w:val="none"/>
        </w:rPr>
        <w:t>11</w:t>
      </w:r>
      <w:r>
        <w:rPr>
          <w:rFonts w:hint="eastAsia" w:hAnsi="宋体"/>
          <w:bCs/>
          <w:color w:val="auto"/>
          <w:szCs w:val="21"/>
          <w:highlight w:val="none"/>
        </w:rPr>
        <w:t>号</w:t>
      </w:r>
      <w:r>
        <w:rPr>
          <w:rFonts w:hint="eastAsia"/>
          <w:bCs/>
          <w:color w:val="auto"/>
          <w:szCs w:val="21"/>
          <w:highlight w:val="none"/>
        </w:rPr>
        <w:t>）</w:t>
      </w:r>
      <w:r>
        <w:rPr>
          <w:rFonts w:hint="eastAsia" w:hAnsi="宋体"/>
          <w:color w:val="auto"/>
          <w:szCs w:val="21"/>
          <w:highlight w:val="none"/>
        </w:rPr>
        <w:t>规定，工程质量检测业务由发包人委托有相应资质的检测机构检测。费用从发包人的项目建设经费中支出并直接支付给检测机构，不计入合同价款内。</w:t>
      </w:r>
    </w:p>
    <w:bookmarkEnd w:id="652"/>
    <w:bookmarkEnd w:id="653"/>
    <w:bookmarkEnd w:id="654"/>
    <w:bookmarkEnd w:id="655"/>
    <w:bookmarkEnd w:id="656"/>
    <w:bookmarkEnd w:id="657"/>
    <w:bookmarkEnd w:id="658"/>
    <w:bookmarkEnd w:id="659"/>
    <w:bookmarkEnd w:id="665"/>
    <w:p w14:paraId="584011DB">
      <w:pPr>
        <w:pStyle w:val="84"/>
        <w:keepNext/>
        <w:keepLines/>
        <w:spacing w:before="60" w:after="60" w:line="412" w:lineRule="auto"/>
        <w:ind w:firstLine="422"/>
        <w:outlineLvl w:val="1"/>
        <w:rPr>
          <w:rFonts w:ascii="Arial" w:hAnsi="Arial" w:eastAsia="黑体"/>
          <w:b/>
          <w:bCs/>
          <w:color w:val="auto"/>
          <w:szCs w:val="32"/>
          <w:highlight w:val="none"/>
        </w:rPr>
      </w:pPr>
      <w:bookmarkStart w:id="666" w:name="_Toc373227739"/>
      <w:bookmarkStart w:id="667" w:name="_Toc373478386"/>
      <w:bookmarkStart w:id="668" w:name="_Toc6988"/>
      <w:bookmarkStart w:id="669" w:name="_Toc389065305"/>
      <w:bookmarkStart w:id="670" w:name="_Toc351203642"/>
      <w:r>
        <w:rPr>
          <w:rFonts w:ascii="Arial" w:hAnsi="Arial" w:eastAsia="黑体"/>
          <w:b/>
          <w:bCs/>
          <w:color w:val="auto"/>
          <w:szCs w:val="32"/>
          <w:highlight w:val="none"/>
        </w:rPr>
        <w:t>1</w:t>
      </w:r>
      <w:bookmarkEnd w:id="622"/>
      <w:bookmarkEnd w:id="623"/>
      <w:bookmarkEnd w:id="624"/>
      <w:bookmarkEnd w:id="625"/>
      <w:bookmarkEnd w:id="626"/>
      <w:bookmarkEnd w:id="627"/>
      <w:bookmarkEnd w:id="628"/>
      <w:bookmarkEnd w:id="629"/>
      <w:bookmarkEnd w:id="630"/>
      <w:bookmarkEnd w:id="631"/>
      <w:bookmarkEnd w:id="632"/>
      <w:bookmarkEnd w:id="633"/>
      <w:bookmarkStart w:id="671" w:name="_Toc296891021"/>
      <w:bookmarkStart w:id="672" w:name="_Toc304295566"/>
      <w:bookmarkStart w:id="673" w:name="_Toc296347192"/>
      <w:bookmarkStart w:id="674" w:name="_Toc297120493"/>
      <w:bookmarkStart w:id="675" w:name="_Toc296346694"/>
      <w:bookmarkStart w:id="676" w:name="_Toc296944532"/>
      <w:bookmarkStart w:id="677" w:name="_Toc292559398"/>
      <w:bookmarkStart w:id="678" w:name="_Toc300934989"/>
      <w:bookmarkStart w:id="679" w:name="_Toc303539146"/>
      <w:bookmarkStart w:id="680" w:name="_Toc297123540"/>
      <w:bookmarkStart w:id="681" w:name="_Toc296891233"/>
      <w:bookmarkStart w:id="682" w:name="_Toc297216199"/>
      <w:bookmarkStart w:id="683" w:name="_Toc297048379"/>
      <w:bookmarkStart w:id="684" w:name="_Toc296503193"/>
      <w:bookmarkStart w:id="685" w:name="_Toc292559903"/>
      <w:bookmarkStart w:id="686" w:name="_Toc312678025"/>
      <w:bookmarkStart w:id="687" w:name="_Toc312677499"/>
      <w:bookmarkStart w:id="688" w:name="_Toc267251435"/>
      <w:bookmarkStart w:id="689" w:name="_Toc267251433"/>
      <w:bookmarkStart w:id="690" w:name="_Toc267251437"/>
      <w:bookmarkStart w:id="691" w:name="_Toc267251440"/>
      <w:bookmarkStart w:id="692" w:name="_Toc267251441"/>
      <w:bookmarkStart w:id="693" w:name="_Toc267251439"/>
      <w:bookmarkStart w:id="694" w:name="_Toc267251442"/>
      <w:r>
        <w:rPr>
          <w:rFonts w:ascii="Arial" w:hAnsi="Arial" w:eastAsia="黑体"/>
          <w:b/>
          <w:bCs/>
          <w:color w:val="auto"/>
          <w:szCs w:val="32"/>
          <w:highlight w:val="none"/>
        </w:rPr>
        <w:t xml:space="preserve">0. </w:t>
      </w:r>
      <w:r>
        <w:rPr>
          <w:rFonts w:hint="eastAsia" w:ascii="Arial" w:hAnsi="宋体" w:eastAsia="黑体"/>
          <w:b/>
          <w:bCs/>
          <w:color w:val="auto"/>
          <w:szCs w:val="32"/>
          <w:highlight w:val="none"/>
        </w:rPr>
        <w:t>变更</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bookmarkEnd w:id="686"/>
    <w:bookmarkEnd w:id="687"/>
    <w:p w14:paraId="3317212B">
      <w:pPr>
        <w:pStyle w:val="84"/>
        <w:keepNext/>
        <w:keepLines/>
        <w:spacing w:line="360" w:lineRule="auto"/>
        <w:ind w:firstLine="422"/>
        <w:outlineLvl w:val="2"/>
        <w:rPr>
          <w:rFonts w:eastAsia="黑体"/>
          <w:b/>
          <w:bCs/>
          <w:color w:val="auto"/>
          <w:szCs w:val="32"/>
          <w:highlight w:val="none"/>
        </w:rPr>
      </w:pPr>
      <w:bookmarkStart w:id="695" w:name="_Toc373478387"/>
      <w:bookmarkStart w:id="696" w:name="_Toc389065306"/>
      <w:bookmarkStart w:id="697" w:name="_Toc23389"/>
      <w:bookmarkStart w:id="698" w:name="_Toc373227740"/>
      <w:r>
        <w:rPr>
          <w:rFonts w:eastAsia="黑体"/>
          <w:b/>
          <w:bCs/>
          <w:color w:val="auto"/>
          <w:szCs w:val="32"/>
          <w:highlight w:val="none"/>
        </w:rPr>
        <w:t>1</w:t>
      </w:r>
      <w:bookmarkStart w:id="699" w:name="_Toc297048380"/>
      <w:bookmarkStart w:id="700" w:name="_Toc297216200"/>
      <w:bookmarkStart w:id="701" w:name="_Toc297123541"/>
      <w:bookmarkStart w:id="702" w:name="_Toc304295567"/>
      <w:bookmarkStart w:id="703" w:name="_Toc296891234"/>
      <w:bookmarkStart w:id="704" w:name="_Toc300934990"/>
      <w:bookmarkStart w:id="705" w:name="_Toc312677500"/>
      <w:bookmarkStart w:id="706" w:name="_Toc296503194"/>
      <w:bookmarkStart w:id="707" w:name="_Toc292559399"/>
      <w:bookmarkStart w:id="708" w:name="_Toc303539147"/>
      <w:bookmarkStart w:id="709" w:name="_Toc297120494"/>
      <w:bookmarkStart w:id="710" w:name="_Toc296891022"/>
      <w:bookmarkStart w:id="711" w:name="_Toc296944533"/>
      <w:bookmarkStart w:id="712" w:name="_Toc296347193"/>
      <w:bookmarkStart w:id="713" w:name="_Toc312678026"/>
      <w:bookmarkStart w:id="714" w:name="_Toc292559904"/>
      <w:bookmarkStart w:id="715" w:name="_Toc296346695"/>
      <w:r>
        <w:rPr>
          <w:rFonts w:eastAsia="黑体"/>
          <w:b/>
          <w:bCs/>
          <w:color w:val="auto"/>
          <w:szCs w:val="32"/>
          <w:highlight w:val="none"/>
        </w:rPr>
        <w:t xml:space="preserve">0.1 </w:t>
      </w:r>
      <w:r>
        <w:rPr>
          <w:rFonts w:hint="eastAsia" w:hAnsi="宋体" w:eastAsia="黑体"/>
          <w:b/>
          <w:bCs/>
          <w:color w:val="auto"/>
          <w:szCs w:val="32"/>
          <w:highlight w:val="none"/>
        </w:rPr>
        <w:t>变更的范围</w:t>
      </w:r>
      <w:bookmarkEnd w:id="695"/>
      <w:bookmarkEnd w:id="696"/>
      <w:bookmarkEnd w:id="697"/>
      <w:bookmarkEnd w:id="698"/>
    </w:p>
    <w:p w14:paraId="30C8EE04">
      <w:pPr>
        <w:pStyle w:val="84"/>
        <w:spacing w:line="360" w:lineRule="auto"/>
        <w:ind w:firstLine="420"/>
        <w:jc w:val="left"/>
        <w:rPr>
          <w:color w:val="auto"/>
          <w:szCs w:val="21"/>
          <w:highlight w:val="none"/>
          <w:u w:val="single"/>
        </w:rPr>
      </w:pPr>
      <w:r>
        <w:rPr>
          <w:rFonts w:hint="eastAsia" w:hAnsi="宋体"/>
          <w:color w:val="auto"/>
          <w:szCs w:val="21"/>
          <w:highlight w:val="none"/>
        </w:rPr>
        <w:t>关于变更的范围的约定：</w:t>
      </w:r>
      <w:r>
        <w:rPr>
          <w:rFonts w:hint="eastAsia"/>
          <w:color w:val="auto"/>
          <w:szCs w:val="21"/>
          <w:highlight w:val="none"/>
          <w:u w:val="single"/>
        </w:rPr>
        <w:t>变更必须经建设单位、监理等有关单位签字确认后，方可作为工程结算依据</w:t>
      </w:r>
      <w:r>
        <w:rPr>
          <w:rFonts w:hint="eastAsia" w:hAnsi="宋体"/>
          <w:color w:val="auto"/>
          <w:szCs w:val="21"/>
          <w:highlight w:val="none"/>
        </w:rPr>
        <w:t>。</w:t>
      </w:r>
    </w:p>
    <w:p w14:paraId="1346943E">
      <w:pPr>
        <w:pStyle w:val="84"/>
        <w:keepNext/>
        <w:keepLines/>
        <w:spacing w:line="360" w:lineRule="auto"/>
        <w:ind w:firstLine="422"/>
        <w:outlineLvl w:val="2"/>
        <w:rPr>
          <w:rFonts w:eastAsia="黑体"/>
          <w:b/>
          <w:bCs/>
          <w:color w:val="auto"/>
          <w:szCs w:val="32"/>
          <w:highlight w:val="none"/>
        </w:rPr>
      </w:pPr>
      <w:bookmarkStart w:id="716" w:name="_Toc20664"/>
      <w:bookmarkStart w:id="717" w:name="_Toc373478388"/>
      <w:bookmarkStart w:id="718" w:name="_Toc389065307"/>
      <w:bookmarkStart w:id="719" w:name="_Toc373227741"/>
      <w:r>
        <w:rPr>
          <w:rFonts w:eastAsia="黑体"/>
          <w:b/>
          <w:bCs/>
          <w:color w:val="auto"/>
          <w:szCs w:val="32"/>
          <w:highlight w:val="none"/>
        </w:rPr>
        <w:t xml:space="preserve">10.3 </w:t>
      </w:r>
      <w:r>
        <w:rPr>
          <w:rFonts w:hint="eastAsia" w:hAnsi="宋体" w:eastAsia="黑体"/>
          <w:b/>
          <w:bCs/>
          <w:color w:val="auto"/>
          <w:szCs w:val="32"/>
          <w:highlight w:val="none"/>
        </w:rPr>
        <w:t>变更程序</w:t>
      </w:r>
      <w:bookmarkEnd w:id="716"/>
      <w:bookmarkEnd w:id="717"/>
      <w:bookmarkEnd w:id="718"/>
      <w:bookmarkEnd w:id="719"/>
    </w:p>
    <w:p w14:paraId="414619A2">
      <w:pPr>
        <w:pStyle w:val="88"/>
        <w:wordWrap w:val="0"/>
        <w:spacing w:line="400" w:lineRule="exact"/>
        <w:ind w:firstLine="420" w:firstLineChars="200"/>
        <w:rPr>
          <w:bCs/>
          <w:strike/>
          <w:color w:val="auto"/>
          <w:szCs w:val="21"/>
          <w:highlight w:val="none"/>
        </w:rPr>
      </w:pPr>
      <w:r>
        <w:rPr>
          <w:rFonts w:hint="eastAsia" w:ascii="宋体" w:hAnsi="宋体" w:cs="宋体"/>
          <w:bCs/>
          <w:color w:val="auto"/>
          <w:szCs w:val="21"/>
          <w:highlight w:val="none"/>
        </w:rPr>
        <w:t>⑴</w:t>
      </w:r>
      <w:r>
        <w:rPr>
          <w:rFonts w:hint="eastAsia"/>
          <w:bCs/>
          <w:color w:val="auto"/>
          <w:szCs w:val="21"/>
          <w:highlight w:val="none"/>
        </w:rPr>
        <w:t>设计变更和工程签证，按各市政府、相关部门和发包人相关管理规定办理。属不可抗力（自然灾害、突发事件等）造成变更的，按特事特办原则予以办理。</w:t>
      </w:r>
    </w:p>
    <w:p w14:paraId="558C4101">
      <w:pPr>
        <w:pStyle w:val="88"/>
        <w:wordWrap w:val="0"/>
        <w:spacing w:line="400" w:lineRule="exact"/>
        <w:ind w:firstLine="441" w:firstLineChars="210"/>
        <w:rPr>
          <w:bCs/>
          <w:color w:val="auto"/>
          <w:szCs w:val="21"/>
          <w:highlight w:val="none"/>
        </w:rPr>
      </w:pPr>
      <w:r>
        <w:rPr>
          <w:rFonts w:hint="eastAsia" w:ascii="宋体" w:hAnsi="宋体" w:cs="宋体"/>
          <w:bCs/>
          <w:color w:val="auto"/>
          <w:szCs w:val="21"/>
          <w:highlight w:val="none"/>
        </w:rPr>
        <w:t>⑵</w:t>
      </w:r>
      <w:r>
        <w:rPr>
          <w:rFonts w:hint="eastAsia"/>
          <w:bCs/>
          <w:color w:val="auto"/>
          <w:szCs w:val="21"/>
          <w:highlight w:val="none"/>
        </w:rPr>
        <w:t>建设单位在实施项目过程中，若发生单价变动，由建设单位、监理单位、与施工单位共同商定并签字确认。</w:t>
      </w:r>
    </w:p>
    <w:p w14:paraId="594317AC">
      <w:pPr>
        <w:pStyle w:val="88"/>
        <w:wordWrap w:val="0"/>
        <w:spacing w:line="400" w:lineRule="exact"/>
        <w:ind w:firstLine="420" w:firstLineChars="200"/>
        <w:rPr>
          <w:bCs/>
          <w:color w:val="auto"/>
          <w:szCs w:val="21"/>
          <w:highlight w:val="none"/>
        </w:rPr>
      </w:pPr>
      <w:r>
        <w:rPr>
          <w:rFonts w:hint="eastAsia" w:ascii="宋体" w:hAnsi="宋体" w:cs="宋体"/>
          <w:bCs/>
          <w:color w:val="auto"/>
          <w:szCs w:val="21"/>
          <w:highlight w:val="none"/>
        </w:rPr>
        <w:t>⑶</w:t>
      </w:r>
      <w:r>
        <w:rPr>
          <w:rFonts w:hint="eastAsia"/>
          <w:bCs/>
          <w:color w:val="auto"/>
          <w:szCs w:val="21"/>
          <w:highlight w:val="none"/>
        </w:rPr>
        <w:t>工程签证要附预算书，现场确认单、签证单、签证现场照片及相关的设计变更资料、工程联系函、工程指令单等，需留电子文档备份。</w:t>
      </w:r>
    </w:p>
    <w:p w14:paraId="7067C4D6">
      <w:pPr>
        <w:pStyle w:val="88"/>
        <w:wordWrap w:val="0"/>
        <w:spacing w:line="400" w:lineRule="exact"/>
        <w:ind w:firstLine="420" w:firstLineChars="200"/>
        <w:rPr>
          <w:bCs/>
          <w:color w:val="auto"/>
          <w:szCs w:val="21"/>
          <w:highlight w:val="none"/>
        </w:rPr>
      </w:pPr>
      <w:r>
        <w:rPr>
          <w:rFonts w:hint="eastAsia" w:ascii="宋体" w:hAnsi="宋体" w:cs="宋体"/>
          <w:bCs/>
          <w:color w:val="auto"/>
          <w:szCs w:val="21"/>
          <w:highlight w:val="none"/>
        </w:rPr>
        <w:t>⑷</w:t>
      </w:r>
      <w:r>
        <w:rPr>
          <w:rFonts w:hint="eastAsia"/>
          <w:bCs/>
          <w:color w:val="auto"/>
          <w:szCs w:val="21"/>
          <w:highlight w:val="none"/>
        </w:rPr>
        <w:t>当合同规定的调整合同价款的调整情况发生后，承包人未在规定时间内通知发包人，或者未在规定时间内提出调整报告，发包人可以根据有关资料，决定是否调整和调整的金额，并书面通知承包人。</w:t>
      </w:r>
    </w:p>
    <w:p w14:paraId="17BB2511">
      <w:pPr>
        <w:pStyle w:val="88"/>
        <w:wordWrap w:val="0"/>
        <w:spacing w:line="400" w:lineRule="exact"/>
        <w:ind w:firstLine="420" w:firstLineChars="200"/>
        <w:rPr>
          <w:bCs/>
          <w:color w:val="auto"/>
          <w:szCs w:val="21"/>
          <w:highlight w:val="none"/>
        </w:rPr>
      </w:pPr>
      <w:r>
        <w:rPr>
          <w:rFonts w:hint="eastAsia"/>
          <w:bCs/>
          <w:color w:val="auto"/>
          <w:szCs w:val="21"/>
          <w:highlight w:val="none"/>
        </w:rPr>
        <w:t>（</w:t>
      </w:r>
      <w:r>
        <w:rPr>
          <w:bCs/>
          <w:color w:val="auto"/>
          <w:szCs w:val="21"/>
          <w:highlight w:val="none"/>
        </w:rPr>
        <w:t>5</w:t>
      </w:r>
      <w:r>
        <w:rPr>
          <w:rFonts w:hint="eastAsia"/>
          <w:bCs/>
          <w:color w:val="auto"/>
          <w:szCs w:val="21"/>
          <w:highlight w:val="none"/>
        </w:rPr>
        <w:t>）对现场签证资料手续办理问题，由建设单位、监理单位、施工单位三方对相关工程量进行签章确认，涉及地基处理及地质处理变更工程量的现场确认需增加勘察单位。</w:t>
      </w:r>
    </w:p>
    <w:p w14:paraId="39BF46E4">
      <w:pPr>
        <w:pStyle w:val="84"/>
        <w:spacing w:line="360" w:lineRule="auto"/>
        <w:jc w:val="left"/>
        <w:rPr>
          <w:rFonts w:hAnsi="宋体"/>
          <w:bCs/>
          <w:strike/>
          <w:color w:val="auto"/>
          <w:szCs w:val="21"/>
          <w:highlight w:val="none"/>
        </w:rPr>
      </w:pPr>
    </w:p>
    <w:p w14:paraId="5E515442">
      <w:pPr>
        <w:pStyle w:val="84"/>
        <w:keepNext/>
        <w:keepLines/>
        <w:spacing w:line="360" w:lineRule="auto"/>
        <w:ind w:firstLine="422"/>
        <w:outlineLvl w:val="2"/>
        <w:rPr>
          <w:rFonts w:eastAsia="黑体"/>
          <w:b/>
          <w:bCs/>
          <w:color w:val="auto"/>
          <w:szCs w:val="32"/>
          <w:highlight w:val="none"/>
        </w:rPr>
      </w:pPr>
      <w:bookmarkStart w:id="720" w:name="_Toc389065308"/>
      <w:bookmarkStart w:id="721" w:name="_Toc19438"/>
      <w:bookmarkStart w:id="722" w:name="_Toc373227742"/>
      <w:bookmarkStart w:id="723" w:name="_Toc373478389"/>
      <w:r>
        <w:rPr>
          <w:rFonts w:eastAsia="黑体"/>
          <w:b/>
          <w:bCs/>
          <w:color w:val="auto"/>
          <w:szCs w:val="32"/>
          <w:highlight w:val="none"/>
        </w:rPr>
        <w:t xml:space="preserve">10.4 </w:t>
      </w:r>
      <w:r>
        <w:rPr>
          <w:rFonts w:hint="eastAsia" w:hAnsi="宋体" w:eastAsia="黑体"/>
          <w:b/>
          <w:bCs/>
          <w:color w:val="auto"/>
          <w:szCs w:val="32"/>
          <w:highlight w:val="none"/>
        </w:rPr>
        <w:t>变更估价</w:t>
      </w:r>
      <w:bookmarkEnd w:id="720"/>
      <w:bookmarkEnd w:id="721"/>
      <w:bookmarkEnd w:id="722"/>
      <w:bookmarkEnd w:id="723"/>
    </w:p>
    <w:p w14:paraId="09B285AE">
      <w:pPr>
        <w:pStyle w:val="84"/>
        <w:spacing w:line="360" w:lineRule="auto"/>
        <w:ind w:firstLine="420" w:firstLineChars="200"/>
        <w:jc w:val="left"/>
        <w:rPr>
          <w:color w:val="auto"/>
          <w:szCs w:val="21"/>
          <w:highlight w:val="none"/>
        </w:rPr>
      </w:pPr>
      <w:r>
        <w:rPr>
          <w:color w:val="auto"/>
          <w:szCs w:val="21"/>
          <w:highlight w:val="none"/>
        </w:rPr>
        <w:t xml:space="preserve">10.4.1 </w:t>
      </w:r>
      <w:r>
        <w:rPr>
          <w:rFonts w:hint="eastAsia" w:hAnsi="宋体"/>
          <w:color w:val="auto"/>
          <w:szCs w:val="21"/>
          <w:highlight w:val="none"/>
        </w:rPr>
        <w:t>变更估价原则</w:t>
      </w:r>
    </w:p>
    <w:p w14:paraId="550DAA0B">
      <w:pPr>
        <w:pStyle w:val="84"/>
        <w:spacing w:line="360" w:lineRule="auto"/>
        <w:ind w:firstLine="420" w:firstLineChars="200"/>
        <w:jc w:val="left"/>
        <w:rPr>
          <w:rFonts w:hAnsi="宋体"/>
          <w:color w:val="auto"/>
          <w:highlight w:val="none"/>
        </w:rPr>
      </w:pPr>
      <w:bookmarkStart w:id="724" w:name="_Toc251051742"/>
      <w:r>
        <w:rPr>
          <w:rFonts w:hint="eastAsia" w:hAnsi="宋体" w:cs="宋体"/>
          <w:color w:val="auto"/>
          <w:highlight w:val="none"/>
        </w:rPr>
        <w:t>关于变更估价的约定</w:t>
      </w:r>
      <w:r>
        <w:rPr>
          <w:color w:val="auto"/>
          <w:highlight w:val="none"/>
        </w:rPr>
        <w:t xml:space="preserve">: </w:t>
      </w:r>
      <w:bookmarkEnd w:id="724"/>
      <w:r>
        <w:rPr>
          <w:rFonts w:hint="eastAsia" w:ascii="宋体" w:hAnsi="宋体"/>
          <w:color w:val="auto"/>
          <w:szCs w:val="21"/>
          <w:highlight w:val="none"/>
          <w:u w:val="single"/>
        </w:rPr>
        <w:t>按照本专用条款12.1款约定处理</w:t>
      </w:r>
      <w:r>
        <w:rPr>
          <w:rFonts w:hint="eastAsia" w:hAnsi="宋体"/>
          <w:color w:val="auto"/>
          <w:szCs w:val="21"/>
          <w:highlight w:val="none"/>
        </w:rPr>
        <w:t>。</w:t>
      </w:r>
    </w:p>
    <w:p w14:paraId="212A1B1F">
      <w:pPr>
        <w:pStyle w:val="84"/>
        <w:keepNext/>
        <w:keepLines/>
        <w:spacing w:line="360" w:lineRule="auto"/>
        <w:ind w:firstLine="422"/>
        <w:outlineLvl w:val="2"/>
        <w:rPr>
          <w:rFonts w:eastAsia="黑体"/>
          <w:b/>
          <w:bCs/>
          <w:color w:val="auto"/>
          <w:szCs w:val="32"/>
          <w:highlight w:val="none"/>
        </w:rPr>
      </w:pPr>
      <w:bookmarkStart w:id="725" w:name="_Toc389065309"/>
      <w:bookmarkStart w:id="726" w:name="_Toc373227743"/>
      <w:bookmarkStart w:id="727" w:name="_Toc5293"/>
      <w:bookmarkStart w:id="728" w:name="_Toc373478390"/>
      <w:r>
        <w:rPr>
          <w:rFonts w:eastAsia="黑体"/>
          <w:b/>
          <w:bCs/>
          <w:color w:val="auto"/>
          <w:szCs w:val="32"/>
          <w:highlight w:val="none"/>
        </w:rPr>
        <w:t>1</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Start w:id="729" w:name="_Toc300934993"/>
      <w:bookmarkStart w:id="730" w:name="_Toc296944536"/>
      <w:bookmarkStart w:id="731" w:name="_Toc297123544"/>
      <w:bookmarkStart w:id="732" w:name="_Toc292559402"/>
      <w:bookmarkStart w:id="733" w:name="_Toc296503197"/>
      <w:bookmarkStart w:id="734" w:name="_Toc297048383"/>
      <w:bookmarkStart w:id="735" w:name="_Toc297120497"/>
      <w:bookmarkStart w:id="736" w:name="_Toc297216203"/>
      <w:bookmarkStart w:id="737" w:name="_Toc296346698"/>
      <w:bookmarkStart w:id="738" w:name="_Toc296347196"/>
      <w:bookmarkStart w:id="739" w:name="_Toc296891237"/>
      <w:bookmarkStart w:id="740" w:name="_Toc296891025"/>
      <w:bookmarkStart w:id="741" w:name="_Toc303539150"/>
      <w:bookmarkStart w:id="742" w:name="_Toc292559907"/>
      <w:bookmarkStart w:id="743" w:name="_Toc312678029"/>
      <w:bookmarkStart w:id="744" w:name="_Toc304295570"/>
      <w:bookmarkStart w:id="745" w:name="_Toc312677503"/>
      <w:r>
        <w:rPr>
          <w:rFonts w:eastAsia="黑体"/>
          <w:b/>
          <w:bCs/>
          <w:color w:val="auto"/>
          <w:szCs w:val="32"/>
          <w:highlight w:val="none"/>
        </w:rPr>
        <w:t xml:space="preserve">0.5 </w:t>
      </w:r>
      <w:r>
        <w:rPr>
          <w:rFonts w:hint="eastAsia" w:eastAsia="黑体"/>
          <w:b/>
          <w:bCs/>
          <w:color w:val="auto"/>
          <w:szCs w:val="32"/>
          <w:highlight w:val="none"/>
        </w:rPr>
        <w:t>承</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Start w:id="746" w:name="_Toc300934994"/>
      <w:bookmarkStart w:id="747" w:name="_Toc296346704"/>
      <w:bookmarkStart w:id="748" w:name="_Toc292559913"/>
      <w:bookmarkStart w:id="749" w:name="_Toc297120503"/>
      <w:bookmarkStart w:id="750" w:name="_Toc303539151"/>
      <w:bookmarkStart w:id="751" w:name="_Toc292559408"/>
      <w:bookmarkStart w:id="752" w:name="_Toc297048389"/>
      <w:bookmarkStart w:id="753" w:name="_Toc297216204"/>
      <w:bookmarkStart w:id="754" w:name="_Toc296503203"/>
      <w:bookmarkStart w:id="755" w:name="_Toc296347202"/>
      <w:bookmarkStart w:id="756" w:name="_Toc296944542"/>
      <w:bookmarkStart w:id="757" w:name="_Toc296891243"/>
      <w:bookmarkStart w:id="758" w:name="_Toc296891031"/>
      <w:bookmarkStart w:id="759" w:name="_Toc297123545"/>
      <w:r>
        <w:rPr>
          <w:rFonts w:hint="eastAsia" w:eastAsia="黑体"/>
          <w:b/>
          <w:bCs/>
          <w:color w:val="auto"/>
          <w:szCs w:val="32"/>
          <w:highlight w:val="none"/>
        </w:rPr>
        <w:t>包人的合理化建议</w:t>
      </w:r>
      <w:bookmarkEnd w:id="725"/>
      <w:bookmarkEnd w:id="726"/>
      <w:bookmarkEnd w:id="727"/>
      <w:bookmarkEnd w:id="728"/>
    </w:p>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14:paraId="0AFBCA3F">
      <w:pPr>
        <w:pStyle w:val="90"/>
        <w:wordWrap w:val="0"/>
        <w:spacing w:line="400" w:lineRule="exact"/>
        <w:ind w:firstLine="420" w:firstLineChars="200"/>
        <w:jc w:val="left"/>
        <w:rPr>
          <w:rFonts w:ascii="Times New Roman" w:hAnsi="Times New Roman"/>
          <w:color w:val="auto"/>
          <w:szCs w:val="21"/>
          <w:highlight w:val="none"/>
        </w:rPr>
      </w:pPr>
      <w:r>
        <w:rPr>
          <w:rFonts w:hint="eastAsia" w:hAnsi="宋体"/>
          <w:color w:val="auto"/>
          <w:szCs w:val="21"/>
          <w:highlight w:val="none"/>
        </w:rPr>
        <w:t>监理人审查承包人合理化建议的期限：</w:t>
      </w:r>
      <w:r>
        <w:rPr>
          <w:color w:val="auto"/>
          <w:szCs w:val="21"/>
          <w:highlight w:val="none"/>
          <w:u w:val="single"/>
        </w:rPr>
        <w:t xml:space="preserve"> </w:t>
      </w:r>
      <w:r>
        <w:rPr>
          <w:rFonts w:hint="eastAsia" w:ascii="Times New Roman" w:hAnsi="Times New Roman"/>
          <w:color w:val="auto"/>
          <w:szCs w:val="21"/>
          <w:highlight w:val="none"/>
          <w:u w:val="single"/>
        </w:rPr>
        <w:t>监理人应在收到承包人提交的合理化建议后</w:t>
      </w:r>
      <w:r>
        <w:rPr>
          <w:rFonts w:ascii="Times New Roman" w:hAnsi="Times New Roman"/>
          <w:color w:val="auto"/>
          <w:szCs w:val="21"/>
          <w:highlight w:val="none"/>
          <w:u w:val="single"/>
        </w:rPr>
        <w:t>7</w:t>
      </w:r>
      <w:r>
        <w:rPr>
          <w:rFonts w:hint="eastAsia" w:ascii="Times New Roman" w:hAnsi="Times New Roman"/>
          <w:color w:val="auto"/>
          <w:szCs w:val="21"/>
          <w:highlight w:val="none"/>
          <w:u w:val="single"/>
        </w:rPr>
        <w:t>天内审查完毕并报送发包人，发现其中存在技术上的缺陷，应通知承包人修改</w:t>
      </w:r>
      <w:r>
        <w:rPr>
          <w:rFonts w:hint="eastAsia" w:ascii="Times New Roman" w:hAnsi="Times New Roman"/>
          <w:color w:val="auto"/>
          <w:szCs w:val="21"/>
          <w:highlight w:val="none"/>
        </w:rPr>
        <w:t>。</w:t>
      </w:r>
    </w:p>
    <w:p w14:paraId="2B4763BB">
      <w:pPr>
        <w:pStyle w:val="84"/>
        <w:spacing w:line="360" w:lineRule="auto"/>
        <w:ind w:firstLine="420" w:firstLineChars="200"/>
        <w:jc w:val="left"/>
        <w:rPr>
          <w:color w:val="auto"/>
          <w:szCs w:val="21"/>
          <w:highlight w:val="none"/>
        </w:rPr>
      </w:pPr>
    </w:p>
    <w:p w14:paraId="5FFD66C6">
      <w:pPr>
        <w:pStyle w:val="90"/>
        <w:wordWrap w:val="0"/>
        <w:spacing w:line="400" w:lineRule="exact"/>
        <w:ind w:firstLine="420" w:firstLineChars="200"/>
        <w:jc w:val="left"/>
        <w:rPr>
          <w:rFonts w:ascii="Times New Roman" w:hAnsi="Times New Roman"/>
          <w:color w:val="auto"/>
          <w:szCs w:val="21"/>
          <w:highlight w:val="none"/>
        </w:rPr>
      </w:pPr>
      <w:r>
        <w:rPr>
          <w:rFonts w:hint="eastAsia" w:hAnsi="宋体"/>
          <w:color w:val="auto"/>
          <w:szCs w:val="21"/>
          <w:highlight w:val="none"/>
        </w:rPr>
        <w:t>发包人审批承包人合理化建议的期限：</w:t>
      </w:r>
      <w:r>
        <w:rPr>
          <w:color w:val="auto"/>
          <w:szCs w:val="21"/>
          <w:highlight w:val="none"/>
          <w:u w:val="single"/>
        </w:rPr>
        <w:t xml:space="preserve"> </w:t>
      </w:r>
      <w:r>
        <w:rPr>
          <w:rFonts w:hint="eastAsia" w:ascii="Times New Roman" w:hAnsi="Times New Roman"/>
          <w:color w:val="auto"/>
          <w:szCs w:val="21"/>
          <w:highlight w:val="none"/>
          <w:u w:val="single"/>
        </w:rPr>
        <w:t>发包人应在收到监理人报送的合理化建议后</w:t>
      </w:r>
      <w:r>
        <w:rPr>
          <w:rFonts w:ascii="Times New Roman" w:hAnsi="Times New Roman"/>
          <w:color w:val="auto"/>
          <w:szCs w:val="21"/>
          <w:highlight w:val="none"/>
          <w:u w:val="single"/>
        </w:rPr>
        <w:t>7</w:t>
      </w:r>
      <w:r>
        <w:rPr>
          <w:rFonts w:hint="eastAsia" w:ascii="Times New Roman" w:hAnsi="Times New Roman"/>
          <w:color w:val="auto"/>
          <w:szCs w:val="21"/>
          <w:highlight w:val="none"/>
          <w:u w:val="single"/>
        </w:rPr>
        <w:t>天内审批完毕</w:t>
      </w:r>
      <w:r>
        <w:rPr>
          <w:rFonts w:hint="eastAsia" w:ascii="Times New Roman" w:hAnsi="Times New Roman"/>
          <w:color w:val="auto"/>
          <w:szCs w:val="21"/>
          <w:highlight w:val="none"/>
        </w:rPr>
        <w:t>。</w:t>
      </w:r>
    </w:p>
    <w:p w14:paraId="5C3EC3F5">
      <w:pPr>
        <w:pStyle w:val="90"/>
        <w:wordWrap w:val="0"/>
        <w:spacing w:line="400" w:lineRule="exact"/>
        <w:ind w:firstLine="420" w:firstLineChars="200"/>
        <w:jc w:val="left"/>
        <w:rPr>
          <w:rFonts w:ascii="Times New Roman" w:hAnsi="Times New Roman"/>
          <w:color w:val="auto"/>
          <w:szCs w:val="21"/>
          <w:highlight w:val="none"/>
        </w:rPr>
      </w:pPr>
    </w:p>
    <w:p w14:paraId="0E84AE15">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承</w:t>
      </w:r>
      <w:bookmarkStart w:id="760" w:name="_Toc292559409"/>
      <w:bookmarkStart w:id="761" w:name="_Toc297120504"/>
      <w:bookmarkStart w:id="762" w:name="_Toc296346705"/>
      <w:bookmarkStart w:id="763" w:name="_Toc297123546"/>
      <w:bookmarkStart w:id="764" w:name="_Toc296503204"/>
      <w:bookmarkStart w:id="765" w:name="_Toc318581175"/>
      <w:bookmarkStart w:id="766" w:name="_Toc312677504"/>
      <w:bookmarkStart w:id="767" w:name="_Toc292559914"/>
      <w:bookmarkStart w:id="768" w:name="_Toc297048390"/>
      <w:bookmarkStart w:id="769" w:name="_Toc296891244"/>
      <w:bookmarkStart w:id="770" w:name="_Toc296347203"/>
      <w:bookmarkStart w:id="771" w:name="_Toc304295571"/>
      <w:bookmarkStart w:id="772" w:name="_Toc303539152"/>
      <w:bookmarkStart w:id="773" w:name="_Toc296891032"/>
      <w:bookmarkStart w:id="774" w:name="_Toc296944543"/>
      <w:bookmarkStart w:id="775" w:name="_Toc300934995"/>
      <w:bookmarkStart w:id="776" w:name="_Toc312678030"/>
      <w:bookmarkStart w:id="777" w:name="_Toc297216205"/>
      <w:r>
        <w:rPr>
          <w:rFonts w:hint="eastAsia" w:hAnsi="宋体"/>
          <w:color w:val="auto"/>
          <w:szCs w:val="21"/>
          <w:highlight w:val="none"/>
        </w:rPr>
        <w:t>包人提出的合理化建议降低了合同价格或者提高了工程经济效益的奖励的方法和金额为：</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14:paraId="1162CEA9">
      <w:pPr>
        <w:pStyle w:val="84"/>
        <w:keepNext/>
        <w:keepLines/>
        <w:spacing w:line="360" w:lineRule="auto"/>
        <w:ind w:firstLine="422"/>
        <w:outlineLvl w:val="2"/>
        <w:rPr>
          <w:rFonts w:eastAsia="黑体"/>
          <w:b/>
          <w:bCs/>
          <w:color w:val="auto"/>
          <w:szCs w:val="32"/>
          <w:highlight w:val="none"/>
        </w:rPr>
      </w:pPr>
      <w:bookmarkStart w:id="778" w:name="_Toc373227744"/>
      <w:bookmarkStart w:id="779" w:name="_Toc389065310"/>
      <w:bookmarkStart w:id="780" w:name="_Toc26302"/>
      <w:bookmarkStart w:id="781" w:name="_Toc373478391"/>
      <w:r>
        <w:rPr>
          <w:rFonts w:eastAsia="黑体"/>
          <w:b/>
          <w:bCs/>
          <w:color w:val="auto"/>
          <w:szCs w:val="32"/>
          <w:highlight w:val="none"/>
        </w:rPr>
        <w:t>1</w:t>
      </w:r>
      <w:bookmarkStart w:id="782" w:name="_Toc297123548"/>
      <w:bookmarkStart w:id="783" w:name="_Toc300934997"/>
      <w:bookmarkStart w:id="784" w:name="_Toc296346700"/>
      <w:bookmarkStart w:id="785" w:name="_Toc292559909"/>
      <w:bookmarkStart w:id="786" w:name="_Toc304295574"/>
      <w:bookmarkStart w:id="787" w:name="_Toc312678033"/>
      <w:bookmarkStart w:id="788" w:name="_Toc297048385"/>
      <w:bookmarkStart w:id="789" w:name="_Toc296891239"/>
      <w:bookmarkStart w:id="790" w:name="_Toc296891027"/>
      <w:bookmarkStart w:id="791" w:name="_Toc292559404"/>
      <w:bookmarkStart w:id="792" w:name="_Toc296503199"/>
      <w:bookmarkStart w:id="793" w:name="_Toc296944538"/>
      <w:bookmarkStart w:id="794" w:name="_Toc296347198"/>
      <w:bookmarkStart w:id="795" w:name="_Toc297216207"/>
      <w:bookmarkStart w:id="796" w:name="_Toc312677507"/>
      <w:bookmarkStart w:id="797" w:name="_Toc303539154"/>
      <w:bookmarkStart w:id="798" w:name="_Toc297120499"/>
      <w:r>
        <w:rPr>
          <w:rFonts w:eastAsia="黑体"/>
          <w:b/>
          <w:bCs/>
          <w:color w:val="auto"/>
          <w:szCs w:val="32"/>
          <w:highlight w:val="none"/>
        </w:rPr>
        <w:t xml:space="preserve">0.7 </w:t>
      </w:r>
      <w:r>
        <w:rPr>
          <w:rFonts w:hint="eastAsia" w:hAnsi="宋体" w:eastAsia="黑体"/>
          <w:b/>
          <w:bCs/>
          <w:color w:val="auto"/>
          <w:szCs w:val="32"/>
          <w:highlight w:val="none"/>
        </w:rPr>
        <w:t>暂估价</w:t>
      </w:r>
      <w:bookmarkEnd w:id="778"/>
      <w:bookmarkEnd w:id="779"/>
      <w:bookmarkEnd w:id="780"/>
      <w:bookmarkEnd w:id="781"/>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18B4B7C5">
      <w:pPr>
        <w:pStyle w:val="84"/>
        <w:spacing w:line="360" w:lineRule="auto"/>
        <w:ind w:firstLine="420" w:firstLineChars="200"/>
        <w:jc w:val="left"/>
        <w:rPr>
          <w:color w:val="auto"/>
          <w:szCs w:val="21"/>
          <w:highlight w:val="none"/>
        </w:rPr>
      </w:pPr>
      <w:r>
        <w:rPr>
          <w:rFonts w:hint="eastAsia" w:hAnsi="宋体"/>
          <w:color w:val="auto"/>
          <w:kern w:val="0"/>
          <w:szCs w:val="21"/>
          <w:highlight w:val="none"/>
        </w:rPr>
        <w:t>暂</w:t>
      </w:r>
      <w:bookmarkStart w:id="799" w:name="_Toc318581176"/>
      <w:bookmarkStart w:id="800" w:name="_Toc312678034"/>
      <w:bookmarkStart w:id="801" w:name="_Toc312677508"/>
      <w:r>
        <w:rPr>
          <w:rFonts w:hint="eastAsia" w:hAnsi="宋体"/>
          <w:color w:val="auto"/>
          <w:kern w:val="0"/>
          <w:szCs w:val="21"/>
          <w:highlight w:val="none"/>
        </w:rPr>
        <w:t>估价材料和工程设备的明细详见已标价工程量清单《</w:t>
      </w:r>
      <w:r>
        <w:rPr>
          <w:rFonts w:hint="eastAsia"/>
          <w:color w:val="auto"/>
          <w:szCs w:val="21"/>
          <w:highlight w:val="none"/>
        </w:rPr>
        <w:t>材料（工程设备）暂估价格及调整表》</w:t>
      </w:r>
      <w:r>
        <w:rPr>
          <w:rFonts w:hint="eastAsia" w:hAnsi="宋体"/>
          <w:color w:val="auto"/>
          <w:kern w:val="0"/>
          <w:szCs w:val="21"/>
          <w:highlight w:val="none"/>
        </w:rPr>
        <w:t>（表</w:t>
      </w:r>
      <w:r>
        <w:rPr>
          <w:rFonts w:hAnsi="宋体"/>
          <w:color w:val="auto"/>
          <w:kern w:val="0"/>
          <w:szCs w:val="21"/>
          <w:highlight w:val="none"/>
        </w:rPr>
        <w:t>12-2</w:t>
      </w:r>
      <w:r>
        <w:rPr>
          <w:rFonts w:hint="eastAsia" w:hAnsi="宋体"/>
          <w:color w:val="auto"/>
          <w:kern w:val="0"/>
          <w:szCs w:val="21"/>
          <w:highlight w:val="none"/>
        </w:rPr>
        <w:t>）和《</w:t>
      </w:r>
      <w:r>
        <w:rPr>
          <w:rFonts w:hint="eastAsia"/>
          <w:color w:val="auto"/>
          <w:szCs w:val="21"/>
          <w:highlight w:val="none"/>
        </w:rPr>
        <w:t>专业工程暂估价表》（</w:t>
      </w:r>
      <w:r>
        <w:rPr>
          <w:rFonts w:hint="eastAsia" w:hAnsi="宋体"/>
          <w:color w:val="auto"/>
          <w:kern w:val="0"/>
          <w:szCs w:val="21"/>
          <w:highlight w:val="none"/>
        </w:rPr>
        <w:t>表</w:t>
      </w:r>
      <w:r>
        <w:rPr>
          <w:rFonts w:hAnsi="宋体"/>
          <w:color w:val="auto"/>
          <w:kern w:val="0"/>
          <w:szCs w:val="21"/>
          <w:highlight w:val="none"/>
        </w:rPr>
        <w:t>12-3</w:t>
      </w:r>
      <w:r>
        <w:rPr>
          <w:rFonts w:hint="eastAsia" w:hAnsi="宋体"/>
          <w:color w:val="auto"/>
          <w:kern w:val="0"/>
          <w:szCs w:val="21"/>
          <w:highlight w:val="none"/>
        </w:rPr>
        <w:t>）。</w:t>
      </w:r>
    </w:p>
    <w:bookmarkEnd w:id="799"/>
    <w:bookmarkEnd w:id="800"/>
    <w:bookmarkEnd w:id="801"/>
    <w:p w14:paraId="14E9EF48">
      <w:pPr>
        <w:pStyle w:val="84"/>
        <w:spacing w:line="360" w:lineRule="auto"/>
        <w:ind w:firstLine="420" w:firstLineChars="200"/>
        <w:jc w:val="left"/>
        <w:rPr>
          <w:color w:val="auto"/>
          <w:szCs w:val="21"/>
          <w:highlight w:val="none"/>
        </w:rPr>
      </w:pPr>
      <w:r>
        <w:rPr>
          <w:color w:val="auto"/>
          <w:szCs w:val="21"/>
          <w:highlight w:val="none"/>
        </w:rPr>
        <w:t>1</w:t>
      </w:r>
      <w:bookmarkStart w:id="802" w:name="_Toc318581177"/>
      <w:bookmarkStart w:id="803" w:name="_Toc312677509"/>
      <w:bookmarkStart w:id="804" w:name="_Toc312678035"/>
      <w:r>
        <w:rPr>
          <w:color w:val="auto"/>
          <w:szCs w:val="21"/>
          <w:highlight w:val="none"/>
        </w:rPr>
        <w:t xml:space="preserve">0.7.1 </w:t>
      </w:r>
      <w:r>
        <w:rPr>
          <w:rFonts w:hint="eastAsia" w:hAnsi="宋体"/>
          <w:color w:val="auto"/>
          <w:szCs w:val="21"/>
          <w:highlight w:val="none"/>
        </w:rPr>
        <w:t>依法必须招标的暂估价项目</w:t>
      </w:r>
    </w:p>
    <w:bookmarkEnd w:id="802"/>
    <w:bookmarkEnd w:id="803"/>
    <w:bookmarkEnd w:id="804"/>
    <w:p w14:paraId="64B1BD4E">
      <w:pPr>
        <w:pStyle w:val="77"/>
        <w:spacing w:line="360" w:lineRule="auto"/>
        <w:ind w:left="210" w:leftChars="100" w:firstLine="210" w:firstLineChars="100"/>
        <w:jc w:val="left"/>
        <w:rPr>
          <w:rFonts w:ascii="宋体" w:hAnsi="宋体"/>
          <w:color w:val="auto"/>
          <w:kern w:val="0"/>
          <w:szCs w:val="21"/>
          <w:highlight w:val="none"/>
        </w:rPr>
      </w:pPr>
      <w:r>
        <w:rPr>
          <w:rFonts w:hint="eastAsia" w:hAnsi="宋体"/>
          <w:color w:val="auto"/>
          <w:szCs w:val="21"/>
          <w:highlight w:val="none"/>
        </w:rPr>
        <w:t>对于依法必须招标的暂估价项目的确认和批准采取通用合同条款</w:t>
      </w:r>
      <w:r>
        <w:rPr>
          <w:rFonts w:hAnsi="宋体"/>
          <w:color w:val="auto"/>
          <w:szCs w:val="21"/>
          <w:highlight w:val="none"/>
        </w:rPr>
        <w:t>10.7.1</w:t>
      </w:r>
      <w:r>
        <w:rPr>
          <w:rFonts w:hint="eastAsia" w:hAnsi="宋体"/>
          <w:color w:val="auto"/>
          <w:szCs w:val="21"/>
          <w:highlight w:val="none"/>
        </w:rPr>
        <w:t>第</w:t>
      </w:r>
      <w:r>
        <w:rPr>
          <w:color w:val="auto"/>
          <w:szCs w:val="21"/>
          <w:highlight w:val="none"/>
          <w:u w:val="single"/>
        </w:rPr>
        <w:t>2</w:t>
      </w:r>
      <w:r>
        <w:rPr>
          <w:rFonts w:hint="eastAsia" w:hAnsi="宋体"/>
          <w:color w:val="auto"/>
          <w:szCs w:val="21"/>
          <w:highlight w:val="none"/>
        </w:rPr>
        <w:t>种方式确定。</w:t>
      </w:r>
      <w:r>
        <w:rPr>
          <w:rFonts w:hint="eastAsia" w:ascii="宋体" w:hAnsi="宋体"/>
          <w:color w:val="auto"/>
          <w:kern w:val="0"/>
          <w:szCs w:val="21"/>
          <w:highlight w:val="none"/>
        </w:rPr>
        <w:t>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人后，由发包人、承包人与成交人共同签订暂估价合同。</w:t>
      </w:r>
    </w:p>
    <w:p w14:paraId="331B86BF">
      <w:pPr>
        <w:pStyle w:val="84"/>
        <w:spacing w:line="360" w:lineRule="auto"/>
        <w:ind w:firstLine="420" w:firstLineChars="200"/>
        <w:jc w:val="left"/>
        <w:rPr>
          <w:color w:val="auto"/>
          <w:szCs w:val="21"/>
          <w:highlight w:val="none"/>
        </w:rPr>
      </w:pPr>
      <w:r>
        <w:rPr>
          <w:color w:val="auto"/>
          <w:szCs w:val="21"/>
          <w:highlight w:val="none"/>
        </w:rPr>
        <w:t xml:space="preserve">10.7.2 </w:t>
      </w:r>
      <w:r>
        <w:rPr>
          <w:rFonts w:hint="eastAsia" w:hAnsi="宋体"/>
          <w:color w:val="auto"/>
          <w:szCs w:val="21"/>
          <w:highlight w:val="none"/>
        </w:rPr>
        <w:t>不属于依法必须招标的暂估价项目</w:t>
      </w:r>
    </w:p>
    <w:p w14:paraId="19E878DF">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对于不属于依法必须招标的暂估价项目的确认和批准采取通用合同条款</w:t>
      </w:r>
      <w:r>
        <w:rPr>
          <w:rFonts w:hAnsi="宋体"/>
          <w:color w:val="auto"/>
          <w:szCs w:val="21"/>
          <w:highlight w:val="none"/>
        </w:rPr>
        <w:t>10.7.2</w:t>
      </w:r>
      <w:r>
        <w:rPr>
          <w:rFonts w:hint="eastAsia" w:hAnsi="宋体"/>
          <w:color w:val="auto"/>
          <w:szCs w:val="21"/>
          <w:highlight w:val="none"/>
        </w:rPr>
        <w:t>第</w:t>
      </w:r>
      <w:r>
        <w:rPr>
          <w:color w:val="auto"/>
          <w:szCs w:val="21"/>
          <w:highlight w:val="none"/>
          <w:u w:val="single"/>
        </w:rPr>
        <w:t xml:space="preserve">  1 </w:t>
      </w:r>
      <w:r>
        <w:rPr>
          <w:rFonts w:hint="eastAsia" w:hAnsi="宋体"/>
          <w:color w:val="auto"/>
          <w:szCs w:val="21"/>
          <w:highlight w:val="none"/>
        </w:rPr>
        <w:t>种方式确定。</w:t>
      </w:r>
    </w:p>
    <w:p w14:paraId="626FECBE">
      <w:pPr>
        <w:pStyle w:val="77"/>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根据施工进度计划，在签订暂估价项目的采购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602E66A">
      <w:pPr>
        <w:pStyle w:val="77"/>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（2）发包人认为承包人确定的供应商无法满足工程质量或合同要求的，发包人可以要求承包人重新确定暂估价项目的供应商;</w:t>
      </w:r>
    </w:p>
    <w:p w14:paraId="59FD7849">
      <w:pPr>
        <w:pStyle w:val="77"/>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（3）承包人应当在签订暂估价合同后7天内，将暂估价合同副本报送发包人留存。</w:t>
      </w:r>
    </w:p>
    <w:p w14:paraId="53FED233">
      <w:pPr>
        <w:pStyle w:val="84"/>
        <w:spacing w:line="360" w:lineRule="auto"/>
        <w:ind w:firstLine="420" w:firstLineChars="200"/>
        <w:jc w:val="left"/>
        <w:outlineLvl w:val="1"/>
        <w:rPr>
          <w:color w:val="auto"/>
          <w:kern w:val="0"/>
          <w:szCs w:val="21"/>
          <w:highlight w:val="none"/>
        </w:rPr>
      </w:pPr>
      <w:r>
        <w:rPr>
          <w:rFonts w:hint="eastAsia" w:hAnsi="宋体"/>
          <w:color w:val="auto"/>
          <w:szCs w:val="21"/>
          <w:highlight w:val="none"/>
        </w:rPr>
        <w:t>第</w:t>
      </w:r>
      <w:r>
        <w:rPr>
          <w:color w:val="auto"/>
          <w:szCs w:val="21"/>
          <w:highlight w:val="none"/>
        </w:rPr>
        <w:t>3</w:t>
      </w:r>
      <w:r>
        <w:rPr>
          <w:rFonts w:hint="eastAsia" w:hAnsi="宋体"/>
          <w:color w:val="auto"/>
          <w:szCs w:val="21"/>
          <w:highlight w:val="none"/>
        </w:rPr>
        <w:t>种方式：</w:t>
      </w:r>
      <w:r>
        <w:rPr>
          <w:rFonts w:hint="eastAsia" w:hAnsi="宋体"/>
          <w:color w:val="auto"/>
          <w:kern w:val="0"/>
          <w:szCs w:val="21"/>
          <w:highlight w:val="none"/>
        </w:rPr>
        <w:t>承包人直接实施的暂估价项目</w:t>
      </w:r>
    </w:p>
    <w:p w14:paraId="35A131E9">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承包人直接实施的暂估价项目的约定：</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04D06228">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（4）安全生产责任保险费按分部分项工程费及措施项目费(含单价及总价措施项目费)为计算基数乘以 0.2%计入暂估价，工程结算时，由发承包双方根据工程实际情况确认的安全生产责任保险费计入工程造价。</w:t>
      </w:r>
    </w:p>
    <w:p w14:paraId="24379796">
      <w:pPr>
        <w:pStyle w:val="84"/>
        <w:keepNext/>
        <w:keepLines/>
        <w:spacing w:line="360" w:lineRule="auto"/>
        <w:ind w:firstLine="422"/>
        <w:outlineLvl w:val="2"/>
        <w:rPr>
          <w:rFonts w:eastAsia="黑体"/>
          <w:b/>
          <w:bCs/>
          <w:color w:val="auto"/>
          <w:szCs w:val="32"/>
          <w:highlight w:val="none"/>
        </w:rPr>
      </w:pPr>
      <w:bookmarkStart w:id="805" w:name="_Toc389065311"/>
      <w:bookmarkStart w:id="806" w:name="_Toc373478392"/>
      <w:bookmarkStart w:id="807" w:name="_Toc373227745"/>
      <w:r>
        <w:rPr>
          <w:rFonts w:eastAsia="黑体"/>
          <w:b/>
          <w:bCs/>
          <w:color w:val="auto"/>
          <w:szCs w:val="32"/>
          <w:highlight w:val="none"/>
        </w:rPr>
        <w:t xml:space="preserve">10.8 </w:t>
      </w:r>
      <w:r>
        <w:rPr>
          <w:rFonts w:hint="eastAsia" w:hAnsi="宋体" w:eastAsia="黑体"/>
          <w:b/>
          <w:bCs/>
          <w:color w:val="auto"/>
          <w:szCs w:val="32"/>
          <w:highlight w:val="none"/>
        </w:rPr>
        <w:t>暂列金额</w:t>
      </w:r>
      <w:bookmarkEnd w:id="805"/>
      <w:bookmarkEnd w:id="806"/>
      <w:bookmarkEnd w:id="807"/>
    </w:p>
    <w:p w14:paraId="25262235">
      <w:pPr>
        <w:pStyle w:val="84"/>
        <w:autoSpaceDE w:val="0"/>
        <w:autoSpaceDN w:val="0"/>
        <w:adjustRightInd w:val="0"/>
        <w:spacing w:line="360" w:lineRule="auto"/>
        <w:ind w:firstLine="420" w:firstLineChars="200"/>
        <w:jc w:val="left"/>
        <w:rPr>
          <w:color w:val="auto"/>
          <w:szCs w:val="21"/>
          <w:highlight w:val="none"/>
          <w:u w:val="single"/>
        </w:rPr>
      </w:pPr>
      <w:r>
        <w:rPr>
          <w:rFonts w:hint="eastAsia" w:hAnsi="宋体"/>
          <w:color w:val="auto"/>
          <w:kern w:val="0"/>
          <w:szCs w:val="21"/>
          <w:highlight w:val="none"/>
        </w:rPr>
        <w:t>合同当事人关于暂列金额使用的约定：</w:t>
      </w:r>
      <w:r>
        <w:rPr>
          <w:rFonts w:hint="eastAsia"/>
          <w:color w:val="auto"/>
          <w:szCs w:val="21"/>
          <w:highlight w:val="none"/>
          <w:u w:val="single"/>
        </w:rPr>
        <w:t>暂列金额是指发包人为可能发生工程变更而暂列的金额，包括因发包人提供的工程量清单漏项、清单有误引起的工程数量增加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eastAsia" w:hAnsi="宋体"/>
          <w:color w:val="auto"/>
          <w:kern w:val="0"/>
          <w:szCs w:val="21"/>
          <w:highlight w:val="none"/>
        </w:rPr>
        <w:t>。</w:t>
      </w:r>
    </w:p>
    <w:p w14:paraId="4094179C">
      <w:pPr>
        <w:pStyle w:val="84"/>
        <w:keepNext/>
        <w:keepLines/>
        <w:numPr>
          <w:ilvl w:val="0"/>
          <w:numId w:val="7"/>
        </w:numPr>
        <w:spacing w:before="60" w:after="60" w:line="412" w:lineRule="auto"/>
        <w:ind w:firstLine="422"/>
        <w:rPr>
          <w:rFonts w:ascii="Arial" w:hAnsi="宋体" w:eastAsia="黑体"/>
          <w:b/>
          <w:bCs/>
          <w:color w:val="auto"/>
          <w:szCs w:val="32"/>
          <w:highlight w:val="none"/>
        </w:rPr>
      </w:pPr>
      <w:bookmarkStart w:id="808" w:name="_Toc373478393"/>
      <w:bookmarkStart w:id="809" w:name="_Toc373227746"/>
      <w:bookmarkStart w:id="810" w:name="_Toc389065312"/>
      <w:bookmarkStart w:id="811" w:name="_Toc15950"/>
      <w:bookmarkStart w:id="812" w:name="_Toc351203643"/>
      <w:r>
        <w:rPr>
          <w:rFonts w:hint="eastAsia" w:ascii="Arial" w:hAnsi="宋体" w:eastAsia="黑体"/>
          <w:b/>
          <w:bCs/>
          <w:color w:val="auto"/>
          <w:szCs w:val="32"/>
          <w:highlight w:val="none"/>
        </w:rPr>
        <w:t>价格调整</w:t>
      </w:r>
      <w:bookmarkEnd w:id="808"/>
      <w:bookmarkEnd w:id="809"/>
      <w:bookmarkEnd w:id="810"/>
      <w:bookmarkEnd w:id="811"/>
      <w:bookmarkEnd w:id="812"/>
    </w:p>
    <w:p w14:paraId="7BB5665F">
      <w:pPr>
        <w:pStyle w:val="84"/>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①法律变化引起的调整；</w:t>
      </w:r>
    </w:p>
    <w:p w14:paraId="503FB297">
      <w:pPr>
        <w:pStyle w:val="84"/>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②工程变更、项目特征不符、工程量清单缺项、工程量偏差引起的调整；</w:t>
      </w:r>
    </w:p>
    <w:p w14:paraId="53D13075">
      <w:pPr>
        <w:pStyle w:val="84"/>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③计日工引起的调整。</w:t>
      </w:r>
    </w:p>
    <w:p w14:paraId="012FB4AF">
      <w:pPr>
        <w:pStyle w:val="84"/>
        <w:keepNext/>
        <w:keepLines/>
        <w:spacing w:line="360" w:lineRule="auto"/>
        <w:ind w:firstLine="422"/>
        <w:rPr>
          <w:rFonts w:eastAsia="黑体"/>
          <w:b/>
          <w:bCs/>
          <w:color w:val="auto"/>
          <w:szCs w:val="32"/>
          <w:highlight w:val="none"/>
        </w:rPr>
      </w:pPr>
      <w:bookmarkStart w:id="813" w:name="_Toc373227747"/>
      <w:bookmarkStart w:id="814" w:name="_Toc389065313"/>
      <w:bookmarkStart w:id="815" w:name="_Toc13425"/>
      <w:bookmarkStart w:id="816" w:name="_Toc373478394"/>
      <w:bookmarkStart w:id="817" w:name="_Toc296347200"/>
      <w:bookmarkStart w:id="818" w:name="_Toc296346702"/>
      <w:bookmarkStart w:id="819" w:name="_Toc297123550"/>
      <w:bookmarkStart w:id="820" w:name="_Toc297216209"/>
      <w:bookmarkStart w:id="821" w:name="_Toc297120501"/>
      <w:bookmarkStart w:id="822" w:name="_Toc296944540"/>
      <w:bookmarkStart w:id="823" w:name="_Toc296891241"/>
      <w:bookmarkStart w:id="824" w:name="_Toc304295577"/>
      <w:bookmarkStart w:id="825" w:name="_Toc303539157"/>
      <w:bookmarkStart w:id="826" w:name="_Toc300935000"/>
      <w:bookmarkStart w:id="827" w:name="_Toc292559911"/>
      <w:bookmarkStart w:id="828" w:name="_Toc296891029"/>
      <w:bookmarkStart w:id="829" w:name="_Toc297048387"/>
      <w:bookmarkStart w:id="830" w:name="_Toc296503201"/>
      <w:bookmarkStart w:id="831" w:name="_Toc292559406"/>
      <w:bookmarkStart w:id="832" w:name="_Toc312678039"/>
      <w:r>
        <w:rPr>
          <w:rFonts w:eastAsia="黑体"/>
          <w:b/>
          <w:bCs/>
          <w:color w:val="auto"/>
          <w:szCs w:val="32"/>
          <w:highlight w:val="none"/>
        </w:rPr>
        <w:t xml:space="preserve">11.1 </w:t>
      </w:r>
      <w:r>
        <w:rPr>
          <w:rFonts w:hint="eastAsia" w:eastAsia="黑体"/>
          <w:b/>
          <w:bCs/>
          <w:color w:val="auto"/>
          <w:szCs w:val="32"/>
          <w:highlight w:val="none"/>
        </w:rPr>
        <w:t>市场价格波动引起的调整</w:t>
      </w:r>
      <w:bookmarkEnd w:id="813"/>
      <w:bookmarkEnd w:id="814"/>
      <w:bookmarkEnd w:id="815"/>
      <w:bookmarkEnd w:id="816"/>
    </w:p>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14:paraId="0FBDA116">
      <w:pPr>
        <w:pStyle w:val="84"/>
        <w:spacing w:line="360" w:lineRule="auto"/>
        <w:ind w:firstLine="420" w:firstLineChars="200"/>
        <w:jc w:val="left"/>
        <w:rPr>
          <w:color w:val="auto"/>
          <w:szCs w:val="21"/>
          <w:highlight w:val="none"/>
        </w:rPr>
      </w:pPr>
      <w:r>
        <w:rPr>
          <w:rFonts w:hint="eastAsia" w:hAnsi="宋体"/>
          <w:color w:val="auto"/>
          <w:kern w:val="0"/>
          <w:szCs w:val="21"/>
          <w:highlight w:val="none"/>
        </w:rPr>
        <w:t>市场价格波动是否调整合同价格的约定：</w:t>
      </w:r>
      <w:r>
        <w:rPr>
          <w:rFonts w:hint="eastAsia"/>
          <w:color w:val="auto"/>
          <w:szCs w:val="21"/>
          <w:highlight w:val="none"/>
          <w:u w:val="single"/>
        </w:rPr>
        <w:t>否，不调整</w:t>
      </w:r>
    </w:p>
    <w:bookmarkEnd w:id="688"/>
    <w:bookmarkEnd w:id="689"/>
    <w:bookmarkEnd w:id="690"/>
    <w:bookmarkEnd w:id="691"/>
    <w:bookmarkEnd w:id="692"/>
    <w:bookmarkEnd w:id="693"/>
    <w:p w14:paraId="04F983D1">
      <w:pPr>
        <w:pStyle w:val="84"/>
        <w:keepNext/>
        <w:keepLines/>
        <w:spacing w:before="60" w:after="60" w:line="412" w:lineRule="auto"/>
        <w:ind w:firstLine="422"/>
        <w:outlineLvl w:val="1"/>
        <w:rPr>
          <w:rFonts w:ascii="Arial" w:hAnsi="Arial" w:eastAsia="黑体"/>
          <w:b/>
          <w:bCs/>
          <w:color w:val="auto"/>
          <w:szCs w:val="32"/>
          <w:highlight w:val="none"/>
        </w:rPr>
      </w:pPr>
      <w:bookmarkStart w:id="833" w:name="_Toc296891033"/>
      <w:bookmarkStart w:id="834" w:name="_Toc297048391"/>
      <w:bookmarkStart w:id="835" w:name="_Toc296347204"/>
      <w:bookmarkStart w:id="836" w:name="_Toc292559410"/>
      <w:bookmarkStart w:id="837" w:name="_Toc296891245"/>
      <w:bookmarkStart w:id="838" w:name="_Toc296944544"/>
      <w:bookmarkStart w:id="839" w:name="_Toc296346706"/>
      <w:bookmarkStart w:id="840" w:name="_Toc297120505"/>
      <w:bookmarkStart w:id="841" w:name="_Toc292559915"/>
      <w:bookmarkStart w:id="842" w:name="_Toc296503205"/>
      <w:bookmarkStart w:id="843" w:name="_Toc373227748"/>
      <w:bookmarkStart w:id="844" w:name="_Toc4351"/>
      <w:bookmarkStart w:id="845" w:name="_Toc373478395"/>
      <w:bookmarkStart w:id="846" w:name="_Toc351203644"/>
      <w:bookmarkStart w:id="847" w:name="_Toc297216211"/>
      <w:bookmarkStart w:id="848" w:name="_Toc303539159"/>
      <w:bookmarkStart w:id="849" w:name="_Toc304295579"/>
      <w:bookmarkStart w:id="850" w:name="_Toc300935002"/>
      <w:bookmarkStart w:id="851" w:name="_Toc297123552"/>
      <w:bookmarkStart w:id="852" w:name="_Toc312678040"/>
      <w:r>
        <w:rPr>
          <w:rFonts w:ascii="Arial" w:hAnsi="Arial" w:eastAsia="黑体"/>
          <w:b/>
          <w:bCs/>
          <w:color w:val="auto"/>
          <w:szCs w:val="32"/>
          <w:highlight w:val="none"/>
        </w:rPr>
        <w:t xml:space="preserve">12. </w:t>
      </w:r>
      <w:bookmarkEnd w:id="833"/>
      <w:bookmarkEnd w:id="834"/>
      <w:bookmarkEnd w:id="835"/>
      <w:bookmarkEnd w:id="836"/>
      <w:bookmarkEnd w:id="837"/>
      <w:bookmarkEnd w:id="838"/>
      <w:bookmarkEnd w:id="839"/>
      <w:bookmarkEnd w:id="840"/>
      <w:bookmarkEnd w:id="841"/>
      <w:bookmarkEnd w:id="842"/>
      <w:r>
        <w:rPr>
          <w:rFonts w:hint="eastAsia" w:ascii="Arial" w:hAnsi="Arial" w:eastAsia="黑体"/>
          <w:b/>
          <w:bCs/>
          <w:color w:val="auto"/>
          <w:szCs w:val="32"/>
          <w:highlight w:val="none"/>
        </w:rPr>
        <w:t>合同价格、计量与支付</w:t>
      </w:r>
      <w:bookmarkEnd w:id="843"/>
      <w:bookmarkEnd w:id="844"/>
      <w:bookmarkEnd w:id="845"/>
      <w:bookmarkEnd w:id="846"/>
    </w:p>
    <w:bookmarkEnd w:id="847"/>
    <w:bookmarkEnd w:id="848"/>
    <w:bookmarkEnd w:id="849"/>
    <w:bookmarkEnd w:id="850"/>
    <w:bookmarkEnd w:id="851"/>
    <w:bookmarkEnd w:id="852"/>
    <w:p w14:paraId="40DF0707">
      <w:pPr>
        <w:pStyle w:val="84"/>
        <w:keepNext/>
        <w:keepLines/>
        <w:spacing w:line="360" w:lineRule="auto"/>
        <w:ind w:firstLine="422"/>
        <w:outlineLvl w:val="2"/>
        <w:rPr>
          <w:rFonts w:eastAsia="黑体"/>
          <w:b/>
          <w:bCs/>
          <w:color w:val="auto"/>
          <w:szCs w:val="32"/>
          <w:highlight w:val="none"/>
        </w:rPr>
      </w:pPr>
      <w:bookmarkStart w:id="853" w:name="_Toc267251461"/>
      <w:bookmarkStart w:id="854" w:name="_Toc292559916"/>
      <w:bookmarkStart w:id="855" w:name="_Toc292559411"/>
      <w:bookmarkStart w:id="856" w:name="_Toc296503206"/>
      <w:bookmarkStart w:id="857" w:name="_Toc297048392"/>
      <w:bookmarkStart w:id="858" w:name="_Toc296891246"/>
      <w:bookmarkStart w:id="859" w:name="_Toc296346707"/>
      <w:bookmarkStart w:id="860" w:name="_Toc296944545"/>
      <w:bookmarkStart w:id="861" w:name="_Toc296347205"/>
      <w:bookmarkStart w:id="862" w:name="_Toc296891034"/>
      <w:bookmarkStart w:id="863" w:name="_Toc297120506"/>
      <w:bookmarkStart w:id="864" w:name="_Toc373227749"/>
      <w:bookmarkStart w:id="865" w:name="_Toc373478396"/>
      <w:bookmarkStart w:id="866" w:name="_Toc389065314"/>
      <w:bookmarkStart w:id="867" w:name="_Toc13093"/>
      <w:bookmarkStart w:id="868" w:name="_Toc312678041"/>
      <w:bookmarkStart w:id="869" w:name="_Toc304295580"/>
      <w:bookmarkStart w:id="870" w:name="_Toc300935003"/>
      <w:bookmarkStart w:id="871" w:name="_Toc303539160"/>
      <w:bookmarkStart w:id="872" w:name="_Toc297216212"/>
      <w:bookmarkStart w:id="873" w:name="_Toc297123553"/>
      <w:r>
        <w:rPr>
          <w:rFonts w:eastAsia="黑体"/>
          <w:b/>
          <w:bCs/>
          <w:color w:val="auto"/>
          <w:szCs w:val="32"/>
          <w:highlight w:val="none"/>
        </w:rPr>
        <w:t xml:space="preserve">12.1 </w:t>
      </w:r>
      <w:r>
        <w:rPr>
          <w:rFonts w:hint="eastAsia" w:hAnsi="宋体" w:eastAsia="黑体"/>
          <w:b/>
          <w:bCs/>
          <w:color w:val="auto"/>
          <w:szCs w:val="32"/>
          <w:highlight w:val="none"/>
        </w:rPr>
        <w:t>合</w:t>
      </w:r>
      <w:bookmarkEnd w:id="853"/>
      <w:bookmarkEnd w:id="854"/>
      <w:bookmarkEnd w:id="855"/>
      <w:r>
        <w:rPr>
          <w:rFonts w:hint="eastAsia" w:hAnsi="宋体" w:eastAsia="黑体"/>
          <w:b/>
          <w:bCs/>
          <w:color w:val="auto"/>
          <w:szCs w:val="32"/>
          <w:highlight w:val="none"/>
        </w:rPr>
        <w:t>同价</w:t>
      </w:r>
      <w:bookmarkEnd w:id="856"/>
      <w:bookmarkEnd w:id="857"/>
      <w:bookmarkEnd w:id="858"/>
      <w:bookmarkEnd w:id="859"/>
      <w:bookmarkEnd w:id="860"/>
      <w:bookmarkEnd w:id="861"/>
      <w:bookmarkEnd w:id="862"/>
      <w:bookmarkEnd w:id="863"/>
      <w:r>
        <w:rPr>
          <w:rFonts w:hint="eastAsia" w:hAnsi="宋体" w:eastAsia="黑体"/>
          <w:b/>
          <w:bCs/>
          <w:color w:val="auto"/>
          <w:szCs w:val="32"/>
          <w:highlight w:val="none"/>
        </w:rPr>
        <w:t>格形式</w:t>
      </w:r>
      <w:bookmarkEnd w:id="864"/>
      <w:bookmarkEnd w:id="865"/>
      <w:bookmarkEnd w:id="866"/>
      <w:bookmarkEnd w:id="867"/>
    </w:p>
    <w:bookmarkEnd w:id="868"/>
    <w:bookmarkEnd w:id="869"/>
    <w:bookmarkEnd w:id="870"/>
    <w:bookmarkEnd w:id="871"/>
    <w:bookmarkEnd w:id="872"/>
    <w:bookmarkEnd w:id="873"/>
    <w:p w14:paraId="5C5E6C34">
      <w:pPr>
        <w:pStyle w:val="84"/>
        <w:spacing w:line="360" w:lineRule="auto"/>
        <w:ind w:firstLine="420" w:firstLineChars="200"/>
        <w:jc w:val="left"/>
        <w:rPr>
          <w:rFonts w:hAnsi="宋体"/>
          <w:color w:val="auto"/>
          <w:szCs w:val="21"/>
          <w:highlight w:val="none"/>
        </w:rPr>
      </w:pPr>
      <w:bookmarkStart w:id="874" w:name="_Toc389065315"/>
      <w:bookmarkStart w:id="875" w:name="_Toc373227750"/>
      <w:bookmarkStart w:id="876" w:name="_Toc373478397"/>
      <w:bookmarkStart w:id="877" w:name="_Toc304295581"/>
      <w:bookmarkStart w:id="878" w:name="_Toc312678042"/>
      <w:bookmarkStart w:id="879" w:name="_Toc297216213"/>
      <w:bookmarkStart w:id="880" w:name="_Toc303539161"/>
      <w:bookmarkStart w:id="881" w:name="_Toc300935004"/>
      <w:bookmarkStart w:id="882" w:name="_Toc297123554"/>
      <w:bookmarkStart w:id="883" w:name="_Toc296347206"/>
      <w:bookmarkStart w:id="884" w:name="_Toc296891035"/>
      <w:bookmarkStart w:id="885" w:name="_Toc297048393"/>
      <w:bookmarkStart w:id="886" w:name="_Toc297120507"/>
      <w:bookmarkStart w:id="887" w:name="_Toc296346708"/>
      <w:bookmarkStart w:id="888" w:name="_Toc292559917"/>
      <w:bookmarkStart w:id="889" w:name="_Toc296891247"/>
      <w:bookmarkStart w:id="890" w:name="_Toc296944546"/>
      <w:bookmarkStart w:id="891" w:name="_Toc296503207"/>
      <w:bookmarkStart w:id="892" w:name="_Toc292559412"/>
      <w:r>
        <w:rPr>
          <w:rFonts w:hint="eastAsia" w:hAnsi="宋体"/>
          <w:color w:val="auto"/>
          <w:szCs w:val="21"/>
          <w:highlight w:val="none"/>
        </w:rPr>
        <w:t>本工程采用</w:t>
      </w:r>
      <w:r>
        <w:rPr>
          <w:rFonts w:hAnsi="宋体"/>
          <w:color w:val="auto"/>
          <w:szCs w:val="21"/>
          <w:highlight w:val="none"/>
          <w:u w:val="single"/>
        </w:rPr>
        <w:t xml:space="preserve">    </w:t>
      </w:r>
      <w:r>
        <w:rPr>
          <w:rFonts w:hint="eastAsia"/>
          <w:color w:val="auto"/>
          <w:highlight w:val="none"/>
          <w:u w:val="single"/>
        </w:rPr>
        <w:t>固定综合单价</w:t>
      </w:r>
      <w:r>
        <w:rPr>
          <w:rFonts w:hAnsi="宋体"/>
          <w:color w:val="auto"/>
          <w:szCs w:val="21"/>
          <w:highlight w:val="none"/>
          <w:u w:val="single"/>
        </w:rPr>
        <w:t xml:space="preserve">   </w:t>
      </w:r>
      <w:r>
        <w:rPr>
          <w:rFonts w:hint="eastAsia" w:hAnsi="宋体"/>
          <w:color w:val="auto"/>
          <w:szCs w:val="21"/>
          <w:highlight w:val="none"/>
        </w:rPr>
        <w:t>合同价格形式</w:t>
      </w:r>
      <w:r>
        <w:rPr>
          <w:rFonts w:hint="eastAsia" w:hAnsi="宋体" w:cs="宋体"/>
          <w:color w:val="auto"/>
          <w:highlight w:val="none"/>
        </w:rPr>
        <w:t>，合同价格包含增值税，本工程计价时采用的增值税计税方法为：一般计税法</w:t>
      </w:r>
      <w:r>
        <w:rPr>
          <w:rFonts w:hAnsi="宋体" w:cs="宋体"/>
          <w:color w:val="auto"/>
          <w:highlight w:val="none"/>
        </w:rPr>
        <w:t xml:space="preserve">   </w:t>
      </w:r>
    </w:p>
    <w:p w14:paraId="0FAFF108">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）单价合同。</w:t>
      </w:r>
    </w:p>
    <w:p w14:paraId="2D2F3068">
      <w:pPr>
        <w:pStyle w:val="84"/>
        <w:spacing w:line="360" w:lineRule="auto"/>
        <w:ind w:firstLine="420" w:firstLineChars="200"/>
        <w:jc w:val="left"/>
        <w:rPr>
          <w:rFonts w:hAnsi="宋体" w:cs="宋体"/>
          <w:color w:val="auto"/>
          <w:highlight w:val="none"/>
        </w:rPr>
      </w:pPr>
      <w:r>
        <w:rPr>
          <w:rFonts w:hint="eastAsia" w:hAnsi="宋体" w:cs="宋体"/>
          <w:color w:val="auto"/>
          <w:highlight w:val="none"/>
        </w:rPr>
        <w:t>本合同价款采用固定综合单价方式确定，工程量按实际结算。</w:t>
      </w:r>
    </w:p>
    <w:p w14:paraId="3115D8B9">
      <w:pPr>
        <w:pStyle w:val="84"/>
        <w:spacing w:line="360" w:lineRule="auto"/>
        <w:ind w:firstLine="420" w:firstLineChars="200"/>
        <w:jc w:val="left"/>
        <w:rPr>
          <w:rFonts w:hAnsi="宋体" w:cs="宋体"/>
          <w:color w:val="auto"/>
          <w:highlight w:val="none"/>
        </w:rPr>
      </w:pPr>
      <w:r>
        <w:rPr>
          <w:rFonts w:hint="eastAsia" w:hAnsi="宋体" w:cs="宋体"/>
          <w:color w:val="auto"/>
          <w:highlight w:val="none"/>
        </w:rPr>
        <w:t>综合单价中包括的风险范围：除工程变更、项目特征不符、工程量清单缺项、工程量偏差、</w:t>
      </w:r>
      <w:r>
        <w:rPr>
          <w:rFonts w:hint="eastAsia" w:hAnsi="宋体"/>
          <w:color w:val="auto"/>
          <w:szCs w:val="21"/>
          <w:highlight w:val="none"/>
        </w:rPr>
        <w:t>因市场价格波动引起的</w:t>
      </w:r>
      <w:r>
        <w:rPr>
          <w:rFonts w:hint="eastAsia" w:hAnsi="宋体" w:cs="宋体"/>
          <w:color w:val="auto"/>
          <w:highlight w:val="none"/>
        </w:rPr>
        <w:t>材料和设备价格涨跌、政策性调整以外的其他风险。</w:t>
      </w:r>
    </w:p>
    <w:p w14:paraId="5DE96062">
      <w:pPr>
        <w:pStyle w:val="84"/>
        <w:spacing w:line="360" w:lineRule="auto"/>
        <w:ind w:firstLine="420" w:firstLineChars="200"/>
        <w:jc w:val="left"/>
        <w:rPr>
          <w:rFonts w:hAnsi="宋体" w:cs="宋体"/>
          <w:color w:val="auto"/>
          <w:highlight w:val="none"/>
        </w:rPr>
      </w:pPr>
      <w:r>
        <w:rPr>
          <w:rFonts w:hint="eastAsia" w:hAnsi="宋体" w:cs="宋体"/>
          <w:color w:val="auto"/>
          <w:highlight w:val="none"/>
        </w:rPr>
        <w:t>风险费用的计算方法：单价采用固定综合单价，风险费用已综合考虑在单价中。</w:t>
      </w:r>
    </w:p>
    <w:p w14:paraId="68B0AC94">
      <w:pPr>
        <w:pStyle w:val="84"/>
        <w:spacing w:line="360" w:lineRule="auto"/>
        <w:ind w:firstLine="420" w:firstLineChars="200"/>
        <w:jc w:val="left"/>
        <w:rPr>
          <w:rFonts w:hAnsi="宋体" w:cs="宋体"/>
          <w:color w:val="auto"/>
          <w:highlight w:val="none"/>
        </w:rPr>
      </w:pPr>
      <w:r>
        <w:rPr>
          <w:rFonts w:hint="eastAsia" w:hAnsi="宋体" w:cs="宋体"/>
          <w:color w:val="auto"/>
          <w:highlight w:val="none"/>
        </w:rPr>
        <w:t>①风险范围以外合同价款调整方法：</w:t>
      </w:r>
    </w:p>
    <w:p w14:paraId="43CABB92">
      <w:pPr>
        <w:spacing w:line="500" w:lineRule="exact"/>
        <w:ind w:firstLine="420" w:firstLineChars="200"/>
        <w:rPr>
          <w:rFonts w:ascii="微软雅黑" w:hAnsi="微软雅黑" w:eastAsia="微软雅黑" w:cs="微软雅黑"/>
          <w:color w:val="auto"/>
          <w:szCs w:val="21"/>
          <w:highlight w:val="none"/>
        </w:rPr>
      </w:pPr>
      <w:r>
        <w:rPr>
          <w:rFonts w:hAnsi="宋体" w:cs="宋体"/>
          <w:color w:val="auto"/>
          <w:highlight w:val="none"/>
        </w:rPr>
        <w:t>a.</w:t>
      </w:r>
      <w:r>
        <w:rPr>
          <w:rFonts w:hint="eastAsia" w:hAnsi="宋体" w:cs="宋体"/>
          <w:color w:val="auto"/>
          <w:highlight w:val="none"/>
        </w:rPr>
        <w:t>本合同实施期间因工程变更、项目特征不符、工程量清单缺项引起工程项目、工程量变化的，其工程量按实际发生并经监理工程师及发包人确认，变更合同价款按下列方法进行：工程量清单中有相同细目的按供应商竞标时的成交单价进行结算，工程量清单中有类似细目的参考类似成交单价结算；工程量清单中没有适用或类似于变更工程的价格，则有定额的套定额计算，执行本采购文件工程计价参考依据，并乘以下浮系数（成交价</w:t>
      </w:r>
      <w:r>
        <w:rPr>
          <w:rFonts w:hAnsi="宋体" w:cs="宋体"/>
          <w:color w:val="auto"/>
          <w:highlight w:val="none"/>
        </w:rPr>
        <w:t>/</w:t>
      </w:r>
      <w:r>
        <w:rPr>
          <w:rFonts w:hint="eastAsia" w:hAnsi="宋体" w:cs="宋体"/>
          <w:color w:val="auto"/>
          <w:highlight w:val="none"/>
        </w:rPr>
        <w:t>经审定的工程招标控制价）结算，其中材料价格有信息价的按施工期间信息价的平均价计取，若《南宁市建筑工程造价信息》内没有的材料，在进行该材料采购前，应由承包人书面提出询价要求，由承包人、监理单位、发包人到市场询价后，才能进行采购。询价结果按询取三家以上供应商的最低价格执行，经询价的材料不列入让利范围，列入税内独立费。若采购完毕后再进行询价，造成询价结果存在争议的，后果由承包人自行承担。</w:t>
      </w:r>
    </w:p>
    <w:p w14:paraId="2F4F2F20">
      <w:pPr>
        <w:pStyle w:val="77"/>
        <w:spacing w:line="480" w:lineRule="exact"/>
        <w:ind w:firstLine="420" w:firstLineChars="200"/>
        <w:jc w:val="left"/>
        <w:rPr>
          <w:rFonts w:hAnsi="宋体" w:cs="宋体"/>
          <w:color w:val="auto"/>
          <w:highlight w:val="none"/>
        </w:rPr>
      </w:pPr>
      <w:r>
        <w:rPr>
          <w:rFonts w:hint="eastAsia" w:hAnsi="宋体" w:cs="宋体"/>
          <w:color w:val="auto"/>
          <w:highlight w:val="none"/>
        </w:rPr>
        <w:t>新增项目无定额可套的，由发包人、监理单位及承包人根据市场协商确定；新增结算单价</w:t>
      </w:r>
      <w:r>
        <w:rPr>
          <w:rFonts w:hAnsi="宋体" w:cs="宋体"/>
          <w:color w:val="auto"/>
          <w:highlight w:val="none"/>
        </w:rPr>
        <w:t>=</w:t>
      </w:r>
      <w:r>
        <w:rPr>
          <w:rFonts w:hint="eastAsia" w:hAnsi="宋体" w:cs="宋体"/>
          <w:color w:val="auto"/>
          <w:highlight w:val="none"/>
        </w:rPr>
        <w:t>综合单价×（成交价</w:t>
      </w:r>
      <w:r>
        <w:rPr>
          <w:rFonts w:hAnsi="宋体" w:cs="宋体"/>
          <w:color w:val="auto"/>
          <w:highlight w:val="none"/>
        </w:rPr>
        <w:t>/</w:t>
      </w:r>
      <w:r>
        <w:rPr>
          <w:rFonts w:hint="eastAsia" w:hAnsi="宋体" w:cs="宋体"/>
          <w:color w:val="auto"/>
          <w:highlight w:val="none"/>
        </w:rPr>
        <w:t>经审定的工程招标控制价）。新增项目的单价必须报监理单位审核，并最终由自治区财政部门或发包人认可的有相应资质的造价咨询单位审定。</w:t>
      </w:r>
    </w:p>
    <w:p w14:paraId="03A14905">
      <w:pPr>
        <w:pStyle w:val="84"/>
        <w:spacing w:line="360" w:lineRule="auto"/>
        <w:ind w:firstLine="420" w:firstLineChars="200"/>
        <w:jc w:val="left"/>
        <w:rPr>
          <w:rFonts w:hAnsi="宋体" w:cs="宋体"/>
          <w:color w:val="auto"/>
          <w:highlight w:val="none"/>
        </w:rPr>
      </w:pPr>
    </w:p>
    <w:p w14:paraId="30ADEFC0">
      <w:pPr>
        <w:pStyle w:val="84"/>
        <w:spacing w:line="360" w:lineRule="auto"/>
        <w:ind w:firstLine="420" w:firstLineChars="200"/>
        <w:jc w:val="left"/>
        <w:rPr>
          <w:rFonts w:hAnsi="宋体" w:cs="宋体"/>
          <w:color w:val="auto"/>
          <w:highlight w:val="none"/>
        </w:rPr>
      </w:pPr>
      <w:r>
        <w:rPr>
          <w:rFonts w:hAnsi="宋体" w:cs="宋体"/>
          <w:color w:val="auto"/>
          <w:highlight w:val="none"/>
        </w:rPr>
        <w:t>b.</w:t>
      </w:r>
      <w:r>
        <w:rPr>
          <w:rFonts w:hint="eastAsia" w:hAnsi="宋体" w:cs="宋体"/>
          <w:color w:val="auto"/>
          <w:highlight w:val="none"/>
        </w:rPr>
        <w:t>工程量偏差调整方法：如果承包人实际完成工程量与招标工程量偏差超过</w:t>
      </w:r>
      <w:r>
        <w:rPr>
          <w:rFonts w:hAnsi="宋体" w:cs="宋体"/>
          <w:color w:val="auto"/>
          <w:highlight w:val="none"/>
        </w:rPr>
        <w:t>15%</w:t>
      </w:r>
      <w:r>
        <w:rPr>
          <w:rFonts w:hint="eastAsia" w:hAnsi="宋体" w:cs="宋体"/>
          <w:color w:val="auto"/>
          <w:highlight w:val="none"/>
        </w:rPr>
        <w:t>以上且该单项造价超过合同总价</w:t>
      </w:r>
      <w:r>
        <w:rPr>
          <w:rFonts w:hAnsi="宋体" w:cs="宋体"/>
          <w:color w:val="auto"/>
          <w:highlight w:val="none"/>
        </w:rPr>
        <w:t>1%</w:t>
      </w:r>
      <w:r>
        <w:rPr>
          <w:rFonts w:hint="eastAsia" w:hAnsi="宋体" w:cs="宋体"/>
          <w:color w:val="auto"/>
          <w:highlight w:val="none"/>
        </w:rPr>
        <w:t>以上的，则超过</w:t>
      </w:r>
      <w:r>
        <w:rPr>
          <w:rFonts w:hAnsi="宋体" w:cs="宋体"/>
          <w:color w:val="auto"/>
          <w:highlight w:val="none"/>
        </w:rPr>
        <w:t>15%</w:t>
      </w:r>
      <w:r>
        <w:rPr>
          <w:rFonts w:hint="eastAsia" w:hAnsi="宋体" w:cs="宋体"/>
          <w:color w:val="auto"/>
          <w:highlight w:val="none"/>
        </w:rPr>
        <w:t>以上增加部分工程量或减少后剩余部分工程量的综合单价按以下方法计算：有定额的套定额计算，执行本采购文件工程计价参考依据，并乘以下浮系数（成交价</w:t>
      </w:r>
      <w:r>
        <w:rPr>
          <w:rFonts w:hAnsi="宋体" w:cs="宋体"/>
          <w:color w:val="auto"/>
          <w:highlight w:val="none"/>
        </w:rPr>
        <w:t>/</w:t>
      </w:r>
      <w:r>
        <w:rPr>
          <w:rFonts w:hint="eastAsia" w:hAnsi="宋体" w:cs="宋体"/>
          <w:color w:val="auto"/>
          <w:highlight w:val="none"/>
        </w:rPr>
        <w:t>经审定的工程招标控制价）结算，其中材料价格有信息价的按施工期间信息价的平均价计取，无信息价的由发包人、监理单位及承包人根据市场价格协商议定。</w:t>
      </w:r>
    </w:p>
    <w:p w14:paraId="03E13A05">
      <w:pPr>
        <w:pStyle w:val="84"/>
        <w:spacing w:line="360" w:lineRule="auto"/>
        <w:ind w:firstLine="420" w:firstLineChars="200"/>
        <w:jc w:val="left"/>
        <w:rPr>
          <w:rFonts w:hAnsi="宋体" w:cs="宋体"/>
          <w:color w:val="auto"/>
          <w:highlight w:val="none"/>
        </w:rPr>
      </w:pPr>
      <w:r>
        <w:rPr>
          <w:rFonts w:hAnsi="宋体" w:cs="宋体"/>
          <w:color w:val="auto"/>
          <w:highlight w:val="none"/>
        </w:rPr>
        <w:t>c.</w:t>
      </w:r>
      <w:r>
        <w:rPr>
          <w:rFonts w:hint="eastAsia" w:hAnsi="宋体" w:cs="宋体"/>
          <w:color w:val="auto"/>
          <w:highlight w:val="none"/>
        </w:rPr>
        <w:t>材料和设备价格风险的调整方法：</w:t>
      </w:r>
      <w:r>
        <w:rPr>
          <w:rFonts w:hint="eastAsia"/>
          <w:b/>
          <w:color w:val="auto"/>
          <w:szCs w:val="21"/>
          <w:highlight w:val="none"/>
        </w:rPr>
        <w:t>参考专用合同条款第</w:t>
      </w:r>
      <w:r>
        <w:rPr>
          <w:b/>
          <w:color w:val="auto"/>
          <w:szCs w:val="21"/>
          <w:highlight w:val="none"/>
        </w:rPr>
        <w:t>11.1</w:t>
      </w:r>
      <w:r>
        <w:rPr>
          <w:rFonts w:hint="eastAsia"/>
          <w:b/>
          <w:color w:val="auto"/>
          <w:szCs w:val="21"/>
          <w:highlight w:val="none"/>
        </w:rPr>
        <w:t>条</w:t>
      </w:r>
    </w:p>
    <w:p w14:paraId="34BFF126">
      <w:pPr>
        <w:pStyle w:val="84"/>
        <w:spacing w:line="360" w:lineRule="auto"/>
        <w:ind w:firstLine="420" w:firstLineChars="200"/>
        <w:jc w:val="left"/>
        <w:rPr>
          <w:rFonts w:hAnsi="宋体" w:cs="宋体"/>
          <w:color w:val="auto"/>
          <w:highlight w:val="none"/>
        </w:rPr>
      </w:pPr>
      <w:r>
        <w:rPr>
          <w:rFonts w:hAnsi="宋体" w:cs="宋体"/>
          <w:color w:val="auto"/>
          <w:highlight w:val="none"/>
        </w:rPr>
        <w:t>d.</w:t>
      </w:r>
      <w:r>
        <w:rPr>
          <w:rFonts w:hint="eastAsia" w:hAnsi="宋体" w:cs="宋体"/>
          <w:color w:val="auto"/>
          <w:highlight w:val="none"/>
        </w:rPr>
        <w:t>措施项目费调整原则按《</w:t>
      </w:r>
      <w:r>
        <w:rPr>
          <w:rFonts w:hAnsi="宋体" w:cs="宋体"/>
          <w:color w:val="auto"/>
          <w:highlight w:val="none"/>
        </w:rPr>
        <w:t>(GB50500-2013)</w:t>
      </w:r>
      <w:r>
        <w:rPr>
          <w:rFonts w:hint="eastAsia" w:hAnsi="宋体" w:cs="宋体"/>
          <w:color w:val="auto"/>
          <w:highlight w:val="none"/>
        </w:rPr>
        <w:t>建设工程工程量清单计价规范</w:t>
      </w:r>
      <w:r>
        <w:rPr>
          <w:rFonts w:hAnsi="宋体" w:cs="宋体"/>
          <w:color w:val="auto"/>
          <w:highlight w:val="none"/>
        </w:rPr>
        <w:t>-</w:t>
      </w:r>
      <w:r>
        <w:rPr>
          <w:rFonts w:hint="eastAsia" w:hAnsi="宋体" w:cs="宋体"/>
          <w:color w:val="auto"/>
          <w:highlight w:val="none"/>
        </w:rPr>
        <w:t>广西壮族自治区实施细则》第</w:t>
      </w:r>
      <w:r>
        <w:rPr>
          <w:rFonts w:hAnsi="宋体" w:cs="宋体"/>
          <w:color w:val="auto"/>
          <w:highlight w:val="none"/>
        </w:rPr>
        <w:t>9.3.2</w:t>
      </w:r>
      <w:r>
        <w:rPr>
          <w:rFonts w:hint="eastAsia" w:hAnsi="宋体" w:cs="宋体"/>
          <w:color w:val="auto"/>
          <w:highlight w:val="none"/>
        </w:rPr>
        <w:t>款执行。</w:t>
      </w:r>
    </w:p>
    <w:p w14:paraId="096379C3">
      <w:pPr>
        <w:pStyle w:val="84"/>
        <w:spacing w:line="360" w:lineRule="auto"/>
        <w:ind w:firstLine="420" w:firstLineChars="200"/>
        <w:jc w:val="left"/>
        <w:rPr>
          <w:rFonts w:hAnsi="宋体" w:cs="宋体"/>
          <w:color w:val="auto"/>
          <w:highlight w:val="none"/>
        </w:rPr>
      </w:pPr>
      <w:r>
        <w:rPr>
          <w:rFonts w:hAnsi="宋体" w:cs="宋体"/>
          <w:color w:val="auto"/>
          <w:highlight w:val="none"/>
        </w:rPr>
        <w:t>e.</w:t>
      </w:r>
      <w:r>
        <w:rPr>
          <w:rFonts w:hint="eastAsia" w:hAnsi="宋体" w:cs="宋体"/>
          <w:color w:val="auto"/>
          <w:highlight w:val="none"/>
        </w:rPr>
        <w:t>国家和自治区政策性调整有关费用标准的，按文件规定执行。</w:t>
      </w:r>
    </w:p>
    <w:p w14:paraId="30802956">
      <w:pPr>
        <w:pStyle w:val="84"/>
        <w:spacing w:line="360" w:lineRule="auto"/>
        <w:ind w:firstLine="420" w:firstLineChars="200"/>
        <w:jc w:val="left"/>
        <w:rPr>
          <w:rFonts w:hAnsi="宋体" w:cs="宋体"/>
          <w:color w:val="auto"/>
          <w:highlight w:val="none"/>
        </w:rPr>
      </w:pPr>
      <w:r>
        <w:rPr>
          <w:rFonts w:hAnsi="宋体" w:cs="宋体"/>
          <w:color w:val="auto"/>
          <w:highlight w:val="none"/>
        </w:rPr>
        <w:t>f.</w:t>
      </w:r>
      <w:r>
        <w:rPr>
          <w:rFonts w:hint="eastAsia" w:hAnsi="宋体" w:cs="宋体"/>
          <w:color w:val="auto"/>
          <w:highlight w:val="none"/>
        </w:rPr>
        <w:t>无约定的参照我区现行《建设工程工程量清单计价规范》相关规定执行。</w:t>
      </w:r>
    </w:p>
    <w:p w14:paraId="2E2B9618">
      <w:pPr>
        <w:pStyle w:val="84"/>
        <w:keepNext/>
        <w:keepLines/>
        <w:spacing w:line="360" w:lineRule="auto"/>
        <w:ind w:firstLine="422"/>
        <w:outlineLvl w:val="2"/>
        <w:rPr>
          <w:rFonts w:eastAsia="黑体"/>
          <w:b/>
          <w:bCs/>
          <w:color w:val="auto"/>
          <w:szCs w:val="32"/>
          <w:highlight w:val="none"/>
        </w:rPr>
      </w:pPr>
      <w:bookmarkStart w:id="893" w:name="_Toc1843"/>
      <w:r>
        <w:rPr>
          <w:rFonts w:eastAsia="黑体"/>
          <w:b/>
          <w:bCs/>
          <w:color w:val="auto"/>
          <w:szCs w:val="32"/>
          <w:highlight w:val="none"/>
        </w:rPr>
        <w:t xml:space="preserve">12.2 </w:t>
      </w:r>
      <w:r>
        <w:rPr>
          <w:rFonts w:hint="eastAsia" w:hAnsi="宋体" w:eastAsia="黑体"/>
          <w:b/>
          <w:bCs/>
          <w:color w:val="auto"/>
          <w:szCs w:val="32"/>
          <w:highlight w:val="none"/>
        </w:rPr>
        <w:t>预付款</w:t>
      </w:r>
      <w:bookmarkEnd w:id="874"/>
      <w:bookmarkEnd w:id="875"/>
      <w:bookmarkEnd w:id="876"/>
      <w:bookmarkEnd w:id="893"/>
    </w:p>
    <w:bookmarkEnd w:id="877"/>
    <w:bookmarkEnd w:id="878"/>
    <w:bookmarkEnd w:id="879"/>
    <w:bookmarkEnd w:id="880"/>
    <w:bookmarkEnd w:id="881"/>
    <w:bookmarkEnd w:id="882"/>
    <w:p w14:paraId="1587AB44">
      <w:pPr>
        <w:pStyle w:val="84"/>
        <w:spacing w:line="360" w:lineRule="auto"/>
        <w:ind w:firstLine="420" w:firstLineChars="200"/>
        <w:jc w:val="left"/>
        <w:rPr>
          <w:color w:val="auto"/>
          <w:szCs w:val="21"/>
          <w:highlight w:val="none"/>
        </w:rPr>
      </w:pPr>
      <w:r>
        <w:rPr>
          <w:color w:val="auto"/>
          <w:szCs w:val="21"/>
          <w:highlight w:val="none"/>
        </w:rPr>
        <w:t xml:space="preserve">12.2.1 </w:t>
      </w:r>
      <w:r>
        <w:rPr>
          <w:rFonts w:hint="eastAsia" w:hAnsi="宋体"/>
          <w:color w:val="auto"/>
          <w:szCs w:val="21"/>
          <w:highlight w:val="none"/>
        </w:rPr>
        <w:t>预付款的支付</w:t>
      </w:r>
    </w:p>
    <w:p w14:paraId="674D2830">
      <w:pPr>
        <w:pStyle w:val="84"/>
        <w:spacing w:line="360" w:lineRule="auto"/>
        <w:ind w:firstLine="420" w:firstLineChars="200"/>
        <w:jc w:val="left"/>
        <w:rPr>
          <w:color w:val="auto"/>
          <w:szCs w:val="21"/>
          <w:highlight w:val="none"/>
        </w:rPr>
      </w:pPr>
      <w:bookmarkStart w:id="894" w:name="OLE_LINK106"/>
      <w:bookmarkStart w:id="895" w:name="OLE_LINK105"/>
      <w:r>
        <w:rPr>
          <w:rFonts w:hint="eastAsia" w:hAnsi="宋体"/>
          <w:color w:val="auto"/>
          <w:szCs w:val="21"/>
          <w:highlight w:val="none"/>
        </w:rPr>
        <w:t>预付款支付比例或金额：</w:t>
      </w:r>
      <w:r>
        <w:rPr>
          <w:rFonts w:hint="eastAsia"/>
          <w:color w:val="auto"/>
          <w:szCs w:val="21"/>
          <w:highlight w:val="none"/>
          <w:u w:val="single"/>
        </w:rPr>
        <w:t>合同价款（扣除暂列金额、安全文明施工费）的</w:t>
      </w:r>
      <w:r>
        <w:rPr>
          <w:color w:val="auto"/>
          <w:szCs w:val="21"/>
          <w:highlight w:val="none"/>
          <w:u w:val="single"/>
        </w:rPr>
        <w:t xml:space="preserve">30% </w:t>
      </w:r>
      <w:r>
        <w:rPr>
          <w:rFonts w:hint="eastAsia" w:hAnsi="宋体"/>
          <w:color w:val="auto"/>
          <w:szCs w:val="21"/>
          <w:highlight w:val="none"/>
        </w:rPr>
        <w:t>。</w:t>
      </w:r>
    </w:p>
    <w:p w14:paraId="714E220D">
      <w:pPr>
        <w:pStyle w:val="84"/>
        <w:spacing w:line="360" w:lineRule="auto"/>
        <w:ind w:firstLine="420" w:firstLineChars="200"/>
        <w:jc w:val="left"/>
        <w:rPr>
          <w:color w:val="auto"/>
          <w:szCs w:val="21"/>
          <w:highlight w:val="none"/>
        </w:rPr>
      </w:pPr>
      <w:r>
        <w:rPr>
          <w:rFonts w:hint="eastAsia" w:hAnsi="宋体"/>
          <w:color w:val="auto"/>
          <w:szCs w:val="21"/>
          <w:highlight w:val="none"/>
        </w:rPr>
        <w:t>预付款支付期限：</w:t>
      </w:r>
      <w:r>
        <w:rPr>
          <w:color w:val="auto"/>
          <w:szCs w:val="21"/>
          <w:highlight w:val="none"/>
          <w:u w:val="single"/>
        </w:rPr>
        <w:t xml:space="preserve"> </w:t>
      </w:r>
      <w:r>
        <w:rPr>
          <w:rFonts w:hint="eastAsia"/>
          <w:color w:val="auto"/>
          <w:szCs w:val="21"/>
          <w:highlight w:val="none"/>
          <w:u w:val="single"/>
        </w:rPr>
        <w:t>合同签订后</w:t>
      </w:r>
      <w:r>
        <w:rPr>
          <w:color w:val="auto"/>
          <w:szCs w:val="21"/>
          <w:highlight w:val="none"/>
          <w:u w:val="single"/>
        </w:rPr>
        <w:t>10</w:t>
      </w:r>
      <w:r>
        <w:rPr>
          <w:rFonts w:hint="eastAsia"/>
          <w:color w:val="auto"/>
          <w:szCs w:val="21"/>
          <w:highlight w:val="none"/>
          <w:u w:val="single"/>
        </w:rPr>
        <w:t>个工作日内支付</w:t>
      </w:r>
      <w:r>
        <w:rPr>
          <w:color w:val="auto"/>
          <w:szCs w:val="21"/>
          <w:highlight w:val="none"/>
          <w:u w:val="single"/>
        </w:rPr>
        <w:t xml:space="preserve"> </w:t>
      </w:r>
      <w:r>
        <w:rPr>
          <w:rFonts w:hint="eastAsia" w:hAnsi="宋体"/>
          <w:color w:val="auto"/>
          <w:szCs w:val="21"/>
          <w:highlight w:val="none"/>
        </w:rPr>
        <w:t>。</w:t>
      </w:r>
    </w:p>
    <w:p w14:paraId="03FF57B2">
      <w:pPr>
        <w:pStyle w:val="84"/>
        <w:spacing w:line="360" w:lineRule="auto"/>
        <w:ind w:firstLine="420" w:firstLineChars="200"/>
        <w:jc w:val="left"/>
        <w:rPr>
          <w:color w:val="auto"/>
          <w:highlight w:val="none"/>
          <w:u w:val="single"/>
        </w:rPr>
      </w:pPr>
      <w:r>
        <w:rPr>
          <w:rFonts w:hint="eastAsia" w:hAnsi="宋体"/>
          <w:color w:val="auto"/>
          <w:szCs w:val="21"/>
          <w:highlight w:val="none"/>
        </w:rPr>
        <w:t>预付款扣回的方式：</w:t>
      </w:r>
      <w:r>
        <w:rPr>
          <w:rFonts w:hint="eastAsia" w:ascii="宋体" w:hAnsi="宋体" w:cs="宋体"/>
          <w:color w:val="auto"/>
          <w:szCs w:val="21"/>
          <w:highlight w:val="none"/>
          <w:u w:val="single"/>
        </w:rPr>
        <w:t xml:space="preserve">预付款在进度付款证书的累计金额未达到签约合同价的30%之前不予扣回，在竣工验收合格后，支付至签约合同价（扣除暂列金额、安全文明施工费）的80%时一次性扣回 </w:t>
      </w:r>
      <w:r>
        <w:rPr>
          <w:rFonts w:hint="eastAsia"/>
          <w:color w:val="auto"/>
          <w:highlight w:val="none"/>
        </w:rPr>
        <w:t>。</w:t>
      </w:r>
      <w:bookmarkEnd w:id="894"/>
      <w:bookmarkEnd w:id="895"/>
    </w:p>
    <w:p w14:paraId="61CB3ED9">
      <w:pPr>
        <w:pStyle w:val="84"/>
        <w:spacing w:line="360" w:lineRule="auto"/>
        <w:ind w:firstLine="420" w:firstLineChars="200"/>
        <w:jc w:val="left"/>
        <w:rPr>
          <w:color w:val="auto"/>
          <w:szCs w:val="21"/>
          <w:highlight w:val="none"/>
        </w:rPr>
      </w:pPr>
      <w:r>
        <w:rPr>
          <w:color w:val="auto"/>
          <w:szCs w:val="21"/>
          <w:highlight w:val="none"/>
        </w:rPr>
        <w:t xml:space="preserve">12.2.2 </w:t>
      </w:r>
      <w:r>
        <w:rPr>
          <w:rFonts w:hint="eastAsia"/>
          <w:color w:val="auto"/>
          <w:szCs w:val="21"/>
          <w:highlight w:val="none"/>
        </w:rPr>
        <w:t>预付款担保</w:t>
      </w:r>
    </w:p>
    <w:bookmarkEnd w:id="883"/>
    <w:bookmarkEnd w:id="884"/>
    <w:bookmarkEnd w:id="885"/>
    <w:bookmarkEnd w:id="886"/>
    <w:bookmarkEnd w:id="887"/>
    <w:bookmarkEnd w:id="888"/>
    <w:bookmarkEnd w:id="889"/>
    <w:bookmarkEnd w:id="890"/>
    <w:bookmarkEnd w:id="891"/>
    <w:bookmarkEnd w:id="892"/>
    <w:p w14:paraId="5A6D56B2">
      <w:pPr>
        <w:pStyle w:val="84"/>
        <w:spacing w:line="360" w:lineRule="auto"/>
        <w:ind w:firstLine="420" w:firstLineChars="200"/>
        <w:jc w:val="left"/>
        <w:rPr>
          <w:color w:val="auto"/>
          <w:szCs w:val="21"/>
          <w:highlight w:val="none"/>
          <w:u w:val="single"/>
        </w:rPr>
      </w:pPr>
      <w:bookmarkStart w:id="896" w:name="_Toc373227751"/>
      <w:bookmarkStart w:id="897" w:name="_Toc389065316"/>
      <w:bookmarkStart w:id="898" w:name="_Toc373478398"/>
      <w:r>
        <w:rPr>
          <w:rFonts w:hint="eastAsia"/>
          <w:color w:val="auto"/>
          <w:szCs w:val="21"/>
          <w:highlight w:val="none"/>
        </w:rPr>
        <w:t>承包人提交预付款担保的期限：</w:t>
      </w:r>
      <w:r>
        <w:rPr>
          <w:rFonts w:hint="eastAsia"/>
          <w:color w:val="auto"/>
          <w:highlight w:val="none"/>
          <w:u w:val="single"/>
        </w:rPr>
        <w:t>承包人在发包人支付预付款前向发包人提交</w:t>
      </w:r>
      <w:r>
        <w:rPr>
          <w:color w:val="auto"/>
          <w:szCs w:val="21"/>
          <w:highlight w:val="none"/>
          <w:u w:val="single"/>
        </w:rPr>
        <w:t xml:space="preserve">  </w:t>
      </w:r>
      <w:r>
        <w:rPr>
          <w:rFonts w:hint="eastAsia"/>
          <w:color w:val="auto"/>
          <w:szCs w:val="21"/>
          <w:highlight w:val="none"/>
          <w:u w:val="single"/>
        </w:rPr>
        <w:t>。</w:t>
      </w:r>
    </w:p>
    <w:p w14:paraId="49FB0461">
      <w:pPr>
        <w:pStyle w:val="84"/>
        <w:spacing w:line="360" w:lineRule="auto"/>
        <w:ind w:firstLine="420" w:firstLineChars="200"/>
        <w:jc w:val="left"/>
        <w:rPr>
          <w:color w:val="auto"/>
          <w:szCs w:val="21"/>
          <w:highlight w:val="none"/>
          <w:u w:val="single"/>
        </w:rPr>
      </w:pPr>
      <w:r>
        <w:rPr>
          <w:rFonts w:hint="eastAsia"/>
          <w:color w:val="auto"/>
          <w:highlight w:val="none"/>
        </w:rPr>
        <w:t>预付款担保的有效期：</w:t>
      </w:r>
      <w:r>
        <w:rPr>
          <w:rFonts w:hint="eastAsia"/>
          <w:color w:val="auto"/>
          <w:highlight w:val="none"/>
          <w:u w:val="single"/>
        </w:rPr>
        <w:t>自预付款支付给承包人起生效，至预付款完全抵扣为止。</w:t>
      </w:r>
    </w:p>
    <w:p w14:paraId="3068A255">
      <w:pPr>
        <w:pStyle w:val="84"/>
        <w:spacing w:line="360" w:lineRule="auto"/>
        <w:ind w:firstLine="420" w:firstLineChars="200"/>
        <w:jc w:val="left"/>
        <w:rPr>
          <w:color w:val="auto"/>
          <w:szCs w:val="21"/>
          <w:highlight w:val="none"/>
        </w:rPr>
      </w:pPr>
      <w:r>
        <w:rPr>
          <w:rFonts w:hint="eastAsia"/>
          <w:color w:val="auto"/>
          <w:szCs w:val="21"/>
          <w:highlight w:val="none"/>
        </w:rPr>
        <w:t>预付款担保的形式为：</w:t>
      </w:r>
      <w:r>
        <w:rPr>
          <w:rFonts w:hint="eastAsia"/>
          <w:color w:val="auto"/>
          <w:highlight w:val="none"/>
          <w:u w:val="single"/>
        </w:rPr>
        <w:t>预付款担保可以是银行保函、担保、工程保证保险等方式。</w:t>
      </w:r>
    </w:p>
    <w:p w14:paraId="07720825">
      <w:pPr>
        <w:pStyle w:val="84"/>
        <w:spacing w:line="360" w:lineRule="auto"/>
        <w:ind w:firstLine="420" w:firstLineChars="200"/>
        <w:jc w:val="left"/>
        <w:rPr>
          <w:color w:val="auto"/>
          <w:highlight w:val="none"/>
        </w:rPr>
      </w:pPr>
      <w:r>
        <w:rPr>
          <w:rFonts w:hint="eastAsia"/>
          <w:color w:val="auto"/>
          <w:szCs w:val="21"/>
          <w:highlight w:val="none"/>
        </w:rPr>
        <w:t>预付款保函金额：</w:t>
      </w:r>
      <w:r>
        <w:rPr>
          <w:rFonts w:hint="eastAsia"/>
          <w:color w:val="auto"/>
          <w:highlight w:val="none"/>
          <w:u w:val="single"/>
        </w:rPr>
        <w:t>合同价款（扣除暂列金额、安全文明施工费）的</w:t>
      </w:r>
      <w:r>
        <w:rPr>
          <w:color w:val="auto"/>
          <w:highlight w:val="none"/>
          <w:u w:val="single"/>
        </w:rPr>
        <w:t xml:space="preserve">30% </w:t>
      </w:r>
      <w:r>
        <w:rPr>
          <w:rFonts w:hint="eastAsia"/>
          <w:color w:val="auto"/>
          <w:highlight w:val="none"/>
          <w:u w:val="single"/>
        </w:rPr>
        <w:t>。</w:t>
      </w:r>
    </w:p>
    <w:p w14:paraId="68861A68">
      <w:pPr>
        <w:pStyle w:val="84"/>
        <w:spacing w:line="360" w:lineRule="auto"/>
        <w:ind w:firstLine="420" w:firstLineChars="200"/>
        <w:jc w:val="left"/>
        <w:rPr>
          <w:color w:val="auto"/>
          <w:highlight w:val="none"/>
        </w:rPr>
      </w:pPr>
      <w:r>
        <w:rPr>
          <w:rFonts w:hint="eastAsia"/>
          <w:color w:val="auto"/>
          <w:highlight w:val="none"/>
        </w:rPr>
        <w:t>预付款担保格式见合同附件</w:t>
      </w:r>
      <w:r>
        <w:rPr>
          <w:color w:val="auto"/>
          <w:highlight w:val="none"/>
        </w:rPr>
        <w:t>8</w:t>
      </w:r>
      <w:r>
        <w:rPr>
          <w:rFonts w:hint="eastAsia"/>
          <w:color w:val="auto"/>
          <w:highlight w:val="none"/>
        </w:rPr>
        <w:t>。预付款支付申请（核准）表见合同附件</w:t>
      </w:r>
      <w:r>
        <w:rPr>
          <w:color w:val="auto"/>
          <w:highlight w:val="none"/>
        </w:rPr>
        <w:t>10</w:t>
      </w:r>
      <w:r>
        <w:rPr>
          <w:rFonts w:hint="eastAsia"/>
          <w:color w:val="auto"/>
          <w:highlight w:val="none"/>
        </w:rPr>
        <w:t>。</w:t>
      </w:r>
    </w:p>
    <w:p w14:paraId="06D72622">
      <w:pPr>
        <w:pStyle w:val="84"/>
        <w:keepNext/>
        <w:keepLines/>
        <w:spacing w:line="360" w:lineRule="auto"/>
        <w:ind w:firstLine="422"/>
        <w:outlineLvl w:val="2"/>
        <w:rPr>
          <w:rFonts w:eastAsia="黑体"/>
          <w:b/>
          <w:bCs/>
          <w:color w:val="auto"/>
          <w:szCs w:val="32"/>
          <w:highlight w:val="none"/>
        </w:rPr>
      </w:pPr>
      <w:bookmarkStart w:id="899" w:name="_Toc30134"/>
      <w:r>
        <w:rPr>
          <w:rFonts w:eastAsia="黑体"/>
          <w:b/>
          <w:bCs/>
          <w:color w:val="auto"/>
          <w:szCs w:val="32"/>
          <w:highlight w:val="none"/>
        </w:rPr>
        <w:t xml:space="preserve">12.3 </w:t>
      </w:r>
      <w:r>
        <w:rPr>
          <w:rFonts w:hint="eastAsia" w:hAnsi="宋体" w:eastAsia="黑体"/>
          <w:b/>
          <w:bCs/>
          <w:color w:val="auto"/>
          <w:szCs w:val="32"/>
          <w:highlight w:val="none"/>
        </w:rPr>
        <w:t>计量</w:t>
      </w:r>
      <w:bookmarkEnd w:id="896"/>
      <w:bookmarkEnd w:id="897"/>
      <w:bookmarkEnd w:id="898"/>
      <w:bookmarkEnd w:id="899"/>
    </w:p>
    <w:p w14:paraId="0551FF23">
      <w:pPr>
        <w:pStyle w:val="84"/>
        <w:spacing w:line="360" w:lineRule="auto"/>
        <w:ind w:firstLine="420" w:firstLineChars="200"/>
        <w:jc w:val="left"/>
        <w:rPr>
          <w:color w:val="auto"/>
          <w:szCs w:val="21"/>
          <w:highlight w:val="none"/>
        </w:rPr>
      </w:pPr>
      <w:r>
        <w:rPr>
          <w:color w:val="auto"/>
          <w:szCs w:val="21"/>
          <w:highlight w:val="none"/>
        </w:rPr>
        <w:t xml:space="preserve">12.3.1 </w:t>
      </w:r>
      <w:r>
        <w:rPr>
          <w:rFonts w:hint="eastAsia" w:hAnsi="宋体"/>
          <w:color w:val="auto"/>
          <w:szCs w:val="21"/>
          <w:highlight w:val="none"/>
        </w:rPr>
        <w:t>计量原则</w:t>
      </w:r>
    </w:p>
    <w:p w14:paraId="01D0722A">
      <w:pPr>
        <w:pStyle w:val="84"/>
        <w:spacing w:line="360" w:lineRule="auto"/>
        <w:ind w:firstLine="420" w:firstLineChars="200"/>
        <w:jc w:val="left"/>
        <w:rPr>
          <w:color w:val="auto"/>
          <w:szCs w:val="21"/>
          <w:highlight w:val="none"/>
        </w:rPr>
      </w:pPr>
      <w:r>
        <w:rPr>
          <w:rFonts w:hint="eastAsia" w:hAnsi="宋体"/>
          <w:color w:val="auto"/>
          <w:szCs w:val="21"/>
          <w:highlight w:val="none"/>
        </w:rPr>
        <w:t>工程量计算规则：</w:t>
      </w:r>
      <w:r>
        <w:rPr>
          <w:rFonts w:hint="eastAsia" w:hAnsi="宋体"/>
          <w:b/>
          <w:color w:val="auto"/>
          <w:szCs w:val="21"/>
          <w:highlight w:val="none"/>
          <w:u w:val="single"/>
        </w:rPr>
        <w:t>工程的计量均以《建设工程工程量清单计价规范》（</w:t>
      </w:r>
      <w:r>
        <w:rPr>
          <w:b/>
          <w:color w:val="auto"/>
          <w:szCs w:val="21"/>
          <w:highlight w:val="none"/>
          <w:u w:val="single"/>
        </w:rPr>
        <w:t>GB50500</w:t>
      </w:r>
      <w:r>
        <w:rPr>
          <w:rFonts w:hint="eastAsia" w:hAnsi="宋体"/>
          <w:b/>
          <w:color w:val="auto"/>
          <w:szCs w:val="21"/>
          <w:highlight w:val="none"/>
          <w:u w:val="single"/>
        </w:rPr>
        <w:t>－</w:t>
      </w:r>
      <w:r>
        <w:rPr>
          <w:b/>
          <w:color w:val="auto"/>
          <w:szCs w:val="21"/>
          <w:highlight w:val="none"/>
          <w:u w:val="single"/>
        </w:rPr>
        <w:t>2013</w:t>
      </w:r>
      <w:r>
        <w:rPr>
          <w:rFonts w:hint="eastAsia" w:hAnsi="宋体"/>
          <w:b/>
          <w:color w:val="auto"/>
          <w:szCs w:val="21"/>
          <w:highlight w:val="none"/>
          <w:u w:val="single"/>
        </w:rPr>
        <w:t>）和及其广西壮族自治区实施细则、《建设工程工程量清单计算规范》（</w:t>
      </w:r>
      <w:r>
        <w:rPr>
          <w:b/>
          <w:color w:val="auto"/>
          <w:szCs w:val="21"/>
          <w:highlight w:val="none"/>
          <w:u w:val="single"/>
        </w:rPr>
        <w:t>GB50854~50862</w:t>
      </w:r>
      <w:r>
        <w:rPr>
          <w:rFonts w:hint="eastAsia" w:hAnsi="宋体"/>
          <w:b/>
          <w:color w:val="auto"/>
          <w:szCs w:val="21"/>
          <w:highlight w:val="none"/>
          <w:u w:val="single"/>
        </w:rPr>
        <w:t>－</w:t>
      </w:r>
      <w:r>
        <w:rPr>
          <w:b/>
          <w:color w:val="auto"/>
          <w:szCs w:val="21"/>
          <w:highlight w:val="none"/>
          <w:u w:val="single"/>
        </w:rPr>
        <w:t>2013</w:t>
      </w:r>
      <w:r>
        <w:rPr>
          <w:rFonts w:hint="eastAsia" w:hAnsi="宋体"/>
          <w:b/>
          <w:color w:val="auto"/>
          <w:szCs w:val="21"/>
          <w:highlight w:val="none"/>
          <w:u w:val="single"/>
        </w:rPr>
        <w:t>）及其广西实施细则（修订本）、本工程补充项目清单为准，</w:t>
      </w:r>
      <w:r>
        <w:rPr>
          <w:rFonts w:hint="eastAsia" w:ascii="宋体" w:hAnsi="宋体" w:cs="宋体"/>
          <w:b/>
          <w:bCs/>
          <w:color w:val="auto"/>
          <w:szCs w:val="21"/>
          <w:highlight w:val="none"/>
          <w:u w:val="single"/>
        </w:rPr>
        <w:t>如有不明之处，应以造价管理部门指定的计量方法为准</w:t>
      </w:r>
      <w:r>
        <w:rPr>
          <w:rFonts w:hint="eastAsia" w:ascii="宋体" w:hAnsi="宋体" w:cs="宋体"/>
          <w:b/>
          <w:bCs/>
          <w:color w:val="auto"/>
          <w:szCs w:val="21"/>
          <w:highlight w:val="none"/>
        </w:rPr>
        <w:t>。</w:t>
      </w:r>
    </w:p>
    <w:p w14:paraId="3AF3210D">
      <w:pPr>
        <w:pStyle w:val="84"/>
        <w:spacing w:line="360" w:lineRule="auto"/>
        <w:ind w:firstLine="420" w:firstLineChars="200"/>
        <w:jc w:val="left"/>
        <w:rPr>
          <w:color w:val="auto"/>
          <w:szCs w:val="21"/>
          <w:highlight w:val="none"/>
        </w:rPr>
      </w:pPr>
      <w:r>
        <w:rPr>
          <w:color w:val="auto"/>
          <w:szCs w:val="21"/>
          <w:highlight w:val="none"/>
        </w:rPr>
        <w:t xml:space="preserve">12.3.2 </w:t>
      </w:r>
      <w:r>
        <w:rPr>
          <w:rFonts w:hint="eastAsia" w:hAnsi="宋体"/>
          <w:color w:val="auto"/>
          <w:szCs w:val="21"/>
          <w:highlight w:val="none"/>
        </w:rPr>
        <w:t>计量周期</w:t>
      </w:r>
    </w:p>
    <w:p w14:paraId="0073CE48">
      <w:pPr>
        <w:pStyle w:val="84"/>
        <w:spacing w:line="360" w:lineRule="auto"/>
        <w:ind w:firstLine="420" w:firstLineChars="200"/>
        <w:jc w:val="left"/>
        <w:rPr>
          <w:color w:val="auto"/>
          <w:szCs w:val="21"/>
          <w:highlight w:val="none"/>
        </w:rPr>
      </w:pPr>
      <w:r>
        <w:rPr>
          <w:rFonts w:hint="eastAsia" w:hAnsi="宋体"/>
          <w:color w:val="auto"/>
          <w:szCs w:val="21"/>
          <w:highlight w:val="none"/>
        </w:rPr>
        <w:t>关于计量周期的约定：</w:t>
      </w:r>
      <w:r>
        <w:rPr>
          <w:rFonts w:hint="eastAsia" w:hAnsi="宋体"/>
          <w:color w:val="auto"/>
          <w:szCs w:val="21"/>
          <w:highlight w:val="none"/>
          <w:u w:val="single"/>
        </w:rPr>
        <w:t>每月</w:t>
      </w:r>
      <w:r>
        <w:rPr>
          <w:color w:val="auto"/>
          <w:szCs w:val="21"/>
          <w:highlight w:val="none"/>
          <w:u w:val="single"/>
        </w:rPr>
        <w:t>25</w:t>
      </w:r>
      <w:r>
        <w:rPr>
          <w:rFonts w:hint="eastAsia" w:hAnsi="宋体"/>
          <w:color w:val="auto"/>
          <w:szCs w:val="21"/>
          <w:highlight w:val="none"/>
          <w:u w:val="single"/>
        </w:rPr>
        <w:t>日前</w:t>
      </w:r>
      <w:r>
        <w:rPr>
          <w:rFonts w:hint="eastAsia" w:hAnsi="宋体"/>
          <w:color w:val="auto"/>
          <w:szCs w:val="21"/>
          <w:highlight w:val="none"/>
        </w:rPr>
        <w:t>。</w:t>
      </w:r>
    </w:p>
    <w:p w14:paraId="344EEA45">
      <w:pPr>
        <w:pStyle w:val="84"/>
        <w:spacing w:line="360" w:lineRule="auto"/>
        <w:ind w:firstLine="420" w:firstLineChars="200"/>
        <w:jc w:val="left"/>
        <w:rPr>
          <w:color w:val="auto"/>
          <w:szCs w:val="21"/>
          <w:highlight w:val="none"/>
        </w:rPr>
      </w:pPr>
      <w:r>
        <w:rPr>
          <w:color w:val="auto"/>
          <w:szCs w:val="21"/>
          <w:highlight w:val="none"/>
        </w:rPr>
        <w:t xml:space="preserve">12.3.3 </w:t>
      </w:r>
      <w:r>
        <w:rPr>
          <w:rFonts w:hint="eastAsia" w:hAnsi="宋体"/>
          <w:color w:val="auto"/>
          <w:szCs w:val="21"/>
          <w:highlight w:val="none"/>
        </w:rPr>
        <w:t>单价合同的计量</w:t>
      </w:r>
    </w:p>
    <w:p w14:paraId="5A9832FE">
      <w:pPr>
        <w:pStyle w:val="84"/>
        <w:spacing w:line="360" w:lineRule="auto"/>
        <w:ind w:firstLine="420" w:firstLineChars="200"/>
        <w:jc w:val="left"/>
        <w:rPr>
          <w:color w:val="auto"/>
          <w:szCs w:val="21"/>
          <w:highlight w:val="none"/>
        </w:rPr>
      </w:pPr>
      <w:r>
        <w:rPr>
          <w:rFonts w:hint="eastAsia" w:hAnsi="宋体"/>
          <w:color w:val="auto"/>
          <w:szCs w:val="21"/>
          <w:highlight w:val="none"/>
        </w:rPr>
        <w:t>关于单价合同计量的约定：</w:t>
      </w:r>
    </w:p>
    <w:p w14:paraId="3BA21A23">
      <w:pPr>
        <w:pStyle w:val="84"/>
        <w:spacing w:line="360" w:lineRule="auto"/>
        <w:ind w:firstLine="441" w:firstLineChars="210"/>
        <w:rPr>
          <w:color w:val="auto"/>
          <w:szCs w:val="21"/>
          <w:highlight w:val="none"/>
        </w:rPr>
      </w:pPr>
      <w:r>
        <w:rPr>
          <w:color w:val="auto"/>
          <w:szCs w:val="21"/>
          <w:highlight w:val="none"/>
        </w:rPr>
        <w:t xml:space="preserve">(1) </w:t>
      </w:r>
      <w:r>
        <w:rPr>
          <w:rFonts w:hint="eastAsia" w:hAnsi="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5D0E731C">
      <w:pPr>
        <w:pStyle w:val="84"/>
        <w:spacing w:line="360" w:lineRule="auto"/>
        <w:ind w:firstLine="441" w:firstLineChars="210"/>
        <w:rPr>
          <w:color w:val="auto"/>
          <w:szCs w:val="21"/>
          <w:highlight w:val="none"/>
        </w:rPr>
      </w:pPr>
      <w:r>
        <w:rPr>
          <w:color w:val="auto"/>
          <w:szCs w:val="21"/>
          <w:highlight w:val="none"/>
        </w:rPr>
        <w:t xml:space="preserve">(2) </w:t>
      </w:r>
      <w:r>
        <w:rPr>
          <w:rFonts w:hint="eastAsia" w:hAnsi="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46DCD577">
      <w:pPr>
        <w:pStyle w:val="84"/>
        <w:spacing w:line="360" w:lineRule="auto"/>
        <w:ind w:firstLine="420" w:firstLineChars="200"/>
        <w:jc w:val="left"/>
        <w:rPr>
          <w:color w:val="auto"/>
          <w:szCs w:val="21"/>
          <w:highlight w:val="none"/>
        </w:rPr>
      </w:pPr>
      <w:r>
        <w:rPr>
          <w:color w:val="auto"/>
          <w:szCs w:val="21"/>
          <w:highlight w:val="none"/>
        </w:rPr>
        <w:t xml:space="preserve">12.3.4 </w:t>
      </w:r>
      <w:r>
        <w:rPr>
          <w:rFonts w:hint="eastAsia" w:hAnsi="宋体"/>
          <w:color w:val="auto"/>
          <w:szCs w:val="21"/>
          <w:highlight w:val="none"/>
        </w:rPr>
        <w:t>总价合同的计量</w:t>
      </w:r>
    </w:p>
    <w:p w14:paraId="0BC7C696">
      <w:pPr>
        <w:pStyle w:val="84"/>
        <w:spacing w:line="360" w:lineRule="auto"/>
        <w:ind w:firstLine="420" w:firstLineChars="200"/>
        <w:jc w:val="left"/>
        <w:rPr>
          <w:rFonts w:cs="宋体"/>
          <w:color w:val="auto"/>
          <w:highlight w:val="none"/>
        </w:rPr>
      </w:pPr>
      <w:r>
        <w:rPr>
          <w:rFonts w:hint="eastAsia" w:hAnsi="宋体" w:cs="宋体"/>
          <w:color w:val="auto"/>
          <w:highlight w:val="none"/>
        </w:rPr>
        <w:t>（</w:t>
      </w:r>
      <w:r>
        <w:rPr>
          <w:rFonts w:hAnsi="宋体" w:cs="宋体"/>
          <w:color w:val="auto"/>
          <w:highlight w:val="none"/>
        </w:rPr>
        <w:t>1</w:t>
      </w:r>
      <w:r>
        <w:rPr>
          <w:rFonts w:hint="eastAsia" w:hAnsi="宋体" w:cs="宋体"/>
          <w:color w:val="auto"/>
          <w:highlight w:val="none"/>
        </w:rPr>
        <w:t>）总价合同计量约定：进度款按支付分解表支付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w:t>
      </w:r>
      <w:r>
        <w:rPr>
          <w:rFonts w:cs="宋体"/>
          <w:color w:val="auto"/>
          <w:highlight w:val="none"/>
        </w:rPr>
        <w:t>12.4.6</w:t>
      </w:r>
      <w:r>
        <w:rPr>
          <w:rFonts w:hint="eastAsia" w:cs="宋体"/>
          <w:color w:val="auto"/>
          <w:highlight w:val="none"/>
        </w:rPr>
        <w:t>。</w:t>
      </w:r>
    </w:p>
    <w:p w14:paraId="2686F7FC">
      <w:pPr>
        <w:pStyle w:val="84"/>
        <w:spacing w:line="360" w:lineRule="auto"/>
        <w:ind w:firstLine="420" w:firstLineChars="200"/>
        <w:jc w:val="left"/>
        <w:rPr>
          <w:color w:val="auto"/>
          <w:szCs w:val="21"/>
          <w:highlight w:val="none"/>
        </w:rPr>
      </w:pPr>
      <w:r>
        <w:rPr>
          <w:color w:val="auto"/>
          <w:szCs w:val="21"/>
          <w:highlight w:val="none"/>
        </w:rPr>
        <w:t xml:space="preserve">12.3.6 </w:t>
      </w:r>
      <w:r>
        <w:rPr>
          <w:rFonts w:hint="eastAsia" w:hAnsi="宋体"/>
          <w:color w:val="auto"/>
          <w:szCs w:val="21"/>
          <w:highlight w:val="none"/>
        </w:rPr>
        <w:t>其他价格形式合同的计量</w:t>
      </w:r>
    </w:p>
    <w:p w14:paraId="171C85FD">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其他价格形式的计量方式和程序：</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76083BA8">
      <w:pPr>
        <w:pStyle w:val="84"/>
        <w:keepNext/>
        <w:keepLines/>
        <w:spacing w:line="360" w:lineRule="auto"/>
        <w:ind w:firstLine="422"/>
        <w:outlineLvl w:val="2"/>
        <w:rPr>
          <w:rFonts w:eastAsia="黑体"/>
          <w:b/>
          <w:bCs/>
          <w:color w:val="auto"/>
          <w:szCs w:val="32"/>
          <w:highlight w:val="none"/>
        </w:rPr>
      </w:pPr>
      <w:bookmarkStart w:id="900" w:name="_Toc23445"/>
      <w:bookmarkStart w:id="901" w:name="_Toc389065317"/>
      <w:bookmarkStart w:id="902" w:name="_Toc373478399"/>
      <w:bookmarkStart w:id="903" w:name="_Toc373227752"/>
      <w:r>
        <w:rPr>
          <w:rFonts w:eastAsia="黑体"/>
          <w:b/>
          <w:bCs/>
          <w:color w:val="auto"/>
          <w:szCs w:val="32"/>
          <w:highlight w:val="none"/>
        </w:rPr>
        <w:t xml:space="preserve">12.4 </w:t>
      </w:r>
      <w:r>
        <w:rPr>
          <w:rFonts w:hint="eastAsia" w:eastAsia="黑体"/>
          <w:b/>
          <w:bCs/>
          <w:color w:val="auto"/>
          <w:szCs w:val="32"/>
          <w:highlight w:val="none"/>
        </w:rPr>
        <w:t>工程进度款支付</w:t>
      </w:r>
      <w:bookmarkEnd w:id="900"/>
      <w:bookmarkEnd w:id="901"/>
      <w:bookmarkEnd w:id="902"/>
      <w:bookmarkEnd w:id="903"/>
    </w:p>
    <w:p w14:paraId="5D6B79D5">
      <w:pPr>
        <w:pStyle w:val="77"/>
        <w:spacing w:line="360" w:lineRule="auto"/>
        <w:ind w:firstLine="420" w:firstLineChars="200"/>
        <w:jc w:val="left"/>
        <w:rPr>
          <w:b/>
          <w:bCs/>
          <w:color w:val="auto"/>
          <w:highlight w:val="none"/>
          <w:u w:val="single"/>
          <w:shd w:val="clear" w:color="auto" w:fill="FFFFFF"/>
        </w:rPr>
      </w:pPr>
      <w:bookmarkStart w:id="904" w:name="_Toc303539163"/>
      <w:bookmarkStart w:id="905" w:name="_Toc297048397"/>
      <w:bookmarkStart w:id="906" w:name="_Toc296346712"/>
      <w:bookmarkStart w:id="907" w:name="_Toc297216215"/>
      <w:bookmarkStart w:id="908" w:name="_Toc292559416"/>
      <w:bookmarkStart w:id="909" w:name="_Toc297120511"/>
      <w:bookmarkStart w:id="910" w:name="_Toc296891039"/>
      <w:bookmarkStart w:id="911" w:name="_Toc296891251"/>
      <w:bookmarkStart w:id="912" w:name="_Toc296347210"/>
      <w:bookmarkStart w:id="913" w:name="_Toc296944550"/>
      <w:bookmarkStart w:id="914" w:name="_Toc297123556"/>
      <w:bookmarkStart w:id="915" w:name="_Toc300935006"/>
      <w:bookmarkStart w:id="916" w:name="_Toc292559921"/>
      <w:bookmarkStart w:id="917" w:name="_Toc296503211"/>
      <w:r>
        <w:rPr>
          <w:color w:val="auto"/>
          <w:szCs w:val="21"/>
          <w:highlight w:val="none"/>
        </w:rPr>
        <w:t xml:space="preserve">12.4.1 </w:t>
      </w:r>
      <w:bookmarkStart w:id="918" w:name="OLE_LINK103"/>
      <w:bookmarkStart w:id="919" w:name="OLE_LINK104"/>
      <w:r>
        <w:rPr>
          <w:rFonts w:hint="eastAsia" w:hAnsi="宋体"/>
          <w:color w:val="auto"/>
          <w:szCs w:val="21"/>
          <w:highlight w:val="none"/>
        </w:rPr>
        <w:t>付款周期：</w:t>
      </w:r>
      <w:r>
        <w:rPr>
          <w:rFonts w:hint="eastAsia" w:ascii="宋体" w:hAnsi="宋体" w:cs="宋体"/>
          <w:b/>
          <w:bCs/>
          <w:color w:val="auto"/>
          <w:szCs w:val="21"/>
          <w:highlight w:val="none"/>
        </w:rPr>
        <w:t>工程款按进度申请支付；竣工验收合格后，合同内进度款支付至签约合同价（扣除暂列金额、安全文明施工费）的80%，工程变更部分属于合同外于</w:t>
      </w:r>
      <w:r>
        <w:rPr>
          <w:rFonts w:hint="eastAsia"/>
          <w:b/>
          <w:bCs/>
          <w:color w:val="auto"/>
          <w:highlight w:val="none"/>
        </w:rPr>
        <w:t>竣工结算审定后</w:t>
      </w:r>
      <w:r>
        <w:rPr>
          <w:rFonts w:hint="eastAsia" w:ascii="宋体" w:hAnsi="宋体" w:cs="宋体"/>
          <w:b/>
          <w:bCs/>
          <w:color w:val="auto"/>
          <w:szCs w:val="21"/>
          <w:highlight w:val="none"/>
        </w:rPr>
        <w:t>付清；办理最终工程竣工结算并经财政投资评审中心（如需要）或发包人委托的具有工程造价咨询资质单位审定后</w:t>
      </w:r>
      <w:r>
        <w:rPr>
          <w:rFonts w:hint="eastAsia" w:ascii="宋体" w:hAnsi="宋体"/>
          <w:b/>
          <w:bCs/>
          <w:color w:val="auto"/>
          <w:szCs w:val="21"/>
          <w:highlight w:val="none"/>
        </w:rPr>
        <w:t>，承包人按工程款结算总价的3%向发包人缴纳工程质量保修金（发包人待工程</w:t>
      </w:r>
      <w:r>
        <w:rPr>
          <w:rFonts w:hint="eastAsia"/>
          <w:b/>
          <w:bCs/>
          <w:color w:val="auto"/>
          <w:highlight w:val="none"/>
        </w:rPr>
        <w:t>质量保修期</w:t>
      </w:r>
      <w:r>
        <w:rPr>
          <w:rFonts w:hint="eastAsia" w:ascii="宋体" w:hAnsi="宋体"/>
          <w:b/>
          <w:bCs/>
          <w:color w:val="auto"/>
          <w:szCs w:val="21"/>
          <w:highlight w:val="none"/>
        </w:rPr>
        <w:t>满后无息返还），承包人提交完整合格的竣工备案资料给发包人后</w:t>
      </w:r>
      <w:r>
        <w:rPr>
          <w:rFonts w:hint="eastAsia" w:ascii="宋体" w:hAnsi="宋体" w:cs="宋体"/>
          <w:b/>
          <w:bCs/>
          <w:color w:val="auto"/>
          <w:szCs w:val="21"/>
          <w:highlight w:val="none"/>
        </w:rPr>
        <w:t>15天内工程款支付至结算总价的100%。工程款支付前承包人向发包人提供相关合格有效的增值税专用发票，承包人未及时提供上述发票及支付证书或提供的材料不符合要求的，发包人不予付款且无需承担逾期付款责任。如发包人未按合同约定支付工程进度款，承包人有权停止施工，所产生的一切损失由发包人承担。</w:t>
      </w:r>
      <w:bookmarkEnd w:id="918"/>
      <w:bookmarkEnd w:id="919"/>
    </w:p>
    <w:p w14:paraId="6B272667">
      <w:pPr>
        <w:pStyle w:val="84"/>
        <w:spacing w:line="360" w:lineRule="auto"/>
        <w:ind w:firstLine="420" w:firstLineChars="200"/>
        <w:jc w:val="left"/>
        <w:rPr>
          <w:color w:val="auto"/>
          <w:szCs w:val="21"/>
          <w:highlight w:val="none"/>
        </w:rPr>
      </w:pPr>
      <w:r>
        <w:rPr>
          <w:color w:val="auto"/>
          <w:szCs w:val="21"/>
          <w:highlight w:val="none"/>
        </w:rPr>
        <w:t xml:space="preserve">12.4.2 </w:t>
      </w:r>
      <w:r>
        <w:rPr>
          <w:rFonts w:hint="eastAsia" w:hAnsi="宋体"/>
          <w:color w:val="auto"/>
          <w:szCs w:val="21"/>
          <w:highlight w:val="none"/>
        </w:rPr>
        <w:t>进度付款申请单的编制</w:t>
      </w:r>
    </w:p>
    <w:p w14:paraId="4B89FA29">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关于进度付款申请单编制的约定：</w:t>
      </w:r>
      <w:r>
        <w:rPr>
          <w:rFonts w:hAnsi="宋体"/>
          <w:color w:val="auto"/>
          <w:szCs w:val="21"/>
          <w:highlight w:val="none"/>
          <w:u w:val="single"/>
        </w:rPr>
        <w:t xml:space="preserve">  </w:t>
      </w:r>
      <w:r>
        <w:rPr>
          <w:rFonts w:hint="eastAsia" w:hAnsi="宋体"/>
          <w:color w:val="auto"/>
          <w:szCs w:val="21"/>
          <w:highlight w:val="none"/>
          <w:u w:val="single"/>
        </w:rPr>
        <w:t>按发包人要求版本进行编制</w:t>
      </w:r>
      <w:r>
        <w:rPr>
          <w:rFonts w:hAnsi="宋体"/>
          <w:color w:val="auto"/>
          <w:szCs w:val="21"/>
          <w:highlight w:val="none"/>
          <w:u w:val="single"/>
        </w:rPr>
        <w:t xml:space="preserve">  </w:t>
      </w:r>
      <w:r>
        <w:rPr>
          <w:rFonts w:hint="eastAsia" w:hAnsi="宋体"/>
          <w:color w:val="auto"/>
          <w:szCs w:val="21"/>
          <w:highlight w:val="none"/>
          <w:u w:val="single"/>
        </w:rPr>
        <w:t>。</w:t>
      </w:r>
    </w:p>
    <w:p w14:paraId="3CEA70B9">
      <w:pPr>
        <w:pStyle w:val="84"/>
        <w:spacing w:line="360" w:lineRule="auto"/>
        <w:ind w:firstLine="420" w:firstLineChars="200"/>
        <w:jc w:val="left"/>
        <w:rPr>
          <w:color w:val="auto"/>
          <w:szCs w:val="21"/>
          <w:highlight w:val="none"/>
        </w:rPr>
      </w:pPr>
      <w:r>
        <w:rPr>
          <w:color w:val="auto"/>
          <w:szCs w:val="21"/>
          <w:highlight w:val="none"/>
        </w:rPr>
        <w:t>1</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auto"/>
          <w:szCs w:val="21"/>
          <w:highlight w:val="none"/>
        </w:rPr>
        <w:t xml:space="preserve">2.4.3 </w:t>
      </w:r>
      <w:r>
        <w:rPr>
          <w:rFonts w:hint="eastAsia" w:hAnsi="宋体"/>
          <w:color w:val="auto"/>
          <w:szCs w:val="21"/>
          <w:highlight w:val="none"/>
        </w:rPr>
        <w:t>进度付款申请单的提交</w:t>
      </w:r>
    </w:p>
    <w:p w14:paraId="79E5FD62">
      <w:pPr>
        <w:pStyle w:val="84"/>
        <w:spacing w:line="360" w:lineRule="auto"/>
        <w:ind w:firstLine="420" w:firstLineChars="200"/>
        <w:jc w:val="left"/>
        <w:rPr>
          <w:b/>
          <w:bCs/>
          <w:color w:val="auto"/>
          <w:szCs w:val="21"/>
          <w:highlight w:val="none"/>
          <w:u w:val="singl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）单价合同进度付款申请单提交的约定：</w:t>
      </w:r>
      <w:r>
        <w:rPr>
          <w:rFonts w:hint="eastAsia"/>
          <w:color w:val="auto"/>
          <w:highlight w:val="none"/>
          <w:u w:val="single"/>
        </w:rPr>
        <w:t>承包人应配合发包人提供以下资料：</w:t>
      </w:r>
      <w:r>
        <w:rPr>
          <w:rFonts w:hint="eastAsia" w:ascii="宋体" w:hAnsi="宋体" w:cs="宋体"/>
          <w:color w:val="auto"/>
          <w:highlight w:val="none"/>
          <w:u w:val="single"/>
        </w:rPr>
        <w:t>①</w:t>
      </w:r>
      <w:r>
        <w:rPr>
          <w:rFonts w:hint="eastAsia"/>
          <w:color w:val="auto"/>
          <w:highlight w:val="none"/>
          <w:u w:val="single"/>
        </w:rPr>
        <w:t>《工程用款支付证书》；</w:t>
      </w:r>
      <w:r>
        <w:rPr>
          <w:rFonts w:hint="eastAsia" w:ascii="宋体" w:hAnsi="宋体" w:cs="宋体"/>
          <w:color w:val="auto"/>
          <w:highlight w:val="none"/>
          <w:u w:val="single"/>
        </w:rPr>
        <w:t>②</w:t>
      </w:r>
      <w:r>
        <w:rPr>
          <w:rFonts w:hint="eastAsia"/>
          <w:bCs/>
          <w:color w:val="auto"/>
          <w:szCs w:val="21"/>
          <w:highlight w:val="none"/>
          <w:u w:val="single"/>
        </w:rPr>
        <w:t>工程量计量报表；</w:t>
      </w:r>
      <w:r>
        <w:rPr>
          <w:rFonts w:hint="eastAsia" w:ascii="宋体" w:hAnsi="宋体" w:cs="宋体"/>
          <w:bCs/>
          <w:color w:val="auto"/>
          <w:szCs w:val="21"/>
          <w:highlight w:val="none"/>
          <w:u w:val="single"/>
        </w:rPr>
        <w:t>③</w:t>
      </w:r>
      <w:r>
        <w:rPr>
          <w:rFonts w:hint="eastAsia"/>
          <w:color w:val="auto"/>
          <w:highlight w:val="none"/>
          <w:u w:val="single"/>
        </w:rPr>
        <w:t>其他需要补充说明的材料</w:t>
      </w:r>
      <w:r>
        <w:rPr>
          <w:rFonts w:hint="eastAsia" w:hAnsi="宋体"/>
          <w:color w:val="auto"/>
          <w:szCs w:val="21"/>
          <w:highlight w:val="none"/>
        </w:rPr>
        <w:t>。</w:t>
      </w:r>
    </w:p>
    <w:p w14:paraId="42CE3DCC">
      <w:pPr>
        <w:pStyle w:val="84"/>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）总价合同进度付款申请单提交的约定：</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4A9DBBF9">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）其他价格形式合同进度付款申请单提交的约定：</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468CF50D">
      <w:pPr>
        <w:pStyle w:val="84"/>
        <w:spacing w:line="360" w:lineRule="auto"/>
        <w:ind w:firstLine="420" w:firstLineChars="200"/>
        <w:jc w:val="left"/>
        <w:rPr>
          <w:color w:val="auto"/>
          <w:szCs w:val="21"/>
          <w:highlight w:val="none"/>
        </w:rPr>
      </w:pPr>
      <w:r>
        <w:rPr>
          <w:color w:val="auto"/>
          <w:szCs w:val="21"/>
          <w:highlight w:val="none"/>
        </w:rPr>
        <w:t xml:space="preserve">12.4.4 </w:t>
      </w:r>
      <w:r>
        <w:rPr>
          <w:rFonts w:hint="eastAsia" w:hAnsi="宋体"/>
          <w:color w:val="auto"/>
          <w:szCs w:val="21"/>
          <w:highlight w:val="none"/>
        </w:rPr>
        <w:t>进度款审核和支付</w:t>
      </w:r>
    </w:p>
    <w:p w14:paraId="7DD3F602">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）监理人审查并报送发包人的期限：</w:t>
      </w:r>
      <w:r>
        <w:rPr>
          <w:color w:val="auto"/>
          <w:szCs w:val="21"/>
          <w:highlight w:val="none"/>
          <w:u w:val="single"/>
        </w:rPr>
        <w:t xml:space="preserve">  </w:t>
      </w:r>
      <w:r>
        <w:rPr>
          <w:rFonts w:hint="eastAsia"/>
          <w:color w:val="auto"/>
          <w:szCs w:val="21"/>
          <w:highlight w:val="none"/>
          <w:u w:val="single"/>
        </w:rPr>
        <w:t>监理人应在收到承包人进度付款申请单以及相关资料后</w:t>
      </w:r>
      <w:r>
        <w:rPr>
          <w:color w:val="auto"/>
          <w:szCs w:val="21"/>
          <w:highlight w:val="none"/>
          <w:u w:val="single"/>
        </w:rPr>
        <w:t>5</w:t>
      </w:r>
      <w:r>
        <w:rPr>
          <w:rFonts w:hint="eastAsia"/>
          <w:color w:val="auto"/>
          <w:szCs w:val="21"/>
          <w:highlight w:val="none"/>
          <w:u w:val="single"/>
        </w:rPr>
        <w:t>天内完成审查并报送发包人</w:t>
      </w:r>
      <w:r>
        <w:rPr>
          <w:rFonts w:hint="eastAsia" w:hAnsi="宋体"/>
          <w:color w:val="auto"/>
          <w:szCs w:val="21"/>
          <w:highlight w:val="none"/>
        </w:rPr>
        <w:t>。</w:t>
      </w:r>
    </w:p>
    <w:p w14:paraId="56DE1FA0">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发包人完成审批并签发进度款支付证书的期限：</w:t>
      </w:r>
      <w:r>
        <w:rPr>
          <w:color w:val="auto"/>
          <w:szCs w:val="21"/>
          <w:highlight w:val="none"/>
          <w:u w:val="single"/>
        </w:rPr>
        <w:t xml:space="preserve">  </w:t>
      </w:r>
      <w:r>
        <w:rPr>
          <w:rFonts w:hint="eastAsia"/>
          <w:color w:val="auto"/>
          <w:szCs w:val="21"/>
          <w:highlight w:val="none"/>
          <w:u w:val="single"/>
        </w:rPr>
        <w:t>发包人应在收到后</w:t>
      </w:r>
      <w:r>
        <w:rPr>
          <w:color w:val="auto"/>
          <w:szCs w:val="21"/>
          <w:highlight w:val="none"/>
          <w:u w:val="single"/>
        </w:rPr>
        <w:t>7</w:t>
      </w:r>
      <w:r>
        <w:rPr>
          <w:rFonts w:hint="eastAsia"/>
          <w:color w:val="auto"/>
          <w:szCs w:val="21"/>
          <w:highlight w:val="none"/>
          <w:u w:val="single"/>
        </w:rPr>
        <w:t>个工作日内完成审批并签发进度款支付证书</w:t>
      </w:r>
      <w:r>
        <w:rPr>
          <w:color w:val="auto"/>
          <w:szCs w:val="21"/>
          <w:highlight w:val="none"/>
          <w:u w:val="single"/>
        </w:rPr>
        <w:t xml:space="preserve">  </w:t>
      </w:r>
      <w:r>
        <w:rPr>
          <w:rFonts w:hint="eastAsia" w:hAnsi="宋体"/>
          <w:color w:val="auto"/>
          <w:szCs w:val="21"/>
          <w:highlight w:val="none"/>
        </w:rPr>
        <w:t>。</w:t>
      </w:r>
    </w:p>
    <w:p w14:paraId="72FF22FE">
      <w:pPr>
        <w:pStyle w:val="84"/>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）发包人支付进度款的期限：</w:t>
      </w:r>
      <w:r>
        <w:rPr>
          <w:color w:val="auto"/>
          <w:szCs w:val="21"/>
          <w:highlight w:val="none"/>
          <w:u w:val="single"/>
        </w:rPr>
        <w:t xml:space="preserve">  </w:t>
      </w:r>
      <w:r>
        <w:rPr>
          <w:rFonts w:hint="eastAsia"/>
          <w:color w:val="auto"/>
          <w:szCs w:val="21"/>
          <w:highlight w:val="none"/>
          <w:u w:val="single"/>
        </w:rPr>
        <w:t>发包人应在进度款支付证书或临时进度款支付证书签发后，且收到承包人完税发票</w:t>
      </w:r>
      <w:r>
        <w:rPr>
          <w:color w:val="auto"/>
          <w:szCs w:val="21"/>
          <w:highlight w:val="none"/>
          <w:u w:val="single"/>
        </w:rPr>
        <w:t>14</w:t>
      </w:r>
      <w:r>
        <w:rPr>
          <w:rFonts w:hint="eastAsia"/>
          <w:color w:val="auto"/>
          <w:szCs w:val="21"/>
          <w:highlight w:val="none"/>
          <w:u w:val="single"/>
        </w:rPr>
        <w:t>天内完成支付</w:t>
      </w:r>
      <w:r>
        <w:rPr>
          <w:color w:val="auto"/>
          <w:szCs w:val="21"/>
          <w:highlight w:val="none"/>
          <w:u w:val="single"/>
        </w:rPr>
        <w:t xml:space="preserve">  </w:t>
      </w:r>
      <w:r>
        <w:rPr>
          <w:rFonts w:hint="eastAsia" w:hAnsi="宋体"/>
          <w:color w:val="auto"/>
          <w:szCs w:val="21"/>
          <w:highlight w:val="none"/>
        </w:rPr>
        <w:t>。</w:t>
      </w:r>
    </w:p>
    <w:p w14:paraId="4CEB581B">
      <w:pPr>
        <w:pStyle w:val="84"/>
        <w:spacing w:line="360" w:lineRule="auto"/>
        <w:ind w:firstLine="420" w:firstLineChars="200"/>
        <w:rPr>
          <w:color w:val="auto"/>
          <w:szCs w:val="32"/>
          <w:highlight w:val="none"/>
          <w:u w:val="single"/>
        </w:rPr>
      </w:pPr>
    </w:p>
    <w:p w14:paraId="3F0419FD">
      <w:pPr>
        <w:pStyle w:val="84"/>
        <w:spacing w:line="360" w:lineRule="auto"/>
        <w:ind w:firstLine="525" w:firstLineChars="250"/>
        <w:jc w:val="left"/>
        <w:rPr>
          <w:color w:val="auto"/>
          <w:szCs w:val="21"/>
          <w:highlight w:val="none"/>
          <w:u w:val="single"/>
        </w:rPr>
      </w:pPr>
      <w:r>
        <w:rPr>
          <w:rFonts w:hint="eastAsia" w:hAnsi="宋体"/>
          <w:color w:val="auto"/>
          <w:szCs w:val="21"/>
          <w:highlight w:val="none"/>
        </w:rPr>
        <w:t>进度款支付方式：</w:t>
      </w:r>
      <w:r>
        <w:rPr>
          <w:rFonts w:hint="eastAsia" w:hAnsi="宋体"/>
          <w:color w:val="auto"/>
          <w:szCs w:val="21"/>
          <w:highlight w:val="none"/>
          <w:u w:val="single"/>
        </w:rPr>
        <w:t>银行转账，</w:t>
      </w:r>
      <w:r>
        <w:rPr>
          <w:rFonts w:hint="eastAsia"/>
          <w:color w:val="auto"/>
          <w:szCs w:val="21"/>
          <w:highlight w:val="none"/>
          <w:u w:val="single"/>
        </w:rPr>
        <w:t>所有工程款由发包人经银行转账支付至本合同协议书承包人指定的</w:t>
      </w:r>
      <w:r>
        <w:rPr>
          <w:rFonts w:hint="eastAsia" w:hAnsi="宋体"/>
          <w:color w:val="auto"/>
          <w:szCs w:val="21"/>
          <w:highlight w:val="none"/>
          <w:u w:val="single"/>
        </w:rPr>
        <w:t>单位基本户</w:t>
      </w:r>
      <w:r>
        <w:rPr>
          <w:rFonts w:hint="eastAsia"/>
          <w:color w:val="auto"/>
          <w:szCs w:val="21"/>
          <w:highlight w:val="none"/>
          <w:u w:val="single"/>
        </w:rPr>
        <w:t>。</w:t>
      </w:r>
    </w:p>
    <w:p w14:paraId="1DA56591">
      <w:pPr>
        <w:pStyle w:val="84"/>
        <w:spacing w:line="360" w:lineRule="auto"/>
        <w:ind w:firstLine="525" w:firstLineChars="250"/>
        <w:jc w:val="left"/>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）农民工工资支付</w:t>
      </w:r>
    </w:p>
    <w:p w14:paraId="3B53F1FE">
      <w:pPr>
        <w:pStyle w:val="84"/>
        <w:autoSpaceDE w:val="0"/>
        <w:autoSpaceDN w:val="0"/>
        <w:adjustRightInd w:val="0"/>
        <w:spacing w:line="360" w:lineRule="auto"/>
        <w:ind w:firstLine="420" w:firstLineChars="200"/>
        <w:jc w:val="left"/>
        <w:rPr>
          <w:rFonts w:hAnsi="宋体"/>
          <w:color w:val="auto"/>
          <w:highlight w:val="none"/>
        </w:rPr>
      </w:pPr>
      <w:r>
        <w:rPr>
          <w:rFonts w:hAnsi="宋体" w:cs="宋体"/>
          <w:color w:val="auto"/>
          <w:kern w:val="0"/>
          <w:highlight w:val="none"/>
        </w:rPr>
        <w:t>1</w:t>
      </w:r>
      <w:r>
        <w:rPr>
          <w:rFonts w:hint="eastAsia" w:hAnsi="宋体" w:cs="宋体"/>
          <w:color w:val="auto"/>
          <w:kern w:val="0"/>
          <w:highlight w:val="none"/>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677A879F">
      <w:pPr>
        <w:pStyle w:val="84"/>
        <w:spacing w:line="360" w:lineRule="auto"/>
        <w:ind w:firstLine="525" w:firstLineChars="250"/>
        <w:jc w:val="left"/>
        <w:rPr>
          <w:rFonts w:hAnsi="宋体"/>
          <w:color w:val="auto"/>
          <w:highlight w:val="none"/>
        </w:rPr>
      </w:pPr>
      <w:r>
        <w:rPr>
          <w:rFonts w:hAnsi="宋体"/>
          <w:color w:val="auto"/>
          <w:highlight w:val="none"/>
        </w:rPr>
        <w:t>2</w:t>
      </w:r>
      <w:r>
        <w:rPr>
          <w:rFonts w:hint="eastAsia" w:hAnsi="宋体"/>
          <w:color w:val="auto"/>
          <w:highlight w:val="none"/>
        </w:rPr>
        <w:t>）发包人依据工程进度，按与承包人约定的农民工支付比例，将工程人工费分账支付到承包人的农民工工资专户，工程完工时发包人向承包人农民工工资专户支付的完工工程量的人工费支付比例不低于</w:t>
      </w:r>
      <w:r>
        <w:rPr>
          <w:rFonts w:hAnsi="宋体"/>
          <w:color w:val="auto"/>
          <w:highlight w:val="none"/>
          <w:u w:val="single"/>
        </w:rPr>
        <w:t>100</w:t>
      </w:r>
      <w:r>
        <w:rPr>
          <w:rFonts w:hAnsi="宋体"/>
          <w:color w:val="auto"/>
          <w:highlight w:val="none"/>
        </w:rPr>
        <w:t>%</w:t>
      </w:r>
      <w:r>
        <w:rPr>
          <w:rFonts w:hint="eastAsia" w:hAnsi="宋体"/>
          <w:color w:val="auto"/>
          <w:highlight w:val="none"/>
        </w:rPr>
        <w:t>，其余工程进度款项由发包人支付到承包人的单位基本户。</w:t>
      </w:r>
    </w:p>
    <w:p w14:paraId="7A4DC390">
      <w:pPr>
        <w:pStyle w:val="84"/>
        <w:spacing w:line="360" w:lineRule="auto"/>
        <w:ind w:firstLine="525" w:firstLineChars="250"/>
        <w:jc w:val="left"/>
        <w:rPr>
          <w:rFonts w:hAnsi="宋体"/>
          <w:color w:val="auto"/>
          <w:highlight w:val="none"/>
        </w:rPr>
      </w:pPr>
      <w:r>
        <w:rPr>
          <w:rFonts w:hAnsi="宋体"/>
          <w:color w:val="auto"/>
          <w:highlight w:val="none"/>
        </w:rPr>
        <w:t>3</w:t>
      </w:r>
      <w:r>
        <w:rPr>
          <w:rFonts w:hint="eastAsia" w:hAnsi="宋体"/>
          <w:color w:val="auto"/>
          <w:highlight w:val="none"/>
        </w:rPr>
        <w:t>）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Pr>
          <w:rFonts w:hAnsi="宋体"/>
          <w:color w:val="auto"/>
          <w:highlight w:val="none"/>
          <w:u w:val="single"/>
        </w:rPr>
        <w:t>100</w:t>
      </w:r>
      <w:r>
        <w:rPr>
          <w:rFonts w:hAnsi="宋体"/>
          <w:color w:val="auto"/>
          <w:highlight w:val="none"/>
        </w:rPr>
        <w:t>%</w:t>
      </w:r>
      <w:r>
        <w:rPr>
          <w:rFonts w:hint="eastAsia" w:hAnsi="宋体"/>
          <w:color w:val="auto"/>
          <w:highlight w:val="none"/>
        </w:rPr>
        <w:t>。其余分包工程进度款项由承包人支付到分包人的单位基本户。</w:t>
      </w:r>
    </w:p>
    <w:p w14:paraId="14172237">
      <w:pPr>
        <w:pStyle w:val="84"/>
        <w:spacing w:line="360" w:lineRule="auto"/>
        <w:ind w:firstLine="525" w:firstLineChars="250"/>
        <w:jc w:val="left"/>
        <w:rPr>
          <w:rFonts w:hAnsi="宋体"/>
          <w:color w:val="auto"/>
          <w:highlight w:val="none"/>
        </w:rPr>
      </w:pPr>
      <w:r>
        <w:rPr>
          <w:rFonts w:hAnsi="宋体"/>
          <w:color w:val="auto"/>
          <w:highlight w:val="none"/>
        </w:rPr>
        <w:t>4</w:t>
      </w:r>
      <w:r>
        <w:rPr>
          <w:rFonts w:hint="eastAsia" w:hAnsi="宋体"/>
          <w:color w:val="auto"/>
          <w:highlight w:val="none"/>
        </w:rPr>
        <w:t>）凡未向付款单位提供农民工工资专户的，或者请款单位在申请工程进度款时未将人工费单列的，付款单位有权拒绝支付工程进度款。</w:t>
      </w:r>
    </w:p>
    <w:p w14:paraId="68850BE3">
      <w:pPr>
        <w:pStyle w:val="84"/>
        <w:autoSpaceDE w:val="0"/>
        <w:autoSpaceDN w:val="0"/>
        <w:adjustRightInd w:val="0"/>
        <w:spacing w:line="360" w:lineRule="auto"/>
        <w:ind w:firstLine="420" w:firstLineChars="200"/>
        <w:jc w:val="left"/>
        <w:rPr>
          <w:rFonts w:hAnsi="宋体" w:cs="宋体"/>
          <w:color w:val="auto"/>
          <w:kern w:val="0"/>
          <w:highlight w:val="none"/>
        </w:rPr>
      </w:pPr>
      <w:r>
        <w:rPr>
          <w:rFonts w:hAnsi="宋体" w:cs="宋体"/>
          <w:color w:val="auto"/>
          <w:kern w:val="0"/>
          <w:highlight w:val="none"/>
        </w:rPr>
        <w:t>5</w:t>
      </w:r>
      <w:r>
        <w:rPr>
          <w:rFonts w:hint="eastAsia" w:hAnsi="宋体" w:cs="宋体"/>
          <w:color w:val="auto"/>
          <w:kern w:val="0"/>
          <w:highlight w:val="none"/>
        </w:rPr>
        <w:t>）农民工工资使用要求：专款专用，除发放工人工资外，不得用于其他用途。</w:t>
      </w:r>
    </w:p>
    <w:p w14:paraId="7AB36ED9">
      <w:pPr>
        <w:pStyle w:val="84"/>
        <w:autoSpaceDE w:val="0"/>
        <w:autoSpaceDN w:val="0"/>
        <w:adjustRightInd w:val="0"/>
        <w:spacing w:line="360" w:lineRule="auto"/>
        <w:ind w:firstLine="420" w:firstLineChars="200"/>
        <w:jc w:val="left"/>
        <w:rPr>
          <w:rFonts w:hAnsi="宋体" w:cs="宋体"/>
          <w:color w:val="auto"/>
          <w:kern w:val="0"/>
          <w:highlight w:val="none"/>
        </w:rPr>
      </w:pPr>
      <w:r>
        <w:rPr>
          <w:rFonts w:hAnsi="宋体" w:cs="宋体"/>
          <w:color w:val="auto"/>
          <w:kern w:val="0"/>
          <w:highlight w:val="none"/>
        </w:rPr>
        <w:t>6</w:t>
      </w:r>
      <w:r>
        <w:rPr>
          <w:rFonts w:hint="eastAsia" w:hAnsi="宋体" w:cs="宋体"/>
          <w:color w:val="auto"/>
          <w:kern w:val="0"/>
          <w:highlight w:val="none"/>
        </w:rPr>
        <w:t>）承包人将农民工工资支付情况定期报告发包人和监理单位，并提供相应的材料接受建设行政主管部门和劳动保障行政主管部门对此事项监管。</w:t>
      </w:r>
    </w:p>
    <w:p w14:paraId="3E567D0B">
      <w:pPr>
        <w:pStyle w:val="84"/>
        <w:autoSpaceDE w:val="0"/>
        <w:autoSpaceDN w:val="0"/>
        <w:adjustRightInd w:val="0"/>
        <w:spacing w:line="360" w:lineRule="auto"/>
        <w:ind w:firstLine="422" w:firstLineChars="200"/>
        <w:jc w:val="left"/>
        <w:rPr>
          <w:rFonts w:hAnsi="宋体" w:cs="宋体"/>
          <w:color w:val="auto"/>
          <w:kern w:val="0"/>
          <w:highlight w:val="none"/>
        </w:rPr>
      </w:pPr>
      <w:r>
        <w:rPr>
          <w:rFonts w:hint="eastAsia" w:hAnsi="宋体" w:cs="宋体"/>
          <w:b/>
          <w:bCs/>
          <w:color w:val="auto"/>
          <w:kern w:val="0"/>
          <w:highlight w:val="none"/>
        </w:rPr>
        <w:t>7）如承包人迟延或拒付其所雇农民工工资，导致农民工到发包人或政府部门上访的，承包人应向发包人支付违约金，每次上访承包人支付违约金5000元。</w:t>
      </w:r>
    </w:p>
    <w:p w14:paraId="04847538">
      <w:pPr>
        <w:pStyle w:val="84"/>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rFonts w:hAnsi="宋体" w:cs="宋体"/>
          <w:color w:val="auto"/>
          <w:kern w:val="0"/>
          <w:highlight w:val="none"/>
        </w:rPr>
        <w:t>4</w:t>
      </w:r>
      <w:r>
        <w:rPr>
          <w:rFonts w:hint="eastAsia" w:hAnsi="宋体" w:cs="宋体"/>
          <w:color w:val="auto"/>
          <w:kern w:val="0"/>
          <w:highlight w:val="none"/>
        </w:rPr>
        <w:t>）农民工工资支付专用账户：××××公司农民工工资支付专用账户</w:t>
      </w:r>
      <w:r>
        <w:rPr>
          <w:rFonts w:hAnsi="宋体" w:cs="宋体"/>
          <w:color w:val="auto"/>
          <w:kern w:val="0"/>
          <w:highlight w:val="none"/>
        </w:rPr>
        <w:t xml:space="preserve"> </w:t>
      </w:r>
      <w:r>
        <w:rPr>
          <w:rFonts w:hint="eastAsia" w:hAnsi="宋体" w:cs="宋体"/>
          <w:color w:val="auto"/>
          <w:kern w:val="0"/>
          <w:highlight w:val="none"/>
        </w:rPr>
        <w:t>。账号：</w:t>
      </w:r>
      <w:r>
        <w:rPr>
          <w:rFonts w:hAnsi="宋体" w:cs="宋体"/>
          <w:color w:val="auto"/>
          <w:kern w:val="0"/>
          <w:highlight w:val="none"/>
        </w:rPr>
        <w:t xml:space="preserve">        </w:t>
      </w:r>
      <w:r>
        <w:rPr>
          <w:rFonts w:hint="eastAsia" w:hAnsi="宋体" w:cs="宋体"/>
          <w:color w:val="auto"/>
          <w:kern w:val="0"/>
          <w:highlight w:val="none"/>
        </w:rPr>
        <w:t>。</w:t>
      </w:r>
    </w:p>
    <w:p w14:paraId="14F92B1C">
      <w:pPr>
        <w:pStyle w:val="84"/>
        <w:spacing w:line="360" w:lineRule="auto"/>
        <w:ind w:firstLine="525" w:firstLineChars="250"/>
        <w:jc w:val="left"/>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78ADD35A">
      <w:pPr>
        <w:pStyle w:val="84"/>
        <w:spacing w:line="360" w:lineRule="auto"/>
        <w:ind w:firstLine="525" w:firstLineChars="250"/>
        <w:jc w:val="left"/>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无。</w:t>
      </w:r>
    </w:p>
    <w:p w14:paraId="1B172B80">
      <w:pPr>
        <w:pStyle w:val="84"/>
        <w:spacing w:line="360" w:lineRule="auto"/>
        <w:ind w:firstLine="525" w:firstLineChars="250"/>
        <w:jc w:val="left"/>
        <w:rPr>
          <w:color w:val="auto"/>
          <w:szCs w:val="21"/>
          <w:highlight w:val="none"/>
          <w:u w:val="single"/>
        </w:rPr>
      </w:pPr>
      <w:r>
        <w:rPr>
          <w:rFonts w:hint="eastAsia"/>
          <w:color w:val="auto"/>
          <w:highlight w:val="none"/>
        </w:rPr>
        <w:t>（</w:t>
      </w:r>
      <w:r>
        <w:rPr>
          <w:color w:val="auto"/>
          <w:highlight w:val="none"/>
        </w:rPr>
        <w:t>2</w:t>
      </w:r>
      <w:r>
        <w:rPr>
          <w:rFonts w:hint="eastAsia"/>
          <w:color w:val="auto"/>
          <w:highlight w:val="none"/>
        </w:rPr>
        <w:t>）</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694"/>
    <w:p w14:paraId="173B3748">
      <w:pPr>
        <w:pStyle w:val="84"/>
        <w:keepNext/>
        <w:keepLines/>
        <w:spacing w:before="60" w:after="60" w:line="412" w:lineRule="auto"/>
        <w:ind w:firstLine="422"/>
        <w:outlineLvl w:val="1"/>
        <w:rPr>
          <w:rFonts w:ascii="Arial" w:hAnsi="Arial" w:eastAsia="黑体"/>
          <w:b/>
          <w:bCs/>
          <w:color w:val="auto"/>
          <w:szCs w:val="32"/>
          <w:highlight w:val="none"/>
        </w:rPr>
      </w:pPr>
      <w:bookmarkStart w:id="920" w:name="_Toc372"/>
      <w:bookmarkStart w:id="921" w:name="_Toc373227753"/>
      <w:bookmarkStart w:id="922" w:name="_Toc389065318"/>
      <w:bookmarkStart w:id="923" w:name="_Toc351203645"/>
      <w:bookmarkStart w:id="924" w:name="_Toc373478400"/>
      <w:bookmarkStart w:id="925" w:name="_Toc296944558"/>
      <w:bookmarkStart w:id="926" w:name="_Toc296891259"/>
      <w:bookmarkStart w:id="927" w:name="_Toc297216223"/>
      <w:bookmarkStart w:id="928" w:name="_Toc296503219"/>
      <w:bookmarkStart w:id="929" w:name="_Toc296346720"/>
      <w:bookmarkStart w:id="930" w:name="_Toc292559424"/>
      <w:bookmarkStart w:id="931" w:name="_Toc297123564"/>
      <w:bookmarkStart w:id="932" w:name="_Toc297120519"/>
      <w:bookmarkStart w:id="933" w:name="_Toc312678053"/>
      <w:bookmarkStart w:id="934" w:name="_Toc303539172"/>
      <w:bookmarkStart w:id="935" w:name="_Toc296347218"/>
      <w:bookmarkStart w:id="936" w:name="_Toc296891047"/>
      <w:bookmarkStart w:id="937" w:name="_Toc292559929"/>
      <w:bookmarkStart w:id="938" w:name="_Toc300935015"/>
      <w:bookmarkStart w:id="939" w:name="_Toc297048405"/>
      <w:bookmarkStart w:id="940" w:name="_Toc304295593"/>
      <w:r>
        <w:rPr>
          <w:rFonts w:ascii="Arial" w:hAnsi="Arial" w:eastAsia="黑体"/>
          <w:b/>
          <w:bCs/>
          <w:color w:val="auto"/>
          <w:szCs w:val="32"/>
          <w:highlight w:val="none"/>
        </w:rPr>
        <w:t xml:space="preserve">13. </w:t>
      </w:r>
      <w:r>
        <w:rPr>
          <w:rFonts w:hint="eastAsia" w:ascii="Arial" w:hAnsi="Arial" w:eastAsia="黑体"/>
          <w:b/>
          <w:bCs/>
          <w:color w:val="auto"/>
          <w:szCs w:val="32"/>
          <w:highlight w:val="none"/>
        </w:rPr>
        <w:t>验收和工程试车</w:t>
      </w:r>
      <w:bookmarkEnd w:id="920"/>
      <w:bookmarkEnd w:id="921"/>
      <w:bookmarkEnd w:id="922"/>
      <w:bookmarkEnd w:id="923"/>
      <w:bookmarkEnd w:id="924"/>
    </w:p>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14:paraId="7B70C2BE">
      <w:pPr>
        <w:pStyle w:val="84"/>
        <w:keepNext/>
        <w:keepLines/>
        <w:spacing w:line="360" w:lineRule="auto"/>
        <w:ind w:firstLine="422"/>
        <w:outlineLvl w:val="2"/>
        <w:rPr>
          <w:rFonts w:eastAsia="黑体"/>
          <w:b/>
          <w:bCs/>
          <w:color w:val="auto"/>
          <w:szCs w:val="32"/>
          <w:highlight w:val="none"/>
        </w:rPr>
      </w:pPr>
      <w:bookmarkStart w:id="941" w:name="_Toc373227754"/>
      <w:bookmarkStart w:id="942" w:name="_Toc1622"/>
      <w:bookmarkStart w:id="943" w:name="_Toc373478401"/>
      <w:bookmarkStart w:id="944" w:name="_Toc389065319"/>
      <w:r>
        <w:rPr>
          <w:rFonts w:eastAsia="黑体"/>
          <w:b/>
          <w:bCs/>
          <w:color w:val="auto"/>
          <w:szCs w:val="32"/>
          <w:highlight w:val="none"/>
        </w:rPr>
        <w:t xml:space="preserve">13.1 </w:t>
      </w:r>
      <w:r>
        <w:rPr>
          <w:rFonts w:hint="eastAsia" w:eastAsia="黑体"/>
          <w:b/>
          <w:bCs/>
          <w:color w:val="auto"/>
          <w:szCs w:val="32"/>
          <w:highlight w:val="none"/>
        </w:rPr>
        <w:t>分部分项工程验收</w:t>
      </w:r>
      <w:bookmarkEnd w:id="941"/>
      <w:bookmarkEnd w:id="942"/>
      <w:bookmarkEnd w:id="943"/>
      <w:bookmarkEnd w:id="944"/>
    </w:p>
    <w:p w14:paraId="365A49B3">
      <w:pPr>
        <w:pStyle w:val="84"/>
        <w:spacing w:line="360" w:lineRule="auto"/>
        <w:ind w:firstLine="420" w:firstLineChars="200"/>
        <w:jc w:val="left"/>
        <w:rPr>
          <w:color w:val="auto"/>
          <w:szCs w:val="21"/>
          <w:highlight w:val="none"/>
        </w:rPr>
      </w:pPr>
      <w:r>
        <w:rPr>
          <w:color w:val="auto"/>
          <w:szCs w:val="21"/>
          <w:highlight w:val="none"/>
        </w:rPr>
        <w:t>13.1.2</w:t>
      </w:r>
      <w:r>
        <w:rPr>
          <w:rFonts w:hint="eastAsia" w:hAnsi="宋体"/>
          <w:color w:val="auto"/>
          <w:szCs w:val="21"/>
          <w:highlight w:val="none"/>
        </w:rPr>
        <w:t>监理人不能按时进行验收时，应提前</w:t>
      </w:r>
      <w:r>
        <w:rPr>
          <w:color w:val="auto"/>
          <w:szCs w:val="21"/>
          <w:highlight w:val="none"/>
          <w:u w:val="single"/>
        </w:rPr>
        <w:t xml:space="preserve">  24  </w:t>
      </w:r>
      <w:r>
        <w:rPr>
          <w:rFonts w:hint="eastAsia" w:hAnsi="宋体"/>
          <w:color w:val="auto"/>
          <w:szCs w:val="21"/>
          <w:highlight w:val="none"/>
        </w:rPr>
        <w:t>小时提交书面延期要求。</w:t>
      </w:r>
    </w:p>
    <w:p w14:paraId="03459985">
      <w:pPr>
        <w:pStyle w:val="84"/>
        <w:spacing w:line="360" w:lineRule="auto"/>
        <w:ind w:firstLine="420" w:firstLineChars="200"/>
        <w:jc w:val="left"/>
        <w:rPr>
          <w:b/>
          <w:color w:val="auto"/>
          <w:szCs w:val="21"/>
          <w:highlight w:val="none"/>
        </w:rPr>
      </w:pPr>
      <w:r>
        <w:rPr>
          <w:rFonts w:hint="eastAsia" w:hAnsi="宋体"/>
          <w:color w:val="auto"/>
          <w:szCs w:val="21"/>
          <w:highlight w:val="none"/>
        </w:rPr>
        <w:t>关于延期最长不得超过：</w:t>
      </w:r>
      <w:r>
        <w:rPr>
          <w:color w:val="auto"/>
          <w:szCs w:val="21"/>
          <w:highlight w:val="none"/>
          <w:u w:val="single"/>
        </w:rPr>
        <w:t xml:space="preserve"> 48  </w:t>
      </w:r>
      <w:r>
        <w:rPr>
          <w:rFonts w:hint="eastAsia" w:hAnsi="宋体"/>
          <w:color w:val="auto"/>
          <w:szCs w:val="21"/>
          <w:highlight w:val="none"/>
        </w:rPr>
        <w:t>小时。</w:t>
      </w:r>
    </w:p>
    <w:p w14:paraId="2197C557">
      <w:pPr>
        <w:pStyle w:val="84"/>
        <w:keepNext/>
        <w:keepLines/>
        <w:spacing w:line="360" w:lineRule="auto"/>
        <w:ind w:firstLine="422"/>
        <w:outlineLvl w:val="2"/>
        <w:rPr>
          <w:rFonts w:eastAsia="黑体"/>
          <w:b/>
          <w:bCs/>
          <w:color w:val="auto"/>
          <w:szCs w:val="32"/>
          <w:highlight w:val="none"/>
        </w:rPr>
      </w:pPr>
      <w:bookmarkStart w:id="945" w:name="_Toc373227755"/>
      <w:bookmarkStart w:id="946" w:name="_Toc373478402"/>
      <w:bookmarkStart w:id="947" w:name="_Toc23904"/>
      <w:bookmarkStart w:id="948" w:name="_Toc389065320"/>
      <w:bookmarkStart w:id="949" w:name="_Toc292559933"/>
      <w:bookmarkStart w:id="950" w:name="_Toc297123565"/>
      <w:bookmarkStart w:id="951" w:name="_Toc296891263"/>
      <w:bookmarkStart w:id="952" w:name="_Toc296503223"/>
      <w:bookmarkStart w:id="953" w:name="_Toc300935016"/>
      <w:bookmarkStart w:id="954" w:name="_Toc304295596"/>
      <w:bookmarkStart w:id="955" w:name="_Toc303539173"/>
      <w:bookmarkStart w:id="956" w:name="_Toc296891051"/>
      <w:bookmarkStart w:id="957" w:name="_Toc297216224"/>
      <w:bookmarkStart w:id="958" w:name="_Toc296346724"/>
      <w:bookmarkStart w:id="959" w:name="_Toc312678056"/>
      <w:bookmarkStart w:id="960" w:name="_Toc297120523"/>
      <w:bookmarkStart w:id="961" w:name="_Toc296944562"/>
      <w:bookmarkStart w:id="962" w:name="_Toc297048409"/>
      <w:bookmarkStart w:id="963" w:name="_Toc292559428"/>
      <w:bookmarkStart w:id="964" w:name="_Toc296347222"/>
      <w:bookmarkStart w:id="965" w:name="_Toc267251471"/>
      <w:bookmarkStart w:id="966" w:name="_Toc267251474"/>
      <w:bookmarkStart w:id="967" w:name="_Toc267251476"/>
      <w:bookmarkStart w:id="968" w:name="_Toc267251475"/>
      <w:bookmarkStart w:id="969" w:name="_Toc267251473"/>
      <w:bookmarkStart w:id="970" w:name="_Toc267251470"/>
      <w:bookmarkStart w:id="971" w:name="_Toc267251472"/>
      <w:r>
        <w:rPr>
          <w:rFonts w:eastAsia="黑体"/>
          <w:b/>
          <w:bCs/>
          <w:color w:val="auto"/>
          <w:szCs w:val="32"/>
          <w:highlight w:val="none"/>
        </w:rPr>
        <w:t xml:space="preserve">13.2 </w:t>
      </w:r>
      <w:r>
        <w:rPr>
          <w:rFonts w:hint="eastAsia" w:hAnsi="宋体" w:eastAsia="黑体"/>
          <w:b/>
          <w:bCs/>
          <w:color w:val="auto"/>
          <w:szCs w:val="32"/>
          <w:highlight w:val="none"/>
        </w:rPr>
        <w:t>竣工验收</w:t>
      </w:r>
      <w:bookmarkEnd w:id="945"/>
      <w:bookmarkEnd w:id="946"/>
      <w:bookmarkEnd w:id="947"/>
      <w:bookmarkEnd w:id="948"/>
    </w:p>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14:paraId="1F7E4874">
      <w:pPr>
        <w:pStyle w:val="84"/>
        <w:spacing w:line="360" w:lineRule="auto"/>
        <w:ind w:firstLine="420" w:firstLineChars="200"/>
        <w:jc w:val="left"/>
        <w:rPr>
          <w:color w:val="auto"/>
          <w:szCs w:val="21"/>
          <w:highlight w:val="none"/>
        </w:rPr>
      </w:pPr>
      <w:bookmarkStart w:id="972" w:name="_Toc280868704"/>
      <w:bookmarkStart w:id="973" w:name="_Toc280868705"/>
      <w:bookmarkStart w:id="974" w:name="_Toc280868706"/>
      <w:bookmarkStart w:id="975" w:name="_Toc280868707"/>
      <w:bookmarkStart w:id="976" w:name="_Toc280868708"/>
      <w:bookmarkStart w:id="977" w:name="_Toc280868709"/>
      <w:r>
        <w:rPr>
          <w:color w:val="auto"/>
          <w:szCs w:val="21"/>
          <w:highlight w:val="none"/>
        </w:rPr>
        <w:t>13.2.1</w:t>
      </w:r>
      <w:r>
        <w:rPr>
          <w:rFonts w:hint="eastAsia" w:hAnsi="宋体"/>
          <w:color w:val="auto"/>
          <w:szCs w:val="21"/>
          <w:highlight w:val="none"/>
        </w:rPr>
        <w:t>竣工验收条件</w:t>
      </w:r>
    </w:p>
    <w:p w14:paraId="6A6C8B10">
      <w:pPr>
        <w:pStyle w:val="84"/>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w:t>
      </w:r>
      <w:r>
        <w:rPr>
          <w:rFonts w:hint="eastAsia" w:hAnsi="宋体"/>
          <w:color w:val="auto"/>
          <w:szCs w:val="21"/>
          <w:highlight w:val="none"/>
        </w:rPr>
        <w:t>承包人负责整理和提交的竣工验收资料应当符合工程所在地建设行政主管部门和</w:t>
      </w:r>
      <w:r>
        <w:rPr>
          <w:color w:val="auto"/>
          <w:szCs w:val="21"/>
          <w:highlight w:val="none"/>
        </w:rPr>
        <w:t>(</w:t>
      </w:r>
      <w:r>
        <w:rPr>
          <w:rFonts w:hint="eastAsia" w:hAnsi="宋体"/>
          <w:color w:val="auto"/>
          <w:szCs w:val="21"/>
          <w:highlight w:val="none"/>
        </w:rPr>
        <w:t>或</w:t>
      </w:r>
      <w:r>
        <w:rPr>
          <w:color w:val="auto"/>
          <w:szCs w:val="21"/>
          <w:highlight w:val="none"/>
        </w:rPr>
        <w:t>)</w:t>
      </w:r>
      <w:r>
        <w:rPr>
          <w:rFonts w:hint="eastAsia" w:hAnsi="宋体"/>
          <w:color w:val="auto"/>
          <w:szCs w:val="21"/>
          <w:highlight w:val="none"/>
        </w:rPr>
        <w:t>城市建设档案管理机构有关施工资料的要求，具体内容包括：</w:t>
      </w:r>
      <w:r>
        <w:rPr>
          <w:color w:val="auto"/>
          <w:szCs w:val="21"/>
          <w:highlight w:val="none"/>
          <w:u w:val="single"/>
        </w:rPr>
        <w:t xml:space="preserve">  </w:t>
      </w:r>
      <w:r>
        <w:rPr>
          <w:rFonts w:hint="eastAsia"/>
          <w:color w:val="auto"/>
          <w:spacing w:val="2"/>
          <w:szCs w:val="21"/>
          <w:highlight w:val="none"/>
          <w:u w:val="single"/>
        </w:rPr>
        <w:t>按通用条款</w:t>
      </w:r>
      <w:r>
        <w:rPr>
          <w:color w:val="auto"/>
          <w:spacing w:val="2"/>
          <w:szCs w:val="21"/>
          <w:highlight w:val="none"/>
          <w:u w:val="single"/>
        </w:rPr>
        <w:t xml:space="preserve"> 13.2.1 </w:t>
      </w:r>
      <w:r>
        <w:rPr>
          <w:rFonts w:hint="eastAsia"/>
          <w:color w:val="auto"/>
          <w:spacing w:val="2"/>
          <w:szCs w:val="21"/>
          <w:highlight w:val="none"/>
          <w:u w:val="single"/>
        </w:rPr>
        <w:t>条及</w:t>
      </w:r>
      <w:r>
        <w:rPr>
          <w:rFonts w:hint="eastAsia"/>
          <w:color w:val="auto"/>
          <w:szCs w:val="21"/>
          <w:highlight w:val="none"/>
          <w:u w:val="single"/>
        </w:rPr>
        <w:t>施工竣工图、设计变更、施工日记、各项质保资料及相关竣工资料等</w:t>
      </w:r>
      <w:r>
        <w:rPr>
          <w:rFonts w:hint="eastAsia"/>
          <w:color w:val="auto"/>
          <w:spacing w:val="2"/>
          <w:szCs w:val="21"/>
          <w:highlight w:val="none"/>
          <w:u w:val="single"/>
        </w:rPr>
        <w:t>满足发包人要求</w:t>
      </w:r>
      <w:r>
        <w:rPr>
          <w:color w:val="auto"/>
          <w:szCs w:val="21"/>
          <w:highlight w:val="none"/>
          <w:u w:val="single"/>
        </w:rPr>
        <w:t xml:space="preserve">  </w:t>
      </w:r>
      <w:r>
        <w:rPr>
          <w:rFonts w:hint="eastAsia" w:hAnsi="宋体"/>
          <w:color w:val="auto"/>
          <w:szCs w:val="21"/>
          <w:highlight w:val="none"/>
        </w:rPr>
        <w:t>。</w:t>
      </w:r>
    </w:p>
    <w:p w14:paraId="497D256A">
      <w:pPr>
        <w:pStyle w:val="84"/>
        <w:spacing w:line="360" w:lineRule="auto"/>
        <w:ind w:firstLine="420" w:firstLineChars="200"/>
        <w:rPr>
          <w:color w:val="auto"/>
          <w:szCs w:val="21"/>
          <w:highlight w:val="none"/>
        </w:rPr>
      </w:pPr>
      <w:r>
        <w:rPr>
          <w:rFonts w:hint="eastAsia" w:hAnsi="宋体"/>
          <w:color w:val="auto"/>
          <w:szCs w:val="21"/>
          <w:highlight w:val="none"/>
        </w:rPr>
        <w:t>竣工验收资料的份数：</w:t>
      </w:r>
      <w:r>
        <w:rPr>
          <w:color w:val="auto"/>
          <w:szCs w:val="21"/>
          <w:highlight w:val="none"/>
          <w:u w:val="single"/>
        </w:rPr>
        <w:t xml:space="preserve">  </w:t>
      </w:r>
      <w:r>
        <w:rPr>
          <w:rFonts w:hint="eastAsia"/>
          <w:color w:val="auto"/>
          <w:szCs w:val="21"/>
          <w:highlight w:val="none"/>
          <w:u w:val="single"/>
          <w:lang w:val="en-US" w:eastAsia="zh-CN"/>
        </w:rPr>
        <w:t>陆</w:t>
      </w:r>
      <w:r>
        <w:rPr>
          <w:color w:val="auto"/>
          <w:szCs w:val="21"/>
          <w:highlight w:val="none"/>
          <w:u w:val="single"/>
        </w:rPr>
        <w:t xml:space="preserve"> </w:t>
      </w:r>
      <w:r>
        <w:rPr>
          <w:rFonts w:hint="eastAsia"/>
          <w:color w:val="auto"/>
          <w:szCs w:val="21"/>
          <w:highlight w:val="none"/>
          <w:u w:val="single"/>
        </w:rPr>
        <w:t>套</w:t>
      </w:r>
      <w:r>
        <w:rPr>
          <w:color w:val="auto"/>
          <w:szCs w:val="21"/>
          <w:highlight w:val="none"/>
          <w:u w:val="single"/>
        </w:rPr>
        <w:t xml:space="preserve">  </w:t>
      </w:r>
      <w:r>
        <w:rPr>
          <w:rFonts w:hint="eastAsia" w:hAnsi="宋体"/>
          <w:color w:val="auto"/>
          <w:szCs w:val="21"/>
          <w:highlight w:val="none"/>
        </w:rPr>
        <w:t>。</w:t>
      </w:r>
    </w:p>
    <w:p w14:paraId="5E2A3E25">
      <w:pPr>
        <w:pStyle w:val="84"/>
        <w:spacing w:line="360" w:lineRule="auto"/>
        <w:ind w:firstLine="420" w:firstLineChars="200"/>
        <w:jc w:val="left"/>
        <w:rPr>
          <w:color w:val="auto"/>
          <w:szCs w:val="21"/>
          <w:highlight w:val="none"/>
        </w:rPr>
      </w:pPr>
      <w:r>
        <w:rPr>
          <w:rFonts w:hint="eastAsia" w:hAnsi="宋体"/>
          <w:bCs/>
          <w:color w:val="auto"/>
          <w:szCs w:val="21"/>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rFonts w:hint="eastAsia" w:hAnsi="宋体" w:cs="宋体"/>
          <w:color w:val="auto"/>
          <w:highlight w:val="none"/>
          <w:u w:val="single"/>
          <w:lang w:val="en-US" w:eastAsia="zh-CN"/>
        </w:rPr>
        <w:t>陆</w:t>
      </w:r>
      <w:r>
        <w:rPr>
          <w:rFonts w:hint="eastAsia" w:hAnsi="宋体" w:cs="宋体"/>
          <w:color w:val="auto"/>
          <w:highlight w:val="none"/>
          <w:u w:val="single"/>
        </w:rPr>
        <w:t>套。</w:t>
      </w:r>
    </w:p>
    <w:p w14:paraId="3244109C">
      <w:pPr>
        <w:pStyle w:val="84"/>
        <w:spacing w:line="360" w:lineRule="auto"/>
        <w:ind w:firstLine="420" w:firstLineChars="200"/>
        <w:jc w:val="left"/>
        <w:rPr>
          <w:color w:val="auto"/>
          <w:szCs w:val="21"/>
          <w:highlight w:val="none"/>
        </w:rPr>
      </w:pPr>
      <w:r>
        <w:rPr>
          <w:color w:val="auto"/>
          <w:szCs w:val="21"/>
          <w:highlight w:val="none"/>
        </w:rPr>
        <w:t>13.2.2</w:t>
      </w:r>
      <w:r>
        <w:rPr>
          <w:rFonts w:hint="eastAsia" w:hAnsi="宋体"/>
          <w:color w:val="auto"/>
          <w:szCs w:val="21"/>
          <w:highlight w:val="none"/>
        </w:rPr>
        <w:t>竣工验收程序</w:t>
      </w:r>
    </w:p>
    <w:bookmarkEnd w:id="972"/>
    <w:p w14:paraId="02B14398">
      <w:pPr>
        <w:pStyle w:val="84"/>
        <w:spacing w:line="360" w:lineRule="auto"/>
        <w:ind w:firstLine="420" w:firstLineChars="200"/>
        <w:jc w:val="left"/>
        <w:rPr>
          <w:color w:val="auto"/>
          <w:szCs w:val="21"/>
          <w:highlight w:val="none"/>
          <w:u w:val="single"/>
        </w:rPr>
      </w:pPr>
      <w:r>
        <w:rPr>
          <w:rFonts w:hint="eastAsia" w:hAnsi="宋体"/>
          <w:color w:val="auto"/>
          <w:kern w:val="0"/>
          <w:szCs w:val="21"/>
          <w:highlight w:val="none"/>
        </w:rPr>
        <w:t>关于竣工验收程序的约定：</w:t>
      </w:r>
      <w:r>
        <w:rPr>
          <w:rFonts w:hint="eastAsia"/>
          <w:color w:val="auto"/>
          <w:szCs w:val="21"/>
          <w:highlight w:val="none"/>
          <w:u w:val="single"/>
        </w:rPr>
        <w:t>按通用条款</w:t>
      </w:r>
      <w:r>
        <w:rPr>
          <w:color w:val="auto"/>
          <w:szCs w:val="21"/>
          <w:highlight w:val="none"/>
          <w:u w:val="single"/>
        </w:rPr>
        <w:t xml:space="preserve"> 13.2.2 </w:t>
      </w:r>
      <w:r>
        <w:rPr>
          <w:rFonts w:hint="eastAsia"/>
          <w:color w:val="auto"/>
          <w:szCs w:val="21"/>
          <w:highlight w:val="none"/>
          <w:u w:val="single"/>
        </w:rPr>
        <w:t>条执行</w:t>
      </w:r>
      <w:r>
        <w:rPr>
          <w:rFonts w:hint="eastAsia" w:hAnsi="宋体"/>
          <w:color w:val="auto"/>
          <w:szCs w:val="21"/>
          <w:highlight w:val="none"/>
        </w:rPr>
        <w:t>。</w:t>
      </w:r>
    </w:p>
    <w:bookmarkEnd w:id="973"/>
    <w:p w14:paraId="3F3764B5">
      <w:pPr>
        <w:pStyle w:val="84"/>
        <w:spacing w:line="360" w:lineRule="auto"/>
        <w:ind w:firstLine="420" w:firstLineChars="200"/>
        <w:jc w:val="left"/>
        <w:rPr>
          <w:color w:val="auto"/>
          <w:szCs w:val="21"/>
          <w:highlight w:val="none"/>
        </w:rPr>
      </w:pPr>
      <w:r>
        <w:rPr>
          <w:color w:val="auto"/>
          <w:szCs w:val="21"/>
          <w:highlight w:val="none"/>
        </w:rPr>
        <w:t>13.2.5</w:t>
      </w:r>
      <w:r>
        <w:rPr>
          <w:rFonts w:hint="eastAsia" w:hAnsi="宋体"/>
          <w:color w:val="auto"/>
          <w:szCs w:val="21"/>
          <w:highlight w:val="none"/>
        </w:rPr>
        <w:t>移交、接收全部与部分工程</w:t>
      </w:r>
    </w:p>
    <w:bookmarkEnd w:id="974"/>
    <w:p w14:paraId="109575BE">
      <w:pPr>
        <w:pStyle w:val="84"/>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承包人向发包人移交工程的期限：</w:t>
      </w:r>
      <w:r>
        <w:rPr>
          <w:color w:val="auto"/>
          <w:szCs w:val="21"/>
          <w:highlight w:val="none"/>
          <w:u w:val="single"/>
        </w:rPr>
        <w:t xml:space="preserve">  </w:t>
      </w:r>
      <w:r>
        <w:rPr>
          <w:rFonts w:hint="eastAsia"/>
          <w:color w:val="auto"/>
          <w:szCs w:val="32"/>
          <w:highlight w:val="none"/>
          <w:u w:val="single"/>
        </w:rPr>
        <w:t>颁发工程接收合格证书后</w:t>
      </w:r>
      <w:r>
        <w:rPr>
          <w:color w:val="auto"/>
          <w:szCs w:val="32"/>
          <w:highlight w:val="none"/>
          <w:u w:val="single"/>
        </w:rPr>
        <w:t>7</w:t>
      </w:r>
      <w:r>
        <w:rPr>
          <w:rFonts w:hint="eastAsia"/>
          <w:color w:val="auto"/>
          <w:szCs w:val="32"/>
          <w:highlight w:val="none"/>
          <w:u w:val="single"/>
        </w:rPr>
        <w:t>天内</w:t>
      </w:r>
      <w:r>
        <w:rPr>
          <w:color w:val="auto"/>
          <w:szCs w:val="32"/>
          <w:highlight w:val="none"/>
          <w:u w:val="single"/>
        </w:rPr>
        <w:t xml:space="preserve"> </w:t>
      </w:r>
      <w:r>
        <w:rPr>
          <w:rFonts w:hint="eastAsia" w:hAnsi="宋体"/>
          <w:color w:val="auto"/>
          <w:szCs w:val="21"/>
          <w:highlight w:val="none"/>
        </w:rPr>
        <w:t>。</w:t>
      </w:r>
    </w:p>
    <w:p w14:paraId="7D0C9C48">
      <w:pPr>
        <w:pStyle w:val="84"/>
        <w:spacing w:line="360" w:lineRule="auto"/>
        <w:ind w:firstLine="420" w:firstLineChars="200"/>
        <w:jc w:val="left"/>
        <w:rPr>
          <w:color w:val="auto"/>
          <w:szCs w:val="21"/>
          <w:highlight w:val="none"/>
          <w:u w:val="single"/>
        </w:rPr>
      </w:pPr>
      <w:r>
        <w:rPr>
          <w:rFonts w:hint="eastAsia" w:hAnsi="宋体"/>
          <w:color w:val="auto"/>
          <w:kern w:val="0"/>
          <w:szCs w:val="21"/>
          <w:highlight w:val="none"/>
        </w:rPr>
        <w:t>发包人未按本合同约定接收全部或部分工程的，违约金的计算方法为：</w:t>
      </w:r>
      <w:r>
        <w:rPr>
          <w:rFonts w:hint="eastAsia"/>
          <w:color w:val="auto"/>
          <w:szCs w:val="21"/>
          <w:highlight w:val="none"/>
          <w:u w:val="single"/>
        </w:rPr>
        <w:t>无</w:t>
      </w:r>
      <w:r>
        <w:rPr>
          <w:rFonts w:hint="eastAsia" w:hAnsi="宋体"/>
          <w:color w:val="auto"/>
          <w:szCs w:val="21"/>
          <w:highlight w:val="none"/>
        </w:rPr>
        <w:t>。</w:t>
      </w:r>
    </w:p>
    <w:bookmarkEnd w:id="975"/>
    <w:p w14:paraId="20F49D74">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承包人未按时移交工程的，违约金的计算方法为：</w:t>
      </w:r>
      <w:r>
        <w:rPr>
          <w:color w:val="auto"/>
          <w:szCs w:val="21"/>
          <w:highlight w:val="none"/>
          <w:u w:val="single"/>
        </w:rPr>
        <w:t xml:space="preserve">   </w:t>
      </w:r>
      <w:r>
        <w:rPr>
          <w:rFonts w:hint="eastAsia"/>
          <w:color w:val="auto"/>
          <w:kern w:val="0"/>
          <w:highlight w:val="none"/>
          <w:u w:val="single"/>
        </w:rPr>
        <w:t>按本合同专用条款的</w:t>
      </w:r>
      <w:r>
        <w:rPr>
          <w:color w:val="auto"/>
          <w:kern w:val="0"/>
          <w:highlight w:val="none"/>
          <w:u w:val="single"/>
        </w:rPr>
        <w:t>7.5.2</w:t>
      </w:r>
      <w:r>
        <w:rPr>
          <w:rFonts w:hint="eastAsia"/>
          <w:color w:val="auto"/>
          <w:kern w:val="0"/>
          <w:highlight w:val="none"/>
          <w:u w:val="single"/>
        </w:rPr>
        <w:t>条款执行</w:t>
      </w:r>
      <w:r>
        <w:rPr>
          <w:rFonts w:hint="eastAsia" w:hAnsi="宋体"/>
          <w:color w:val="auto"/>
          <w:szCs w:val="21"/>
          <w:highlight w:val="none"/>
        </w:rPr>
        <w:t>。</w:t>
      </w:r>
    </w:p>
    <w:p w14:paraId="37F95547">
      <w:pPr>
        <w:pStyle w:val="84"/>
        <w:keepNext/>
        <w:keepLines/>
        <w:spacing w:line="360" w:lineRule="auto"/>
        <w:ind w:firstLine="422"/>
        <w:outlineLvl w:val="2"/>
        <w:rPr>
          <w:rFonts w:eastAsia="黑体"/>
          <w:b/>
          <w:bCs/>
          <w:color w:val="auto"/>
          <w:szCs w:val="32"/>
          <w:highlight w:val="none"/>
        </w:rPr>
      </w:pPr>
      <w:bookmarkStart w:id="978" w:name="_Toc2983"/>
      <w:bookmarkStart w:id="979" w:name="_Toc373478403"/>
      <w:bookmarkStart w:id="980" w:name="_Toc389065321"/>
      <w:bookmarkStart w:id="981" w:name="_Toc373227756"/>
      <w:r>
        <w:rPr>
          <w:rFonts w:eastAsia="黑体"/>
          <w:b/>
          <w:bCs/>
          <w:color w:val="auto"/>
          <w:szCs w:val="32"/>
          <w:highlight w:val="none"/>
        </w:rPr>
        <w:t xml:space="preserve">13.3 </w:t>
      </w:r>
      <w:r>
        <w:rPr>
          <w:rFonts w:hint="eastAsia" w:hAnsi="宋体" w:eastAsia="黑体"/>
          <w:b/>
          <w:bCs/>
          <w:color w:val="auto"/>
          <w:szCs w:val="32"/>
          <w:highlight w:val="none"/>
        </w:rPr>
        <w:t>工程试车</w:t>
      </w:r>
      <w:bookmarkEnd w:id="978"/>
      <w:bookmarkEnd w:id="979"/>
      <w:bookmarkEnd w:id="980"/>
      <w:bookmarkEnd w:id="981"/>
    </w:p>
    <w:bookmarkEnd w:id="976"/>
    <w:p w14:paraId="59F59235">
      <w:pPr>
        <w:pStyle w:val="84"/>
        <w:spacing w:line="360" w:lineRule="auto"/>
        <w:ind w:firstLine="420" w:firstLineChars="200"/>
        <w:jc w:val="left"/>
        <w:rPr>
          <w:color w:val="auto"/>
          <w:kern w:val="0"/>
          <w:szCs w:val="21"/>
          <w:highlight w:val="none"/>
        </w:rPr>
      </w:pPr>
      <w:r>
        <w:rPr>
          <w:color w:val="auto"/>
          <w:kern w:val="0"/>
          <w:szCs w:val="21"/>
          <w:highlight w:val="none"/>
        </w:rPr>
        <w:t xml:space="preserve">13.3.1 </w:t>
      </w:r>
      <w:r>
        <w:rPr>
          <w:rFonts w:hint="eastAsia" w:hAnsi="宋体"/>
          <w:color w:val="auto"/>
          <w:kern w:val="0"/>
          <w:szCs w:val="21"/>
          <w:highlight w:val="none"/>
        </w:rPr>
        <w:t>试车程序</w:t>
      </w:r>
    </w:p>
    <w:p w14:paraId="174E06D8">
      <w:pPr>
        <w:pStyle w:val="84"/>
        <w:spacing w:line="360" w:lineRule="auto"/>
        <w:ind w:firstLine="420" w:firstLineChars="200"/>
        <w:jc w:val="left"/>
        <w:rPr>
          <w:color w:val="auto"/>
          <w:szCs w:val="21"/>
          <w:highlight w:val="none"/>
          <w:u w:val="single"/>
        </w:rPr>
      </w:pPr>
      <w:r>
        <w:rPr>
          <w:rFonts w:hint="eastAsia"/>
          <w:color w:val="auto"/>
          <w:kern w:val="0"/>
          <w:szCs w:val="21"/>
          <w:highlight w:val="none"/>
        </w:rPr>
        <w:t>工程试车内容：</w:t>
      </w:r>
      <w:r>
        <w:rPr>
          <w:rFonts w:hint="eastAsia"/>
          <w:color w:val="auto"/>
          <w:szCs w:val="21"/>
          <w:highlight w:val="none"/>
          <w:u w:val="single"/>
        </w:rPr>
        <w:t>按通用条款</w:t>
      </w:r>
      <w:r>
        <w:rPr>
          <w:color w:val="auto"/>
          <w:szCs w:val="21"/>
          <w:highlight w:val="none"/>
          <w:u w:val="single"/>
        </w:rPr>
        <w:t>13.3.1</w:t>
      </w:r>
      <w:r>
        <w:rPr>
          <w:rFonts w:hint="eastAsia"/>
          <w:color w:val="auto"/>
          <w:szCs w:val="21"/>
          <w:highlight w:val="none"/>
          <w:u w:val="single"/>
        </w:rPr>
        <w:t>条执行</w:t>
      </w:r>
      <w:r>
        <w:rPr>
          <w:color w:val="auto"/>
          <w:szCs w:val="21"/>
          <w:highlight w:val="none"/>
          <w:u w:val="single"/>
        </w:rPr>
        <w:t xml:space="preserve">  </w:t>
      </w:r>
      <w:r>
        <w:rPr>
          <w:rFonts w:hint="eastAsia" w:hAnsi="宋体"/>
          <w:color w:val="auto"/>
          <w:szCs w:val="21"/>
          <w:highlight w:val="none"/>
        </w:rPr>
        <w:t>。</w:t>
      </w:r>
    </w:p>
    <w:p w14:paraId="14DFB81F">
      <w:pPr>
        <w:pStyle w:val="84"/>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）单机无负荷试车费用由</w:t>
      </w:r>
      <w:r>
        <w:rPr>
          <w:color w:val="auto"/>
          <w:szCs w:val="21"/>
          <w:highlight w:val="none"/>
          <w:u w:val="single"/>
        </w:rPr>
        <w:t xml:space="preserve">   /  </w:t>
      </w:r>
      <w:r>
        <w:rPr>
          <w:rFonts w:hint="eastAsia" w:hAnsi="宋体"/>
          <w:color w:val="auto"/>
          <w:kern w:val="0"/>
          <w:szCs w:val="21"/>
          <w:highlight w:val="none"/>
        </w:rPr>
        <w:t>承担；</w:t>
      </w:r>
    </w:p>
    <w:p w14:paraId="00F4315A">
      <w:pPr>
        <w:pStyle w:val="84"/>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）无负荷联动试车费用由</w:t>
      </w:r>
      <w:r>
        <w:rPr>
          <w:color w:val="auto"/>
          <w:szCs w:val="21"/>
          <w:highlight w:val="none"/>
          <w:u w:val="single"/>
        </w:rPr>
        <w:t xml:space="preserve">   /  </w:t>
      </w:r>
      <w:r>
        <w:rPr>
          <w:rFonts w:hint="eastAsia" w:hAnsi="宋体"/>
          <w:color w:val="auto"/>
          <w:kern w:val="0"/>
          <w:szCs w:val="21"/>
          <w:highlight w:val="none"/>
        </w:rPr>
        <w:t>承担。</w:t>
      </w:r>
    </w:p>
    <w:p w14:paraId="31CCAF3D">
      <w:pPr>
        <w:pStyle w:val="84"/>
        <w:spacing w:line="360" w:lineRule="auto"/>
        <w:ind w:firstLine="420" w:firstLineChars="200"/>
        <w:jc w:val="left"/>
        <w:rPr>
          <w:color w:val="auto"/>
          <w:kern w:val="0"/>
          <w:szCs w:val="21"/>
          <w:highlight w:val="none"/>
        </w:rPr>
      </w:pPr>
      <w:r>
        <w:rPr>
          <w:color w:val="auto"/>
          <w:kern w:val="0"/>
          <w:szCs w:val="21"/>
          <w:highlight w:val="none"/>
        </w:rPr>
        <w:t xml:space="preserve">13.3.3 </w:t>
      </w:r>
      <w:r>
        <w:rPr>
          <w:rFonts w:hint="eastAsia" w:hAnsi="宋体"/>
          <w:color w:val="auto"/>
          <w:kern w:val="0"/>
          <w:szCs w:val="21"/>
          <w:highlight w:val="none"/>
        </w:rPr>
        <w:t>投料试车</w:t>
      </w:r>
    </w:p>
    <w:p w14:paraId="032959F9">
      <w:pPr>
        <w:pStyle w:val="84"/>
        <w:spacing w:line="360" w:lineRule="auto"/>
        <w:ind w:firstLine="420" w:firstLineChars="200"/>
        <w:jc w:val="left"/>
        <w:rPr>
          <w:color w:val="auto"/>
          <w:szCs w:val="21"/>
          <w:highlight w:val="none"/>
          <w:u w:val="single"/>
        </w:rPr>
      </w:pPr>
      <w:r>
        <w:rPr>
          <w:rFonts w:hint="eastAsia"/>
          <w:color w:val="auto"/>
          <w:kern w:val="0"/>
          <w:szCs w:val="21"/>
          <w:highlight w:val="none"/>
        </w:rPr>
        <w:t>关于投料试车相关事项的约定：</w:t>
      </w:r>
      <w:r>
        <w:rPr>
          <w:color w:val="auto"/>
          <w:szCs w:val="21"/>
          <w:highlight w:val="none"/>
          <w:u w:val="single"/>
        </w:rPr>
        <w:t xml:space="preserve">    </w:t>
      </w:r>
      <w:r>
        <w:rPr>
          <w:rFonts w:hint="eastAsia"/>
          <w:color w:val="auto"/>
          <w:szCs w:val="21"/>
          <w:highlight w:val="none"/>
          <w:u w:val="single"/>
        </w:rPr>
        <w:t>按通用条款第</w:t>
      </w:r>
      <w:r>
        <w:rPr>
          <w:color w:val="auto"/>
          <w:szCs w:val="21"/>
          <w:highlight w:val="none"/>
          <w:u w:val="single"/>
        </w:rPr>
        <w:t>13.3</w:t>
      </w:r>
      <w:r>
        <w:rPr>
          <w:rFonts w:hint="eastAsia"/>
          <w:color w:val="auto"/>
          <w:szCs w:val="21"/>
          <w:highlight w:val="none"/>
          <w:u w:val="single"/>
        </w:rPr>
        <w:t>条执行</w:t>
      </w:r>
      <w:r>
        <w:rPr>
          <w:color w:val="auto"/>
          <w:szCs w:val="21"/>
          <w:highlight w:val="none"/>
          <w:u w:val="single"/>
        </w:rPr>
        <w:t xml:space="preserve">     </w:t>
      </w:r>
      <w:r>
        <w:rPr>
          <w:rFonts w:hint="eastAsia"/>
          <w:color w:val="auto"/>
          <w:szCs w:val="21"/>
          <w:highlight w:val="none"/>
        </w:rPr>
        <w:t>。</w:t>
      </w:r>
    </w:p>
    <w:p w14:paraId="0172E828">
      <w:pPr>
        <w:pStyle w:val="84"/>
        <w:keepNext/>
        <w:keepLines/>
        <w:spacing w:line="360" w:lineRule="auto"/>
        <w:ind w:firstLine="422"/>
        <w:rPr>
          <w:rFonts w:eastAsia="黑体"/>
          <w:b/>
          <w:bCs/>
          <w:color w:val="auto"/>
          <w:szCs w:val="32"/>
          <w:highlight w:val="none"/>
        </w:rPr>
      </w:pPr>
      <w:bookmarkStart w:id="982" w:name="_Toc389065322"/>
      <w:bookmarkStart w:id="983" w:name="_Toc373227757"/>
      <w:bookmarkStart w:id="984" w:name="_Toc31058"/>
      <w:bookmarkStart w:id="985" w:name="_Toc373478404"/>
      <w:r>
        <w:rPr>
          <w:rFonts w:eastAsia="黑体"/>
          <w:b/>
          <w:bCs/>
          <w:color w:val="auto"/>
          <w:szCs w:val="32"/>
          <w:highlight w:val="none"/>
        </w:rPr>
        <w:t xml:space="preserve">13.6 </w:t>
      </w:r>
      <w:r>
        <w:rPr>
          <w:rFonts w:hint="eastAsia" w:hAnsi="宋体" w:eastAsia="黑体"/>
          <w:b/>
          <w:bCs/>
          <w:color w:val="auto"/>
          <w:szCs w:val="32"/>
          <w:highlight w:val="none"/>
        </w:rPr>
        <w:t>竣工退场</w:t>
      </w:r>
      <w:bookmarkEnd w:id="982"/>
      <w:bookmarkEnd w:id="983"/>
      <w:bookmarkEnd w:id="984"/>
      <w:bookmarkEnd w:id="985"/>
    </w:p>
    <w:p w14:paraId="23ED81F4">
      <w:pPr>
        <w:pStyle w:val="84"/>
        <w:spacing w:line="360" w:lineRule="auto"/>
        <w:ind w:firstLine="420" w:firstLineChars="200"/>
        <w:jc w:val="left"/>
        <w:rPr>
          <w:color w:val="auto"/>
          <w:kern w:val="0"/>
          <w:szCs w:val="21"/>
          <w:highlight w:val="none"/>
        </w:rPr>
      </w:pPr>
      <w:r>
        <w:rPr>
          <w:color w:val="auto"/>
          <w:kern w:val="0"/>
          <w:szCs w:val="21"/>
          <w:highlight w:val="none"/>
        </w:rPr>
        <w:t xml:space="preserve">13.6.1 </w:t>
      </w:r>
      <w:r>
        <w:rPr>
          <w:rFonts w:hint="eastAsia" w:hAnsi="宋体"/>
          <w:color w:val="auto"/>
          <w:kern w:val="0"/>
          <w:szCs w:val="21"/>
          <w:highlight w:val="none"/>
        </w:rPr>
        <w:t>竣工退场</w:t>
      </w:r>
    </w:p>
    <w:p w14:paraId="06867E5F">
      <w:pPr>
        <w:pStyle w:val="90"/>
        <w:wordWrap w:val="0"/>
        <w:spacing w:line="400" w:lineRule="exact"/>
        <w:ind w:firstLine="420" w:firstLineChars="200"/>
        <w:jc w:val="left"/>
        <w:rPr>
          <w:rFonts w:ascii="Arial" w:hAnsi="Arial" w:eastAsia="黑体"/>
          <w:b/>
          <w:bCs/>
          <w:color w:val="auto"/>
          <w:szCs w:val="32"/>
          <w:highlight w:val="none"/>
        </w:rPr>
      </w:pPr>
      <w:r>
        <w:rPr>
          <w:rFonts w:hint="eastAsia" w:hAnsi="宋体"/>
          <w:color w:val="auto"/>
          <w:kern w:val="0"/>
          <w:szCs w:val="21"/>
          <w:highlight w:val="none"/>
        </w:rPr>
        <w:t>承包人完成竣工退场的期限：</w:t>
      </w:r>
      <w:r>
        <w:rPr>
          <w:rFonts w:hint="eastAsia" w:ascii="Times New Roman" w:hAnsi="Times New Roman"/>
          <w:color w:val="auto"/>
          <w:szCs w:val="21"/>
          <w:highlight w:val="none"/>
          <w:u w:val="single"/>
        </w:rPr>
        <w:t>监理人颁发（出具）工程接收证书后</w:t>
      </w:r>
      <w:r>
        <w:rPr>
          <w:rFonts w:ascii="Times New Roman" w:hAnsi="Times New Roman"/>
          <w:color w:val="auto"/>
          <w:szCs w:val="21"/>
          <w:highlight w:val="none"/>
          <w:u w:val="single"/>
        </w:rPr>
        <w:t>7</w:t>
      </w:r>
      <w:r>
        <w:rPr>
          <w:rFonts w:hint="eastAsia" w:ascii="Times New Roman" w:hAnsi="Times New Roman"/>
          <w:color w:val="auto"/>
          <w:szCs w:val="21"/>
          <w:highlight w:val="none"/>
          <w:u w:val="single"/>
        </w:rPr>
        <w:t>天内，承包人负责按照通用条款本项约定的要求对施工场地进行清理并承担相关费用，直至监理人检验合格为止。</w:t>
      </w:r>
      <w:r>
        <w:rPr>
          <w:rFonts w:hint="eastAsia" w:ascii="Times New Roman" w:hAnsi="Times New Roman"/>
          <w:color w:val="auto"/>
          <w:highlight w:val="none"/>
          <w:u w:val="single"/>
        </w:rPr>
        <w:t>承包人的人员逾期撤除施工场地的，按每人每天</w:t>
      </w:r>
      <w:r>
        <w:rPr>
          <w:rFonts w:ascii="Times New Roman" w:hAnsi="Times New Roman"/>
          <w:color w:val="auto"/>
          <w:highlight w:val="none"/>
          <w:u w:val="single"/>
        </w:rPr>
        <w:t>500</w:t>
      </w:r>
      <w:r>
        <w:rPr>
          <w:rFonts w:hint="eastAsia" w:ascii="Times New Roman" w:hAnsi="Times New Roman"/>
          <w:color w:val="auto"/>
          <w:highlight w:val="none"/>
          <w:u w:val="single"/>
        </w:rPr>
        <w:t>元支付违约金给发包人</w:t>
      </w:r>
      <w:r>
        <w:rPr>
          <w:rFonts w:hint="eastAsia" w:ascii="Times New Roman" w:hAnsi="Times New Roman"/>
          <w:color w:val="auto"/>
          <w:kern w:val="0"/>
          <w:szCs w:val="21"/>
          <w:highlight w:val="none"/>
          <w:u w:val="single"/>
        </w:rPr>
        <w:t>。</w:t>
      </w:r>
      <w:r>
        <w:rPr>
          <w:rFonts w:hint="eastAsia" w:ascii="Times New Roman" w:hAnsi="Times New Roman"/>
          <w:color w:val="auto"/>
          <w:highlight w:val="none"/>
          <w:u w:val="single"/>
        </w:rPr>
        <w:t>机械设备和其他财产逾期撤离施工现场的，视为承包人放弃所有权，任由发包人处置，处置所得收益归发包人所有</w:t>
      </w:r>
      <w:r>
        <w:rPr>
          <w:rFonts w:hint="eastAsia" w:ascii="Times New Roman" w:hAnsi="Times New Roman"/>
          <w:color w:val="auto"/>
          <w:kern w:val="0"/>
          <w:szCs w:val="21"/>
          <w:highlight w:val="none"/>
          <w:u w:val="single"/>
        </w:rPr>
        <w:t>。</w:t>
      </w:r>
      <w:bookmarkStart w:id="986" w:name="_Toc351203646"/>
      <w:bookmarkStart w:id="987" w:name="_Toc389065323"/>
      <w:bookmarkStart w:id="988" w:name="_Toc373478405"/>
      <w:bookmarkStart w:id="989" w:name="_Toc20157"/>
      <w:bookmarkStart w:id="990" w:name="_Toc373227758"/>
    </w:p>
    <w:p w14:paraId="3F3EC621">
      <w:pPr>
        <w:pStyle w:val="84"/>
        <w:keepNext/>
        <w:keepLines/>
        <w:spacing w:before="60" w:after="60" w:line="412" w:lineRule="auto"/>
        <w:ind w:firstLine="422"/>
        <w:outlineLvl w:val="1"/>
        <w:rPr>
          <w:rFonts w:ascii="Arial" w:hAnsi="Arial" w:eastAsia="黑体"/>
          <w:b/>
          <w:bCs/>
          <w:color w:val="auto"/>
          <w:szCs w:val="32"/>
          <w:highlight w:val="none"/>
        </w:rPr>
      </w:pPr>
      <w:r>
        <w:rPr>
          <w:rFonts w:ascii="Arial" w:hAnsi="Arial" w:eastAsia="黑体"/>
          <w:b/>
          <w:bCs/>
          <w:color w:val="auto"/>
          <w:szCs w:val="32"/>
          <w:highlight w:val="none"/>
        </w:rPr>
        <w:t xml:space="preserve">14. </w:t>
      </w:r>
      <w:r>
        <w:rPr>
          <w:rFonts w:hint="eastAsia" w:ascii="Arial" w:hAnsi="宋体" w:eastAsia="黑体"/>
          <w:b/>
          <w:bCs/>
          <w:color w:val="auto"/>
          <w:szCs w:val="32"/>
          <w:highlight w:val="none"/>
        </w:rPr>
        <w:t>竣工结算</w:t>
      </w:r>
      <w:bookmarkEnd w:id="986"/>
      <w:bookmarkEnd w:id="987"/>
      <w:bookmarkEnd w:id="988"/>
      <w:bookmarkEnd w:id="989"/>
      <w:bookmarkEnd w:id="990"/>
    </w:p>
    <w:p w14:paraId="3A8C85DF">
      <w:pPr>
        <w:pStyle w:val="84"/>
        <w:keepNext/>
        <w:keepLines/>
        <w:spacing w:line="360" w:lineRule="auto"/>
        <w:ind w:firstLine="422"/>
        <w:outlineLvl w:val="2"/>
        <w:rPr>
          <w:rFonts w:eastAsia="黑体"/>
          <w:b/>
          <w:bCs/>
          <w:color w:val="auto"/>
          <w:szCs w:val="32"/>
          <w:highlight w:val="none"/>
        </w:rPr>
      </w:pPr>
      <w:bookmarkStart w:id="991" w:name="_Toc373227759"/>
      <w:bookmarkStart w:id="992" w:name="_Toc7016"/>
      <w:bookmarkStart w:id="993" w:name="_Toc389065324"/>
      <w:bookmarkStart w:id="994" w:name="_Toc373478406"/>
      <w:r>
        <w:rPr>
          <w:rFonts w:eastAsia="黑体"/>
          <w:b/>
          <w:bCs/>
          <w:color w:val="auto"/>
          <w:szCs w:val="32"/>
          <w:highlight w:val="none"/>
        </w:rPr>
        <w:t xml:space="preserve">14.1 </w:t>
      </w:r>
      <w:r>
        <w:rPr>
          <w:rFonts w:hint="eastAsia" w:hAnsi="宋体" w:eastAsia="黑体"/>
          <w:b/>
          <w:bCs/>
          <w:color w:val="auto"/>
          <w:szCs w:val="32"/>
          <w:highlight w:val="none"/>
        </w:rPr>
        <w:t>竣工付款申请</w:t>
      </w:r>
      <w:bookmarkEnd w:id="991"/>
      <w:bookmarkEnd w:id="992"/>
      <w:bookmarkEnd w:id="993"/>
      <w:bookmarkEnd w:id="994"/>
    </w:p>
    <w:p w14:paraId="4F5AA417">
      <w:pPr>
        <w:pStyle w:val="84"/>
        <w:spacing w:line="360" w:lineRule="auto"/>
        <w:ind w:firstLine="420" w:firstLineChars="200"/>
        <w:jc w:val="left"/>
        <w:rPr>
          <w:rFonts w:hAnsi="宋体" w:cs="宋体"/>
          <w:color w:val="auto"/>
          <w:highlight w:val="none"/>
        </w:rPr>
      </w:pPr>
      <w:bookmarkStart w:id="995" w:name="_Toc373227760"/>
      <w:bookmarkStart w:id="996" w:name="_Toc373478407"/>
      <w:bookmarkStart w:id="997" w:name="_Toc389065325"/>
      <w:r>
        <w:rPr>
          <w:rFonts w:hint="eastAsia" w:hAnsi="宋体" w:cs="宋体"/>
          <w:color w:val="auto"/>
          <w:highlight w:val="none"/>
        </w:rPr>
        <w:t>承包人提交竣工付款申请单的期限：</w:t>
      </w:r>
      <w:r>
        <w:rPr>
          <w:rFonts w:hint="eastAsia"/>
          <w:color w:val="auto"/>
          <w:szCs w:val="32"/>
          <w:highlight w:val="none"/>
          <w:u w:val="single"/>
        </w:rPr>
        <w:t>工程竣工验收合格后</w:t>
      </w:r>
      <w:r>
        <w:rPr>
          <w:color w:val="auto"/>
          <w:szCs w:val="32"/>
          <w:highlight w:val="none"/>
          <w:u w:val="single"/>
        </w:rPr>
        <w:t>90</w:t>
      </w:r>
      <w:r>
        <w:rPr>
          <w:rFonts w:hint="eastAsia"/>
          <w:color w:val="auto"/>
          <w:szCs w:val="32"/>
          <w:highlight w:val="none"/>
          <w:u w:val="single"/>
        </w:rPr>
        <w:t>天内</w:t>
      </w:r>
      <w:r>
        <w:rPr>
          <w:rFonts w:hint="eastAsia" w:hAnsi="宋体" w:cs="宋体"/>
          <w:color w:val="auto"/>
          <w:highlight w:val="none"/>
        </w:rPr>
        <w:t>。</w:t>
      </w:r>
    </w:p>
    <w:p w14:paraId="2BD47869">
      <w:pPr>
        <w:pStyle w:val="84"/>
        <w:spacing w:line="360" w:lineRule="auto"/>
        <w:ind w:firstLine="420" w:firstLineChars="200"/>
        <w:jc w:val="left"/>
        <w:rPr>
          <w:color w:val="auto"/>
          <w:highlight w:val="none"/>
        </w:rPr>
      </w:pPr>
      <w:r>
        <w:rPr>
          <w:rFonts w:hint="eastAsia" w:ascii="宋体" w:hAnsi="宋体" w:cs="宋体"/>
          <w:color w:val="auto"/>
          <w:szCs w:val="21"/>
          <w:highlight w:val="none"/>
        </w:rPr>
        <w:t>竣工结算申请的资料清单和份数：</w:t>
      </w:r>
      <w:r>
        <w:rPr>
          <w:rFonts w:hint="eastAsia" w:ascii="宋体" w:hAnsi="宋体" w:cs="宋体"/>
          <w:color w:val="auto"/>
          <w:szCs w:val="21"/>
          <w:highlight w:val="none"/>
          <w:u w:val="single"/>
        </w:rPr>
        <w:t>承包人须在项目竣工验收合格后30日历日内提交完整工程结算材料，格式及内容参照南宁市城建档案馆存档要求及发包人需要。数量一式6套</w:t>
      </w:r>
      <w:r>
        <w:rPr>
          <w:rFonts w:hint="eastAsia" w:ascii="宋体" w:hAnsi="宋体" w:cs="宋体"/>
          <w:color w:val="auto"/>
          <w:szCs w:val="21"/>
          <w:highlight w:val="none"/>
        </w:rPr>
        <w:t>。</w:t>
      </w:r>
    </w:p>
    <w:p w14:paraId="4D42A898">
      <w:pPr>
        <w:pStyle w:val="84"/>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rFonts w:hint="eastAsia"/>
          <w:color w:val="auto"/>
          <w:highlight w:val="none"/>
          <w:u w:val="single"/>
        </w:rPr>
        <w:t>按通用条款</w:t>
      </w:r>
      <w:r>
        <w:rPr>
          <w:rFonts w:hint="eastAsia" w:hAnsi="宋体" w:cs="宋体"/>
          <w:color w:val="auto"/>
          <w:highlight w:val="none"/>
        </w:rPr>
        <w:t>。竣工结算款支付申请（核准）表见合同附件</w:t>
      </w:r>
      <w:r>
        <w:rPr>
          <w:rFonts w:hAnsi="宋体" w:cs="宋体"/>
          <w:color w:val="auto"/>
          <w:highlight w:val="none"/>
        </w:rPr>
        <w:t>12</w:t>
      </w:r>
      <w:r>
        <w:rPr>
          <w:rFonts w:hint="eastAsia" w:hAnsi="宋体" w:cs="宋体"/>
          <w:color w:val="auto"/>
          <w:highlight w:val="none"/>
        </w:rPr>
        <w:t>。</w:t>
      </w:r>
    </w:p>
    <w:p w14:paraId="12192176">
      <w:pPr>
        <w:pStyle w:val="84"/>
        <w:keepNext/>
        <w:keepLines/>
        <w:spacing w:line="360" w:lineRule="auto"/>
        <w:ind w:firstLine="422"/>
        <w:outlineLvl w:val="2"/>
        <w:rPr>
          <w:rFonts w:eastAsia="黑体"/>
          <w:b/>
          <w:bCs/>
          <w:color w:val="auto"/>
          <w:szCs w:val="32"/>
          <w:highlight w:val="none"/>
        </w:rPr>
      </w:pPr>
      <w:bookmarkStart w:id="998" w:name="_Toc5653"/>
      <w:r>
        <w:rPr>
          <w:rFonts w:eastAsia="黑体"/>
          <w:b/>
          <w:bCs/>
          <w:color w:val="auto"/>
          <w:szCs w:val="32"/>
          <w:highlight w:val="none"/>
        </w:rPr>
        <w:t xml:space="preserve">14.2 </w:t>
      </w:r>
      <w:bookmarkStart w:id="999" w:name="OLE_LINK95"/>
      <w:bookmarkStart w:id="1000" w:name="OLE_LINK96"/>
      <w:r>
        <w:rPr>
          <w:rFonts w:hint="eastAsia" w:hAnsi="宋体" w:eastAsia="黑体"/>
          <w:b/>
          <w:bCs/>
          <w:color w:val="auto"/>
          <w:szCs w:val="32"/>
          <w:highlight w:val="none"/>
        </w:rPr>
        <w:t>竣工结算审核</w:t>
      </w:r>
      <w:bookmarkEnd w:id="995"/>
      <w:bookmarkEnd w:id="996"/>
      <w:bookmarkEnd w:id="997"/>
      <w:bookmarkEnd w:id="998"/>
      <w:bookmarkEnd w:id="999"/>
      <w:bookmarkEnd w:id="1000"/>
    </w:p>
    <w:p w14:paraId="14BEA039">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发包人审批竣工付款申请单的期限：</w:t>
      </w:r>
    </w:p>
    <w:p w14:paraId="0F5B871E">
      <w:pPr>
        <w:pStyle w:val="84"/>
        <w:spacing w:line="360" w:lineRule="auto"/>
        <w:ind w:firstLine="420" w:firstLineChars="200"/>
        <w:jc w:val="left"/>
        <w:rPr>
          <w:rFonts w:hAnsi="宋体" w:cs="宋体"/>
          <w:color w:val="auto"/>
          <w:highlight w:val="none"/>
        </w:rPr>
      </w:pPr>
      <w:r>
        <w:rPr>
          <w:rFonts w:hint="eastAsia" w:hAnsi="宋体" w:cs="宋体"/>
          <w:color w:val="auto"/>
          <w:highlight w:val="none"/>
        </w:rPr>
        <w:t>项目竣工验收合格，承包人完成竣工图，且向发包人提交完整的竣工资料后，方可进入结算程序。发包人将根据工程实际情况委托有资质的第三方或者根据财政投资评审要求报送财政部门（如本工程在实施时符合财政评审的评审范围）进行竣工结算评审。评审期限不少于发包人提交竣工结算申请的时间。</w:t>
      </w:r>
    </w:p>
    <w:p w14:paraId="3AD8E160">
      <w:pPr>
        <w:pStyle w:val="84"/>
        <w:spacing w:line="360" w:lineRule="auto"/>
        <w:ind w:firstLine="420" w:firstLineChars="200"/>
        <w:jc w:val="left"/>
        <w:rPr>
          <w:rFonts w:hAnsi="宋体"/>
          <w:color w:val="auto"/>
          <w:szCs w:val="21"/>
          <w:highlight w:val="none"/>
        </w:rPr>
      </w:pPr>
      <w:r>
        <w:rPr>
          <w:rFonts w:hint="eastAsia" w:hAnsi="宋体"/>
          <w:bCs/>
          <w:color w:val="auto"/>
          <w:szCs w:val="21"/>
          <w:highlight w:val="none"/>
        </w:rPr>
        <w:t>因承包人提供的结算资料不完整而需要补充或承包人不按时对账耽误时间时，审查时间应相应顺延</w:t>
      </w:r>
      <w:r>
        <w:rPr>
          <w:rFonts w:hint="eastAsia" w:hAnsi="宋体"/>
          <w:color w:val="auto"/>
          <w:szCs w:val="21"/>
          <w:highlight w:val="none"/>
        </w:rPr>
        <w:t>。</w:t>
      </w:r>
    </w:p>
    <w:p w14:paraId="726D1BF7">
      <w:pPr>
        <w:pStyle w:val="84"/>
        <w:spacing w:line="400" w:lineRule="exact"/>
        <w:ind w:firstLine="411" w:firstLineChars="196"/>
        <w:rPr>
          <w:rFonts w:hAnsi="宋体"/>
          <w:bCs/>
          <w:color w:val="auto"/>
          <w:szCs w:val="21"/>
          <w:highlight w:val="none"/>
        </w:rPr>
      </w:pPr>
      <w:r>
        <w:rPr>
          <w:rFonts w:hint="eastAsia" w:hAnsi="宋体" w:cs="宋体"/>
          <w:color w:val="auto"/>
          <w:highlight w:val="none"/>
        </w:rPr>
        <w:t>竣工</w:t>
      </w:r>
      <w:r>
        <w:rPr>
          <w:rFonts w:hint="eastAsia" w:hAnsi="宋体"/>
          <w:bCs/>
          <w:color w:val="auto"/>
          <w:szCs w:val="21"/>
          <w:highlight w:val="none"/>
        </w:rPr>
        <w:t>结算审核约定：</w:t>
      </w:r>
    </w:p>
    <w:p w14:paraId="1B953039">
      <w:pPr>
        <w:pStyle w:val="84"/>
        <w:numPr>
          <w:ilvl w:val="0"/>
          <w:numId w:val="8"/>
        </w:numPr>
        <w:spacing w:line="360" w:lineRule="auto"/>
        <w:ind w:firstLine="420" w:firstLineChars="200"/>
        <w:jc w:val="left"/>
        <w:rPr>
          <w:color w:val="auto"/>
          <w:kern w:val="0"/>
          <w:szCs w:val="21"/>
          <w:highlight w:val="none"/>
        </w:rPr>
      </w:pPr>
      <w:r>
        <w:rPr>
          <w:rFonts w:hint="eastAsia" w:ascii="Arial" w:hAnsi="Arial" w:cs="Arial"/>
          <w:color w:val="auto"/>
          <w:highlight w:val="none"/>
        </w:rPr>
        <w:t>本工程最终竣工结算若达到《自治区本级财政投资评审实施办法》（桂财办〔</w:t>
      </w:r>
      <w:r>
        <w:rPr>
          <w:rFonts w:ascii="Arial" w:hAnsi="Arial" w:cs="Arial"/>
          <w:color w:val="auto"/>
          <w:highlight w:val="none"/>
        </w:rPr>
        <w:t>2015</w:t>
      </w:r>
      <w:r>
        <w:rPr>
          <w:rFonts w:hint="eastAsia" w:ascii="Arial" w:hAnsi="Arial" w:cs="Arial"/>
          <w:color w:val="auto"/>
          <w:highlight w:val="none"/>
        </w:rPr>
        <w:t>〕</w:t>
      </w:r>
      <w:r>
        <w:rPr>
          <w:rFonts w:ascii="Arial" w:hAnsi="Arial" w:cs="Arial"/>
          <w:color w:val="auto"/>
          <w:highlight w:val="none"/>
        </w:rPr>
        <w:t>70</w:t>
      </w:r>
      <w:r>
        <w:rPr>
          <w:rFonts w:hint="eastAsia" w:ascii="Arial" w:hAnsi="Arial" w:cs="Arial"/>
          <w:color w:val="auto"/>
          <w:highlight w:val="none"/>
        </w:rPr>
        <w:t>号）规定的评审范围，需报财政部门审定</w:t>
      </w:r>
      <w:r>
        <w:rPr>
          <w:rFonts w:hint="eastAsia"/>
          <w:b/>
          <w:color w:val="auto"/>
          <w:kern w:val="0"/>
          <w:szCs w:val="21"/>
          <w:highlight w:val="none"/>
        </w:rPr>
        <w:t>。</w:t>
      </w:r>
    </w:p>
    <w:p w14:paraId="39E6E8BA">
      <w:pPr>
        <w:pStyle w:val="84"/>
        <w:numPr>
          <w:ilvl w:val="0"/>
          <w:numId w:val="8"/>
        </w:numPr>
        <w:spacing w:line="360" w:lineRule="auto"/>
        <w:ind w:firstLine="422" w:firstLineChars="200"/>
        <w:jc w:val="left"/>
        <w:rPr>
          <w:b/>
          <w:color w:val="auto"/>
          <w:kern w:val="0"/>
          <w:szCs w:val="21"/>
          <w:highlight w:val="none"/>
          <w:u w:val="single"/>
        </w:rPr>
      </w:pPr>
      <w:r>
        <w:rPr>
          <w:b/>
          <w:color w:val="auto"/>
          <w:kern w:val="0"/>
          <w:szCs w:val="21"/>
          <w:highlight w:val="none"/>
          <w:u w:val="single"/>
        </w:rPr>
        <w:t> </w:t>
      </w:r>
      <w:r>
        <w:rPr>
          <w:rFonts w:hint="eastAsia"/>
          <w:b/>
          <w:color w:val="auto"/>
          <w:kern w:val="0"/>
          <w:szCs w:val="21"/>
          <w:highlight w:val="none"/>
          <w:u w:val="single"/>
        </w:rPr>
        <w:t>承包人须在工程竣工验收正式通过后</w:t>
      </w:r>
      <w:r>
        <w:rPr>
          <w:b/>
          <w:color w:val="auto"/>
          <w:kern w:val="0"/>
          <w:szCs w:val="21"/>
          <w:highlight w:val="none"/>
          <w:u w:val="single"/>
        </w:rPr>
        <w:t>30</w:t>
      </w:r>
      <w:r>
        <w:rPr>
          <w:rFonts w:hint="eastAsia"/>
          <w:b/>
          <w:color w:val="auto"/>
          <w:kern w:val="0"/>
          <w:szCs w:val="21"/>
          <w:highlight w:val="none"/>
          <w:u w:val="single"/>
        </w:rPr>
        <w:t>日历天内，向发包人递交完整的结算资料，格式和内容按照财政部门评审中心要求</w:t>
      </w:r>
      <w:bookmarkStart w:id="1001" w:name="_Hlk85190998"/>
      <w:r>
        <w:rPr>
          <w:rFonts w:hint="eastAsia"/>
          <w:b/>
          <w:color w:val="auto"/>
          <w:kern w:val="0"/>
          <w:szCs w:val="21"/>
          <w:highlight w:val="none"/>
          <w:u w:val="single"/>
        </w:rPr>
        <w:t>。</w:t>
      </w:r>
      <w:bookmarkEnd w:id="1001"/>
    </w:p>
    <w:p w14:paraId="3F0A1240">
      <w:pPr>
        <w:pStyle w:val="84"/>
        <w:numPr>
          <w:ilvl w:val="0"/>
          <w:numId w:val="8"/>
        </w:numPr>
        <w:spacing w:line="360" w:lineRule="auto"/>
        <w:ind w:firstLine="422" w:firstLineChars="200"/>
        <w:jc w:val="left"/>
        <w:rPr>
          <w:b/>
          <w:color w:val="auto"/>
          <w:kern w:val="0"/>
          <w:szCs w:val="21"/>
          <w:highlight w:val="none"/>
          <w:u w:val="single"/>
        </w:rPr>
      </w:pPr>
      <w:r>
        <w:rPr>
          <w:b/>
          <w:color w:val="auto"/>
          <w:kern w:val="0"/>
          <w:szCs w:val="21"/>
          <w:highlight w:val="none"/>
          <w:u w:val="single"/>
        </w:rPr>
        <w:t> </w:t>
      </w:r>
      <w:r>
        <w:rPr>
          <w:rFonts w:hint="eastAsia"/>
          <w:b/>
          <w:color w:val="auto"/>
          <w:kern w:val="0"/>
          <w:szCs w:val="21"/>
          <w:highlight w:val="none"/>
          <w:u w:val="single"/>
        </w:rPr>
        <w:t>承包人所编制的工程竣工资料经监理审核后，送到财政部门或发包人。</w:t>
      </w:r>
    </w:p>
    <w:p w14:paraId="45C5BAAA">
      <w:pPr>
        <w:pStyle w:val="84"/>
        <w:numPr>
          <w:ilvl w:val="0"/>
          <w:numId w:val="8"/>
        </w:numPr>
        <w:spacing w:line="360" w:lineRule="auto"/>
        <w:ind w:firstLine="420" w:firstLineChars="200"/>
        <w:jc w:val="left"/>
        <w:rPr>
          <w:b/>
          <w:color w:val="auto"/>
          <w:kern w:val="0"/>
          <w:szCs w:val="21"/>
          <w:highlight w:val="none"/>
          <w:u w:val="single"/>
        </w:rPr>
      </w:pPr>
      <w:r>
        <w:rPr>
          <w:rFonts w:hint="eastAsia" w:ascii="Arial" w:hAnsi="Arial" w:cs="Arial"/>
          <w:color w:val="auto"/>
          <w:highlight w:val="none"/>
        </w:rPr>
        <w:t>承包人所报的工程结算总造价金额大于最终审计结算金额</w:t>
      </w:r>
      <w:r>
        <w:rPr>
          <w:rFonts w:ascii="Arial" w:hAnsi="Arial" w:cs="Arial"/>
          <w:color w:val="auto"/>
          <w:highlight w:val="none"/>
        </w:rPr>
        <w:t xml:space="preserve"> 10%</w:t>
      </w:r>
      <w:r>
        <w:rPr>
          <w:rFonts w:hint="eastAsia" w:ascii="Arial" w:hAnsi="Arial" w:cs="Arial"/>
          <w:color w:val="auto"/>
          <w:highlight w:val="none"/>
        </w:rPr>
        <w:t>的</w:t>
      </w:r>
      <w:r>
        <w:rPr>
          <w:rFonts w:ascii="Arial" w:hAnsi="Arial" w:cs="Arial"/>
          <w:color w:val="auto"/>
          <w:highlight w:val="none"/>
        </w:rPr>
        <w:t>(</w:t>
      </w:r>
      <w:r>
        <w:rPr>
          <w:rFonts w:hint="eastAsia" w:ascii="Arial" w:hAnsi="Arial" w:cs="Arial"/>
          <w:color w:val="auto"/>
          <w:highlight w:val="none"/>
        </w:rPr>
        <w:t>让利前</w:t>
      </w:r>
      <w:r>
        <w:rPr>
          <w:rFonts w:ascii="Arial" w:hAnsi="Arial" w:cs="Arial"/>
          <w:color w:val="auto"/>
          <w:highlight w:val="none"/>
        </w:rPr>
        <w:t>)</w:t>
      </w:r>
      <w:r>
        <w:rPr>
          <w:rFonts w:hint="eastAsia" w:ascii="Arial" w:hAnsi="Arial" w:cs="Arial"/>
          <w:color w:val="auto"/>
          <w:highlight w:val="none"/>
        </w:rPr>
        <w:t>，超出部分的审计费由承包人支付，审计费费率为</w:t>
      </w:r>
      <w:r>
        <w:rPr>
          <w:rFonts w:ascii="Arial" w:hAnsi="Arial" w:cs="Arial"/>
          <w:color w:val="auto"/>
          <w:highlight w:val="none"/>
        </w:rPr>
        <w:t>6%,</w:t>
      </w:r>
      <w:r>
        <w:rPr>
          <w:rFonts w:hint="eastAsia" w:ascii="Arial" w:hAnsi="Arial" w:cs="Arial"/>
          <w:color w:val="auto"/>
          <w:highlight w:val="none"/>
        </w:rPr>
        <w:t>审计费直接从最终结算金额中扣除。</w:t>
      </w:r>
      <w:r>
        <w:rPr>
          <w:rFonts w:hint="eastAsia"/>
          <w:b/>
          <w:bCs/>
          <w:color w:val="auto"/>
          <w:highlight w:val="none"/>
        </w:rPr>
        <w:t>若本项目需报财政部门审定的，审核费费率以财政部门规定为准</w:t>
      </w:r>
      <w:r>
        <w:rPr>
          <w:rFonts w:hint="eastAsia"/>
          <w:b/>
          <w:color w:val="auto"/>
          <w:highlight w:val="none"/>
        </w:rPr>
        <w:t>。</w:t>
      </w:r>
    </w:p>
    <w:p w14:paraId="1200FEA2">
      <w:pPr>
        <w:pStyle w:val="84"/>
        <w:numPr>
          <w:ilvl w:val="0"/>
          <w:numId w:val="8"/>
        </w:numPr>
        <w:spacing w:line="360" w:lineRule="auto"/>
        <w:ind w:firstLine="422" w:firstLineChars="200"/>
        <w:jc w:val="left"/>
        <w:rPr>
          <w:color w:val="auto"/>
          <w:kern w:val="0"/>
          <w:szCs w:val="21"/>
          <w:highlight w:val="none"/>
        </w:rPr>
      </w:pPr>
      <w:r>
        <w:rPr>
          <w:rFonts w:hint="eastAsia"/>
          <w:b/>
          <w:color w:val="auto"/>
          <w:kern w:val="0"/>
          <w:szCs w:val="21"/>
          <w:highlight w:val="none"/>
          <w:u w:val="single"/>
        </w:rPr>
        <w:t>承包人在收到竣工结算审核初稿后，应在</w:t>
      </w:r>
      <w:r>
        <w:rPr>
          <w:b/>
          <w:color w:val="auto"/>
          <w:kern w:val="0"/>
          <w:szCs w:val="21"/>
          <w:highlight w:val="none"/>
          <w:u w:val="single"/>
        </w:rPr>
        <w:t xml:space="preserve">5 </w:t>
      </w:r>
      <w:r>
        <w:rPr>
          <w:rFonts w:hint="eastAsia"/>
          <w:b/>
          <w:color w:val="auto"/>
          <w:kern w:val="0"/>
          <w:szCs w:val="21"/>
          <w:highlight w:val="none"/>
          <w:u w:val="single"/>
        </w:rPr>
        <w:t>个工作日内向发包人提出反馈意见或与结算审核单位进行核对。</w:t>
      </w:r>
    </w:p>
    <w:p w14:paraId="14C11046">
      <w:pPr>
        <w:pStyle w:val="84"/>
        <w:spacing w:line="360" w:lineRule="auto"/>
        <w:ind w:firstLine="420" w:firstLineChars="200"/>
        <w:jc w:val="left"/>
        <w:rPr>
          <w:color w:val="auto"/>
          <w:szCs w:val="21"/>
          <w:highlight w:val="none"/>
        </w:rPr>
      </w:pPr>
      <w:r>
        <w:rPr>
          <w:rFonts w:hint="eastAsia" w:hAnsi="宋体"/>
          <w:color w:val="auto"/>
          <w:szCs w:val="21"/>
          <w:highlight w:val="none"/>
        </w:rPr>
        <w:t>发包人完成竣工付款的期限：</w:t>
      </w:r>
      <w:r>
        <w:rPr>
          <w:rFonts w:hint="eastAsia"/>
          <w:color w:val="auto"/>
          <w:szCs w:val="21"/>
          <w:highlight w:val="none"/>
          <w:u w:val="single"/>
        </w:rPr>
        <w:t>按专用条款</w:t>
      </w:r>
      <w:r>
        <w:rPr>
          <w:color w:val="auto"/>
          <w:szCs w:val="21"/>
          <w:highlight w:val="none"/>
          <w:u w:val="single"/>
        </w:rPr>
        <w:t>12.4.1</w:t>
      </w:r>
      <w:r>
        <w:rPr>
          <w:rFonts w:hint="eastAsia"/>
          <w:color w:val="auto"/>
          <w:szCs w:val="21"/>
          <w:highlight w:val="none"/>
          <w:u w:val="single"/>
        </w:rPr>
        <w:t>条执行</w:t>
      </w:r>
      <w:r>
        <w:rPr>
          <w:color w:val="auto"/>
          <w:szCs w:val="21"/>
          <w:highlight w:val="none"/>
          <w:u w:val="single"/>
        </w:rPr>
        <w:t xml:space="preserve">  </w:t>
      </w:r>
      <w:r>
        <w:rPr>
          <w:rFonts w:hint="eastAsia"/>
          <w:color w:val="auto"/>
          <w:szCs w:val="21"/>
          <w:highlight w:val="none"/>
        </w:rPr>
        <w:t>。</w:t>
      </w:r>
    </w:p>
    <w:p w14:paraId="2288F86F">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关于竣工付款证书异议部分复核的方式和程序</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u w:val="single"/>
        </w:rPr>
        <w:t>按通用条款</w:t>
      </w:r>
      <w:r>
        <w:rPr>
          <w:color w:val="auto"/>
          <w:szCs w:val="21"/>
          <w:highlight w:val="none"/>
          <w:u w:val="single"/>
        </w:rPr>
        <w:t>14.2</w:t>
      </w:r>
      <w:r>
        <w:rPr>
          <w:rFonts w:hint="eastAsia"/>
          <w:color w:val="auto"/>
          <w:szCs w:val="21"/>
          <w:highlight w:val="none"/>
          <w:u w:val="single"/>
        </w:rPr>
        <w:t>（</w:t>
      </w:r>
      <w:r>
        <w:rPr>
          <w:color w:val="auto"/>
          <w:szCs w:val="21"/>
          <w:highlight w:val="none"/>
          <w:u w:val="single"/>
        </w:rPr>
        <w:t>3</w:t>
      </w:r>
      <w:r>
        <w:rPr>
          <w:rFonts w:hint="eastAsia"/>
          <w:color w:val="auto"/>
          <w:szCs w:val="21"/>
          <w:highlight w:val="none"/>
          <w:u w:val="single"/>
        </w:rPr>
        <w:t>）条执行</w:t>
      </w:r>
      <w:r>
        <w:rPr>
          <w:color w:val="auto"/>
          <w:szCs w:val="21"/>
          <w:highlight w:val="none"/>
          <w:u w:val="single"/>
        </w:rPr>
        <w:t xml:space="preserve"> </w:t>
      </w:r>
      <w:r>
        <w:rPr>
          <w:rFonts w:hint="eastAsia"/>
          <w:color w:val="auto"/>
          <w:szCs w:val="21"/>
          <w:highlight w:val="none"/>
        </w:rPr>
        <w:t>。</w:t>
      </w:r>
    </w:p>
    <w:p w14:paraId="3DE14445">
      <w:pPr>
        <w:pStyle w:val="84"/>
        <w:keepNext/>
        <w:keepLines/>
        <w:spacing w:line="360" w:lineRule="auto"/>
        <w:ind w:firstLine="422"/>
        <w:outlineLvl w:val="2"/>
        <w:rPr>
          <w:rFonts w:eastAsia="黑体"/>
          <w:b/>
          <w:bCs/>
          <w:color w:val="auto"/>
          <w:szCs w:val="32"/>
          <w:highlight w:val="none"/>
        </w:rPr>
      </w:pPr>
      <w:bookmarkStart w:id="1002" w:name="_Toc373478408"/>
      <w:bookmarkStart w:id="1003" w:name="_Toc28081"/>
      <w:bookmarkStart w:id="1004" w:name="_Toc373227761"/>
      <w:bookmarkStart w:id="1005" w:name="_Toc389065326"/>
      <w:r>
        <w:rPr>
          <w:rFonts w:eastAsia="黑体"/>
          <w:b/>
          <w:bCs/>
          <w:color w:val="auto"/>
          <w:szCs w:val="32"/>
          <w:highlight w:val="none"/>
        </w:rPr>
        <w:t xml:space="preserve">14.4 </w:t>
      </w:r>
      <w:r>
        <w:rPr>
          <w:rFonts w:hint="eastAsia" w:hAnsi="宋体" w:eastAsia="黑体"/>
          <w:b/>
          <w:bCs/>
          <w:color w:val="auto"/>
          <w:szCs w:val="32"/>
          <w:highlight w:val="none"/>
        </w:rPr>
        <w:t>最终结清</w:t>
      </w:r>
      <w:bookmarkEnd w:id="1002"/>
      <w:bookmarkEnd w:id="1003"/>
      <w:bookmarkEnd w:id="1004"/>
      <w:bookmarkEnd w:id="1005"/>
    </w:p>
    <w:p w14:paraId="4AE760FC">
      <w:pPr>
        <w:pStyle w:val="84"/>
        <w:spacing w:line="360" w:lineRule="auto"/>
        <w:ind w:firstLine="420" w:firstLineChars="200"/>
        <w:jc w:val="left"/>
        <w:rPr>
          <w:color w:val="auto"/>
          <w:kern w:val="0"/>
          <w:szCs w:val="21"/>
          <w:highlight w:val="none"/>
        </w:rPr>
      </w:pPr>
      <w:r>
        <w:rPr>
          <w:color w:val="auto"/>
          <w:kern w:val="0"/>
          <w:szCs w:val="21"/>
          <w:highlight w:val="none"/>
        </w:rPr>
        <w:t xml:space="preserve">14.4.1 </w:t>
      </w:r>
      <w:r>
        <w:rPr>
          <w:rFonts w:hint="eastAsia" w:hAnsi="宋体"/>
          <w:color w:val="auto"/>
          <w:kern w:val="0"/>
          <w:szCs w:val="21"/>
          <w:highlight w:val="none"/>
        </w:rPr>
        <w:t>最终结清申请单</w:t>
      </w:r>
    </w:p>
    <w:p w14:paraId="77A245D8">
      <w:pPr>
        <w:pStyle w:val="84"/>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承包人提交最终结清申请单的份数：</w:t>
      </w:r>
      <w:r>
        <w:rPr>
          <w:rFonts w:hint="eastAsia"/>
          <w:color w:val="auto"/>
          <w:szCs w:val="21"/>
          <w:highlight w:val="none"/>
          <w:u w:val="single"/>
        </w:rPr>
        <w:t>捌份</w:t>
      </w:r>
      <w:r>
        <w:rPr>
          <w:rFonts w:hint="eastAsia" w:hAnsi="宋体"/>
          <w:color w:val="auto"/>
          <w:szCs w:val="21"/>
          <w:highlight w:val="none"/>
        </w:rPr>
        <w:t>。</w:t>
      </w:r>
    </w:p>
    <w:p w14:paraId="0B7EE3FA">
      <w:pPr>
        <w:pStyle w:val="84"/>
        <w:spacing w:line="360" w:lineRule="auto"/>
        <w:ind w:firstLine="420" w:firstLineChars="200"/>
        <w:jc w:val="left"/>
        <w:rPr>
          <w:color w:val="auto"/>
          <w:szCs w:val="21"/>
          <w:highlight w:val="none"/>
        </w:rPr>
      </w:pPr>
      <w:r>
        <w:rPr>
          <w:rFonts w:hint="eastAsia" w:hAnsi="宋体"/>
          <w:color w:val="auto"/>
          <w:kern w:val="0"/>
          <w:szCs w:val="21"/>
          <w:highlight w:val="none"/>
        </w:rPr>
        <w:t>承包人提交最终结算申请单的期限：</w:t>
      </w:r>
      <w:r>
        <w:rPr>
          <w:rFonts w:hint="eastAsia"/>
          <w:color w:val="auto"/>
          <w:szCs w:val="21"/>
          <w:highlight w:val="none"/>
          <w:u w:val="single"/>
        </w:rPr>
        <w:t>缺陷责任期终止证书签发后</w:t>
      </w:r>
      <w:r>
        <w:rPr>
          <w:color w:val="auto"/>
          <w:szCs w:val="21"/>
          <w:highlight w:val="none"/>
          <w:u w:val="single"/>
        </w:rPr>
        <w:t>14</w:t>
      </w:r>
      <w:r>
        <w:rPr>
          <w:rFonts w:hint="eastAsia"/>
          <w:color w:val="auto"/>
          <w:szCs w:val="21"/>
          <w:highlight w:val="none"/>
          <w:u w:val="single"/>
        </w:rPr>
        <w:t>天内</w:t>
      </w:r>
      <w:r>
        <w:rPr>
          <w:rFonts w:hint="eastAsia" w:hAnsi="宋体"/>
          <w:color w:val="auto"/>
          <w:szCs w:val="21"/>
          <w:highlight w:val="none"/>
        </w:rPr>
        <w:t>。</w:t>
      </w:r>
      <w:r>
        <w:rPr>
          <w:color w:val="auto"/>
          <w:szCs w:val="21"/>
          <w:highlight w:val="none"/>
        </w:rPr>
        <w:t xml:space="preserve"> </w:t>
      </w:r>
    </w:p>
    <w:p w14:paraId="112EE4AE">
      <w:pPr>
        <w:pStyle w:val="84"/>
        <w:spacing w:line="360" w:lineRule="auto"/>
        <w:ind w:firstLine="420" w:firstLineChars="200"/>
        <w:jc w:val="left"/>
        <w:rPr>
          <w:color w:val="auto"/>
          <w:szCs w:val="21"/>
          <w:highlight w:val="none"/>
        </w:rPr>
      </w:pPr>
      <w:r>
        <w:rPr>
          <w:color w:val="auto"/>
          <w:szCs w:val="21"/>
          <w:highlight w:val="none"/>
        </w:rPr>
        <w:t xml:space="preserve">14.4.2 </w:t>
      </w:r>
      <w:r>
        <w:rPr>
          <w:rFonts w:hint="eastAsia" w:hAnsi="宋体"/>
          <w:color w:val="auto"/>
          <w:szCs w:val="21"/>
          <w:highlight w:val="none"/>
        </w:rPr>
        <w:t>最终结清证书和支付</w:t>
      </w:r>
    </w:p>
    <w:p w14:paraId="47637C08">
      <w:pPr>
        <w:pStyle w:val="84"/>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）发包人完成最终结清申请单的审批并颁发最终结清证书的期限：</w:t>
      </w:r>
      <w:r>
        <w:rPr>
          <w:rFonts w:hint="eastAsia"/>
          <w:color w:val="auto"/>
          <w:szCs w:val="21"/>
          <w:highlight w:val="none"/>
          <w:u w:val="single"/>
        </w:rPr>
        <w:t>按通用条款</w:t>
      </w:r>
      <w:r>
        <w:rPr>
          <w:rFonts w:hint="eastAsia"/>
          <w:color w:val="auto"/>
          <w:kern w:val="0"/>
          <w:highlight w:val="none"/>
          <w:u w:val="single"/>
        </w:rPr>
        <w:t>执行</w:t>
      </w:r>
      <w:r>
        <w:rPr>
          <w:rFonts w:hint="eastAsia" w:hAnsi="宋体"/>
          <w:color w:val="auto"/>
          <w:szCs w:val="21"/>
          <w:highlight w:val="none"/>
        </w:rPr>
        <w:t>。</w:t>
      </w:r>
    </w:p>
    <w:p w14:paraId="6B386A21">
      <w:pPr>
        <w:pStyle w:val="84"/>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）发包人完成支付的期限：</w:t>
      </w:r>
      <w:r>
        <w:rPr>
          <w:rFonts w:hint="eastAsia"/>
          <w:color w:val="auto"/>
          <w:szCs w:val="21"/>
          <w:highlight w:val="none"/>
          <w:u w:val="single"/>
        </w:rPr>
        <w:t>按通用条款</w:t>
      </w:r>
      <w:r>
        <w:rPr>
          <w:rFonts w:hint="eastAsia"/>
          <w:color w:val="auto"/>
          <w:kern w:val="0"/>
          <w:highlight w:val="none"/>
          <w:u w:val="single"/>
        </w:rPr>
        <w:t>执行</w:t>
      </w:r>
      <w:r>
        <w:rPr>
          <w:rFonts w:hint="eastAsia" w:hAnsi="宋体"/>
          <w:color w:val="auto"/>
          <w:szCs w:val="21"/>
          <w:highlight w:val="none"/>
        </w:rPr>
        <w:t>。</w:t>
      </w:r>
    </w:p>
    <w:bookmarkEnd w:id="965"/>
    <w:bookmarkEnd w:id="966"/>
    <w:bookmarkEnd w:id="967"/>
    <w:bookmarkEnd w:id="968"/>
    <w:bookmarkEnd w:id="969"/>
    <w:bookmarkEnd w:id="970"/>
    <w:bookmarkEnd w:id="971"/>
    <w:bookmarkEnd w:id="977"/>
    <w:p w14:paraId="4842BD7F">
      <w:pPr>
        <w:pStyle w:val="84"/>
        <w:keepNext/>
        <w:keepLines/>
        <w:spacing w:before="60" w:after="60" w:line="412" w:lineRule="auto"/>
        <w:ind w:firstLine="422"/>
        <w:outlineLvl w:val="1"/>
        <w:rPr>
          <w:rFonts w:ascii="Arial" w:hAnsi="Arial" w:eastAsia="黑体"/>
          <w:b/>
          <w:bCs/>
          <w:color w:val="auto"/>
          <w:szCs w:val="32"/>
          <w:highlight w:val="none"/>
        </w:rPr>
      </w:pPr>
      <w:bookmarkStart w:id="1006" w:name="_Toc373478409"/>
      <w:bookmarkStart w:id="1007" w:name="_Toc351203647"/>
      <w:bookmarkStart w:id="1008" w:name="_Toc4833"/>
      <w:bookmarkStart w:id="1009" w:name="_Toc389065327"/>
      <w:bookmarkStart w:id="1010" w:name="_Toc373227762"/>
      <w:bookmarkStart w:id="1011" w:name="_Toc267251483"/>
      <w:bookmarkStart w:id="1012" w:name="_Toc267251482"/>
      <w:bookmarkStart w:id="1013" w:name="_Toc267251484"/>
      <w:bookmarkStart w:id="1014" w:name="_Toc267251485"/>
      <w:bookmarkStart w:id="1015" w:name="_Toc267251490"/>
      <w:bookmarkStart w:id="1016" w:name="_Toc267251489"/>
      <w:bookmarkStart w:id="1017" w:name="_Toc267251486"/>
      <w:bookmarkStart w:id="1018" w:name="_Toc267251488"/>
      <w:bookmarkStart w:id="1019" w:name="_Toc267251491"/>
      <w:bookmarkStart w:id="1020" w:name="_Toc267251495"/>
      <w:bookmarkStart w:id="1021" w:name="_Toc267251498"/>
      <w:bookmarkStart w:id="1022" w:name="_Toc267251499"/>
      <w:bookmarkStart w:id="1023" w:name="_Toc267251492"/>
      <w:bookmarkStart w:id="1024" w:name="_Toc267251502"/>
      <w:bookmarkStart w:id="1025" w:name="_Toc267251496"/>
      <w:bookmarkStart w:id="1026" w:name="_Toc267251503"/>
      <w:bookmarkStart w:id="1027" w:name="_Toc267251493"/>
      <w:bookmarkStart w:id="1028" w:name="_Toc267251494"/>
      <w:bookmarkStart w:id="1029" w:name="_Toc267251497"/>
      <w:bookmarkStart w:id="1030" w:name="_Toc267251501"/>
      <w:bookmarkStart w:id="1031" w:name="_Toc267251506"/>
      <w:bookmarkStart w:id="1032" w:name="_Toc267251504"/>
      <w:bookmarkStart w:id="1033" w:name="_Toc267251507"/>
      <w:bookmarkStart w:id="1034" w:name="_Toc267251508"/>
      <w:bookmarkStart w:id="1035" w:name="_Toc267251515"/>
      <w:bookmarkStart w:id="1036" w:name="_Toc267251509"/>
      <w:bookmarkStart w:id="1037" w:name="_Toc267251510"/>
      <w:bookmarkStart w:id="1038" w:name="_Toc267251514"/>
      <w:bookmarkStart w:id="1039" w:name="_Toc267251513"/>
      <w:bookmarkStart w:id="1040" w:name="_Toc267251511"/>
      <w:r>
        <w:rPr>
          <w:rFonts w:ascii="Arial" w:hAnsi="Arial" w:eastAsia="黑体"/>
          <w:b/>
          <w:bCs/>
          <w:color w:val="auto"/>
          <w:szCs w:val="32"/>
          <w:highlight w:val="none"/>
        </w:rPr>
        <w:t xml:space="preserve">15. </w:t>
      </w:r>
      <w:r>
        <w:rPr>
          <w:rFonts w:hint="eastAsia" w:ascii="Arial" w:hAnsi="Arial" w:eastAsia="黑体"/>
          <w:b/>
          <w:bCs/>
          <w:color w:val="auto"/>
          <w:szCs w:val="32"/>
          <w:highlight w:val="none"/>
        </w:rPr>
        <w:t>缺陷责任期与保修</w:t>
      </w:r>
      <w:bookmarkEnd w:id="1006"/>
      <w:bookmarkEnd w:id="1007"/>
      <w:bookmarkEnd w:id="1008"/>
      <w:bookmarkEnd w:id="1009"/>
      <w:bookmarkEnd w:id="1010"/>
    </w:p>
    <w:p w14:paraId="421B6D2E">
      <w:pPr>
        <w:pStyle w:val="84"/>
        <w:keepNext/>
        <w:keepLines/>
        <w:spacing w:line="360" w:lineRule="auto"/>
        <w:ind w:firstLine="422"/>
        <w:outlineLvl w:val="2"/>
        <w:rPr>
          <w:rFonts w:eastAsia="黑体"/>
          <w:b/>
          <w:bCs/>
          <w:color w:val="auto"/>
          <w:szCs w:val="32"/>
          <w:highlight w:val="none"/>
        </w:rPr>
      </w:pPr>
      <w:bookmarkStart w:id="1041" w:name="_Toc373227763"/>
      <w:bookmarkStart w:id="1042" w:name="_Toc373478410"/>
      <w:bookmarkStart w:id="1043" w:name="_Toc389065328"/>
      <w:bookmarkStart w:id="1044" w:name="_Toc22134"/>
      <w:r>
        <w:rPr>
          <w:rFonts w:eastAsia="黑体"/>
          <w:b/>
          <w:bCs/>
          <w:color w:val="auto"/>
          <w:szCs w:val="32"/>
          <w:highlight w:val="none"/>
        </w:rPr>
        <w:t xml:space="preserve">15.2 </w:t>
      </w:r>
      <w:r>
        <w:rPr>
          <w:rFonts w:hint="eastAsia" w:hAnsi="宋体" w:eastAsia="黑体"/>
          <w:b/>
          <w:bCs/>
          <w:color w:val="auto"/>
          <w:szCs w:val="32"/>
          <w:highlight w:val="none"/>
        </w:rPr>
        <w:t>缺陷责任期</w:t>
      </w:r>
      <w:bookmarkEnd w:id="1011"/>
      <w:bookmarkEnd w:id="1041"/>
      <w:bookmarkEnd w:id="1042"/>
      <w:bookmarkEnd w:id="1043"/>
      <w:bookmarkEnd w:id="1044"/>
    </w:p>
    <w:p w14:paraId="28DC172A">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缺陷责任期的具体期限：</w:t>
      </w:r>
      <w:r>
        <w:rPr>
          <w:color w:val="auto"/>
          <w:szCs w:val="21"/>
          <w:highlight w:val="none"/>
          <w:u w:val="single"/>
        </w:rPr>
        <w:t xml:space="preserve">    </w:t>
      </w:r>
      <w:r>
        <w:rPr>
          <w:rFonts w:hint="eastAsia"/>
          <w:color w:val="auto"/>
          <w:szCs w:val="21"/>
          <w:highlight w:val="none"/>
          <w:u w:val="single"/>
        </w:rPr>
        <w:t>按工程质量保修书执行</w:t>
      </w:r>
      <w:r>
        <w:rPr>
          <w:color w:val="auto"/>
          <w:szCs w:val="21"/>
          <w:highlight w:val="none"/>
          <w:u w:val="single"/>
        </w:rPr>
        <w:t xml:space="preserve"> </w:t>
      </w:r>
      <w:r>
        <w:rPr>
          <w:rFonts w:hint="eastAsia" w:hAnsi="宋体"/>
          <w:color w:val="auto"/>
          <w:szCs w:val="21"/>
          <w:highlight w:val="none"/>
        </w:rPr>
        <w:t>。</w:t>
      </w:r>
    </w:p>
    <w:p w14:paraId="50A8B3ED">
      <w:pPr>
        <w:pStyle w:val="84"/>
        <w:keepNext/>
        <w:keepLines/>
        <w:spacing w:line="360" w:lineRule="auto"/>
        <w:ind w:firstLine="422"/>
        <w:outlineLvl w:val="2"/>
        <w:rPr>
          <w:rFonts w:eastAsia="黑体"/>
          <w:b/>
          <w:bCs/>
          <w:color w:val="auto"/>
          <w:szCs w:val="32"/>
          <w:highlight w:val="none"/>
        </w:rPr>
      </w:pPr>
      <w:bookmarkStart w:id="1045" w:name="_Toc373478411"/>
      <w:bookmarkStart w:id="1046" w:name="_Toc3258"/>
      <w:bookmarkStart w:id="1047" w:name="_Toc373227764"/>
      <w:bookmarkStart w:id="1048" w:name="_Toc389065329"/>
      <w:r>
        <w:rPr>
          <w:rFonts w:eastAsia="黑体"/>
          <w:b/>
          <w:bCs/>
          <w:color w:val="auto"/>
          <w:szCs w:val="32"/>
          <w:highlight w:val="none"/>
        </w:rPr>
        <w:t xml:space="preserve">15.3 </w:t>
      </w:r>
      <w:r>
        <w:rPr>
          <w:rFonts w:hint="eastAsia" w:hAnsi="宋体" w:eastAsia="黑体"/>
          <w:b/>
          <w:bCs/>
          <w:color w:val="auto"/>
          <w:szCs w:val="32"/>
          <w:highlight w:val="none"/>
        </w:rPr>
        <w:t>质量保证金</w:t>
      </w:r>
      <w:bookmarkEnd w:id="1045"/>
      <w:bookmarkEnd w:id="1046"/>
      <w:bookmarkEnd w:id="1047"/>
      <w:bookmarkEnd w:id="1048"/>
    </w:p>
    <w:p w14:paraId="589A3EDB">
      <w:pPr>
        <w:pStyle w:val="84"/>
        <w:spacing w:line="360" w:lineRule="auto"/>
        <w:ind w:firstLine="420" w:firstLineChars="200"/>
        <w:jc w:val="left"/>
        <w:rPr>
          <w:color w:val="auto"/>
          <w:szCs w:val="21"/>
          <w:highlight w:val="none"/>
        </w:rPr>
      </w:pPr>
      <w:r>
        <w:rPr>
          <w:rFonts w:hint="eastAsia"/>
          <w:color w:val="auto"/>
          <w:szCs w:val="21"/>
          <w:highlight w:val="none"/>
        </w:rPr>
        <w:t>关于是否扣留质量保证金的约定：</w:t>
      </w:r>
      <w:r>
        <w:rPr>
          <w:rFonts w:hint="eastAsia"/>
          <w:color w:val="auto"/>
          <w:szCs w:val="32"/>
          <w:highlight w:val="none"/>
          <w:u w:val="single"/>
        </w:rPr>
        <w:t>承包人按工程造价款结算总额的3%向发包人缴纳工程质量保修金（发包人待工程</w:t>
      </w:r>
      <w:r>
        <w:rPr>
          <w:rFonts w:hint="eastAsia"/>
          <w:b/>
          <w:bCs/>
          <w:color w:val="auto"/>
          <w:highlight w:val="none"/>
        </w:rPr>
        <w:t>质量保修期</w:t>
      </w:r>
      <w:r>
        <w:rPr>
          <w:rFonts w:hint="eastAsia"/>
          <w:color w:val="auto"/>
          <w:szCs w:val="32"/>
          <w:highlight w:val="none"/>
          <w:u w:val="single"/>
        </w:rPr>
        <w:t>满后无息返还）</w:t>
      </w:r>
      <w:r>
        <w:rPr>
          <w:rFonts w:hint="eastAsia"/>
          <w:color w:val="auto"/>
          <w:szCs w:val="21"/>
          <w:highlight w:val="none"/>
        </w:rPr>
        <w:t>。</w:t>
      </w:r>
    </w:p>
    <w:p w14:paraId="0999A845">
      <w:pPr>
        <w:pStyle w:val="84"/>
        <w:spacing w:line="360" w:lineRule="auto"/>
        <w:ind w:firstLine="420" w:firstLineChars="200"/>
        <w:jc w:val="left"/>
        <w:rPr>
          <w:color w:val="auto"/>
          <w:szCs w:val="21"/>
          <w:highlight w:val="none"/>
        </w:rPr>
      </w:pPr>
      <w:r>
        <w:rPr>
          <w:color w:val="auto"/>
          <w:szCs w:val="21"/>
          <w:highlight w:val="none"/>
        </w:rPr>
        <w:t xml:space="preserve">15.3.1 </w:t>
      </w:r>
      <w:r>
        <w:rPr>
          <w:rFonts w:hint="eastAsia" w:hAnsi="宋体"/>
          <w:color w:val="auto"/>
          <w:szCs w:val="21"/>
          <w:highlight w:val="none"/>
        </w:rPr>
        <w:t>承包人提供质量保证金的方式</w:t>
      </w:r>
    </w:p>
    <w:p w14:paraId="46E40229">
      <w:pPr>
        <w:pStyle w:val="84"/>
        <w:spacing w:line="360" w:lineRule="auto"/>
        <w:ind w:firstLine="420" w:firstLineChars="200"/>
        <w:jc w:val="left"/>
        <w:rPr>
          <w:color w:val="auto"/>
          <w:szCs w:val="21"/>
          <w:highlight w:val="none"/>
        </w:rPr>
      </w:pPr>
      <w:r>
        <w:rPr>
          <w:rFonts w:hint="eastAsia" w:hAnsi="宋体"/>
          <w:color w:val="auto"/>
          <w:szCs w:val="21"/>
          <w:highlight w:val="none"/>
        </w:rPr>
        <w:t>质量保证金采用以下第</w:t>
      </w:r>
      <w:r>
        <w:rPr>
          <w:color w:val="auto"/>
          <w:szCs w:val="21"/>
          <w:highlight w:val="none"/>
          <w:u w:val="single"/>
        </w:rPr>
        <w:t xml:space="preserve"> 3 </w:t>
      </w:r>
      <w:r>
        <w:rPr>
          <w:rFonts w:hint="eastAsia" w:hAnsi="宋体"/>
          <w:color w:val="auto"/>
          <w:szCs w:val="21"/>
          <w:highlight w:val="none"/>
        </w:rPr>
        <w:t>种方式：</w:t>
      </w:r>
    </w:p>
    <w:p w14:paraId="3DBCE4EE">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）质量保证金保函，保证金额为：</w:t>
      </w:r>
      <w:r>
        <w:rPr>
          <w:color w:val="auto"/>
          <w:kern w:val="0"/>
          <w:szCs w:val="21"/>
          <w:highlight w:val="none"/>
          <w:u w:val="single"/>
        </w:rPr>
        <w:t xml:space="preserve">                   </w:t>
      </w:r>
      <w:r>
        <w:rPr>
          <w:rFonts w:hint="eastAsia" w:hAnsi="宋体"/>
          <w:color w:val="auto"/>
          <w:kern w:val="0"/>
          <w:szCs w:val="21"/>
          <w:highlight w:val="none"/>
        </w:rPr>
        <w:t>；</w:t>
      </w:r>
    </w:p>
    <w:p w14:paraId="4E88E912">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rFonts w:hint="eastAsia" w:hAnsi="宋体"/>
          <w:bCs/>
          <w:color w:val="auto"/>
          <w:szCs w:val="21"/>
          <w:highlight w:val="none"/>
        </w:rPr>
        <w:t>发包人按工程价款结算总额的</w:t>
      </w:r>
      <w:r>
        <w:rPr>
          <w:rFonts w:hAnsi="宋体"/>
          <w:bCs/>
          <w:color w:val="auto"/>
          <w:szCs w:val="21"/>
          <w:highlight w:val="none"/>
          <w:u w:val="single"/>
        </w:rPr>
        <w:t xml:space="preserve">   </w:t>
      </w:r>
      <w:r>
        <w:rPr>
          <w:bCs/>
          <w:color w:val="auto"/>
          <w:szCs w:val="21"/>
          <w:highlight w:val="none"/>
        </w:rPr>
        <w:t>%</w:t>
      </w:r>
      <w:r>
        <w:rPr>
          <w:rFonts w:hint="eastAsia"/>
          <w:bCs/>
          <w:color w:val="auto"/>
          <w:szCs w:val="21"/>
          <w:highlight w:val="none"/>
        </w:rPr>
        <w:t>（</w:t>
      </w:r>
      <w:r>
        <w:rPr>
          <w:rFonts w:hint="eastAsia" w:cs="宋体"/>
          <w:color w:val="auto"/>
          <w:highlight w:val="none"/>
        </w:rPr>
        <w:t>不得超过</w:t>
      </w:r>
      <w:r>
        <w:rPr>
          <w:color w:val="auto"/>
          <w:highlight w:val="none"/>
        </w:rPr>
        <w:t>3%</w:t>
      </w:r>
      <w:r>
        <w:rPr>
          <w:rFonts w:hint="eastAsia"/>
          <w:bCs/>
          <w:color w:val="auto"/>
          <w:szCs w:val="21"/>
          <w:highlight w:val="none"/>
        </w:rPr>
        <w:t>）</w:t>
      </w:r>
      <w:r>
        <w:rPr>
          <w:rFonts w:hint="eastAsia" w:hAnsi="宋体"/>
          <w:bCs/>
          <w:color w:val="auto"/>
          <w:szCs w:val="21"/>
          <w:highlight w:val="none"/>
        </w:rPr>
        <w:t>预留工程质量保修金，待缺陷责任期满后返还，</w:t>
      </w:r>
      <w:r>
        <w:rPr>
          <w:rFonts w:hint="eastAsia" w:hAnsi="宋体" w:cs="宋体"/>
          <w:color w:val="auto"/>
          <w:highlight w:val="none"/>
        </w:rPr>
        <w:t>是否付息及利息计算方式为：</w:t>
      </w:r>
      <w:r>
        <w:rPr>
          <w:rFonts w:hAnsi="宋体" w:cs="宋体"/>
          <w:color w:val="auto"/>
          <w:highlight w:val="none"/>
          <w:u w:val="single"/>
        </w:rPr>
        <w:t xml:space="preserve">                                      </w:t>
      </w:r>
      <w:r>
        <w:rPr>
          <w:rFonts w:hint="eastAsia" w:hAnsi="宋体"/>
          <w:color w:val="auto"/>
          <w:kern w:val="0"/>
          <w:szCs w:val="21"/>
          <w:highlight w:val="none"/>
        </w:rPr>
        <w:t>；</w:t>
      </w:r>
    </w:p>
    <w:p w14:paraId="01D8871F">
      <w:pPr>
        <w:pStyle w:val="84"/>
        <w:autoSpaceDE w:val="0"/>
        <w:autoSpaceDN w:val="0"/>
        <w:adjustRightInd w:val="0"/>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）其他方式：</w:t>
      </w:r>
      <w:r>
        <w:rPr>
          <w:rFonts w:hint="eastAsia"/>
          <w:b/>
          <w:bCs/>
          <w:color w:val="auto"/>
          <w:szCs w:val="21"/>
          <w:highlight w:val="none"/>
          <w:u w:val="single"/>
        </w:rPr>
        <w:t>承包人按工程造价款结算总额的3%向发包人缴纳工程质量保修金（发包人待工程</w:t>
      </w:r>
      <w:r>
        <w:rPr>
          <w:rFonts w:hint="eastAsia"/>
          <w:b/>
          <w:bCs/>
          <w:color w:val="auto"/>
          <w:highlight w:val="none"/>
        </w:rPr>
        <w:t>质量保修期</w:t>
      </w:r>
      <w:r>
        <w:rPr>
          <w:rFonts w:hint="eastAsia"/>
          <w:b/>
          <w:bCs/>
          <w:color w:val="auto"/>
          <w:szCs w:val="21"/>
          <w:highlight w:val="none"/>
          <w:u w:val="single"/>
        </w:rPr>
        <w:t>满后无息返还）</w:t>
      </w:r>
      <w:r>
        <w:rPr>
          <w:bCs/>
          <w:color w:val="auto"/>
          <w:szCs w:val="21"/>
          <w:highlight w:val="none"/>
          <w:u w:val="single"/>
        </w:rPr>
        <w:t xml:space="preserve"> </w:t>
      </w:r>
      <w:r>
        <w:rPr>
          <w:rFonts w:hint="eastAsia"/>
          <w:bCs/>
          <w:color w:val="auto"/>
          <w:szCs w:val="21"/>
          <w:highlight w:val="none"/>
        </w:rPr>
        <w:t>。</w:t>
      </w:r>
    </w:p>
    <w:p w14:paraId="3FF93F9D">
      <w:pPr>
        <w:pStyle w:val="84"/>
        <w:spacing w:line="360" w:lineRule="auto"/>
        <w:ind w:firstLine="420" w:firstLineChars="200"/>
        <w:jc w:val="left"/>
        <w:rPr>
          <w:color w:val="auto"/>
          <w:szCs w:val="21"/>
          <w:highlight w:val="none"/>
        </w:rPr>
      </w:pPr>
      <w:r>
        <w:rPr>
          <w:color w:val="auto"/>
          <w:szCs w:val="21"/>
          <w:highlight w:val="none"/>
        </w:rPr>
        <w:t xml:space="preserve">15.3.2 </w:t>
      </w:r>
      <w:r>
        <w:rPr>
          <w:rFonts w:hint="eastAsia"/>
          <w:color w:val="auto"/>
          <w:szCs w:val="21"/>
          <w:highlight w:val="none"/>
        </w:rPr>
        <w:t>质量保证金的扣留</w:t>
      </w:r>
    </w:p>
    <w:p w14:paraId="6A216A92">
      <w:pPr>
        <w:pStyle w:val="84"/>
        <w:spacing w:line="360" w:lineRule="auto"/>
        <w:ind w:firstLine="420" w:firstLineChars="200"/>
        <w:jc w:val="left"/>
        <w:rPr>
          <w:color w:val="auto"/>
          <w:szCs w:val="21"/>
          <w:highlight w:val="none"/>
        </w:rPr>
      </w:pPr>
      <w:r>
        <w:rPr>
          <w:rFonts w:hint="eastAsia" w:hAnsi="宋体"/>
          <w:color w:val="auto"/>
          <w:szCs w:val="21"/>
          <w:highlight w:val="none"/>
        </w:rPr>
        <w:t>质量保证金的扣留采取以下第</w:t>
      </w:r>
      <w:r>
        <w:rPr>
          <w:color w:val="auto"/>
          <w:szCs w:val="21"/>
          <w:highlight w:val="none"/>
          <w:u w:val="single"/>
        </w:rPr>
        <w:t xml:space="preserve">  </w:t>
      </w:r>
      <w:r>
        <w:rPr>
          <w:rFonts w:hint="eastAsia"/>
          <w:color w:val="auto"/>
          <w:szCs w:val="21"/>
          <w:highlight w:val="none"/>
          <w:u w:val="single"/>
        </w:rPr>
        <w:t>3</w:t>
      </w:r>
      <w:r>
        <w:rPr>
          <w:color w:val="auto"/>
          <w:szCs w:val="21"/>
          <w:highlight w:val="none"/>
          <w:u w:val="single"/>
        </w:rPr>
        <w:t xml:space="preserve"> </w:t>
      </w:r>
      <w:r>
        <w:rPr>
          <w:rFonts w:hint="eastAsia" w:hAnsi="宋体"/>
          <w:color w:val="auto"/>
          <w:szCs w:val="21"/>
          <w:highlight w:val="none"/>
        </w:rPr>
        <w:t>种方式：</w:t>
      </w:r>
    </w:p>
    <w:p w14:paraId="221DC4E9">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）在支付工程进度款时逐次扣留，质量保证金的计算基数不包括预付款的支付、扣回以及价格调整的金额；</w:t>
      </w:r>
    </w:p>
    <w:p w14:paraId="6D3AFE2D">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rFonts w:hint="eastAsia" w:hAnsi="宋体" w:cs="宋体"/>
          <w:color w:val="auto"/>
          <w:kern w:val="0"/>
          <w:highlight w:val="none"/>
        </w:rPr>
        <w:t>工程竣工结算时，一次性扣留质量保证金；</w:t>
      </w:r>
    </w:p>
    <w:p w14:paraId="782E4EE5">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）其他扣留方式</w:t>
      </w:r>
      <w:r>
        <w:rPr>
          <w:color w:val="auto"/>
          <w:kern w:val="0"/>
          <w:szCs w:val="21"/>
          <w:highlight w:val="none"/>
        </w:rPr>
        <w:t>:</w:t>
      </w:r>
      <w:r>
        <w:rPr>
          <w:rFonts w:hint="eastAsia"/>
          <w:color w:val="auto"/>
          <w:highlight w:val="none"/>
        </w:rPr>
        <w:t xml:space="preserve"> </w:t>
      </w:r>
      <w:r>
        <w:rPr>
          <w:rFonts w:hint="eastAsia"/>
          <w:color w:val="auto"/>
          <w:kern w:val="0"/>
          <w:szCs w:val="21"/>
          <w:highlight w:val="none"/>
          <w:u w:val="single"/>
        </w:rPr>
        <w:t>承包人按工程造价款结算总额的3%向发包人缴纳工程质量保修金（发包人待工程</w:t>
      </w:r>
      <w:r>
        <w:rPr>
          <w:rFonts w:hint="eastAsia"/>
          <w:b/>
          <w:bCs/>
          <w:color w:val="auto"/>
          <w:highlight w:val="none"/>
        </w:rPr>
        <w:t>质量保修期</w:t>
      </w:r>
      <w:r>
        <w:rPr>
          <w:rFonts w:hint="eastAsia"/>
          <w:color w:val="auto"/>
          <w:kern w:val="0"/>
          <w:szCs w:val="21"/>
          <w:highlight w:val="none"/>
          <w:u w:val="single"/>
        </w:rPr>
        <w:t>满后无息返还）</w:t>
      </w:r>
      <w:r>
        <w:rPr>
          <w:color w:val="auto"/>
          <w:kern w:val="0"/>
          <w:szCs w:val="21"/>
          <w:highlight w:val="none"/>
          <w:u w:val="single"/>
        </w:rPr>
        <w:t xml:space="preserve"> </w:t>
      </w:r>
      <w:r>
        <w:rPr>
          <w:rFonts w:hint="eastAsia" w:hAnsi="宋体"/>
          <w:color w:val="auto"/>
          <w:kern w:val="0"/>
          <w:szCs w:val="21"/>
          <w:highlight w:val="none"/>
        </w:rPr>
        <w:t>。</w:t>
      </w:r>
    </w:p>
    <w:p w14:paraId="494F28A4">
      <w:pPr>
        <w:pStyle w:val="84"/>
        <w:spacing w:line="360" w:lineRule="auto"/>
        <w:ind w:firstLine="420" w:firstLineChars="200"/>
        <w:jc w:val="left"/>
        <w:rPr>
          <w:color w:val="auto"/>
          <w:kern w:val="0"/>
          <w:szCs w:val="21"/>
          <w:highlight w:val="none"/>
          <w:u w:val="single"/>
        </w:rPr>
      </w:pPr>
      <w:r>
        <w:rPr>
          <w:rFonts w:hint="eastAsia" w:hAnsi="宋体"/>
          <w:color w:val="auto"/>
          <w:szCs w:val="21"/>
          <w:highlight w:val="none"/>
        </w:rPr>
        <w:t>关于质量保证金的补充约定：</w:t>
      </w:r>
      <w:r>
        <w:rPr>
          <w:color w:val="auto"/>
          <w:kern w:val="0"/>
          <w:szCs w:val="21"/>
          <w:highlight w:val="none"/>
          <w:u w:val="single"/>
        </w:rPr>
        <w:t xml:space="preserve">    </w:t>
      </w:r>
      <w:r>
        <w:rPr>
          <w:rFonts w:hint="eastAsia"/>
          <w:color w:val="auto"/>
          <w:kern w:val="0"/>
          <w:szCs w:val="21"/>
          <w:highlight w:val="none"/>
          <w:u w:val="single"/>
        </w:rPr>
        <w:t>无</w:t>
      </w:r>
      <w:r>
        <w:rPr>
          <w:color w:val="auto"/>
          <w:kern w:val="0"/>
          <w:szCs w:val="21"/>
          <w:highlight w:val="none"/>
          <w:u w:val="single"/>
        </w:rPr>
        <w:t xml:space="preserve">      </w:t>
      </w:r>
      <w:r>
        <w:rPr>
          <w:rFonts w:hint="eastAsia" w:hAnsi="宋体"/>
          <w:color w:val="auto"/>
          <w:kern w:val="0"/>
          <w:szCs w:val="21"/>
          <w:highlight w:val="none"/>
        </w:rPr>
        <w:t>。</w:t>
      </w:r>
    </w:p>
    <w:bookmarkEnd w:id="1012"/>
    <w:bookmarkEnd w:id="1013"/>
    <w:p w14:paraId="425B8E7A">
      <w:pPr>
        <w:pStyle w:val="84"/>
        <w:keepNext/>
        <w:keepLines/>
        <w:spacing w:line="360" w:lineRule="auto"/>
        <w:ind w:firstLine="422"/>
        <w:outlineLvl w:val="2"/>
        <w:rPr>
          <w:rFonts w:eastAsia="黑体"/>
          <w:b/>
          <w:bCs/>
          <w:color w:val="auto"/>
          <w:szCs w:val="32"/>
          <w:highlight w:val="none"/>
        </w:rPr>
      </w:pPr>
      <w:bookmarkStart w:id="1049" w:name="_Toc373227765"/>
      <w:bookmarkStart w:id="1050" w:name="_Toc373478412"/>
      <w:bookmarkStart w:id="1051" w:name="_Toc389065330"/>
      <w:bookmarkStart w:id="1052" w:name="_Toc22419"/>
      <w:r>
        <w:rPr>
          <w:rFonts w:eastAsia="黑体"/>
          <w:b/>
          <w:bCs/>
          <w:color w:val="auto"/>
          <w:szCs w:val="32"/>
          <w:highlight w:val="none"/>
        </w:rPr>
        <w:t xml:space="preserve">15.4 </w:t>
      </w:r>
      <w:r>
        <w:rPr>
          <w:rFonts w:hint="eastAsia" w:hAnsi="宋体" w:eastAsia="黑体"/>
          <w:b/>
          <w:bCs/>
          <w:color w:val="auto"/>
          <w:szCs w:val="32"/>
          <w:highlight w:val="none"/>
        </w:rPr>
        <w:t>保修</w:t>
      </w:r>
      <w:bookmarkEnd w:id="1049"/>
      <w:bookmarkEnd w:id="1050"/>
      <w:bookmarkEnd w:id="1051"/>
      <w:bookmarkEnd w:id="1052"/>
    </w:p>
    <w:bookmarkEnd w:id="1014"/>
    <w:p w14:paraId="41BB8F35">
      <w:pPr>
        <w:pStyle w:val="84"/>
        <w:spacing w:line="360" w:lineRule="auto"/>
        <w:ind w:firstLine="409" w:firstLineChars="195"/>
        <w:jc w:val="left"/>
        <w:rPr>
          <w:color w:val="auto"/>
          <w:szCs w:val="21"/>
          <w:highlight w:val="none"/>
        </w:rPr>
      </w:pPr>
      <w:r>
        <w:rPr>
          <w:color w:val="auto"/>
          <w:szCs w:val="21"/>
          <w:highlight w:val="none"/>
        </w:rPr>
        <w:t xml:space="preserve">15.4.1 </w:t>
      </w:r>
      <w:r>
        <w:rPr>
          <w:rFonts w:hint="eastAsia" w:hAnsi="宋体"/>
          <w:color w:val="auto"/>
          <w:szCs w:val="21"/>
          <w:highlight w:val="none"/>
        </w:rPr>
        <w:t>保修责任</w:t>
      </w:r>
    </w:p>
    <w:p w14:paraId="6C952480">
      <w:pPr>
        <w:pStyle w:val="84"/>
        <w:spacing w:line="360" w:lineRule="auto"/>
        <w:ind w:firstLine="409" w:firstLineChars="195"/>
        <w:jc w:val="left"/>
        <w:rPr>
          <w:rFonts w:hAnsi="宋体"/>
          <w:color w:val="auto"/>
          <w:kern w:val="0"/>
          <w:szCs w:val="21"/>
          <w:highlight w:val="none"/>
        </w:rPr>
      </w:pPr>
      <w:r>
        <w:rPr>
          <w:rFonts w:hint="eastAsia" w:hAnsi="宋体"/>
          <w:color w:val="auto"/>
          <w:szCs w:val="21"/>
          <w:highlight w:val="none"/>
        </w:rPr>
        <w:t>工程保修期为：</w:t>
      </w:r>
      <w:r>
        <w:rPr>
          <w:color w:val="auto"/>
          <w:kern w:val="0"/>
          <w:szCs w:val="21"/>
          <w:highlight w:val="none"/>
          <w:u w:val="single"/>
        </w:rPr>
        <w:t xml:space="preserve">  </w:t>
      </w:r>
      <w:r>
        <w:rPr>
          <w:rFonts w:hint="eastAsia" w:ascii="宋体" w:hAnsi="宋体" w:cs="宋体"/>
          <w:b/>
          <w:bCs/>
          <w:color w:val="auto"/>
          <w:kern w:val="0"/>
          <w:szCs w:val="21"/>
          <w:highlight w:val="none"/>
          <w:u w:val="single"/>
        </w:rPr>
        <w:t xml:space="preserve">按《工程质量保修书》 </w:t>
      </w:r>
      <w:r>
        <w:rPr>
          <w:color w:val="auto"/>
          <w:kern w:val="0"/>
          <w:szCs w:val="21"/>
          <w:highlight w:val="none"/>
          <w:u w:val="single"/>
        </w:rPr>
        <w:t xml:space="preserve"> </w:t>
      </w:r>
      <w:r>
        <w:rPr>
          <w:rFonts w:hint="eastAsia" w:hAnsi="宋体"/>
          <w:color w:val="auto"/>
          <w:kern w:val="0"/>
          <w:szCs w:val="21"/>
          <w:highlight w:val="none"/>
        </w:rPr>
        <w:t>。</w:t>
      </w:r>
    </w:p>
    <w:p w14:paraId="1895B135">
      <w:pPr>
        <w:pStyle w:val="84"/>
        <w:spacing w:line="360" w:lineRule="auto"/>
        <w:ind w:firstLine="409" w:firstLineChars="195"/>
        <w:jc w:val="left"/>
        <w:rPr>
          <w:color w:val="auto"/>
          <w:kern w:val="0"/>
          <w:szCs w:val="21"/>
          <w:highlight w:val="none"/>
          <w:u w:val="single"/>
        </w:rPr>
      </w:pPr>
      <w:r>
        <w:rPr>
          <w:rFonts w:hint="eastAsia" w:ascii="宋体" w:hAnsi="宋体"/>
          <w:color w:val="auto"/>
          <w:szCs w:val="21"/>
          <w:highlight w:val="none"/>
        </w:rPr>
        <w:t>工程保修书具体内容见合同附件2。</w:t>
      </w:r>
    </w:p>
    <w:p w14:paraId="3FE635DC">
      <w:pPr>
        <w:pStyle w:val="84"/>
        <w:spacing w:line="360" w:lineRule="auto"/>
        <w:ind w:firstLine="409" w:firstLineChars="195"/>
        <w:jc w:val="left"/>
        <w:rPr>
          <w:color w:val="auto"/>
          <w:szCs w:val="21"/>
          <w:highlight w:val="none"/>
        </w:rPr>
      </w:pPr>
      <w:r>
        <w:rPr>
          <w:color w:val="auto"/>
          <w:szCs w:val="21"/>
          <w:highlight w:val="none"/>
        </w:rPr>
        <w:t xml:space="preserve">15.4.3 </w:t>
      </w:r>
      <w:r>
        <w:rPr>
          <w:rFonts w:hint="eastAsia" w:hAnsi="宋体"/>
          <w:color w:val="auto"/>
          <w:szCs w:val="21"/>
          <w:highlight w:val="none"/>
        </w:rPr>
        <w:t>修复通知</w:t>
      </w:r>
    </w:p>
    <w:p w14:paraId="45CCEE1F">
      <w:pPr>
        <w:pStyle w:val="84"/>
        <w:spacing w:line="360" w:lineRule="auto"/>
        <w:ind w:firstLine="409" w:firstLineChars="195"/>
        <w:jc w:val="left"/>
        <w:rPr>
          <w:rFonts w:hAnsi="宋体"/>
          <w:color w:val="auto"/>
          <w:kern w:val="0"/>
          <w:szCs w:val="21"/>
          <w:highlight w:val="none"/>
        </w:rPr>
      </w:pPr>
      <w:r>
        <w:rPr>
          <w:rFonts w:hint="eastAsia" w:hAnsi="宋体"/>
          <w:color w:val="auto"/>
          <w:kern w:val="0"/>
          <w:szCs w:val="21"/>
          <w:highlight w:val="none"/>
        </w:rPr>
        <w:t>承包人收到保修通知并到达工程现场的合理时间：</w:t>
      </w:r>
      <w:r>
        <w:rPr>
          <w:color w:val="auto"/>
          <w:kern w:val="0"/>
          <w:szCs w:val="21"/>
          <w:highlight w:val="none"/>
          <w:u w:val="single"/>
        </w:rPr>
        <w:t xml:space="preserve">  </w:t>
      </w:r>
      <w:r>
        <w:rPr>
          <w:rFonts w:hint="eastAsia"/>
          <w:color w:val="auto"/>
          <w:kern w:val="0"/>
          <w:szCs w:val="32"/>
          <w:highlight w:val="none"/>
          <w:u w:val="single"/>
        </w:rPr>
        <w:t>收到通知后</w:t>
      </w:r>
      <w:r>
        <w:rPr>
          <w:color w:val="auto"/>
          <w:kern w:val="0"/>
          <w:szCs w:val="21"/>
          <w:highlight w:val="none"/>
          <w:u w:val="single"/>
        </w:rPr>
        <w:t xml:space="preserve">24 </w:t>
      </w:r>
      <w:r>
        <w:rPr>
          <w:rFonts w:hint="eastAsia"/>
          <w:color w:val="auto"/>
          <w:kern w:val="0"/>
          <w:szCs w:val="21"/>
          <w:highlight w:val="none"/>
          <w:u w:val="single"/>
        </w:rPr>
        <w:t>小时内</w:t>
      </w:r>
      <w:r>
        <w:rPr>
          <w:color w:val="auto"/>
          <w:kern w:val="0"/>
          <w:szCs w:val="21"/>
          <w:highlight w:val="none"/>
          <w:u w:val="single"/>
        </w:rPr>
        <w:t xml:space="preserve">  </w:t>
      </w:r>
      <w:r>
        <w:rPr>
          <w:rFonts w:hint="eastAsia" w:hAnsi="宋体"/>
          <w:color w:val="auto"/>
          <w:kern w:val="0"/>
          <w:szCs w:val="21"/>
          <w:highlight w:val="none"/>
        </w:rPr>
        <w:t>。</w:t>
      </w:r>
    </w:p>
    <w:p w14:paraId="4341D77F">
      <w:pPr>
        <w:pStyle w:val="77"/>
        <w:wordWrap w:val="0"/>
        <w:spacing w:line="400" w:lineRule="exact"/>
        <w:ind w:firstLine="420" w:firstLineChars="200"/>
        <w:jc w:val="left"/>
        <w:rPr>
          <w:color w:val="auto"/>
          <w:kern w:val="0"/>
          <w:szCs w:val="21"/>
          <w:highlight w:val="none"/>
        </w:rPr>
      </w:pPr>
      <w:r>
        <w:rPr>
          <w:color w:val="auto"/>
          <w:kern w:val="0"/>
          <w:szCs w:val="21"/>
          <w:highlight w:val="none"/>
        </w:rPr>
        <w:t xml:space="preserve">15.4.4 </w:t>
      </w:r>
      <w:r>
        <w:rPr>
          <w:rFonts w:hint="eastAsia"/>
          <w:color w:val="auto"/>
          <w:kern w:val="0"/>
          <w:szCs w:val="21"/>
          <w:highlight w:val="none"/>
        </w:rPr>
        <w:t>未能修复</w:t>
      </w:r>
    </w:p>
    <w:p w14:paraId="21008DD8">
      <w:pPr>
        <w:pStyle w:val="77"/>
        <w:wordWrap w:val="0"/>
        <w:spacing w:line="400" w:lineRule="exact"/>
        <w:ind w:firstLine="420" w:firstLineChars="200"/>
        <w:jc w:val="left"/>
        <w:rPr>
          <w:color w:val="auto"/>
          <w:kern w:val="0"/>
          <w:szCs w:val="21"/>
          <w:highlight w:val="none"/>
        </w:rPr>
      </w:pPr>
      <w:r>
        <w:rPr>
          <w:rFonts w:hint="eastAsia"/>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5B52CE3">
      <w:pPr>
        <w:pStyle w:val="77"/>
        <w:wordWrap w:val="0"/>
        <w:spacing w:line="400" w:lineRule="exact"/>
        <w:ind w:firstLine="420" w:firstLineChars="200"/>
        <w:jc w:val="left"/>
        <w:rPr>
          <w:color w:val="auto"/>
          <w:kern w:val="0"/>
          <w:szCs w:val="21"/>
          <w:highlight w:val="none"/>
        </w:rPr>
      </w:pPr>
      <w:r>
        <w:rPr>
          <w:rFonts w:hint="eastAsia"/>
          <w:color w:val="auto"/>
          <w:kern w:val="0"/>
          <w:szCs w:val="21"/>
          <w:highlight w:val="none"/>
        </w:rPr>
        <w:t>发包人有权从质保金中直接扣付以上费用，若质保金不足以扣付以上费用的，发包人有权另行向承包人索赔。</w:t>
      </w:r>
    </w:p>
    <w:p w14:paraId="20A08412">
      <w:pPr>
        <w:pStyle w:val="84"/>
        <w:spacing w:line="360" w:lineRule="auto"/>
        <w:ind w:firstLine="409" w:firstLineChars="195"/>
        <w:jc w:val="left"/>
        <w:rPr>
          <w:rFonts w:hAnsi="宋体"/>
          <w:color w:val="auto"/>
          <w:kern w:val="0"/>
          <w:szCs w:val="21"/>
          <w:highlight w:val="none"/>
        </w:rPr>
      </w:pPr>
    </w:p>
    <w:bookmarkEnd w:id="1015"/>
    <w:bookmarkEnd w:id="1016"/>
    <w:bookmarkEnd w:id="1017"/>
    <w:bookmarkEnd w:id="1018"/>
    <w:p w14:paraId="786A425A">
      <w:pPr>
        <w:pStyle w:val="84"/>
        <w:keepNext/>
        <w:keepLines/>
        <w:spacing w:before="60" w:after="60" w:line="412" w:lineRule="auto"/>
        <w:ind w:firstLine="422"/>
        <w:outlineLvl w:val="1"/>
        <w:rPr>
          <w:rFonts w:ascii="Arial" w:hAnsi="Arial" w:eastAsia="黑体"/>
          <w:b/>
          <w:bCs/>
          <w:color w:val="auto"/>
          <w:szCs w:val="32"/>
          <w:highlight w:val="none"/>
        </w:rPr>
      </w:pPr>
      <w:bookmarkStart w:id="1053" w:name="_Toc389065331"/>
      <w:bookmarkStart w:id="1054" w:name="_Toc7183"/>
      <w:bookmarkStart w:id="1055" w:name="_Toc373227766"/>
      <w:bookmarkStart w:id="1056" w:name="_Toc373478413"/>
      <w:bookmarkStart w:id="1057" w:name="_Toc351203648"/>
      <w:bookmarkStart w:id="1058" w:name="_Toc280868717"/>
      <w:bookmarkStart w:id="1059" w:name="_Toc280868718"/>
      <w:r>
        <w:rPr>
          <w:rFonts w:ascii="Arial" w:hAnsi="Arial" w:eastAsia="黑体"/>
          <w:b/>
          <w:bCs/>
          <w:color w:val="auto"/>
          <w:szCs w:val="32"/>
          <w:highlight w:val="none"/>
        </w:rPr>
        <w:t xml:space="preserve">16. </w:t>
      </w:r>
      <w:r>
        <w:rPr>
          <w:rFonts w:hint="eastAsia" w:ascii="Arial" w:hAnsi="宋体" w:eastAsia="黑体"/>
          <w:b/>
          <w:bCs/>
          <w:color w:val="auto"/>
          <w:szCs w:val="32"/>
          <w:highlight w:val="none"/>
        </w:rPr>
        <w:t>违约</w:t>
      </w:r>
      <w:bookmarkEnd w:id="1053"/>
      <w:bookmarkEnd w:id="1054"/>
      <w:bookmarkEnd w:id="1055"/>
      <w:bookmarkEnd w:id="1056"/>
      <w:bookmarkEnd w:id="1057"/>
    </w:p>
    <w:p w14:paraId="3C6DC186">
      <w:pPr>
        <w:pStyle w:val="84"/>
        <w:keepNext/>
        <w:keepLines/>
        <w:spacing w:line="360" w:lineRule="auto"/>
        <w:ind w:firstLine="422"/>
        <w:outlineLvl w:val="2"/>
        <w:rPr>
          <w:rFonts w:eastAsia="黑体"/>
          <w:b/>
          <w:bCs/>
          <w:color w:val="auto"/>
          <w:szCs w:val="32"/>
          <w:highlight w:val="none"/>
        </w:rPr>
      </w:pPr>
      <w:bookmarkStart w:id="1060" w:name="_Toc21939"/>
      <w:bookmarkStart w:id="1061" w:name="_Toc373478414"/>
      <w:bookmarkStart w:id="1062" w:name="_Toc389065332"/>
      <w:bookmarkStart w:id="1063" w:name="_Toc373227767"/>
      <w:r>
        <w:rPr>
          <w:rFonts w:eastAsia="黑体"/>
          <w:b/>
          <w:bCs/>
          <w:color w:val="auto"/>
          <w:szCs w:val="32"/>
          <w:highlight w:val="none"/>
        </w:rPr>
        <w:t xml:space="preserve">16.1 </w:t>
      </w:r>
      <w:r>
        <w:rPr>
          <w:rFonts w:hint="eastAsia" w:hAnsi="宋体" w:eastAsia="黑体"/>
          <w:b/>
          <w:bCs/>
          <w:color w:val="auto"/>
          <w:szCs w:val="32"/>
          <w:highlight w:val="none"/>
        </w:rPr>
        <w:t>发包人违约</w:t>
      </w:r>
      <w:bookmarkEnd w:id="1060"/>
      <w:bookmarkEnd w:id="1061"/>
      <w:bookmarkEnd w:id="1062"/>
      <w:bookmarkEnd w:id="1063"/>
    </w:p>
    <w:p w14:paraId="250569F7">
      <w:pPr>
        <w:pStyle w:val="84"/>
        <w:spacing w:line="360" w:lineRule="auto"/>
        <w:ind w:firstLine="420" w:firstLineChars="200"/>
        <w:jc w:val="left"/>
        <w:rPr>
          <w:color w:val="auto"/>
          <w:szCs w:val="21"/>
          <w:highlight w:val="none"/>
        </w:rPr>
      </w:pPr>
      <w:r>
        <w:rPr>
          <w:color w:val="auto"/>
          <w:szCs w:val="21"/>
          <w:highlight w:val="none"/>
        </w:rPr>
        <w:t>16.1.1</w:t>
      </w:r>
      <w:r>
        <w:rPr>
          <w:rFonts w:hint="eastAsia" w:hAnsi="宋体"/>
          <w:color w:val="auto"/>
          <w:szCs w:val="21"/>
          <w:highlight w:val="none"/>
        </w:rPr>
        <w:t>发包人违约的情形</w:t>
      </w:r>
    </w:p>
    <w:p w14:paraId="37A2C818">
      <w:pPr>
        <w:pStyle w:val="84"/>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发包人违约的其他情形：</w:t>
      </w:r>
      <w:r>
        <w:rPr>
          <w:color w:val="auto"/>
          <w:kern w:val="0"/>
          <w:szCs w:val="21"/>
          <w:highlight w:val="none"/>
          <w:u w:val="single"/>
        </w:rPr>
        <w:t xml:space="preserve"> </w:t>
      </w:r>
      <w:r>
        <w:rPr>
          <w:rFonts w:hint="eastAsia"/>
          <w:color w:val="auto"/>
          <w:kern w:val="0"/>
          <w:szCs w:val="21"/>
          <w:highlight w:val="none"/>
          <w:u w:val="single"/>
        </w:rPr>
        <w:t>无</w:t>
      </w:r>
      <w:r>
        <w:rPr>
          <w:color w:val="auto"/>
          <w:kern w:val="0"/>
          <w:szCs w:val="21"/>
          <w:highlight w:val="none"/>
          <w:u w:val="single"/>
        </w:rPr>
        <w:t xml:space="preserve"> </w:t>
      </w:r>
      <w:r>
        <w:rPr>
          <w:rFonts w:hint="eastAsia" w:hAnsi="宋体"/>
          <w:color w:val="auto"/>
          <w:kern w:val="0"/>
          <w:szCs w:val="21"/>
          <w:highlight w:val="none"/>
        </w:rPr>
        <w:t>。</w:t>
      </w:r>
    </w:p>
    <w:p w14:paraId="1D51290B">
      <w:pPr>
        <w:pStyle w:val="84"/>
        <w:spacing w:line="360" w:lineRule="auto"/>
        <w:ind w:firstLine="420" w:firstLineChars="200"/>
        <w:jc w:val="left"/>
        <w:rPr>
          <w:color w:val="auto"/>
          <w:kern w:val="0"/>
          <w:szCs w:val="21"/>
          <w:highlight w:val="none"/>
        </w:rPr>
      </w:pPr>
      <w:r>
        <w:rPr>
          <w:color w:val="auto"/>
          <w:kern w:val="0"/>
          <w:szCs w:val="21"/>
          <w:highlight w:val="none"/>
        </w:rPr>
        <w:t xml:space="preserve">16.1.2 </w:t>
      </w:r>
      <w:r>
        <w:rPr>
          <w:rFonts w:hint="eastAsia" w:hAnsi="宋体"/>
          <w:color w:val="auto"/>
          <w:kern w:val="0"/>
          <w:szCs w:val="21"/>
          <w:highlight w:val="none"/>
        </w:rPr>
        <w:t>发包人违约的责任</w:t>
      </w:r>
    </w:p>
    <w:p w14:paraId="1A0923D7">
      <w:pPr>
        <w:pStyle w:val="84"/>
        <w:spacing w:line="360" w:lineRule="auto"/>
        <w:ind w:firstLine="420" w:firstLineChars="200"/>
        <w:jc w:val="left"/>
        <w:rPr>
          <w:color w:val="auto"/>
          <w:kern w:val="0"/>
          <w:szCs w:val="21"/>
          <w:highlight w:val="none"/>
        </w:rPr>
      </w:pPr>
      <w:r>
        <w:rPr>
          <w:rFonts w:hint="eastAsia" w:hAnsi="宋体"/>
          <w:color w:val="auto"/>
          <w:kern w:val="0"/>
          <w:szCs w:val="21"/>
          <w:highlight w:val="none"/>
        </w:rPr>
        <w:t>发包人违约责任的承担方式和计算方法：</w:t>
      </w:r>
    </w:p>
    <w:p w14:paraId="14D86AFE">
      <w:pPr>
        <w:pStyle w:val="84"/>
        <w:spacing w:line="360" w:lineRule="auto"/>
        <w:ind w:firstLine="420" w:firstLineChars="200"/>
        <w:jc w:val="left"/>
        <w:rPr>
          <w:color w:val="auto"/>
          <w:kern w:val="0"/>
          <w:szCs w:val="21"/>
          <w:highlight w:val="none"/>
          <w:u w:val="singl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）因发包人原因未能在计划开工日期前</w:t>
      </w:r>
      <w:r>
        <w:rPr>
          <w:color w:val="auto"/>
          <w:kern w:val="0"/>
          <w:szCs w:val="21"/>
          <w:highlight w:val="none"/>
        </w:rPr>
        <w:t>7</w:t>
      </w:r>
      <w:r>
        <w:rPr>
          <w:rFonts w:hint="eastAsia" w:hAnsi="宋体"/>
          <w:color w:val="auto"/>
          <w:kern w:val="0"/>
          <w:szCs w:val="21"/>
          <w:highlight w:val="none"/>
        </w:rPr>
        <w:t>天内下达开工通知的违约责任：</w:t>
      </w:r>
      <w:r>
        <w:rPr>
          <w:color w:val="auto"/>
          <w:kern w:val="0"/>
          <w:szCs w:val="21"/>
          <w:highlight w:val="none"/>
          <w:u w:val="single"/>
        </w:rPr>
        <w:t xml:space="preserve">   </w:t>
      </w:r>
      <w:r>
        <w:rPr>
          <w:rFonts w:hint="eastAsia"/>
          <w:color w:val="auto"/>
          <w:kern w:val="0"/>
          <w:highlight w:val="none"/>
          <w:u w:val="single"/>
        </w:rPr>
        <w:t>顺延工期</w:t>
      </w:r>
      <w:r>
        <w:rPr>
          <w:color w:val="auto"/>
          <w:kern w:val="0"/>
          <w:highlight w:val="none"/>
          <w:u w:val="single"/>
        </w:rPr>
        <w:t xml:space="preserve"> </w:t>
      </w:r>
      <w:r>
        <w:rPr>
          <w:rFonts w:hint="eastAsia" w:hAnsi="宋体"/>
          <w:color w:val="auto"/>
          <w:kern w:val="0"/>
          <w:szCs w:val="21"/>
          <w:highlight w:val="none"/>
        </w:rPr>
        <w:t>。</w:t>
      </w:r>
    </w:p>
    <w:p w14:paraId="42A6624A">
      <w:pPr>
        <w:pStyle w:val="84"/>
        <w:spacing w:line="360" w:lineRule="auto"/>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2</w:t>
      </w:r>
      <w:r>
        <w:rPr>
          <w:rFonts w:hint="eastAsia" w:hAnsi="宋体"/>
          <w:color w:val="auto"/>
          <w:kern w:val="0"/>
          <w:szCs w:val="21"/>
          <w:highlight w:val="none"/>
        </w:rPr>
        <w:t>）因发包人原因未能按合同约定支付合同价款的违约责任：</w:t>
      </w:r>
      <w:r>
        <w:rPr>
          <w:rFonts w:hint="eastAsia" w:hAnsi="宋体"/>
          <w:color w:val="auto"/>
          <w:kern w:val="0"/>
          <w:szCs w:val="21"/>
          <w:highlight w:val="none"/>
          <w:u w:val="single"/>
        </w:rPr>
        <w:t>无。</w:t>
      </w:r>
    </w:p>
    <w:p w14:paraId="7DD3F176">
      <w:pPr>
        <w:pStyle w:val="84"/>
        <w:spacing w:line="360" w:lineRule="auto"/>
        <w:ind w:firstLine="420" w:firstLineChars="200"/>
        <w:jc w:val="left"/>
        <w:rPr>
          <w:color w:val="auto"/>
          <w:kern w:val="0"/>
          <w:szCs w:val="21"/>
          <w:highlight w:val="none"/>
          <w:u w:val="singl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）发包人提供的材料、工程设备的规格、数量或质量不符合合同约定，或因发包人原因导致交货日期延误或交货地点变更等情况的违约责任：</w:t>
      </w:r>
      <w:r>
        <w:rPr>
          <w:color w:val="auto"/>
          <w:kern w:val="0"/>
          <w:szCs w:val="21"/>
          <w:highlight w:val="none"/>
          <w:u w:val="single"/>
        </w:rPr>
        <w:t xml:space="preserve">   </w:t>
      </w:r>
      <w:r>
        <w:rPr>
          <w:rFonts w:hint="eastAsia"/>
          <w:color w:val="auto"/>
          <w:kern w:val="0"/>
          <w:szCs w:val="21"/>
          <w:highlight w:val="none"/>
          <w:u w:val="single"/>
        </w:rPr>
        <w:t>按本合同</w:t>
      </w:r>
      <w:r>
        <w:rPr>
          <w:color w:val="auto"/>
          <w:kern w:val="0"/>
          <w:szCs w:val="21"/>
          <w:highlight w:val="none"/>
          <w:u w:val="single"/>
        </w:rPr>
        <w:t xml:space="preserve"> </w:t>
      </w:r>
      <w:r>
        <w:rPr>
          <w:rFonts w:hint="eastAsia"/>
          <w:color w:val="auto"/>
          <w:kern w:val="0"/>
          <w:szCs w:val="21"/>
          <w:highlight w:val="none"/>
          <w:u w:val="single"/>
        </w:rPr>
        <w:t>《通用合同条款》的相关规定执行</w:t>
      </w:r>
      <w:r>
        <w:rPr>
          <w:color w:val="auto"/>
          <w:kern w:val="0"/>
          <w:szCs w:val="21"/>
          <w:highlight w:val="none"/>
          <w:u w:val="single"/>
        </w:rPr>
        <w:t xml:space="preserve">  </w:t>
      </w:r>
      <w:r>
        <w:rPr>
          <w:rFonts w:hint="eastAsia" w:hAnsi="宋体"/>
          <w:color w:val="auto"/>
          <w:kern w:val="0"/>
          <w:szCs w:val="21"/>
          <w:highlight w:val="none"/>
        </w:rPr>
        <w:t>。</w:t>
      </w:r>
    </w:p>
    <w:p w14:paraId="65BF397E">
      <w:pPr>
        <w:pStyle w:val="84"/>
        <w:spacing w:line="360" w:lineRule="auto"/>
        <w:ind w:firstLine="420" w:firstLineChars="200"/>
        <w:jc w:val="left"/>
        <w:rPr>
          <w:color w:val="auto"/>
          <w:kern w:val="0"/>
          <w:szCs w:val="21"/>
          <w:highlight w:val="none"/>
          <w:u w:val="single"/>
        </w:rPr>
      </w:pPr>
      <w:r>
        <w:rPr>
          <w:rFonts w:hint="eastAsia" w:hAnsi="宋体"/>
          <w:color w:val="auto"/>
          <w:kern w:val="0"/>
          <w:szCs w:val="21"/>
          <w:highlight w:val="none"/>
        </w:rPr>
        <w:t>（</w:t>
      </w:r>
      <w:r>
        <w:rPr>
          <w:color w:val="auto"/>
          <w:kern w:val="0"/>
          <w:szCs w:val="21"/>
          <w:highlight w:val="none"/>
        </w:rPr>
        <w:t>4</w:t>
      </w:r>
      <w:r>
        <w:rPr>
          <w:rFonts w:hint="eastAsia" w:hAnsi="宋体"/>
          <w:color w:val="auto"/>
          <w:kern w:val="0"/>
          <w:szCs w:val="21"/>
          <w:highlight w:val="none"/>
        </w:rPr>
        <w:t>）因发包人违反合同约定造成暂停施工的违约责任：</w:t>
      </w:r>
      <w:r>
        <w:rPr>
          <w:color w:val="auto"/>
          <w:kern w:val="0"/>
          <w:szCs w:val="21"/>
          <w:highlight w:val="none"/>
          <w:u w:val="single"/>
        </w:rPr>
        <w:t xml:space="preserve">  </w:t>
      </w:r>
      <w:r>
        <w:rPr>
          <w:rFonts w:hint="eastAsia"/>
          <w:color w:val="auto"/>
          <w:kern w:val="0"/>
          <w:szCs w:val="21"/>
          <w:highlight w:val="none"/>
          <w:u w:val="single"/>
        </w:rPr>
        <w:t>发包人赔偿承包人停工、窝工损失、机械停置费、周转材料租金等损失，工期顺延</w:t>
      </w:r>
      <w:r>
        <w:rPr>
          <w:color w:val="auto"/>
          <w:kern w:val="0"/>
          <w:szCs w:val="21"/>
          <w:highlight w:val="none"/>
          <w:u w:val="single"/>
        </w:rPr>
        <w:t xml:space="preserve">   </w:t>
      </w:r>
      <w:r>
        <w:rPr>
          <w:rFonts w:hint="eastAsia" w:hAnsi="宋体"/>
          <w:color w:val="auto"/>
          <w:kern w:val="0"/>
          <w:szCs w:val="21"/>
          <w:highlight w:val="none"/>
        </w:rPr>
        <w:t>。</w:t>
      </w:r>
    </w:p>
    <w:p w14:paraId="3DF85645">
      <w:pPr>
        <w:pStyle w:val="84"/>
        <w:spacing w:line="360" w:lineRule="auto"/>
        <w:ind w:firstLine="420" w:firstLineChars="200"/>
        <w:jc w:val="left"/>
        <w:rPr>
          <w:color w:val="auto"/>
          <w:kern w:val="0"/>
          <w:szCs w:val="21"/>
          <w:highlight w:val="none"/>
          <w:u w:val="single"/>
        </w:rPr>
      </w:pPr>
      <w:r>
        <w:rPr>
          <w:rFonts w:hint="eastAsia" w:hAnsi="宋体"/>
          <w:color w:val="auto"/>
          <w:kern w:val="0"/>
          <w:szCs w:val="21"/>
          <w:highlight w:val="none"/>
        </w:rPr>
        <w:t>（</w:t>
      </w:r>
      <w:r>
        <w:rPr>
          <w:color w:val="auto"/>
          <w:kern w:val="0"/>
          <w:szCs w:val="21"/>
          <w:highlight w:val="none"/>
        </w:rPr>
        <w:t>5</w:t>
      </w:r>
      <w:r>
        <w:rPr>
          <w:rFonts w:hint="eastAsia" w:hAnsi="宋体"/>
          <w:color w:val="auto"/>
          <w:kern w:val="0"/>
          <w:szCs w:val="21"/>
          <w:highlight w:val="none"/>
        </w:rPr>
        <w:t>）发包人无正当理由没有在约定期限内发出复工指示，导致承包人无法复工的违约责任：</w:t>
      </w:r>
      <w:r>
        <w:rPr>
          <w:color w:val="auto"/>
          <w:kern w:val="0"/>
          <w:szCs w:val="21"/>
          <w:highlight w:val="none"/>
          <w:u w:val="single"/>
        </w:rPr>
        <w:t xml:space="preserve">   </w:t>
      </w:r>
      <w:r>
        <w:rPr>
          <w:rFonts w:hint="eastAsia"/>
          <w:color w:val="auto"/>
          <w:kern w:val="0"/>
          <w:szCs w:val="21"/>
          <w:highlight w:val="none"/>
          <w:u w:val="single"/>
        </w:rPr>
        <w:t>工期顺延。</w:t>
      </w:r>
    </w:p>
    <w:p w14:paraId="0A3D2DD6">
      <w:pPr>
        <w:pStyle w:val="84"/>
        <w:spacing w:line="360" w:lineRule="auto"/>
        <w:ind w:firstLine="420" w:firstLineChars="200"/>
        <w:jc w:val="left"/>
        <w:rPr>
          <w:color w:val="auto"/>
          <w:kern w:val="0"/>
          <w:szCs w:val="21"/>
          <w:highlight w:val="none"/>
        </w:rPr>
      </w:pPr>
      <w:r>
        <w:rPr>
          <w:rFonts w:hint="eastAsia" w:hAnsi="宋体"/>
          <w:color w:val="auto"/>
          <w:kern w:val="0"/>
          <w:szCs w:val="21"/>
          <w:highlight w:val="none"/>
        </w:rPr>
        <w:t>（</w:t>
      </w:r>
      <w:r>
        <w:rPr>
          <w:color w:val="auto"/>
          <w:kern w:val="0"/>
          <w:szCs w:val="21"/>
          <w:highlight w:val="none"/>
        </w:rPr>
        <w:t>6</w:t>
      </w:r>
      <w:r>
        <w:rPr>
          <w:rFonts w:hint="eastAsia" w:hAnsi="宋体"/>
          <w:color w:val="auto"/>
          <w:kern w:val="0"/>
          <w:szCs w:val="21"/>
          <w:highlight w:val="none"/>
        </w:rPr>
        <w:t>）其他：</w:t>
      </w:r>
      <w:r>
        <w:rPr>
          <w:color w:val="auto"/>
          <w:kern w:val="0"/>
          <w:szCs w:val="21"/>
          <w:highlight w:val="none"/>
          <w:u w:val="single"/>
        </w:rPr>
        <w:t xml:space="preserve">   </w:t>
      </w:r>
      <w:r>
        <w:rPr>
          <w:rFonts w:hint="eastAsia"/>
          <w:color w:val="auto"/>
          <w:kern w:val="0"/>
          <w:szCs w:val="21"/>
          <w:highlight w:val="none"/>
          <w:u w:val="single"/>
        </w:rPr>
        <w:t>按本合同</w:t>
      </w:r>
      <w:r>
        <w:rPr>
          <w:color w:val="auto"/>
          <w:kern w:val="0"/>
          <w:szCs w:val="21"/>
          <w:highlight w:val="none"/>
          <w:u w:val="single"/>
        </w:rPr>
        <w:t xml:space="preserve"> </w:t>
      </w:r>
      <w:r>
        <w:rPr>
          <w:rFonts w:hint="eastAsia"/>
          <w:color w:val="auto"/>
          <w:kern w:val="0"/>
          <w:szCs w:val="21"/>
          <w:highlight w:val="none"/>
          <w:u w:val="single"/>
        </w:rPr>
        <w:t>《通用合同条款》的相关规定执行</w:t>
      </w:r>
      <w:r>
        <w:rPr>
          <w:color w:val="auto"/>
          <w:kern w:val="0"/>
          <w:szCs w:val="21"/>
          <w:highlight w:val="none"/>
          <w:u w:val="single"/>
        </w:rPr>
        <w:t xml:space="preserve">    </w:t>
      </w:r>
      <w:r>
        <w:rPr>
          <w:rFonts w:hint="eastAsia" w:hAnsi="宋体"/>
          <w:color w:val="auto"/>
          <w:kern w:val="0"/>
          <w:szCs w:val="21"/>
          <w:highlight w:val="none"/>
        </w:rPr>
        <w:t>。</w:t>
      </w:r>
    </w:p>
    <w:p w14:paraId="0DE33A41">
      <w:pPr>
        <w:pStyle w:val="84"/>
        <w:spacing w:line="360" w:lineRule="auto"/>
        <w:ind w:firstLine="420" w:firstLineChars="200"/>
        <w:jc w:val="left"/>
        <w:rPr>
          <w:color w:val="auto"/>
          <w:szCs w:val="21"/>
          <w:highlight w:val="none"/>
        </w:rPr>
      </w:pPr>
      <w:r>
        <w:rPr>
          <w:color w:val="auto"/>
          <w:szCs w:val="21"/>
          <w:highlight w:val="none"/>
        </w:rPr>
        <w:t xml:space="preserve">16.1.3 </w:t>
      </w:r>
      <w:r>
        <w:rPr>
          <w:rFonts w:hint="eastAsia" w:hAnsi="宋体"/>
          <w:color w:val="auto"/>
          <w:szCs w:val="21"/>
          <w:highlight w:val="none"/>
        </w:rPr>
        <w:t>因发包人违约解除合同</w:t>
      </w:r>
    </w:p>
    <w:p w14:paraId="74045EF0">
      <w:pPr>
        <w:pStyle w:val="84"/>
        <w:autoSpaceDE w:val="0"/>
        <w:autoSpaceDN w:val="0"/>
        <w:adjustRightInd w:val="0"/>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承包人按</w:t>
      </w:r>
      <w:r>
        <w:rPr>
          <w:color w:val="auto"/>
          <w:kern w:val="0"/>
          <w:szCs w:val="21"/>
          <w:highlight w:val="none"/>
        </w:rPr>
        <w:t>16.1.1</w:t>
      </w:r>
      <w:r>
        <w:rPr>
          <w:rFonts w:hint="eastAsia" w:hAnsi="宋体"/>
          <w:color w:val="auto"/>
          <w:kern w:val="0"/>
          <w:szCs w:val="21"/>
          <w:highlight w:val="none"/>
        </w:rPr>
        <w:t>项〔发包人违约的情形〕约定暂停施工满</w:t>
      </w:r>
      <w:r>
        <w:rPr>
          <w:color w:val="auto"/>
          <w:kern w:val="0"/>
          <w:szCs w:val="21"/>
          <w:highlight w:val="none"/>
          <w:u w:val="single"/>
        </w:rPr>
        <w:t xml:space="preserve"> 28 </w:t>
      </w:r>
      <w:r>
        <w:rPr>
          <w:rFonts w:hint="eastAsia" w:hAnsi="宋体"/>
          <w:color w:val="auto"/>
          <w:kern w:val="0"/>
          <w:szCs w:val="21"/>
          <w:highlight w:val="none"/>
        </w:rPr>
        <w:t>天后发包人仍不纠正其违约行为并致使合同目的不能实现的，承包人有权解除合同。</w:t>
      </w:r>
    </w:p>
    <w:p w14:paraId="2E522463">
      <w:pPr>
        <w:pStyle w:val="84"/>
        <w:keepNext/>
        <w:keepLines/>
        <w:spacing w:line="360" w:lineRule="auto"/>
        <w:ind w:firstLine="422"/>
        <w:outlineLvl w:val="2"/>
        <w:rPr>
          <w:rFonts w:eastAsia="黑体"/>
          <w:b/>
          <w:bCs/>
          <w:color w:val="auto"/>
          <w:szCs w:val="32"/>
          <w:highlight w:val="none"/>
        </w:rPr>
      </w:pPr>
      <w:bookmarkStart w:id="1064" w:name="_Toc373227768"/>
      <w:bookmarkStart w:id="1065" w:name="_Toc373478415"/>
      <w:bookmarkStart w:id="1066" w:name="_Toc28910"/>
      <w:bookmarkStart w:id="1067" w:name="_Toc389065333"/>
      <w:r>
        <w:rPr>
          <w:rFonts w:eastAsia="黑体"/>
          <w:b/>
          <w:bCs/>
          <w:color w:val="auto"/>
          <w:szCs w:val="32"/>
          <w:highlight w:val="none"/>
        </w:rPr>
        <w:t xml:space="preserve">16.2 </w:t>
      </w:r>
      <w:r>
        <w:rPr>
          <w:rFonts w:hint="eastAsia" w:hAnsi="宋体" w:eastAsia="黑体"/>
          <w:b/>
          <w:bCs/>
          <w:color w:val="auto"/>
          <w:szCs w:val="32"/>
          <w:highlight w:val="none"/>
        </w:rPr>
        <w:t>承包人违约</w:t>
      </w:r>
      <w:bookmarkEnd w:id="1064"/>
      <w:bookmarkEnd w:id="1065"/>
      <w:bookmarkEnd w:id="1066"/>
      <w:bookmarkEnd w:id="1067"/>
    </w:p>
    <w:p w14:paraId="60EB038E">
      <w:pPr>
        <w:pStyle w:val="84"/>
        <w:spacing w:line="360" w:lineRule="auto"/>
        <w:ind w:firstLine="420" w:firstLineChars="200"/>
        <w:jc w:val="left"/>
        <w:rPr>
          <w:color w:val="auto"/>
          <w:kern w:val="0"/>
          <w:szCs w:val="21"/>
          <w:highlight w:val="none"/>
        </w:rPr>
      </w:pPr>
      <w:r>
        <w:rPr>
          <w:color w:val="auto"/>
          <w:kern w:val="0"/>
          <w:szCs w:val="21"/>
          <w:highlight w:val="none"/>
        </w:rPr>
        <w:t xml:space="preserve">16.2.1 </w:t>
      </w:r>
      <w:r>
        <w:rPr>
          <w:rFonts w:hint="eastAsia" w:hAnsi="宋体"/>
          <w:color w:val="auto"/>
          <w:kern w:val="0"/>
          <w:szCs w:val="21"/>
          <w:highlight w:val="none"/>
        </w:rPr>
        <w:t>承包人违约的情形</w:t>
      </w:r>
    </w:p>
    <w:p w14:paraId="5150FFF7">
      <w:pPr>
        <w:pStyle w:val="84"/>
        <w:spacing w:line="360" w:lineRule="auto"/>
        <w:ind w:firstLine="420" w:firstLineChars="200"/>
        <w:jc w:val="left"/>
        <w:rPr>
          <w:color w:val="auto"/>
          <w:kern w:val="0"/>
          <w:szCs w:val="21"/>
          <w:highlight w:val="none"/>
          <w:u w:val="single"/>
        </w:rPr>
      </w:pPr>
      <w:r>
        <w:rPr>
          <w:rFonts w:hint="eastAsia" w:hAnsi="宋体"/>
          <w:color w:val="auto"/>
          <w:kern w:val="0"/>
          <w:szCs w:val="21"/>
          <w:highlight w:val="none"/>
        </w:rPr>
        <w:t>承包人违约的其他情形：</w:t>
      </w:r>
      <w:r>
        <w:rPr>
          <w:rFonts w:hint="eastAsia" w:ascii="宋体" w:hAnsi="宋体"/>
          <w:b/>
          <w:color w:val="auto"/>
          <w:kern w:val="0"/>
          <w:szCs w:val="21"/>
          <w:highlight w:val="none"/>
          <w:u w:val="single"/>
        </w:rPr>
        <w:t>承包人有违反《南宁市建设工程造价管理办法》</w:t>
      </w:r>
      <w:r>
        <w:rPr>
          <w:rFonts w:hint="eastAsia"/>
          <w:b/>
          <w:color w:val="auto"/>
          <w:szCs w:val="21"/>
          <w:highlight w:val="none"/>
          <w:u w:val="single"/>
        </w:rPr>
        <w:t>（南宁市人民政府令</w:t>
      </w:r>
      <w:r>
        <w:rPr>
          <w:b/>
          <w:color w:val="auto"/>
          <w:szCs w:val="21"/>
          <w:highlight w:val="none"/>
          <w:u w:val="single"/>
        </w:rPr>
        <w:t>2007</w:t>
      </w:r>
      <w:r>
        <w:rPr>
          <w:rFonts w:hint="eastAsia"/>
          <w:b/>
          <w:color w:val="auto"/>
          <w:szCs w:val="21"/>
          <w:highlight w:val="none"/>
          <w:u w:val="single"/>
        </w:rPr>
        <w:t>年第</w:t>
      </w:r>
      <w:r>
        <w:rPr>
          <w:b/>
          <w:color w:val="auto"/>
          <w:szCs w:val="21"/>
          <w:highlight w:val="none"/>
          <w:u w:val="single"/>
        </w:rPr>
        <w:t>5</w:t>
      </w:r>
      <w:r>
        <w:rPr>
          <w:rFonts w:hint="eastAsia"/>
          <w:b/>
          <w:color w:val="auto"/>
          <w:szCs w:val="21"/>
          <w:highlight w:val="none"/>
          <w:u w:val="single"/>
        </w:rPr>
        <w:t>号）</w:t>
      </w:r>
      <w:r>
        <w:rPr>
          <w:rFonts w:hint="eastAsia" w:ascii="宋体" w:hAnsi="宋体"/>
          <w:b/>
          <w:color w:val="auto"/>
          <w:kern w:val="0"/>
          <w:szCs w:val="21"/>
          <w:highlight w:val="none"/>
          <w:u w:val="single"/>
        </w:rPr>
        <w:t>规定的，按规定给予处罚</w:t>
      </w:r>
      <w:r>
        <w:rPr>
          <w:color w:val="auto"/>
          <w:kern w:val="0"/>
          <w:szCs w:val="21"/>
          <w:highlight w:val="none"/>
          <w:u w:val="single"/>
        </w:rPr>
        <w:t xml:space="preserve">    </w:t>
      </w:r>
      <w:r>
        <w:rPr>
          <w:rFonts w:hint="eastAsia" w:hAnsi="宋体"/>
          <w:color w:val="auto"/>
          <w:kern w:val="0"/>
          <w:szCs w:val="21"/>
          <w:highlight w:val="none"/>
        </w:rPr>
        <w:t>。</w:t>
      </w:r>
    </w:p>
    <w:p w14:paraId="0986A309">
      <w:pPr>
        <w:pStyle w:val="84"/>
        <w:spacing w:line="360" w:lineRule="auto"/>
        <w:ind w:firstLine="420" w:firstLineChars="200"/>
        <w:jc w:val="left"/>
        <w:rPr>
          <w:color w:val="auto"/>
          <w:kern w:val="0"/>
          <w:szCs w:val="21"/>
          <w:highlight w:val="none"/>
        </w:rPr>
      </w:pPr>
      <w:r>
        <w:rPr>
          <w:color w:val="auto"/>
          <w:kern w:val="0"/>
          <w:szCs w:val="21"/>
          <w:highlight w:val="none"/>
        </w:rPr>
        <w:t>16.2.2</w:t>
      </w:r>
      <w:r>
        <w:rPr>
          <w:rFonts w:hint="eastAsia" w:hAnsi="宋体"/>
          <w:color w:val="auto"/>
          <w:kern w:val="0"/>
          <w:szCs w:val="21"/>
          <w:highlight w:val="none"/>
        </w:rPr>
        <w:t>承包人违约的责任</w:t>
      </w:r>
    </w:p>
    <w:p w14:paraId="56F8C6DA">
      <w:pPr>
        <w:pStyle w:val="84"/>
        <w:spacing w:line="360" w:lineRule="auto"/>
        <w:ind w:firstLine="420" w:firstLineChars="200"/>
        <w:jc w:val="left"/>
        <w:rPr>
          <w:color w:val="auto"/>
          <w:kern w:val="0"/>
          <w:szCs w:val="21"/>
          <w:highlight w:val="none"/>
        </w:rPr>
      </w:pPr>
      <w:r>
        <w:rPr>
          <w:rFonts w:hint="eastAsia" w:hAnsi="宋体"/>
          <w:color w:val="auto"/>
          <w:kern w:val="0"/>
          <w:szCs w:val="21"/>
          <w:highlight w:val="none"/>
        </w:rPr>
        <w:t>承包人违约责任的承担方式和计算方法：</w:t>
      </w:r>
    </w:p>
    <w:p w14:paraId="576A8478">
      <w:pPr>
        <w:pStyle w:val="84"/>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color w:val="auto"/>
          <w:kern w:val="0"/>
          <w:szCs w:val="21"/>
          <w:highlight w:val="none"/>
        </w:rPr>
        <w:t>1</w:t>
      </w:r>
      <w:r>
        <w:rPr>
          <w:rFonts w:hint="eastAsia" w:hAnsi="宋体"/>
          <w:color w:val="auto"/>
          <w:kern w:val="0"/>
          <w:szCs w:val="21"/>
          <w:highlight w:val="none"/>
        </w:rPr>
        <w:t>）承包人未按本合同通用条款第</w:t>
      </w:r>
      <w:r>
        <w:rPr>
          <w:color w:val="auto"/>
          <w:kern w:val="0"/>
          <w:szCs w:val="21"/>
          <w:highlight w:val="none"/>
        </w:rPr>
        <w:t>16.2.1</w:t>
      </w:r>
      <w:r>
        <w:rPr>
          <w:rFonts w:hint="eastAsia" w:hAnsi="宋体"/>
          <w:color w:val="auto"/>
          <w:kern w:val="0"/>
          <w:szCs w:val="21"/>
          <w:highlight w:val="none"/>
        </w:rPr>
        <w:t>（</w:t>
      </w:r>
      <w:r>
        <w:rPr>
          <w:color w:val="auto"/>
          <w:kern w:val="0"/>
          <w:szCs w:val="21"/>
          <w:highlight w:val="none"/>
        </w:rPr>
        <w:t>2</w:t>
      </w: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）条内容完成的，承包人无条件返工处理，修复至工程质量要求并承担相关费用，并在发包人规定的时间内完成返工，否则发包人有权扣罚该分项工程</w:t>
      </w:r>
      <w:r>
        <w:rPr>
          <w:color w:val="auto"/>
          <w:kern w:val="0"/>
          <w:szCs w:val="21"/>
          <w:highlight w:val="none"/>
        </w:rPr>
        <w:t>10%</w:t>
      </w:r>
      <w:r>
        <w:rPr>
          <w:rFonts w:hint="eastAsia" w:hAnsi="宋体"/>
          <w:color w:val="auto"/>
          <w:kern w:val="0"/>
          <w:szCs w:val="21"/>
          <w:highlight w:val="none"/>
        </w:rPr>
        <w:t>的工程款作为处罚。</w:t>
      </w:r>
    </w:p>
    <w:p w14:paraId="3CA15C59">
      <w:pPr>
        <w:pStyle w:val="88"/>
        <w:numPr>
          <w:ilvl w:val="0"/>
          <w:numId w:val="9"/>
        </w:numPr>
        <w:wordWrap w:val="0"/>
        <w:spacing w:line="400" w:lineRule="exact"/>
        <w:ind w:firstLine="420" w:firstLineChars="200"/>
        <w:jc w:val="left"/>
        <w:rPr>
          <w:rFonts w:hAnsi="宋体"/>
          <w:color w:val="auto"/>
          <w:kern w:val="0"/>
          <w:szCs w:val="21"/>
          <w:highlight w:val="none"/>
        </w:rPr>
      </w:pPr>
      <w:r>
        <w:rPr>
          <w:rFonts w:hint="eastAsia" w:hAnsi="宋体"/>
          <w:color w:val="auto"/>
          <w:kern w:val="0"/>
          <w:szCs w:val="21"/>
          <w:highlight w:val="none"/>
        </w:rPr>
        <w:t>承包人有本合同通用条款第</w:t>
      </w:r>
      <w:r>
        <w:rPr>
          <w:color w:val="auto"/>
          <w:kern w:val="0"/>
          <w:szCs w:val="21"/>
          <w:highlight w:val="none"/>
        </w:rPr>
        <w:t>16.2.1</w:t>
      </w:r>
      <w:r>
        <w:rPr>
          <w:rFonts w:hint="eastAsia" w:hAnsi="宋体"/>
          <w:color w:val="auto"/>
          <w:kern w:val="0"/>
          <w:szCs w:val="21"/>
          <w:highlight w:val="none"/>
        </w:rPr>
        <w:t>（</w:t>
      </w:r>
      <w:r>
        <w:rPr>
          <w:color w:val="auto"/>
          <w:kern w:val="0"/>
          <w:szCs w:val="21"/>
          <w:highlight w:val="none"/>
        </w:rPr>
        <w:t>6</w:t>
      </w:r>
      <w:r>
        <w:rPr>
          <w:rFonts w:hint="eastAsia" w:hAnsi="宋体"/>
          <w:color w:val="auto"/>
          <w:kern w:val="0"/>
          <w:szCs w:val="21"/>
          <w:highlight w:val="none"/>
        </w:rPr>
        <w:t>）条情形的，或经监理人检验认为修复质量不合格而承包人拒绝再进行修补的，发包人将扣除承包人全部质量保修金。</w:t>
      </w:r>
    </w:p>
    <w:p w14:paraId="11A53C54">
      <w:pPr>
        <w:pStyle w:val="88"/>
        <w:wordWrap w:val="0"/>
        <w:spacing w:line="400" w:lineRule="exact"/>
        <w:ind w:firstLine="210" w:firstLineChars="100"/>
        <w:jc w:val="left"/>
        <w:rPr>
          <w:rFonts w:hAnsi="宋体"/>
          <w:color w:val="auto"/>
          <w:kern w:val="0"/>
          <w:szCs w:val="21"/>
          <w:highlight w:val="none"/>
        </w:rPr>
      </w:pPr>
      <w:r>
        <w:rPr>
          <w:rFonts w:hint="eastAsia" w:hAnsi="宋体"/>
          <w:color w:val="auto"/>
          <w:kern w:val="0"/>
          <w:szCs w:val="21"/>
          <w:highlight w:val="none"/>
        </w:rPr>
        <w:t>（</w:t>
      </w:r>
      <w:r>
        <w:rPr>
          <w:color w:val="auto"/>
          <w:kern w:val="0"/>
          <w:szCs w:val="21"/>
          <w:highlight w:val="none"/>
        </w:rPr>
        <w:t>3</w:t>
      </w:r>
      <w:r>
        <w:rPr>
          <w:rFonts w:hint="eastAsia" w:hAnsi="宋体"/>
          <w:color w:val="auto"/>
          <w:kern w:val="0"/>
          <w:szCs w:val="21"/>
          <w:highlight w:val="none"/>
        </w:rPr>
        <w:t>）承包人有本专用合同条款</w:t>
      </w:r>
      <w:r>
        <w:rPr>
          <w:color w:val="auto"/>
          <w:kern w:val="0"/>
          <w:szCs w:val="21"/>
          <w:highlight w:val="none"/>
        </w:rPr>
        <w:t>3.2</w:t>
      </w:r>
      <w:r>
        <w:rPr>
          <w:rFonts w:hint="eastAsia" w:hAnsi="宋体"/>
          <w:color w:val="auto"/>
          <w:kern w:val="0"/>
          <w:szCs w:val="21"/>
          <w:highlight w:val="none"/>
        </w:rPr>
        <w:t>、</w:t>
      </w:r>
      <w:r>
        <w:rPr>
          <w:color w:val="auto"/>
          <w:kern w:val="0"/>
          <w:szCs w:val="21"/>
          <w:highlight w:val="none"/>
        </w:rPr>
        <w:t>3.3</w:t>
      </w:r>
      <w:r>
        <w:rPr>
          <w:rFonts w:hint="eastAsia" w:hAnsi="宋体"/>
          <w:color w:val="auto"/>
          <w:kern w:val="0"/>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bookmarkStart w:id="1068" w:name="OLE_LINK18"/>
    </w:p>
    <w:p w14:paraId="5751AE0A">
      <w:pPr>
        <w:pStyle w:val="88"/>
        <w:wordWrap w:val="0"/>
        <w:spacing w:line="40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承包人必须协助发包人办理行政退费手续（如农民工工资保证金等），如因承包人提供退费资料不全等原因导致发包人退费不成功，该笔费用将从工程结算款或质保金中予以扣除，不足部分发包人可另行向承包人索赔。</w:t>
      </w:r>
    </w:p>
    <w:p w14:paraId="2802EA24">
      <w:pPr>
        <w:pStyle w:val="88"/>
        <w:wordWrap w:val="0"/>
        <w:spacing w:line="40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5</w:t>
      </w:r>
      <w:r>
        <w:rPr>
          <w:rFonts w:hint="eastAsia"/>
          <w:color w:val="auto"/>
          <w:kern w:val="0"/>
          <w:szCs w:val="21"/>
          <w:highlight w:val="none"/>
        </w:rPr>
        <w:t>）</w:t>
      </w:r>
      <w:bookmarkEnd w:id="1068"/>
      <w:r>
        <w:rPr>
          <w:rFonts w:hint="eastAsia"/>
          <w:color w:val="auto"/>
          <w:kern w:val="0"/>
          <w:szCs w:val="21"/>
          <w:highlight w:val="none"/>
        </w:rPr>
        <w:t>承包人违反本合同通用条款第</w:t>
      </w:r>
      <w:r>
        <w:rPr>
          <w:color w:val="auto"/>
          <w:kern w:val="0"/>
          <w:szCs w:val="21"/>
          <w:highlight w:val="none"/>
        </w:rPr>
        <w:t>16.2.1</w:t>
      </w:r>
      <w:r>
        <w:rPr>
          <w:rFonts w:hint="eastAsia"/>
          <w:color w:val="auto"/>
          <w:kern w:val="0"/>
          <w:szCs w:val="21"/>
          <w:highlight w:val="none"/>
        </w:rPr>
        <w:t>（</w:t>
      </w:r>
      <w:r>
        <w:rPr>
          <w:color w:val="auto"/>
          <w:kern w:val="0"/>
          <w:szCs w:val="21"/>
          <w:highlight w:val="none"/>
        </w:rPr>
        <w:t>2</w:t>
      </w:r>
      <w:r>
        <w:rPr>
          <w:rFonts w:hint="eastAsia"/>
          <w:color w:val="auto"/>
          <w:kern w:val="0"/>
          <w:szCs w:val="21"/>
          <w:highlight w:val="none"/>
        </w:rPr>
        <w:t>）条内容的，承包人应无条件更换不合格的材料、工程设备，并按不合格的材料或工程设备总金额</w:t>
      </w:r>
      <w:r>
        <w:rPr>
          <w:color w:val="auto"/>
          <w:kern w:val="0"/>
          <w:szCs w:val="21"/>
          <w:highlight w:val="none"/>
        </w:rPr>
        <w:t>3%</w:t>
      </w:r>
      <w:r>
        <w:rPr>
          <w:rFonts w:hint="eastAsia"/>
          <w:color w:val="auto"/>
          <w:kern w:val="0"/>
          <w:szCs w:val="21"/>
          <w:highlight w:val="none"/>
        </w:rPr>
        <w:t>向发包人支付违约金。如承包人拒不整改，发包人有权不支付不合格分项工程价款。</w:t>
      </w:r>
    </w:p>
    <w:p w14:paraId="6C06F2E4">
      <w:pPr>
        <w:pStyle w:val="84"/>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w:t>
      </w:r>
      <w:r>
        <w:rPr>
          <w:rFonts w:hAnsi="宋体"/>
          <w:color w:val="auto"/>
          <w:kern w:val="0"/>
          <w:szCs w:val="21"/>
          <w:highlight w:val="none"/>
        </w:rPr>
        <w:t>6</w:t>
      </w:r>
      <w:r>
        <w:rPr>
          <w:rFonts w:hint="eastAsia" w:hAnsi="宋体"/>
          <w:color w:val="auto"/>
          <w:kern w:val="0"/>
          <w:szCs w:val="21"/>
          <w:highlight w:val="none"/>
        </w:rPr>
        <w:t>）</w:t>
      </w:r>
      <w:r>
        <w:rPr>
          <w:rFonts w:hint="eastAsia" w:ascii="宋体" w:hAnsi="宋体"/>
          <w:color w:val="auto"/>
          <w:szCs w:val="21"/>
          <w:highlight w:val="none"/>
        </w:rPr>
        <w:t>承包人须按专用条款第3.1条约定提交竣工资料，</w:t>
      </w:r>
      <w:r>
        <w:rPr>
          <w:rFonts w:hint="eastAsia"/>
          <w:color w:val="auto"/>
          <w:kern w:val="0"/>
          <w:szCs w:val="21"/>
          <w:highlight w:val="none"/>
        </w:rPr>
        <w:t>如在约定时间内未提供完整的竣工资料给发包人，逾期按</w:t>
      </w:r>
      <w:r>
        <w:rPr>
          <w:color w:val="auto"/>
          <w:kern w:val="0"/>
          <w:szCs w:val="21"/>
          <w:highlight w:val="none"/>
        </w:rPr>
        <w:t>10000</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天进行罚款，从剩余工程款中扣除。</w:t>
      </w:r>
    </w:p>
    <w:p w14:paraId="2A69501B">
      <w:pPr>
        <w:pStyle w:val="84"/>
        <w:spacing w:line="360" w:lineRule="auto"/>
        <w:ind w:firstLine="420" w:firstLineChars="200"/>
        <w:jc w:val="left"/>
        <w:rPr>
          <w:rFonts w:hAnsi="宋体"/>
          <w:color w:val="auto"/>
          <w:kern w:val="0"/>
          <w:szCs w:val="21"/>
          <w:highlight w:val="none"/>
        </w:rPr>
      </w:pPr>
    </w:p>
    <w:p w14:paraId="54D20829">
      <w:pPr>
        <w:pStyle w:val="84"/>
        <w:spacing w:line="360" w:lineRule="auto"/>
        <w:ind w:firstLine="420" w:firstLineChars="200"/>
        <w:jc w:val="left"/>
        <w:rPr>
          <w:rFonts w:hAnsi="宋体"/>
          <w:color w:val="auto"/>
          <w:szCs w:val="21"/>
          <w:highlight w:val="none"/>
        </w:rPr>
      </w:pPr>
      <w:r>
        <w:rPr>
          <w:color w:val="auto"/>
          <w:szCs w:val="21"/>
          <w:highlight w:val="none"/>
        </w:rPr>
        <w:t xml:space="preserve">16.2.3 </w:t>
      </w:r>
      <w:r>
        <w:rPr>
          <w:rFonts w:hint="eastAsia" w:hAnsi="宋体"/>
          <w:color w:val="auto"/>
          <w:szCs w:val="21"/>
          <w:highlight w:val="none"/>
        </w:rPr>
        <w:t>因承包人违约解除合同</w:t>
      </w:r>
    </w:p>
    <w:p w14:paraId="37E852EB">
      <w:pPr>
        <w:pStyle w:val="84"/>
        <w:spacing w:line="360" w:lineRule="auto"/>
        <w:ind w:firstLine="420" w:firstLineChars="200"/>
        <w:jc w:val="left"/>
        <w:rPr>
          <w:rFonts w:hAnsi="宋体"/>
          <w:color w:val="auto"/>
          <w:kern w:val="0"/>
          <w:szCs w:val="21"/>
          <w:highlight w:val="none"/>
        </w:rPr>
      </w:pPr>
      <w:r>
        <w:rPr>
          <w:rFonts w:hint="eastAsia" w:hAnsi="宋体"/>
          <w:color w:val="auto"/>
          <w:kern w:val="0"/>
          <w:szCs w:val="21"/>
          <w:highlight w:val="none"/>
        </w:rPr>
        <w:t>关于承包人违约解除合同的特别约定：</w:t>
      </w:r>
      <w:r>
        <w:rPr>
          <w:rFonts w:hint="eastAsia" w:hAnsi="宋体"/>
          <w:color w:val="auto"/>
          <w:kern w:val="0"/>
          <w:szCs w:val="21"/>
          <w:highlight w:val="none"/>
          <w:u w:val="single"/>
        </w:rPr>
        <w:t>承包人有违反以下情况之一的，发包人有权解除合同，并没收其全部履约保证金</w:t>
      </w:r>
      <w:r>
        <w:rPr>
          <w:rFonts w:hint="eastAsia" w:hAnsi="宋体"/>
          <w:color w:val="auto"/>
          <w:kern w:val="0"/>
          <w:szCs w:val="21"/>
          <w:highlight w:val="none"/>
        </w:rPr>
        <w:t>。</w:t>
      </w:r>
      <w:r>
        <w:rPr>
          <w:rFonts w:hint="eastAsia"/>
          <w:color w:val="auto"/>
          <w:kern w:val="0"/>
          <w:szCs w:val="21"/>
          <w:highlight w:val="none"/>
          <w:u w:val="single"/>
        </w:rPr>
        <w:t>造成发包人损失的，发包人有权要求承包人赔偿全部损失</w:t>
      </w:r>
      <w:r>
        <w:rPr>
          <w:rFonts w:hint="eastAsia"/>
          <w:color w:val="auto"/>
          <w:kern w:val="0"/>
          <w:szCs w:val="21"/>
          <w:highlight w:val="none"/>
        </w:rPr>
        <w:t>。</w:t>
      </w:r>
      <w:r>
        <w:rPr>
          <w:rFonts w:hint="eastAsia"/>
          <w:b/>
          <w:color w:val="auto"/>
          <w:kern w:val="0"/>
          <w:szCs w:val="21"/>
          <w:highlight w:val="none"/>
          <w:u w:val="single"/>
        </w:rPr>
        <w:t>除已有约定外，承包人还承担以下违约责任</w:t>
      </w:r>
      <w:r>
        <w:rPr>
          <w:rFonts w:hint="eastAsia"/>
          <w:b/>
          <w:color w:val="auto"/>
          <w:kern w:val="0"/>
          <w:szCs w:val="21"/>
          <w:highlight w:val="none"/>
        </w:rPr>
        <w:t>。</w:t>
      </w:r>
    </w:p>
    <w:p w14:paraId="01787058">
      <w:pPr>
        <w:pStyle w:val="84"/>
        <w:spacing w:line="360" w:lineRule="auto"/>
        <w:ind w:firstLine="420" w:firstLineChars="200"/>
        <w:jc w:val="left"/>
        <w:rPr>
          <w:rFonts w:hAnsi="宋体"/>
          <w:color w:val="auto"/>
          <w:kern w:val="0"/>
          <w:szCs w:val="21"/>
          <w:highlight w:val="none"/>
        </w:rPr>
      </w:pPr>
      <w:r>
        <w:rPr>
          <w:color w:val="auto"/>
          <w:kern w:val="0"/>
          <w:szCs w:val="21"/>
          <w:highlight w:val="none"/>
        </w:rPr>
        <w:t>(1)</w:t>
      </w:r>
      <w:r>
        <w:rPr>
          <w:rFonts w:hint="eastAsia" w:hAnsi="宋体"/>
          <w:color w:val="auto"/>
          <w:kern w:val="0"/>
          <w:szCs w:val="21"/>
          <w:highlight w:val="none"/>
        </w:rPr>
        <w:t>承包人无正当理由不按开工通知的要求及时进场组织施工和不按签订协议书时商定的进度计划有效地开展施工准备，造成工期延误的</w:t>
      </w:r>
      <w:r>
        <w:rPr>
          <w:rFonts w:hint="eastAsia"/>
          <w:b/>
          <w:color w:val="auto"/>
          <w:kern w:val="0"/>
          <w:szCs w:val="21"/>
          <w:highlight w:val="none"/>
        </w:rPr>
        <w:t>，</w:t>
      </w:r>
      <w:r>
        <w:rPr>
          <w:rFonts w:hint="eastAsia"/>
          <w:color w:val="auto"/>
          <w:szCs w:val="21"/>
          <w:highlight w:val="none"/>
        </w:rPr>
        <w:t>且明显延误工期超过</w:t>
      </w:r>
      <w:r>
        <w:rPr>
          <w:color w:val="auto"/>
          <w:szCs w:val="21"/>
          <w:highlight w:val="none"/>
        </w:rPr>
        <w:t>7</w:t>
      </w:r>
      <w:r>
        <w:rPr>
          <w:rFonts w:hint="eastAsia"/>
          <w:color w:val="auto"/>
          <w:szCs w:val="21"/>
          <w:highlight w:val="none"/>
        </w:rPr>
        <w:t>日的</w:t>
      </w:r>
      <w:r>
        <w:rPr>
          <w:rFonts w:hint="eastAsia" w:hAnsi="宋体"/>
          <w:color w:val="auto"/>
          <w:kern w:val="0"/>
          <w:szCs w:val="21"/>
          <w:highlight w:val="none"/>
        </w:rPr>
        <w:t>；</w:t>
      </w:r>
    </w:p>
    <w:p w14:paraId="2803B6A0">
      <w:pPr>
        <w:pStyle w:val="84"/>
        <w:spacing w:line="360" w:lineRule="auto"/>
        <w:ind w:firstLine="420" w:firstLineChars="200"/>
        <w:jc w:val="left"/>
        <w:rPr>
          <w:rFonts w:hAnsi="宋体"/>
          <w:color w:val="auto"/>
          <w:kern w:val="0"/>
          <w:szCs w:val="21"/>
          <w:highlight w:val="none"/>
        </w:rPr>
      </w:pPr>
      <w:r>
        <w:rPr>
          <w:color w:val="auto"/>
          <w:kern w:val="0"/>
          <w:szCs w:val="21"/>
          <w:highlight w:val="none"/>
        </w:rPr>
        <w:t>(2)</w:t>
      </w:r>
      <w:r>
        <w:rPr>
          <w:rFonts w:hint="eastAsia" w:hAnsi="宋体"/>
          <w:color w:val="auto"/>
          <w:kern w:val="0"/>
          <w:szCs w:val="21"/>
          <w:highlight w:val="none"/>
        </w:rPr>
        <w:t>承包人违反本合同通用条款第</w:t>
      </w:r>
      <w:r>
        <w:rPr>
          <w:color w:val="auto"/>
          <w:kern w:val="0"/>
          <w:szCs w:val="21"/>
          <w:highlight w:val="none"/>
        </w:rPr>
        <w:t>3.5</w:t>
      </w:r>
      <w:r>
        <w:rPr>
          <w:rFonts w:hint="eastAsia" w:hAnsi="宋体"/>
          <w:color w:val="auto"/>
          <w:kern w:val="0"/>
          <w:szCs w:val="21"/>
          <w:highlight w:val="none"/>
        </w:rPr>
        <w:t>条规定私自将合同或合同的任何部分或任何权利转让给其他人，或私自将工程或工程的一部分分包出去的；</w:t>
      </w:r>
    </w:p>
    <w:p w14:paraId="3CCD9215">
      <w:pPr>
        <w:pStyle w:val="84"/>
        <w:spacing w:line="360" w:lineRule="auto"/>
        <w:ind w:firstLine="420" w:firstLineChars="200"/>
        <w:jc w:val="left"/>
        <w:rPr>
          <w:rFonts w:hAnsi="宋体"/>
          <w:color w:val="auto"/>
          <w:kern w:val="0"/>
          <w:szCs w:val="21"/>
          <w:highlight w:val="none"/>
        </w:rPr>
      </w:pPr>
      <w:r>
        <w:rPr>
          <w:color w:val="auto"/>
          <w:kern w:val="0"/>
          <w:szCs w:val="21"/>
          <w:highlight w:val="none"/>
        </w:rPr>
        <w:t>(3)</w:t>
      </w:r>
      <w:r>
        <w:rPr>
          <w:rFonts w:hint="eastAsia" w:hAnsi="宋体"/>
          <w:color w:val="auto"/>
          <w:kern w:val="0"/>
          <w:szCs w:val="21"/>
          <w:highlight w:val="none"/>
        </w:rPr>
        <w:t>未经监理人批准，承包人私自将已按响应文件承诺进入工地的工程设备、施工设备、临时工程或材料撤离工地的；</w:t>
      </w:r>
    </w:p>
    <w:p w14:paraId="09B43CA8">
      <w:pPr>
        <w:pStyle w:val="88"/>
        <w:wordWrap w:val="0"/>
        <w:spacing w:before="120" w:after="120" w:line="400" w:lineRule="exact"/>
        <w:ind w:firstLine="420" w:firstLineChars="200"/>
        <w:rPr>
          <w:b/>
          <w:color w:val="auto"/>
          <w:kern w:val="0"/>
          <w:szCs w:val="21"/>
          <w:highlight w:val="none"/>
        </w:rPr>
      </w:pPr>
      <w:r>
        <w:rPr>
          <w:color w:val="auto"/>
          <w:kern w:val="0"/>
          <w:szCs w:val="21"/>
          <w:highlight w:val="none"/>
        </w:rPr>
        <w:t>(4)</w:t>
      </w:r>
      <w:r>
        <w:rPr>
          <w:rFonts w:hint="eastAsia" w:hAnsi="宋体"/>
          <w:color w:val="auto"/>
          <w:kern w:val="0"/>
          <w:szCs w:val="21"/>
          <w:highlight w:val="none"/>
        </w:rPr>
        <w:t>由于承包人原因拒绝按合同进度计划及时完成合同规定的工程，而又未采取有效措施赶上进度，</w:t>
      </w:r>
      <w:r>
        <w:rPr>
          <w:rFonts w:hint="eastAsia"/>
          <w:b/>
          <w:color w:val="auto"/>
          <w:kern w:val="0"/>
          <w:szCs w:val="21"/>
          <w:highlight w:val="none"/>
        </w:rPr>
        <w:t>在发包人发出赶工通知后仍未能赶工且造成工期进度延误</w:t>
      </w:r>
      <w:r>
        <w:rPr>
          <w:b/>
          <w:color w:val="auto"/>
          <w:kern w:val="0"/>
          <w:szCs w:val="21"/>
          <w:highlight w:val="none"/>
        </w:rPr>
        <w:t>7</w:t>
      </w:r>
      <w:r>
        <w:rPr>
          <w:rFonts w:hint="eastAsia"/>
          <w:b/>
          <w:color w:val="auto"/>
          <w:kern w:val="0"/>
          <w:szCs w:val="21"/>
          <w:highlight w:val="none"/>
        </w:rPr>
        <w:t>日以上的；</w:t>
      </w:r>
    </w:p>
    <w:p w14:paraId="00F6B6FD">
      <w:pPr>
        <w:pStyle w:val="84"/>
        <w:spacing w:line="360" w:lineRule="auto"/>
        <w:ind w:firstLine="420" w:firstLineChars="200"/>
        <w:rPr>
          <w:color w:val="auto"/>
          <w:kern w:val="0"/>
          <w:szCs w:val="21"/>
          <w:highlight w:val="none"/>
        </w:rPr>
      </w:pPr>
      <w:r>
        <w:rPr>
          <w:color w:val="auto"/>
          <w:kern w:val="0"/>
          <w:szCs w:val="21"/>
          <w:highlight w:val="none"/>
        </w:rPr>
        <w:t>(5)</w:t>
      </w:r>
      <w:r>
        <w:rPr>
          <w:rFonts w:hint="eastAsia" w:hAnsi="宋体"/>
          <w:color w:val="auto"/>
          <w:kern w:val="0"/>
          <w:szCs w:val="21"/>
          <w:highlight w:val="none"/>
        </w:rPr>
        <w:t>承包人否认合同有效或拒绝履行合同规定的承包人义务，或由于法律、财务等原因导致承包人无法继续履行</w:t>
      </w:r>
      <w:r>
        <w:rPr>
          <w:rFonts w:hint="eastAsia"/>
          <w:bCs/>
          <w:color w:val="auto"/>
          <w:kern w:val="0"/>
          <w:szCs w:val="21"/>
          <w:highlight w:val="none"/>
        </w:rPr>
        <w:t>或事实全面已停</w:t>
      </w:r>
      <w:r>
        <w:rPr>
          <w:rFonts w:hint="eastAsia"/>
          <w:bCs/>
          <w:color w:val="auto"/>
          <w:szCs w:val="21"/>
          <w:highlight w:val="none"/>
        </w:rPr>
        <w:t>工连续超过一个月</w:t>
      </w:r>
      <w:r>
        <w:rPr>
          <w:rFonts w:hint="eastAsia"/>
          <w:color w:val="auto"/>
          <w:szCs w:val="21"/>
          <w:highlight w:val="none"/>
        </w:rPr>
        <w:t>或</w:t>
      </w:r>
      <w:r>
        <w:rPr>
          <w:rFonts w:hint="eastAsia" w:hAnsi="宋体"/>
          <w:color w:val="auto"/>
          <w:kern w:val="0"/>
          <w:szCs w:val="21"/>
          <w:highlight w:val="none"/>
        </w:rPr>
        <w:t>实质上已停止履行合同的义务的；</w:t>
      </w:r>
    </w:p>
    <w:p w14:paraId="2DE13256">
      <w:pPr>
        <w:pStyle w:val="90"/>
        <w:wordWrap w:val="0"/>
        <w:spacing w:before="120" w:after="120" w:line="400" w:lineRule="exact"/>
        <w:ind w:firstLine="420" w:firstLineChars="200"/>
        <w:rPr>
          <w:rFonts w:ascii="Times New Roman" w:hAnsi="Times New Roman"/>
          <w:color w:val="auto"/>
          <w:szCs w:val="21"/>
          <w:highlight w:val="none"/>
        </w:rPr>
      </w:pPr>
      <w:r>
        <w:rPr>
          <w:color w:val="auto"/>
          <w:kern w:val="0"/>
          <w:szCs w:val="21"/>
          <w:highlight w:val="none"/>
        </w:rPr>
        <w:t>(6)</w:t>
      </w:r>
      <w:r>
        <w:rPr>
          <w:rFonts w:hAnsi="宋体" w:cs="宋体"/>
          <w:color w:val="auto"/>
          <w:kern w:val="0"/>
          <w:highlight w:val="none"/>
        </w:rPr>
        <w:t xml:space="preserve"> </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之日起十五日内，承包人无法按合同规定及响应文件的承诺进场经监理工程师认可的该施工阶段应有的全部人员和机械的。</w:t>
      </w:r>
    </w:p>
    <w:p w14:paraId="20C1DF5E">
      <w:pPr>
        <w:pStyle w:val="84"/>
        <w:spacing w:line="360" w:lineRule="auto"/>
        <w:ind w:firstLine="420" w:firstLineChars="200"/>
        <w:rPr>
          <w:color w:val="auto"/>
          <w:kern w:val="0"/>
          <w:szCs w:val="21"/>
          <w:highlight w:val="none"/>
        </w:rPr>
      </w:pPr>
      <w:r>
        <w:rPr>
          <w:rFonts w:hint="eastAsia" w:hAnsi="宋体"/>
          <w:color w:val="auto"/>
          <w:kern w:val="0"/>
          <w:szCs w:val="21"/>
          <w:highlight w:val="none"/>
        </w:rPr>
        <w:t>发包人继续使用承包人在施工现场的材料、设备、临时工程、承包人文件和由承包人或以其名义编制的其他文件的费用承担方式：</w:t>
      </w:r>
      <w:r>
        <w:rPr>
          <w:color w:val="auto"/>
          <w:kern w:val="0"/>
          <w:szCs w:val="21"/>
          <w:highlight w:val="none"/>
          <w:u w:val="single"/>
        </w:rPr>
        <w:t xml:space="preserve">   </w:t>
      </w:r>
      <w:r>
        <w:rPr>
          <w:rFonts w:hint="eastAsia" w:ascii="宋体" w:hAnsi="宋体" w:cs="宋体"/>
          <w:color w:val="auto"/>
          <w:kern w:val="0"/>
          <w:szCs w:val="21"/>
          <w:highlight w:val="none"/>
          <w:u w:val="single"/>
        </w:rPr>
        <w:t xml:space="preserve">费用由承包人承担 </w:t>
      </w:r>
      <w:r>
        <w:rPr>
          <w:rFonts w:hint="eastAsia" w:hAnsi="宋体"/>
          <w:color w:val="auto"/>
          <w:kern w:val="0"/>
          <w:szCs w:val="21"/>
          <w:highlight w:val="none"/>
        </w:rPr>
        <w:t>。</w:t>
      </w:r>
    </w:p>
    <w:p w14:paraId="22647D1E">
      <w:pPr>
        <w:pStyle w:val="84"/>
        <w:keepNext/>
        <w:keepLines/>
        <w:spacing w:before="60" w:after="60" w:line="412" w:lineRule="auto"/>
        <w:ind w:firstLine="422"/>
        <w:outlineLvl w:val="1"/>
        <w:rPr>
          <w:rFonts w:ascii="Arial" w:hAnsi="Arial" w:eastAsia="黑体"/>
          <w:b/>
          <w:bCs/>
          <w:color w:val="auto"/>
          <w:szCs w:val="32"/>
          <w:highlight w:val="none"/>
        </w:rPr>
      </w:pPr>
      <w:bookmarkStart w:id="1069" w:name="_Toc373227769"/>
      <w:bookmarkStart w:id="1070" w:name="_Toc373478416"/>
      <w:bookmarkStart w:id="1071" w:name="_Toc351203649"/>
      <w:bookmarkStart w:id="1072" w:name="_Toc389065334"/>
      <w:bookmarkStart w:id="1073" w:name="_Toc28282"/>
      <w:r>
        <w:rPr>
          <w:rFonts w:ascii="Arial" w:hAnsi="Arial" w:eastAsia="黑体"/>
          <w:b/>
          <w:bCs/>
          <w:color w:val="auto"/>
          <w:szCs w:val="32"/>
          <w:highlight w:val="none"/>
        </w:rPr>
        <w:t xml:space="preserve">17. </w:t>
      </w:r>
      <w:r>
        <w:rPr>
          <w:rFonts w:hint="eastAsia" w:ascii="Arial" w:hAnsi="宋体" w:eastAsia="黑体"/>
          <w:b/>
          <w:bCs/>
          <w:color w:val="auto"/>
          <w:szCs w:val="32"/>
          <w:highlight w:val="none"/>
        </w:rPr>
        <w:t>不可抗力</w:t>
      </w:r>
      <w:bookmarkEnd w:id="1069"/>
      <w:bookmarkEnd w:id="1070"/>
      <w:bookmarkEnd w:id="1071"/>
      <w:bookmarkEnd w:id="1072"/>
      <w:bookmarkEnd w:id="1073"/>
      <w:r>
        <w:rPr>
          <w:rFonts w:ascii="Arial" w:hAnsi="Arial" w:eastAsia="黑体"/>
          <w:b/>
          <w:bCs/>
          <w:color w:val="auto"/>
          <w:szCs w:val="32"/>
          <w:highlight w:val="none"/>
        </w:rPr>
        <w:t xml:space="preserve"> </w:t>
      </w:r>
      <w:bookmarkEnd w:id="1058"/>
    </w:p>
    <w:p w14:paraId="30EF3424">
      <w:pPr>
        <w:pStyle w:val="84"/>
        <w:keepNext/>
        <w:keepLines/>
        <w:spacing w:line="360" w:lineRule="auto"/>
        <w:ind w:firstLine="422"/>
        <w:outlineLvl w:val="2"/>
        <w:rPr>
          <w:rFonts w:eastAsia="黑体"/>
          <w:b/>
          <w:bCs/>
          <w:color w:val="auto"/>
          <w:szCs w:val="32"/>
          <w:highlight w:val="none"/>
        </w:rPr>
      </w:pPr>
      <w:bookmarkStart w:id="1074" w:name="_Toc20751"/>
      <w:bookmarkStart w:id="1075" w:name="_Toc373227770"/>
      <w:bookmarkStart w:id="1076" w:name="_Toc389065335"/>
      <w:bookmarkStart w:id="1077" w:name="_Toc373478417"/>
      <w:r>
        <w:rPr>
          <w:rFonts w:eastAsia="黑体"/>
          <w:b/>
          <w:bCs/>
          <w:color w:val="auto"/>
          <w:szCs w:val="32"/>
          <w:highlight w:val="none"/>
        </w:rPr>
        <w:t xml:space="preserve">17.1 </w:t>
      </w:r>
      <w:r>
        <w:rPr>
          <w:rFonts w:hint="eastAsia" w:eastAsia="黑体"/>
          <w:b/>
          <w:bCs/>
          <w:color w:val="auto"/>
          <w:szCs w:val="32"/>
          <w:highlight w:val="none"/>
        </w:rPr>
        <w:t>不可抗力的确认</w:t>
      </w:r>
      <w:bookmarkEnd w:id="1074"/>
      <w:bookmarkEnd w:id="1075"/>
      <w:bookmarkEnd w:id="1076"/>
      <w:bookmarkEnd w:id="1077"/>
    </w:p>
    <w:p w14:paraId="3C5CBD68">
      <w:pPr>
        <w:pStyle w:val="84"/>
        <w:spacing w:line="360" w:lineRule="auto"/>
        <w:ind w:firstLine="420" w:firstLineChars="200"/>
        <w:jc w:val="left"/>
        <w:rPr>
          <w:color w:val="auto"/>
          <w:kern w:val="0"/>
          <w:szCs w:val="21"/>
          <w:highlight w:val="none"/>
          <w:u w:val="single"/>
        </w:rPr>
      </w:pPr>
      <w:r>
        <w:rPr>
          <w:rFonts w:hint="eastAsia" w:hAnsi="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u w:val="single"/>
        </w:rPr>
        <w:t>不可抗力的自然灾害认定标准，以政府有关部门的规定为准</w:t>
      </w:r>
      <w:r>
        <w:rPr>
          <w:rFonts w:hint="eastAsia" w:hAnsi="宋体"/>
          <w:color w:val="auto"/>
          <w:kern w:val="0"/>
          <w:szCs w:val="21"/>
          <w:highlight w:val="none"/>
        </w:rPr>
        <w:t>。</w:t>
      </w:r>
    </w:p>
    <w:p w14:paraId="64BDAB19">
      <w:pPr>
        <w:pStyle w:val="84"/>
        <w:keepNext/>
        <w:keepLines/>
        <w:spacing w:line="360" w:lineRule="auto"/>
        <w:ind w:firstLine="422"/>
        <w:outlineLvl w:val="2"/>
        <w:rPr>
          <w:rFonts w:eastAsia="黑体"/>
          <w:b/>
          <w:bCs/>
          <w:color w:val="auto"/>
          <w:szCs w:val="32"/>
          <w:highlight w:val="none"/>
        </w:rPr>
      </w:pPr>
      <w:bookmarkStart w:id="1078" w:name="_Toc373478418"/>
      <w:bookmarkStart w:id="1079" w:name="_Toc31960"/>
      <w:bookmarkStart w:id="1080" w:name="_Toc389065336"/>
      <w:bookmarkStart w:id="1081" w:name="_Toc373227771"/>
      <w:r>
        <w:rPr>
          <w:rFonts w:eastAsia="黑体"/>
          <w:b/>
          <w:bCs/>
          <w:color w:val="auto"/>
          <w:szCs w:val="32"/>
          <w:highlight w:val="none"/>
        </w:rPr>
        <w:t xml:space="preserve">17.4 </w:t>
      </w:r>
      <w:r>
        <w:rPr>
          <w:rFonts w:hint="eastAsia" w:eastAsia="黑体"/>
          <w:b/>
          <w:bCs/>
          <w:color w:val="auto"/>
          <w:szCs w:val="32"/>
          <w:highlight w:val="none"/>
        </w:rPr>
        <w:t>因不可抗力解除合同</w:t>
      </w:r>
      <w:bookmarkEnd w:id="1078"/>
      <w:bookmarkEnd w:id="1079"/>
      <w:bookmarkEnd w:id="1080"/>
      <w:bookmarkEnd w:id="1081"/>
    </w:p>
    <w:p w14:paraId="198074A1">
      <w:pPr>
        <w:pStyle w:val="84"/>
        <w:spacing w:line="360" w:lineRule="auto"/>
        <w:ind w:firstLine="420" w:firstLineChars="200"/>
        <w:jc w:val="left"/>
        <w:rPr>
          <w:color w:val="auto"/>
          <w:szCs w:val="21"/>
          <w:highlight w:val="none"/>
        </w:rPr>
      </w:pPr>
      <w:r>
        <w:rPr>
          <w:rFonts w:hint="eastAsia" w:hAnsi="宋体"/>
          <w:color w:val="auto"/>
          <w:szCs w:val="21"/>
          <w:highlight w:val="none"/>
        </w:rPr>
        <w:t>合同解除后，发包人应在商定或确定发包人应支付款项后</w:t>
      </w:r>
      <w:r>
        <w:rPr>
          <w:color w:val="auto"/>
          <w:szCs w:val="21"/>
          <w:highlight w:val="none"/>
          <w:u w:val="single"/>
        </w:rPr>
        <w:t xml:space="preserve">  28  </w:t>
      </w:r>
      <w:r>
        <w:rPr>
          <w:rFonts w:hint="eastAsia" w:hAnsi="宋体"/>
          <w:color w:val="auto"/>
          <w:szCs w:val="21"/>
          <w:highlight w:val="none"/>
        </w:rPr>
        <w:t>天内完成款项的支付。</w:t>
      </w:r>
    </w:p>
    <w:p w14:paraId="7EB80C1C">
      <w:pPr>
        <w:pStyle w:val="84"/>
        <w:keepNext/>
        <w:keepLines/>
        <w:spacing w:before="60" w:after="60" w:line="412" w:lineRule="auto"/>
        <w:ind w:firstLine="422"/>
        <w:outlineLvl w:val="1"/>
        <w:rPr>
          <w:rFonts w:ascii="Arial" w:hAnsi="Arial" w:eastAsia="黑体"/>
          <w:b/>
          <w:bCs/>
          <w:color w:val="auto"/>
          <w:szCs w:val="32"/>
          <w:highlight w:val="none"/>
        </w:rPr>
      </w:pPr>
      <w:bookmarkStart w:id="1082" w:name="_Toc3919"/>
      <w:bookmarkStart w:id="1083" w:name="_Toc373227772"/>
      <w:bookmarkStart w:id="1084" w:name="_Toc351203650"/>
      <w:bookmarkStart w:id="1085" w:name="_Toc373478419"/>
      <w:bookmarkStart w:id="1086" w:name="_Toc389065337"/>
      <w:r>
        <w:rPr>
          <w:rFonts w:ascii="Arial" w:hAnsi="Arial" w:eastAsia="黑体"/>
          <w:b/>
          <w:bCs/>
          <w:color w:val="auto"/>
          <w:szCs w:val="32"/>
          <w:highlight w:val="none"/>
        </w:rPr>
        <w:t xml:space="preserve">18. </w:t>
      </w:r>
      <w:r>
        <w:rPr>
          <w:rFonts w:hint="eastAsia" w:ascii="Arial" w:hAnsi="宋体" w:eastAsia="黑体"/>
          <w:b/>
          <w:bCs/>
          <w:color w:val="auto"/>
          <w:szCs w:val="32"/>
          <w:highlight w:val="none"/>
        </w:rPr>
        <w:t>保险</w:t>
      </w:r>
      <w:bookmarkEnd w:id="1082"/>
      <w:bookmarkEnd w:id="1083"/>
      <w:bookmarkEnd w:id="1084"/>
      <w:bookmarkEnd w:id="1085"/>
      <w:bookmarkEnd w:id="1086"/>
    </w:p>
    <w:bookmarkEnd w:id="1059"/>
    <w:p w14:paraId="5D01EC73">
      <w:pPr>
        <w:pStyle w:val="84"/>
        <w:keepNext/>
        <w:keepLines/>
        <w:spacing w:line="360" w:lineRule="auto"/>
        <w:ind w:firstLine="422"/>
        <w:outlineLvl w:val="2"/>
        <w:rPr>
          <w:rFonts w:eastAsia="黑体"/>
          <w:b/>
          <w:bCs/>
          <w:color w:val="auto"/>
          <w:szCs w:val="32"/>
          <w:highlight w:val="none"/>
        </w:rPr>
      </w:pPr>
      <w:bookmarkStart w:id="1087" w:name="_Toc373478420"/>
      <w:bookmarkStart w:id="1088" w:name="_Toc389065338"/>
      <w:bookmarkStart w:id="1089" w:name="_Toc373227773"/>
      <w:bookmarkStart w:id="1090" w:name="_Toc9503"/>
      <w:r>
        <w:rPr>
          <w:rFonts w:eastAsia="黑体"/>
          <w:b/>
          <w:bCs/>
          <w:color w:val="auto"/>
          <w:szCs w:val="32"/>
          <w:highlight w:val="none"/>
        </w:rPr>
        <w:t xml:space="preserve">18.1 </w:t>
      </w:r>
      <w:r>
        <w:rPr>
          <w:rFonts w:hint="eastAsia" w:hAnsi="宋体" w:eastAsia="黑体"/>
          <w:b/>
          <w:bCs/>
          <w:color w:val="auto"/>
          <w:szCs w:val="32"/>
          <w:highlight w:val="none"/>
        </w:rPr>
        <w:t>工程保险</w:t>
      </w:r>
      <w:bookmarkEnd w:id="1087"/>
      <w:bookmarkEnd w:id="1088"/>
      <w:bookmarkEnd w:id="1089"/>
      <w:bookmarkEnd w:id="1090"/>
    </w:p>
    <w:p w14:paraId="4FEBFE63">
      <w:pPr>
        <w:pStyle w:val="77"/>
        <w:wordWrap w:val="0"/>
        <w:spacing w:line="400" w:lineRule="exact"/>
        <w:ind w:firstLine="420" w:firstLineChars="200"/>
        <w:jc w:val="left"/>
        <w:rPr>
          <w:color w:val="auto"/>
          <w:szCs w:val="21"/>
          <w:highlight w:val="none"/>
          <w:u w:val="single"/>
        </w:rPr>
      </w:pPr>
      <w:r>
        <w:rPr>
          <w:rFonts w:hint="eastAsia"/>
          <w:color w:val="auto"/>
          <w:szCs w:val="21"/>
          <w:highlight w:val="none"/>
        </w:rPr>
        <w:t>关于工程保险的特别约定：</w:t>
      </w:r>
      <w:r>
        <w:rPr>
          <w:rFonts w:hint="eastAsia"/>
          <w:color w:val="auto"/>
          <w:szCs w:val="21"/>
          <w:highlight w:val="none"/>
          <w:u w:val="single"/>
        </w:rPr>
        <w:t>承包人应为其在施工现场工作的全部员工办理建设工程意外伤害险。</w:t>
      </w:r>
    </w:p>
    <w:p w14:paraId="1F118805">
      <w:pPr>
        <w:pStyle w:val="77"/>
        <w:wordWrap w:val="0"/>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rPr>
        <w:t>投保人：</w:t>
      </w:r>
      <w:r>
        <w:rPr>
          <w:rFonts w:hint="eastAsia"/>
          <w:color w:val="auto"/>
          <w:szCs w:val="21"/>
          <w:highlight w:val="none"/>
          <w:u w:val="single"/>
        </w:rPr>
        <w:t>成交单位。</w:t>
      </w:r>
    </w:p>
    <w:p w14:paraId="5BCC2342">
      <w:pPr>
        <w:pStyle w:val="77"/>
        <w:wordWrap w:val="0"/>
        <w:spacing w:line="400" w:lineRule="exact"/>
        <w:ind w:firstLine="420" w:firstLineChars="200"/>
        <w:rPr>
          <w:color w:val="auto"/>
          <w:szCs w:val="21"/>
          <w:highlight w:val="none"/>
        </w:rPr>
      </w:pPr>
      <w:r>
        <w:rPr>
          <w:color w:val="auto"/>
          <w:szCs w:val="21"/>
          <w:highlight w:val="none"/>
        </w:rPr>
        <w:t>(2)</w:t>
      </w:r>
      <w:r>
        <w:rPr>
          <w:rFonts w:hint="eastAsia"/>
          <w:color w:val="auto"/>
          <w:szCs w:val="21"/>
          <w:highlight w:val="none"/>
        </w:rPr>
        <w:t>投保内容：</w:t>
      </w:r>
      <w:r>
        <w:rPr>
          <w:rFonts w:hint="eastAsia"/>
          <w:color w:val="auto"/>
          <w:szCs w:val="21"/>
          <w:highlight w:val="none"/>
          <w:u w:val="single"/>
        </w:rPr>
        <w:t>建设工程意外伤害险</w:t>
      </w:r>
      <w:r>
        <w:rPr>
          <w:rFonts w:hint="eastAsia"/>
          <w:color w:val="auto"/>
          <w:szCs w:val="21"/>
          <w:highlight w:val="none"/>
        </w:rPr>
        <w:t>。</w:t>
      </w:r>
    </w:p>
    <w:p w14:paraId="4BF4A084">
      <w:pPr>
        <w:pStyle w:val="77"/>
        <w:wordWrap w:val="0"/>
        <w:spacing w:line="400" w:lineRule="exact"/>
        <w:ind w:firstLine="420" w:firstLineChars="200"/>
        <w:rPr>
          <w:color w:val="auto"/>
          <w:szCs w:val="21"/>
          <w:highlight w:val="none"/>
        </w:rPr>
      </w:pPr>
      <w:r>
        <w:rPr>
          <w:color w:val="auto"/>
          <w:szCs w:val="21"/>
          <w:highlight w:val="none"/>
        </w:rPr>
        <w:t>(3)</w:t>
      </w:r>
      <w:r>
        <w:rPr>
          <w:rFonts w:hint="eastAsia"/>
          <w:color w:val="auto"/>
          <w:szCs w:val="21"/>
          <w:highlight w:val="none"/>
        </w:rPr>
        <w:t>保险费率：由投保人与合同双方同意的保险人商定。</w:t>
      </w:r>
    </w:p>
    <w:p w14:paraId="749BC547">
      <w:pPr>
        <w:pStyle w:val="77"/>
        <w:wordWrap w:val="0"/>
        <w:spacing w:line="400" w:lineRule="exact"/>
        <w:ind w:firstLine="420" w:firstLineChars="200"/>
        <w:rPr>
          <w:color w:val="auto"/>
          <w:szCs w:val="21"/>
          <w:highlight w:val="none"/>
        </w:rPr>
      </w:pPr>
      <w:r>
        <w:rPr>
          <w:color w:val="auto"/>
          <w:szCs w:val="21"/>
          <w:highlight w:val="none"/>
        </w:rPr>
        <w:t>(4)</w:t>
      </w:r>
      <w:r>
        <w:rPr>
          <w:rFonts w:hint="eastAsia"/>
          <w:color w:val="auto"/>
          <w:szCs w:val="21"/>
          <w:highlight w:val="none"/>
        </w:rPr>
        <w:t>保险金额：</w:t>
      </w:r>
      <w:r>
        <w:rPr>
          <w:rFonts w:hint="eastAsia"/>
          <w:color w:val="auto"/>
          <w:szCs w:val="21"/>
          <w:highlight w:val="none"/>
          <w:u w:val="single"/>
        </w:rPr>
        <w:t>按保险合同</w:t>
      </w:r>
      <w:r>
        <w:rPr>
          <w:rFonts w:hint="eastAsia"/>
          <w:color w:val="auto"/>
          <w:szCs w:val="21"/>
          <w:highlight w:val="none"/>
        </w:rPr>
        <w:t>。</w:t>
      </w:r>
    </w:p>
    <w:p w14:paraId="0C1255F7">
      <w:pPr>
        <w:pStyle w:val="77"/>
        <w:wordWrap w:val="0"/>
        <w:spacing w:line="400" w:lineRule="exact"/>
        <w:ind w:firstLine="420" w:firstLineChars="200"/>
        <w:jc w:val="left"/>
        <w:rPr>
          <w:color w:val="auto"/>
          <w:szCs w:val="21"/>
          <w:highlight w:val="none"/>
        </w:rPr>
      </w:pPr>
      <w:r>
        <w:rPr>
          <w:color w:val="auto"/>
          <w:szCs w:val="21"/>
          <w:highlight w:val="none"/>
        </w:rPr>
        <w:t>(5)</w:t>
      </w:r>
      <w:r>
        <w:rPr>
          <w:rFonts w:hint="eastAsia"/>
          <w:color w:val="auto"/>
          <w:szCs w:val="21"/>
          <w:highlight w:val="none"/>
        </w:rPr>
        <w:t>保险期限：</w:t>
      </w:r>
      <w:r>
        <w:rPr>
          <w:rFonts w:hint="eastAsia"/>
          <w:color w:val="auto"/>
          <w:szCs w:val="21"/>
          <w:highlight w:val="none"/>
          <w:u w:val="single"/>
        </w:rPr>
        <w:t>从工程开工至竣工验收合格之日止</w:t>
      </w:r>
      <w:r>
        <w:rPr>
          <w:rFonts w:hint="eastAsia"/>
          <w:color w:val="auto"/>
          <w:szCs w:val="21"/>
          <w:highlight w:val="none"/>
        </w:rPr>
        <w:t>。</w:t>
      </w:r>
    </w:p>
    <w:p w14:paraId="77279F8B">
      <w:pPr>
        <w:pStyle w:val="84"/>
        <w:spacing w:line="360" w:lineRule="auto"/>
        <w:ind w:firstLine="420" w:firstLineChars="200"/>
        <w:jc w:val="left"/>
        <w:rPr>
          <w:rFonts w:hAnsi="宋体"/>
          <w:color w:val="auto"/>
          <w:kern w:val="0"/>
          <w:szCs w:val="21"/>
          <w:highlight w:val="none"/>
        </w:rPr>
      </w:pPr>
    </w:p>
    <w:p w14:paraId="236E32FB">
      <w:pPr>
        <w:pStyle w:val="84"/>
        <w:keepNext/>
        <w:keepLines/>
        <w:spacing w:line="360" w:lineRule="auto"/>
        <w:ind w:firstLine="422"/>
        <w:rPr>
          <w:rFonts w:eastAsia="黑体"/>
          <w:b/>
          <w:bCs/>
          <w:color w:val="auto"/>
          <w:szCs w:val="32"/>
          <w:highlight w:val="none"/>
        </w:rPr>
      </w:pPr>
      <w:bookmarkStart w:id="1091" w:name="_Toc389065339"/>
      <w:bookmarkStart w:id="1092" w:name="_Toc4100"/>
      <w:bookmarkStart w:id="1093" w:name="_Toc373478421"/>
      <w:bookmarkStart w:id="1094" w:name="_Toc373227774"/>
      <w:r>
        <w:rPr>
          <w:rFonts w:eastAsia="黑体"/>
          <w:b/>
          <w:bCs/>
          <w:color w:val="auto"/>
          <w:szCs w:val="32"/>
          <w:highlight w:val="none"/>
        </w:rPr>
        <w:t xml:space="preserve">18.3 </w:t>
      </w:r>
      <w:r>
        <w:rPr>
          <w:rFonts w:hint="eastAsia" w:hAnsi="宋体" w:eastAsia="黑体"/>
          <w:b/>
          <w:bCs/>
          <w:color w:val="auto"/>
          <w:szCs w:val="32"/>
          <w:highlight w:val="none"/>
        </w:rPr>
        <w:t>其他保险</w:t>
      </w:r>
      <w:bookmarkEnd w:id="1091"/>
      <w:bookmarkEnd w:id="1092"/>
      <w:bookmarkEnd w:id="1093"/>
      <w:bookmarkEnd w:id="1094"/>
    </w:p>
    <w:p w14:paraId="5ED5B976">
      <w:pPr>
        <w:pStyle w:val="84"/>
        <w:wordWrap w:val="0"/>
        <w:spacing w:line="400" w:lineRule="exact"/>
        <w:ind w:firstLine="420" w:firstLineChars="200"/>
        <w:jc w:val="left"/>
        <w:rPr>
          <w:color w:val="auto"/>
          <w:kern w:val="0"/>
          <w:szCs w:val="21"/>
          <w:highlight w:val="none"/>
        </w:rPr>
      </w:pPr>
      <w:r>
        <w:rPr>
          <w:rFonts w:hint="eastAsia" w:hAnsi="宋体"/>
          <w:color w:val="auto"/>
          <w:szCs w:val="21"/>
          <w:highlight w:val="none"/>
        </w:rPr>
        <w:t>关于其他保险的约定：</w:t>
      </w:r>
      <w:r>
        <w:rPr>
          <w:rFonts w:hAnsi="宋体"/>
          <w:bCs/>
          <w:color w:val="auto"/>
          <w:szCs w:val="21"/>
          <w:highlight w:val="none"/>
          <w:u w:val="single"/>
        </w:rPr>
        <w:t xml:space="preserve">  </w:t>
      </w:r>
      <w:r>
        <w:rPr>
          <w:rFonts w:hint="eastAsia"/>
          <w:b/>
          <w:color w:val="auto"/>
          <w:szCs w:val="21"/>
          <w:highlight w:val="none"/>
          <w:u w:val="single"/>
        </w:rPr>
        <w:t>（1）承包人必须为施工现场从事施工的所有作业人员和管理人员办理意外伤害保险，并支付保险费。（2）根据建设厅2023年9月21日印发《广西壮族自治区房屋建筑和市政基础设施工程安全生产责任保险计价规定的通知》（桂建发【2023】6号文），本项目安全生产责任保险费按分部分项工程费及措施项目费（含单价及总价措施项目费）为计算基数乘以0.2%计入暂估价，工程结算时，由发承包双方根据工程实际情况确认的安全生产责任保险费计入工程造价。</w:t>
      </w:r>
    </w:p>
    <w:p w14:paraId="161C7E1E">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承包人是否应为其施工设备等办理财产保险：</w:t>
      </w:r>
      <w:r>
        <w:rPr>
          <w:color w:val="auto"/>
          <w:szCs w:val="21"/>
          <w:highlight w:val="none"/>
          <w:u w:val="single"/>
        </w:rPr>
        <w:t xml:space="preserve">  </w:t>
      </w:r>
      <w:r>
        <w:rPr>
          <w:rFonts w:hint="eastAsia"/>
          <w:color w:val="auto"/>
          <w:highlight w:val="none"/>
          <w:u w:val="single"/>
        </w:rPr>
        <w:t>承包人自行考虑</w:t>
      </w:r>
      <w:r>
        <w:rPr>
          <w:color w:val="auto"/>
          <w:highlight w:val="none"/>
          <w:u w:val="single"/>
        </w:rPr>
        <w:t xml:space="preserve"> </w:t>
      </w:r>
      <w:r>
        <w:rPr>
          <w:rFonts w:hint="eastAsia" w:hAnsi="宋体"/>
          <w:color w:val="auto"/>
          <w:szCs w:val="21"/>
          <w:highlight w:val="none"/>
        </w:rPr>
        <w:t>。</w:t>
      </w:r>
    </w:p>
    <w:p w14:paraId="3735D7C8">
      <w:pPr>
        <w:pStyle w:val="84"/>
        <w:keepNext/>
        <w:keepLines/>
        <w:spacing w:line="360" w:lineRule="auto"/>
        <w:ind w:firstLine="422"/>
        <w:rPr>
          <w:rFonts w:eastAsia="黑体"/>
          <w:b/>
          <w:bCs/>
          <w:color w:val="auto"/>
          <w:szCs w:val="32"/>
          <w:highlight w:val="none"/>
        </w:rPr>
      </w:pPr>
      <w:bookmarkStart w:id="1095" w:name="_Toc373478422"/>
      <w:bookmarkStart w:id="1096" w:name="_Toc389065340"/>
      <w:bookmarkStart w:id="1097" w:name="_Toc20108"/>
      <w:bookmarkStart w:id="1098" w:name="_Toc373227775"/>
      <w:r>
        <w:rPr>
          <w:rFonts w:eastAsia="黑体"/>
          <w:b/>
          <w:bCs/>
          <w:color w:val="auto"/>
          <w:szCs w:val="32"/>
          <w:highlight w:val="none"/>
        </w:rPr>
        <w:t xml:space="preserve">18.7 </w:t>
      </w:r>
      <w:r>
        <w:rPr>
          <w:rFonts w:hint="eastAsia" w:hAnsi="宋体" w:eastAsia="黑体"/>
          <w:b/>
          <w:bCs/>
          <w:color w:val="auto"/>
          <w:szCs w:val="32"/>
          <w:highlight w:val="none"/>
        </w:rPr>
        <w:t>通知义务</w:t>
      </w:r>
      <w:bookmarkEnd w:id="1095"/>
      <w:bookmarkEnd w:id="1096"/>
      <w:bookmarkEnd w:id="1097"/>
      <w:bookmarkEnd w:id="1098"/>
    </w:p>
    <w:p w14:paraId="3023178D">
      <w:pPr>
        <w:pStyle w:val="84"/>
        <w:spacing w:line="360" w:lineRule="auto"/>
        <w:ind w:firstLine="420" w:firstLineChars="200"/>
        <w:jc w:val="left"/>
        <w:rPr>
          <w:color w:val="auto"/>
          <w:szCs w:val="21"/>
          <w:highlight w:val="none"/>
          <w:u w:val="single"/>
        </w:rPr>
      </w:pPr>
      <w:r>
        <w:rPr>
          <w:rFonts w:hint="eastAsia" w:hAnsi="宋体"/>
          <w:color w:val="auto"/>
          <w:kern w:val="0"/>
          <w:szCs w:val="21"/>
          <w:highlight w:val="none"/>
        </w:rPr>
        <w:t>关于变更保险合同时的通知义务的约定：</w:t>
      </w:r>
      <w:r>
        <w:rPr>
          <w:rFonts w:hint="eastAsia"/>
          <w:color w:val="auto"/>
          <w:kern w:val="0"/>
          <w:highlight w:val="none"/>
          <w:u w:val="single"/>
        </w:rPr>
        <w:t>按通用条款执行</w:t>
      </w:r>
      <w:r>
        <w:rPr>
          <w:color w:val="auto"/>
          <w:kern w:val="0"/>
          <w:highlight w:val="none"/>
          <w:u w:val="single"/>
        </w:rPr>
        <w:t xml:space="preserve"> </w:t>
      </w:r>
      <w:r>
        <w:rPr>
          <w:rFonts w:hint="eastAsia" w:hAnsi="宋体"/>
          <w:color w:val="auto"/>
          <w:szCs w:val="21"/>
          <w:highlight w:val="none"/>
        </w:rPr>
        <w:t>。</w:t>
      </w:r>
    </w:p>
    <w:bookmarkEnd w:id="1019"/>
    <w:bookmarkEnd w:id="1020"/>
    <w:bookmarkEnd w:id="1021"/>
    <w:bookmarkEnd w:id="1022"/>
    <w:bookmarkEnd w:id="1023"/>
    <w:bookmarkEnd w:id="1024"/>
    <w:bookmarkEnd w:id="1025"/>
    <w:bookmarkEnd w:id="1026"/>
    <w:bookmarkEnd w:id="1027"/>
    <w:bookmarkEnd w:id="1028"/>
    <w:bookmarkEnd w:id="1029"/>
    <w:bookmarkEnd w:id="1030"/>
    <w:p w14:paraId="66E2FDCB">
      <w:pPr>
        <w:pStyle w:val="84"/>
        <w:keepNext/>
        <w:keepLines/>
        <w:spacing w:before="60" w:after="60" w:line="412" w:lineRule="auto"/>
        <w:ind w:firstLine="422"/>
        <w:rPr>
          <w:rFonts w:ascii="Arial" w:hAnsi="Arial" w:eastAsia="黑体"/>
          <w:b/>
          <w:bCs/>
          <w:color w:val="auto"/>
          <w:szCs w:val="32"/>
          <w:highlight w:val="none"/>
        </w:rPr>
      </w:pPr>
      <w:bookmarkStart w:id="1099" w:name="_Toc389065341"/>
      <w:bookmarkStart w:id="1100" w:name="_Toc373478423"/>
      <w:bookmarkStart w:id="1101" w:name="_Toc18626"/>
      <w:bookmarkStart w:id="1102" w:name="_Toc373227776"/>
      <w:bookmarkStart w:id="1103" w:name="_Toc351203651"/>
      <w:r>
        <w:rPr>
          <w:rFonts w:ascii="Arial" w:hAnsi="Arial" w:eastAsia="黑体"/>
          <w:b/>
          <w:bCs/>
          <w:color w:val="auto"/>
          <w:szCs w:val="32"/>
          <w:highlight w:val="none"/>
        </w:rPr>
        <w:t xml:space="preserve">20. </w:t>
      </w:r>
      <w:r>
        <w:rPr>
          <w:rFonts w:hint="eastAsia" w:ascii="Arial" w:hAnsi="宋体" w:eastAsia="黑体"/>
          <w:b/>
          <w:bCs/>
          <w:color w:val="auto"/>
          <w:szCs w:val="32"/>
          <w:highlight w:val="none"/>
        </w:rPr>
        <w:t>争议解决</w:t>
      </w:r>
      <w:bookmarkEnd w:id="1099"/>
      <w:bookmarkEnd w:id="1100"/>
      <w:bookmarkEnd w:id="1101"/>
      <w:bookmarkEnd w:id="1102"/>
      <w:bookmarkEnd w:id="1103"/>
    </w:p>
    <w:bookmarkEnd w:id="1031"/>
    <w:bookmarkEnd w:id="1032"/>
    <w:p w14:paraId="156B1E0C">
      <w:pPr>
        <w:pStyle w:val="84"/>
        <w:keepNext/>
        <w:keepLines/>
        <w:spacing w:line="360" w:lineRule="auto"/>
        <w:ind w:firstLine="422"/>
        <w:rPr>
          <w:rFonts w:eastAsia="黑体"/>
          <w:b/>
          <w:bCs/>
          <w:color w:val="auto"/>
          <w:szCs w:val="32"/>
          <w:highlight w:val="none"/>
        </w:rPr>
      </w:pPr>
      <w:bookmarkStart w:id="1104" w:name="_Toc373478424"/>
      <w:bookmarkStart w:id="1105" w:name="_Toc389065342"/>
      <w:bookmarkStart w:id="1106" w:name="_Toc373227777"/>
      <w:bookmarkStart w:id="1107" w:name="_Toc24166"/>
      <w:r>
        <w:rPr>
          <w:rFonts w:eastAsia="黑体"/>
          <w:b/>
          <w:bCs/>
          <w:color w:val="auto"/>
          <w:szCs w:val="32"/>
          <w:highlight w:val="none"/>
        </w:rPr>
        <w:t xml:space="preserve">20.3 </w:t>
      </w:r>
      <w:r>
        <w:rPr>
          <w:rFonts w:hint="eastAsia" w:hAnsi="宋体" w:eastAsia="黑体"/>
          <w:b/>
          <w:bCs/>
          <w:color w:val="auto"/>
          <w:szCs w:val="32"/>
          <w:highlight w:val="none"/>
        </w:rPr>
        <w:t>争</w:t>
      </w:r>
      <w:bookmarkEnd w:id="1033"/>
      <w:r>
        <w:rPr>
          <w:rFonts w:hint="eastAsia" w:hAnsi="宋体" w:eastAsia="黑体"/>
          <w:b/>
          <w:bCs/>
          <w:color w:val="auto"/>
          <w:szCs w:val="32"/>
          <w:highlight w:val="none"/>
        </w:rPr>
        <w:t>议评审</w:t>
      </w:r>
      <w:bookmarkEnd w:id="1104"/>
      <w:bookmarkEnd w:id="1105"/>
      <w:bookmarkEnd w:id="1106"/>
      <w:bookmarkEnd w:id="1107"/>
    </w:p>
    <w:p w14:paraId="10687DDF">
      <w:pPr>
        <w:pStyle w:val="84"/>
        <w:spacing w:line="360" w:lineRule="auto"/>
        <w:ind w:left="149" w:leftChars="71" w:firstLine="315" w:firstLineChars="150"/>
        <w:jc w:val="left"/>
        <w:rPr>
          <w:color w:val="auto"/>
          <w:szCs w:val="21"/>
          <w:highlight w:val="none"/>
          <w:u w:val="single"/>
        </w:rPr>
      </w:pPr>
      <w:r>
        <w:rPr>
          <w:rFonts w:hint="eastAsia" w:hAnsi="宋体"/>
          <w:color w:val="auto"/>
          <w:szCs w:val="21"/>
          <w:highlight w:val="none"/>
        </w:rPr>
        <w:t>合同当事人是否同意将工程争议提交争议评审小组决定：</w:t>
      </w:r>
      <w:r>
        <w:rPr>
          <w:color w:val="auto"/>
          <w:szCs w:val="21"/>
          <w:highlight w:val="none"/>
          <w:u w:val="single"/>
        </w:rPr>
        <w:t xml:space="preserve"> </w:t>
      </w:r>
      <w:r>
        <w:rPr>
          <w:rFonts w:hint="eastAsia"/>
          <w:color w:val="auto"/>
          <w:szCs w:val="21"/>
          <w:highlight w:val="none"/>
          <w:u w:val="single"/>
        </w:rPr>
        <w:t>不同意</w:t>
      </w:r>
      <w:r>
        <w:rPr>
          <w:color w:val="auto"/>
          <w:szCs w:val="21"/>
          <w:highlight w:val="none"/>
          <w:u w:val="single"/>
        </w:rPr>
        <w:t xml:space="preserve">   </w:t>
      </w:r>
      <w:r>
        <w:rPr>
          <w:rFonts w:hint="eastAsia" w:hAnsi="宋体"/>
          <w:color w:val="auto"/>
          <w:szCs w:val="21"/>
          <w:highlight w:val="none"/>
        </w:rPr>
        <w:t>。</w:t>
      </w:r>
    </w:p>
    <w:p w14:paraId="57033A9C">
      <w:pPr>
        <w:pStyle w:val="84"/>
        <w:spacing w:line="360" w:lineRule="auto"/>
        <w:ind w:firstLine="420" w:firstLineChars="200"/>
        <w:jc w:val="left"/>
        <w:rPr>
          <w:color w:val="auto"/>
          <w:szCs w:val="21"/>
          <w:highlight w:val="none"/>
        </w:rPr>
      </w:pPr>
      <w:r>
        <w:rPr>
          <w:color w:val="auto"/>
          <w:szCs w:val="21"/>
          <w:highlight w:val="none"/>
        </w:rPr>
        <w:t xml:space="preserve">20.3.1 </w:t>
      </w:r>
      <w:r>
        <w:rPr>
          <w:rFonts w:hint="eastAsia" w:hAnsi="宋体"/>
          <w:color w:val="auto"/>
          <w:szCs w:val="21"/>
          <w:highlight w:val="none"/>
        </w:rPr>
        <w:t>争议评审小组的确定</w:t>
      </w:r>
    </w:p>
    <w:p w14:paraId="7516626C">
      <w:pPr>
        <w:pStyle w:val="84"/>
        <w:spacing w:line="360" w:lineRule="auto"/>
        <w:ind w:firstLine="420" w:firstLineChars="200"/>
        <w:jc w:val="left"/>
        <w:rPr>
          <w:color w:val="auto"/>
          <w:szCs w:val="21"/>
          <w:highlight w:val="none"/>
          <w:u w:val="single"/>
        </w:rPr>
      </w:pPr>
      <w:r>
        <w:rPr>
          <w:rFonts w:hint="eastAsia" w:hAnsi="宋体"/>
          <w:color w:val="auto"/>
          <w:szCs w:val="21"/>
          <w:highlight w:val="none"/>
        </w:rPr>
        <w:t>争议评审小组成员的确定：</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0001149B">
      <w:pPr>
        <w:pStyle w:val="84"/>
        <w:spacing w:line="360" w:lineRule="auto"/>
        <w:ind w:firstLine="420" w:firstLineChars="200"/>
        <w:jc w:val="left"/>
        <w:rPr>
          <w:color w:val="auto"/>
          <w:szCs w:val="21"/>
          <w:highlight w:val="none"/>
        </w:rPr>
      </w:pPr>
      <w:r>
        <w:rPr>
          <w:rFonts w:hint="eastAsia" w:hAnsi="宋体"/>
          <w:color w:val="auto"/>
          <w:szCs w:val="21"/>
          <w:highlight w:val="none"/>
        </w:rPr>
        <w:t>选定争议评审员的期限：</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4EEFCA0E">
      <w:pPr>
        <w:pStyle w:val="84"/>
        <w:spacing w:line="360" w:lineRule="auto"/>
        <w:ind w:firstLine="420" w:firstLineChars="200"/>
        <w:jc w:val="left"/>
        <w:rPr>
          <w:color w:val="auto"/>
          <w:szCs w:val="21"/>
          <w:highlight w:val="none"/>
        </w:rPr>
      </w:pPr>
      <w:r>
        <w:rPr>
          <w:rFonts w:hint="eastAsia" w:hAnsi="宋体"/>
          <w:color w:val="auto"/>
          <w:szCs w:val="21"/>
          <w:highlight w:val="none"/>
        </w:rPr>
        <w:t>争议评审小组成员的报酬承担方式：</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792A4325">
      <w:pPr>
        <w:pStyle w:val="84"/>
        <w:spacing w:line="360" w:lineRule="auto"/>
        <w:ind w:firstLine="420" w:firstLineChars="200"/>
        <w:jc w:val="left"/>
        <w:rPr>
          <w:color w:val="auto"/>
          <w:szCs w:val="21"/>
          <w:highlight w:val="none"/>
        </w:rPr>
      </w:pPr>
      <w:r>
        <w:rPr>
          <w:rFonts w:hint="eastAsia" w:hAnsi="宋体"/>
          <w:color w:val="auto"/>
          <w:szCs w:val="21"/>
          <w:highlight w:val="none"/>
        </w:rPr>
        <w:t>其他事项的约定：</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6950F873">
      <w:pPr>
        <w:pStyle w:val="84"/>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 xml:space="preserve">20.3.2 </w:t>
      </w:r>
      <w:r>
        <w:rPr>
          <w:rFonts w:hint="eastAsia" w:hAnsi="宋体"/>
          <w:color w:val="auto"/>
          <w:kern w:val="0"/>
          <w:szCs w:val="21"/>
          <w:highlight w:val="none"/>
        </w:rPr>
        <w:t>争议评审小组的决定</w:t>
      </w:r>
    </w:p>
    <w:p w14:paraId="4D13FB07">
      <w:pPr>
        <w:pStyle w:val="84"/>
        <w:spacing w:line="360" w:lineRule="auto"/>
        <w:ind w:firstLine="420" w:firstLineChars="200"/>
        <w:jc w:val="left"/>
        <w:rPr>
          <w:color w:val="auto"/>
          <w:szCs w:val="21"/>
          <w:highlight w:val="none"/>
        </w:rPr>
      </w:pPr>
      <w:r>
        <w:rPr>
          <w:rFonts w:hint="eastAsia" w:hAnsi="宋体"/>
          <w:color w:val="auto"/>
          <w:szCs w:val="21"/>
          <w:highlight w:val="none"/>
        </w:rPr>
        <w:t>合同当事人关于本项的约定：</w:t>
      </w:r>
      <w:r>
        <w:rPr>
          <w:color w:val="auto"/>
          <w:szCs w:val="21"/>
          <w:highlight w:val="none"/>
          <w:u w:val="single"/>
        </w:rPr>
        <w:t xml:space="preserve">   </w:t>
      </w:r>
      <w:r>
        <w:rPr>
          <w:rFonts w:hint="eastAsia"/>
          <w:color w:val="auto"/>
          <w:szCs w:val="21"/>
          <w:highlight w:val="none"/>
          <w:u w:val="single"/>
        </w:rPr>
        <w:t>无</w:t>
      </w:r>
      <w:r>
        <w:rPr>
          <w:color w:val="auto"/>
          <w:szCs w:val="21"/>
          <w:highlight w:val="none"/>
          <w:u w:val="single"/>
        </w:rPr>
        <w:t xml:space="preserve">    </w:t>
      </w:r>
      <w:r>
        <w:rPr>
          <w:rFonts w:hint="eastAsia" w:hAnsi="宋体"/>
          <w:color w:val="auto"/>
          <w:szCs w:val="21"/>
          <w:highlight w:val="none"/>
        </w:rPr>
        <w:t>。</w:t>
      </w:r>
    </w:p>
    <w:p w14:paraId="67ECE9F0">
      <w:pPr>
        <w:pStyle w:val="84"/>
        <w:keepNext/>
        <w:keepLines/>
        <w:spacing w:line="360" w:lineRule="auto"/>
        <w:ind w:firstLine="422"/>
        <w:rPr>
          <w:rFonts w:eastAsia="黑体"/>
          <w:b/>
          <w:bCs/>
          <w:color w:val="auto"/>
          <w:szCs w:val="32"/>
          <w:highlight w:val="none"/>
        </w:rPr>
      </w:pPr>
      <w:bookmarkStart w:id="1108" w:name="_Toc24467"/>
      <w:bookmarkStart w:id="1109" w:name="_Toc373478425"/>
      <w:bookmarkStart w:id="1110" w:name="_Toc389065343"/>
      <w:bookmarkStart w:id="1111" w:name="_Toc373227778"/>
      <w:r>
        <w:rPr>
          <w:rFonts w:eastAsia="黑体"/>
          <w:b/>
          <w:bCs/>
          <w:color w:val="auto"/>
          <w:szCs w:val="32"/>
          <w:highlight w:val="none"/>
        </w:rPr>
        <w:t xml:space="preserve">20.4 </w:t>
      </w:r>
      <w:r>
        <w:rPr>
          <w:rFonts w:hint="eastAsia" w:hAnsi="宋体" w:eastAsia="黑体"/>
          <w:b/>
          <w:bCs/>
          <w:color w:val="auto"/>
          <w:szCs w:val="32"/>
          <w:highlight w:val="none"/>
        </w:rPr>
        <w:t>仲裁或诉讼</w:t>
      </w:r>
      <w:bookmarkEnd w:id="1034"/>
      <w:bookmarkEnd w:id="1108"/>
      <w:bookmarkEnd w:id="1109"/>
      <w:bookmarkEnd w:id="1110"/>
      <w:bookmarkEnd w:id="1111"/>
    </w:p>
    <w:p w14:paraId="413963FF">
      <w:pPr>
        <w:pStyle w:val="84"/>
        <w:spacing w:line="360" w:lineRule="auto"/>
        <w:ind w:firstLine="420" w:firstLineChars="200"/>
        <w:rPr>
          <w:color w:val="auto"/>
          <w:szCs w:val="21"/>
          <w:highlight w:val="none"/>
        </w:rPr>
      </w:pPr>
      <w:r>
        <w:rPr>
          <w:rFonts w:hint="eastAsia" w:hAnsi="宋体"/>
          <w:color w:val="auto"/>
          <w:szCs w:val="21"/>
          <w:highlight w:val="none"/>
        </w:rPr>
        <w:t>因合同及合同有关事项发生的争议，按下列第</w:t>
      </w:r>
      <w:r>
        <w:rPr>
          <w:color w:val="auto"/>
          <w:szCs w:val="21"/>
          <w:highlight w:val="none"/>
          <w:u w:val="single"/>
        </w:rPr>
        <w:t xml:space="preserve">  </w:t>
      </w:r>
      <w:r>
        <w:rPr>
          <w:rFonts w:hint="eastAsia"/>
          <w:color w:val="auto"/>
          <w:szCs w:val="21"/>
          <w:highlight w:val="none"/>
          <w:u w:val="single"/>
        </w:rPr>
        <w:t>（</w:t>
      </w:r>
      <w:r>
        <w:rPr>
          <w:color w:val="auto"/>
          <w:szCs w:val="21"/>
          <w:highlight w:val="none"/>
          <w:u w:val="single"/>
        </w:rPr>
        <w:t>2</w:t>
      </w:r>
      <w:r>
        <w:rPr>
          <w:rFonts w:hint="eastAsia"/>
          <w:color w:val="auto"/>
          <w:szCs w:val="21"/>
          <w:highlight w:val="none"/>
          <w:u w:val="single"/>
        </w:rPr>
        <w:t>）</w:t>
      </w:r>
      <w:r>
        <w:rPr>
          <w:color w:val="auto"/>
          <w:szCs w:val="21"/>
          <w:highlight w:val="none"/>
          <w:u w:val="single"/>
        </w:rPr>
        <w:t xml:space="preserve">  </w:t>
      </w:r>
      <w:r>
        <w:rPr>
          <w:rFonts w:hint="eastAsia" w:hAnsi="宋体"/>
          <w:color w:val="auto"/>
          <w:szCs w:val="21"/>
          <w:highlight w:val="none"/>
        </w:rPr>
        <w:t>种方式解决：</w:t>
      </w:r>
    </w:p>
    <w:p w14:paraId="2C3E8F11">
      <w:pPr>
        <w:pStyle w:val="84"/>
        <w:spacing w:line="360" w:lineRule="auto"/>
        <w:ind w:firstLine="420" w:firstLineChars="200"/>
        <w:jc w:val="left"/>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）提请</w:t>
      </w:r>
      <w:r>
        <w:rPr>
          <w:color w:val="auto"/>
          <w:szCs w:val="21"/>
          <w:highlight w:val="none"/>
          <w:u w:val="single"/>
        </w:rPr>
        <w:t xml:space="preserve"> /  </w:t>
      </w:r>
      <w:r>
        <w:rPr>
          <w:rFonts w:hint="eastAsia" w:hAnsi="宋体"/>
          <w:color w:val="auto"/>
          <w:szCs w:val="21"/>
          <w:highlight w:val="none"/>
        </w:rPr>
        <w:t>仲裁委员会按照该会仲裁规则进行仲裁，仲裁裁决是终局的，对合同双方均有约束力。</w:t>
      </w:r>
    </w:p>
    <w:p w14:paraId="4484E89D">
      <w:pPr>
        <w:pStyle w:val="84"/>
        <w:spacing w:line="360" w:lineRule="auto"/>
        <w:ind w:firstLine="420" w:firstLineChars="200"/>
        <w:jc w:val="left"/>
        <w:rPr>
          <w:rFonts w:hAnsi="宋体"/>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）向</w:t>
      </w:r>
      <w:r>
        <w:rPr>
          <w:color w:val="auto"/>
          <w:szCs w:val="21"/>
          <w:highlight w:val="none"/>
          <w:u w:val="single"/>
        </w:rPr>
        <w:t xml:space="preserve"> </w:t>
      </w:r>
      <w:r>
        <w:rPr>
          <w:rFonts w:hint="eastAsia" w:hAnsi="宋体"/>
          <w:color w:val="auto"/>
          <w:szCs w:val="21"/>
          <w:highlight w:val="none"/>
          <w:u w:val="single"/>
        </w:rPr>
        <w:t>工程所在地有管辖权的南宁市西乡塘区</w:t>
      </w:r>
      <w:r>
        <w:rPr>
          <w:color w:val="auto"/>
          <w:szCs w:val="21"/>
          <w:highlight w:val="none"/>
          <w:u w:val="single"/>
        </w:rPr>
        <w:t xml:space="preserve"> </w:t>
      </w:r>
      <w:r>
        <w:rPr>
          <w:rFonts w:hint="eastAsia" w:hAnsi="宋体"/>
          <w:color w:val="auto"/>
          <w:szCs w:val="21"/>
          <w:highlight w:val="none"/>
        </w:rPr>
        <w:t>人民法院起诉。</w:t>
      </w:r>
      <w:bookmarkEnd w:id="1035"/>
      <w:bookmarkEnd w:id="1036"/>
      <w:bookmarkEnd w:id="1037"/>
      <w:bookmarkEnd w:id="1038"/>
      <w:bookmarkEnd w:id="1039"/>
      <w:bookmarkEnd w:id="1040"/>
    </w:p>
    <w:p w14:paraId="7BFAB909">
      <w:pPr>
        <w:pStyle w:val="84"/>
        <w:keepNext/>
        <w:keepLines/>
        <w:spacing w:line="360" w:lineRule="auto"/>
        <w:ind w:firstLine="422"/>
        <w:rPr>
          <w:rFonts w:eastAsia="黑体"/>
          <w:b/>
          <w:bCs/>
          <w:color w:val="auto"/>
          <w:szCs w:val="32"/>
          <w:highlight w:val="none"/>
        </w:rPr>
      </w:pPr>
      <w:r>
        <w:rPr>
          <w:rFonts w:hint="eastAsia" w:eastAsia="黑体"/>
          <w:b/>
          <w:bCs/>
          <w:color w:val="auto"/>
          <w:szCs w:val="32"/>
          <w:highlight w:val="none"/>
        </w:rPr>
        <w:t>21.工程水电费</w:t>
      </w:r>
    </w:p>
    <w:p w14:paraId="3A199215">
      <w:pPr>
        <w:pStyle w:val="84"/>
        <w:spacing w:line="360" w:lineRule="auto"/>
        <w:ind w:firstLine="420" w:firstLineChars="200"/>
        <w:jc w:val="left"/>
        <w:rPr>
          <w:rFonts w:hAnsi="宋体" w:cs="宋体"/>
          <w:color w:val="auto"/>
          <w:highlight w:val="none"/>
        </w:rPr>
      </w:pPr>
      <w:r>
        <w:rPr>
          <w:rFonts w:hint="eastAsia" w:hAnsi="宋体" w:cs="宋体"/>
          <w:color w:val="auto"/>
          <w:highlight w:val="none"/>
        </w:rPr>
        <w:t>21.1发包人向承包人提供水、电、路三通，水电费由承包人承担。若供电部门的原因造成停电，承包人必须自行解决施工用电，费用自理。</w:t>
      </w:r>
    </w:p>
    <w:p w14:paraId="381F647C">
      <w:pPr>
        <w:pStyle w:val="84"/>
        <w:spacing w:line="360" w:lineRule="auto"/>
        <w:ind w:firstLine="420" w:firstLineChars="200"/>
        <w:jc w:val="left"/>
        <w:rPr>
          <w:rFonts w:hAnsi="宋体" w:cs="宋体"/>
          <w:color w:val="auto"/>
          <w:highlight w:val="none"/>
        </w:rPr>
      </w:pPr>
      <w:r>
        <w:rPr>
          <w:rFonts w:hint="eastAsia" w:hAnsi="宋体" w:cs="宋体"/>
          <w:color w:val="auto"/>
          <w:highlight w:val="none"/>
        </w:rPr>
        <w:t>21.2工程水电费金额按工程审计结算书中的水电消耗量和政府主管部门颁布的水电费单价计算，工程审计结算完成支付至工程结算总价100%工程款前，承包人应向发包人足额交纳工程水电费。</w:t>
      </w:r>
    </w:p>
    <w:p w14:paraId="5EACF715">
      <w:pPr>
        <w:pStyle w:val="84"/>
        <w:spacing w:line="360" w:lineRule="auto"/>
        <w:ind w:firstLine="420" w:firstLineChars="200"/>
        <w:jc w:val="left"/>
        <w:rPr>
          <w:rFonts w:hAnsi="宋体" w:cs="宋体"/>
          <w:color w:val="auto"/>
          <w:highlight w:val="none"/>
        </w:rPr>
      </w:pPr>
    </w:p>
    <w:p w14:paraId="2EC54C5D">
      <w:pPr>
        <w:pStyle w:val="84"/>
        <w:spacing w:line="360" w:lineRule="auto"/>
        <w:ind w:firstLine="420" w:firstLineChars="200"/>
        <w:jc w:val="left"/>
        <w:rPr>
          <w:rFonts w:hAnsi="宋体" w:cs="宋体"/>
          <w:color w:val="auto"/>
          <w:highlight w:val="none"/>
        </w:rPr>
      </w:pPr>
    </w:p>
    <w:p w14:paraId="4F5B372A">
      <w:pPr>
        <w:pStyle w:val="84"/>
        <w:spacing w:line="360" w:lineRule="auto"/>
        <w:ind w:firstLine="420" w:firstLineChars="200"/>
        <w:jc w:val="left"/>
        <w:rPr>
          <w:rFonts w:hAnsi="宋体" w:cs="宋体"/>
          <w:color w:val="auto"/>
          <w:highlight w:val="none"/>
        </w:rPr>
      </w:pPr>
    </w:p>
    <w:p w14:paraId="455729B7">
      <w:pPr>
        <w:pStyle w:val="84"/>
        <w:spacing w:line="360" w:lineRule="auto"/>
        <w:ind w:firstLine="420" w:firstLineChars="200"/>
        <w:jc w:val="left"/>
        <w:rPr>
          <w:rFonts w:hAnsi="宋体" w:cs="宋体"/>
          <w:color w:val="auto"/>
          <w:highlight w:val="none"/>
        </w:rPr>
      </w:pPr>
    </w:p>
    <w:p w14:paraId="57D0350F">
      <w:pPr>
        <w:pStyle w:val="84"/>
        <w:spacing w:line="360" w:lineRule="auto"/>
        <w:ind w:firstLine="420" w:firstLineChars="200"/>
        <w:jc w:val="left"/>
        <w:rPr>
          <w:rFonts w:hAnsi="宋体" w:cs="宋体"/>
          <w:color w:val="auto"/>
          <w:highlight w:val="none"/>
        </w:rPr>
      </w:pPr>
    </w:p>
    <w:p w14:paraId="30C7E952">
      <w:pPr>
        <w:pStyle w:val="84"/>
        <w:spacing w:line="360" w:lineRule="auto"/>
        <w:ind w:firstLine="420" w:firstLineChars="200"/>
        <w:jc w:val="left"/>
        <w:rPr>
          <w:rFonts w:hAnsi="宋体" w:cs="宋体"/>
          <w:color w:val="auto"/>
          <w:highlight w:val="none"/>
        </w:rPr>
      </w:pPr>
    </w:p>
    <w:p w14:paraId="7DB82F95">
      <w:pPr>
        <w:pStyle w:val="84"/>
        <w:spacing w:line="360" w:lineRule="auto"/>
        <w:ind w:firstLine="420" w:firstLineChars="200"/>
        <w:jc w:val="left"/>
        <w:rPr>
          <w:rFonts w:hAnsi="宋体" w:cs="宋体"/>
          <w:color w:val="auto"/>
          <w:highlight w:val="none"/>
        </w:rPr>
      </w:pPr>
    </w:p>
    <w:p w14:paraId="263CE451">
      <w:pPr>
        <w:pStyle w:val="84"/>
        <w:spacing w:line="360" w:lineRule="auto"/>
        <w:ind w:firstLine="420" w:firstLineChars="200"/>
        <w:jc w:val="left"/>
        <w:rPr>
          <w:rFonts w:hAnsi="宋体" w:cs="宋体"/>
          <w:color w:val="auto"/>
          <w:highlight w:val="none"/>
        </w:rPr>
      </w:pPr>
    </w:p>
    <w:p w14:paraId="350C8D40">
      <w:pPr>
        <w:pStyle w:val="84"/>
        <w:spacing w:line="360" w:lineRule="auto"/>
        <w:ind w:firstLine="420" w:firstLineChars="200"/>
        <w:jc w:val="left"/>
        <w:rPr>
          <w:rFonts w:hAnsi="宋体" w:cs="宋体"/>
          <w:color w:val="auto"/>
          <w:highlight w:val="none"/>
        </w:rPr>
      </w:pPr>
    </w:p>
    <w:p w14:paraId="371ECAF7">
      <w:pPr>
        <w:pStyle w:val="84"/>
        <w:spacing w:line="360" w:lineRule="auto"/>
        <w:ind w:firstLine="420" w:firstLineChars="200"/>
        <w:jc w:val="left"/>
        <w:rPr>
          <w:rFonts w:hAnsi="宋体" w:cs="宋体"/>
          <w:color w:val="auto"/>
          <w:highlight w:val="none"/>
        </w:rPr>
      </w:pPr>
    </w:p>
    <w:p w14:paraId="24E7E1F0">
      <w:pPr>
        <w:pStyle w:val="84"/>
        <w:spacing w:line="360" w:lineRule="auto"/>
        <w:ind w:firstLine="420" w:firstLineChars="200"/>
        <w:jc w:val="left"/>
        <w:rPr>
          <w:rFonts w:hAnsi="宋体" w:cs="宋体"/>
          <w:color w:val="auto"/>
          <w:highlight w:val="none"/>
        </w:rPr>
      </w:pPr>
    </w:p>
    <w:p w14:paraId="629E18E2">
      <w:pPr>
        <w:pStyle w:val="84"/>
        <w:spacing w:line="360" w:lineRule="auto"/>
        <w:ind w:firstLine="420" w:firstLineChars="200"/>
        <w:jc w:val="left"/>
        <w:rPr>
          <w:rFonts w:hAnsi="宋体" w:cs="宋体"/>
          <w:color w:val="auto"/>
          <w:highlight w:val="none"/>
        </w:rPr>
      </w:pPr>
    </w:p>
    <w:p w14:paraId="6FE84B4E">
      <w:pPr>
        <w:pStyle w:val="84"/>
        <w:spacing w:line="360" w:lineRule="auto"/>
        <w:ind w:firstLine="420" w:firstLineChars="200"/>
        <w:jc w:val="left"/>
        <w:rPr>
          <w:rFonts w:hAnsi="宋体" w:cs="宋体"/>
          <w:color w:val="auto"/>
          <w:highlight w:val="none"/>
        </w:rPr>
      </w:pPr>
    </w:p>
    <w:p w14:paraId="2BE1C69C">
      <w:pPr>
        <w:pStyle w:val="84"/>
        <w:spacing w:line="360" w:lineRule="auto"/>
        <w:ind w:firstLine="420" w:firstLineChars="200"/>
        <w:jc w:val="left"/>
        <w:rPr>
          <w:rFonts w:hAnsi="宋体" w:cs="宋体"/>
          <w:color w:val="auto"/>
          <w:highlight w:val="none"/>
        </w:rPr>
      </w:pPr>
    </w:p>
    <w:p w14:paraId="62129327">
      <w:pPr>
        <w:pStyle w:val="84"/>
        <w:spacing w:line="360" w:lineRule="auto"/>
        <w:ind w:firstLine="420" w:firstLineChars="200"/>
        <w:jc w:val="left"/>
        <w:rPr>
          <w:rFonts w:hAnsi="宋体" w:cs="宋体"/>
          <w:color w:val="auto"/>
          <w:highlight w:val="none"/>
        </w:rPr>
      </w:pPr>
    </w:p>
    <w:p w14:paraId="51E8609E">
      <w:pPr>
        <w:pStyle w:val="84"/>
        <w:spacing w:line="360" w:lineRule="auto"/>
        <w:ind w:firstLine="420" w:firstLineChars="200"/>
        <w:jc w:val="left"/>
        <w:rPr>
          <w:rFonts w:hAnsi="宋体" w:cs="宋体"/>
          <w:color w:val="auto"/>
          <w:highlight w:val="none"/>
        </w:rPr>
      </w:pPr>
    </w:p>
    <w:p w14:paraId="3C10ADF9">
      <w:pPr>
        <w:pStyle w:val="84"/>
        <w:spacing w:line="360" w:lineRule="auto"/>
        <w:ind w:firstLine="420" w:firstLineChars="200"/>
        <w:jc w:val="left"/>
        <w:rPr>
          <w:rFonts w:hAnsi="宋体" w:cs="宋体"/>
          <w:color w:val="auto"/>
          <w:highlight w:val="none"/>
        </w:rPr>
      </w:pPr>
    </w:p>
    <w:p w14:paraId="219FBEBA">
      <w:pPr>
        <w:pStyle w:val="84"/>
        <w:spacing w:line="360" w:lineRule="auto"/>
        <w:ind w:firstLine="420" w:firstLineChars="200"/>
        <w:jc w:val="left"/>
        <w:rPr>
          <w:rFonts w:hAnsi="宋体" w:cs="宋体"/>
          <w:color w:val="auto"/>
          <w:highlight w:val="none"/>
        </w:rPr>
      </w:pPr>
    </w:p>
    <w:p w14:paraId="5DA9C5D4">
      <w:pPr>
        <w:pStyle w:val="84"/>
        <w:spacing w:line="360" w:lineRule="auto"/>
        <w:ind w:firstLine="562"/>
        <w:jc w:val="left"/>
        <w:rPr>
          <w:rFonts w:eastAsia="黑体"/>
          <w:b/>
          <w:bCs/>
          <w:color w:val="auto"/>
          <w:sz w:val="28"/>
          <w:szCs w:val="28"/>
          <w:highlight w:val="none"/>
        </w:rPr>
      </w:pPr>
      <w:bookmarkStart w:id="1112" w:name="_Toc351203652"/>
      <w:r>
        <w:rPr>
          <w:rFonts w:hint="eastAsia" w:eastAsia="黑体" w:cs="黑体"/>
          <w:b/>
          <w:bCs/>
          <w:color w:val="auto"/>
          <w:sz w:val="28"/>
          <w:szCs w:val="28"/>
          <w:highlight w:val="none"/>
        </w:rPr>
        <w:t>附件</w:t>
      </w:r>
      <w:bookmarkEnd w:id="1112"/>
    </w:p>
    <w:p w14:paraId="20A19237">
      <w:pPr>
        <w:pStyle w:val="84"/>
        <w:spacing w:line="360" w:lineRule="auto"/>
        <w:jc w:val="left"/>
        <w:rPr>
          <w:rFonts w:ascii="宋体" w:hAnsi="宋体" w:cs="宋体"/>
          <w:color w:val="auto"/>
          <w:highlight w:val="none"/>
        </w:rPr>
      </w:pPr>
      <w:r>
        <w:rPr>
          <w:rFonts w:hint="eastAsia" w:ascii="宋体" w:hAnsi="宋体" w:cs="宋体"/>
          <w:color w:val="auto"/>
          <w:highlight w:val="none"/>
        </w:rPr>
        <w:t>附件1：承包人承揽工程项目一览表</w:t>
      </w:r>
    </w:p>
    <w:p w14:paraId="552B83B4">
      <w:pPr>
        <w:pStyle w:val="84"/>
        <w:spacing w:line="360" w:lineRule="auto"/>
        <w:jc w:val="left"/>
        <w:rPr>
          <w:rFonts w:ascii="宋体" w:hAnsi="宋体" w:cs="宋体"/>
          <w:color w:val="auto"/>
          <w:highlight w:val="none"/>
        </w:rPr>
      </w:pPr>
      <w:r>
        <w:rPr>
          <w:rFonts w:hint="eastAsia" w:ascii="宋体" w:hAnsi="宋体" w:cs="宋体"/>
          <w:color w:val="auto"/>
          <w:highlight w:val="none"/>
        </w:rPr>
        <w:t>附件2：工程质量保修书</w:t>
      </w:r>
    </w:p>
    <w:p w14:paraId="40185847">
      <w:pPr>
        <w:pStyle w:val="84"/>
        <w:spacing w:line="360" w:lineRule="auto"/>
        <w:jc w:val="left"/>
        <w:rPr>
          <w:rFonts w:ascii="宋体" w:hAnsi="宋体" w:cs="宋体"/>
          <w:color w:val="auto"/>
          <w:highlight w:val="none"/>
        </w:rPr>
      </w:pPr>
      <w:r>
        <w:rPr>
          <w:rFonts w:hint="eastAsia" w:ascii="宋体" w:hAnsi="宋体" w:cs="宋体"/>
          <w:color w:val="auto"/>
          <w:highlight w:val="none"/>
        </w:rPr>
        <w:t>附件3：主要建设工程文件目录</w:t>
      </w:r>
    </w:p>
    <w:p w14:paraId="539D9ACB">
      <w:pPr>
        <w:pStyle w:val="84"/>
        <w:spacing w:line="360" w:lineRule="auto"/>
        <w:jc w:val="left"/>
        <w:rPr>
          <w:rFonts w:ascii="宋体" w:hAnsi="宋体" w:cs="宋体"/>
          <w:color w:val="auto"/>
          <w:highlight w:val="none"/>
        </w:rPr>
      </w:pPr>
      <w:r>
        <w:rPr>
          <w:rFonts w:hint="eastAsia" w:ascii="宋体" w:hAnsi="宋体" w:cs="宋体"/>
          <w:color w:val="auto"/>
          <w:highlight w:val="none"/>
        </w:rPr>
        <w:t>附件4：承包人用于本工程施工的机械设备表</w:t>
      </w:r>
    </w:p>
    <w:p w14:paraId="243DD588">
      <w:pPr>
        <w:pStyle w:val="84"/>
        <w:spacing w:line="360" w:lineRule="auto"/>
        <w:jc w:val="left"/>
        <w:rPr>
          <w:rFonts w:ascii="宋体"/>
          <w:color w:val="auto"/>
          <w:highlight w:val="none"/>
        </w:rPr>
      </w:pPr>
      <w:r>
        <w:rPr>
          <w:rFonts w:hint="eastAsia" w:ascii="宋体" w:hAnsi="宋体" w:cs="宋体"/>
          <w:color w:val="auto"/>
          <w:highlight w:val="none"/>
        </w:rPr>
        <w:t>附件5：承包人主要施工管理人员表</w:t>
      </w:r>
    </w:p>
    <w:p w14:paraId="06E85464">
      <w:pPr>
        <w:pStyle w:val="84"/>
        <w:spacing w:line="360" w:lineRule="auto"/>
        <w:jc w:val="left"/>
        <w:rPr>
          <w:rFonts w:ascii="宋体"/>
          <w:color w:val="auto"/>
          <w:highlight w:val="none"/>
        </w:rPr>
      </w:pPr>
      <w:r>
        <w:rPr>
          <w:rFonts w:hint="eastAsia" w:ascii="宋体" w:hAnsi="宋体" w:cs="宋体"/>
          <w:color w:val="auto"/>
          <w:highlight w:val="none"/>
        </w:rPr>
        <w:t>附件6：分包人主要施工管理人员表</w:t>
      </w:r>
    </w:p>
    <w:p w14:paraId="4EF6A18B">
      <w:pPr>
        <w:pStyle w:val="84"/>
        <w:spacing w:line="360" w:lineRule="auto"/>
        <w:jc w:val="left"/>
        <w:rPr>
          <w:rFonts w:ascii="宋体"/>
          <w:color w:val="auto"/>
          <w:highlight w:val="none"/>
        </w:rPr>
      </w:pPr>
      <w:r>
        <w:rPr>
          <w:rFonts w:hint="eastAsia" w:ascii="宋体" w:hAnsi="宋体" w:cs="宋体"/>
          <w:color w:val="auto"/>
          <w:highlight w:val="none"/>
        </w:rPr>
        <w:t>附件7：履约担保格式（独立保函、非独立保函）</w:t>
      </w:r>
    </w:p>
    <w:p w14:paraId="7B9DC18A">
      <w:pPr>
        <w:pStyle w:val="84"/>
        <w:spacing w:line="360" w:lineRule="auto"/>
        <w:jc w:val="left"/>
        <w:rPr>
          <w:rFonts w:ascii="宋体" w:hAnsi="宋体" w:cs="宋体"/>
          <w:color w:val="auto"/>
          <w:highlight w:val="none"/>
        </w:rPr>
      </w:pPr>
      <w:r>
        <w:rPr>
          <w:rFonts w:hint="eastAsia" w:ascii="宋体" w:hAnsi="宋体" w:cs="宋体"/>
          <w:color w:val="auto"/>
          <w:highlight w:val="none"/>
        </w:rPr>
        <w:t>附件8：预付款担保格式（独立保函、非独立保函）</w:t>
      </w:r>
    </w:p>
    <w:p w14:paraId="6AFC0732">
      <w:pPr>
        <w:pStyle w:val="84"/>
        <w:spacing w:line="360" w:lineRule="auto"/>
        <w:jc w:val="left"/>
        <w:rPr>
          <w:rFonts w:ascii="宋体" w:hAnsi="宋体" w:cs="宋体"/>
          <w:color w:val="auto"/>
          <w:highlight w:val="none"/>
        </w:rPr>
      </w:pPr>
      <w:r>
        <w:rPr>
          <w:rFonts w:hint="eastAsia" w:ascii="宋体" w:hAnsi="宋体" w:cs="宋体"/>
          <w:color w:val="auto"/>
          <w:highlight w:val="none"/>
        </w:rPr>
        <w:t>附件9：支付担保格式（独立保函、非独立保函）</w:t>
      </w:r>
    </w:p>
    <w:p w14:paraId="7D909F7A">
      <w:pPr>
        <w:pStyle w:val="84"/>
        <w:spacing w:line="360" w:lineRule="auto"/>
        <w:jc w:val="left"/>
        <w:rPr>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14:paraId="298468B3">
      <w:pPr>
        <w:pStyle w:val="84"/>
        <w:spacing w:line="360" w:lineRule="auto"/>
        <w:jc w:val="left"/>
        <w:rPr>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14:paraId="307CD3CF">
      <w:pPr>
        <w:pStyle w:val="84"/>
        <w:spacing w:line="360" w:lineRule="auto"/>
        <w:jc w:val="left"/>
        <w:rPr>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14:paraId="77E3F1C2">
      <w:pPr>
        <w:pStyle w:val="84"/>
        <w:spacing w:line="360" w:lineRule="auto"/>
        <w:jc w:val="left"/>
        <w:rPr>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14:paraId="4027FB41">
      <w:pPr>
        <w:pStyle w:val="84"/>
        <w:spacing w:line="360" w:lineRule="auto"/>
        <w:jc w:val="left"/>
        <w:rPr>
          <w:color w:val="auto"/>
          <w:highlight w:val="none"/>
        </w:rPr>
      </w:pPr>
      <w:r>
        <w:rPr>
          <w:rFonts w:hint="eastAsia"/>
          <w:color w:val="auto"/>
          <w:highlight w:val="none"/>
        </w:rPr>
        <w:t>附件</w:t>
      </w:r>
      <w:r>
        <w:rPr>
          <w:color w:val="auto"/>
          <w:highlight w:val="none"/>
        </w:rPr>
        <w:t>14</w:t>
      </w:r>
      <w:r>
        <w:rPr>
          <w:rFonts w:hint="eastAsia"/>
          <w:color w:val="auto"/>
          <w:highlight w:val="none"/>
        </w:rPr>
        <w:t>：总价合同进度款支付分解表</w:t>
      </w:r>
    </w:p>
    <w:p w14:paraId="50C242F8">
      <w:pPr>
        <w:pStyle w:val="84"/>
        <w:spacing w:line="360" w:lineRule="auto"/>
        <w:jc w:val="left"/>
        <w:rPr>
          <w:color w:val="auto"/>
          <w:highlight w:val="none"/>
        </w:rPr>
      </w:pPr>
    </w:p>
    <w:p w14:paraId="11DC187C">
      <w:pPr>
        <w:pStyle w:val="84"/>
        <w:spacing w:line="460" w:lineRule="exact"/>
        <w:ind w:firstLine="420" w:firstLineChars="200"/>
        <w:rPr>
          <w:color w:val="auto"/>
          <w:highlight w:val="none"/>
        </w:rPr>
      </w:pPr>
    </w:p>
    <w:p w14:paraId="750DA1B6">
      <w:pPr>
        <w:pStyle w:val="84"/>
        <w:spacing w:line="460" w:lineRule="exact"/>
        <w:ind w:firstLine="420" w:firstLineChars="200"/>
        <w:rPr>
          <w:color w:val="auto"/>
          <w:highlight w:val="none"/>
        </w:rPr>
      </w:pPr>
    </w:p>
    <w:p w14:paraId="423EE6B8">
      <w:pPr>
        <w:pStyle w:val="84"/>
        <w:spacing w:line="460" w:lineRule="exact"/>
        <w:ind w:firstLine="420" w:firstLineChars="200"/>
        <w:rPr>
          <w:color w:val="auto"/>
          <w:highlight w:val="none"/>
        </w:rPr>
      </w:pPr>
    </w:p>
    <w:p w14:paraId="1E7855BB">
      <w:pPr>
        <w:pStyle w:val="84"/>
        <w:spacing w:line="460" w:lineRule="exact"/>
        <w:ind w:firstLine="420" w:firstLineChars="200"/>
        <w:rPr>
          <w:color w:val="auto"/>
          <w:highlight w:val="none"/>
        </w:rPr>
      </w:pPr>
    </w:p>
    <w:p w14:paraId="78113FB9">
      <w:pPr>
        <w:pStyle w:val="84"/>
        <w:spacing w:line="460" w:lineRule="exact"/>
        <w:ind w:firstLine="420" w:firstLineChars="200"/>
        <w:rPr>
          <w:color w:val="auto"/>
          <w:highlight w:val="none"/>
        </w:rPr>
      </w:pPr>
    </w:p>
    <w:p w14:paraId="5096C0AC">
      <w:pPr>
        <w:pStyle w:val="84"/>
        <w:spacing w:line="460" w:lineRule="exact"/>
        <w:ind w:firstLine="420" w:firstLineChars="200"/>
        <w:rPr>
          <w:color w:val="auto"/>
          <w:highlight w:val="none"/>
        </w:rPr>
      </w:pPr>
    </w:p>
    <w:p w14:paraId="1972E801">
      <w:pPr>
        <w:pStyle w:val="84"/>
        <w:spacing w:line="460" w:lineRule="exact"/>
        <w:ind w:firstLine="420" w:firstLineChars="200"/>
        <w:rPr>
          <w:color w:val="auto"/>
          <w:highlight w:val="none"/>
        </w:rPr>
      </w:pPr>
    </w:p>
    <w:p w14:paraId="1D1E6FE0">
      <w:pPr>
        <w:pStyle w:val="84"/>
        <w:spacing w:line="460" w:lineRule="exact"/>
        <w:ind w:firstLine="420" w:firstLineChars="200"/>
        <w:rPr>
          <w:color w:val="auto"/>
          <w:highlight w:val="none"/>
        </w:rPr>
      </w:pPr>
    </w:p>
    <w:p w14:paraId="3D18A4AB">
      <w:pPr>
        <w:pStyle w:val="84"/>
        <w:spacing w:line="460" w:lineRule="exact"/>
        <w:ind w:firstLine="420" w:firstLineChars="200"/>
        <w:rPr>
          <w:color w:val="auto"/>
          <w:highlight w:val="none"/>
        </w:rPr>
      </w:pPr>
    </w:p>
    <w:p w14:paraId="2D874D1C">
      <w:pPr>
        <w:pStyle w:val="84"/>
        <w:spacing w:line="460" w:lineRule="exact"/>
        <w:ind w:firstLine="420" w:firstLineChars="200"/>
        <w:rPr>
          <w:color w:val="auto"/>
          <w:highlight w:val="none"/>
        </w:rPr>
      </w:pPr>
    </w:p>
    <w:p w14:paraId="1F1891B2">
      <w:pPr>
        <w:pStyle w:val="84"/>
        <w:spacing w:line="460" w:lineRule="exact"/>
        <w:ind w:firstLine="420" w:firstLineChars="200"/>
        <w:rPr>
          <w:color w:val="auto"/>
          <w:highlight w:val="none"/>
        </w:rPr>
      </w:pPr>
    </w:p>
    <w:p w14:paraId="43509C93">
      <w:pPr>
        <w:pStyle w:val="84"/>
        <w:spacing w:line="460" w:lineRule="exact"/>
        <w:ind w:firstLine="420" w:firstLineChars="200"/>
        <w:rPr>
          <w:color w:val="auto"/>
          <w:highlight w:val="none"/>
        </w:rPr>
      </w:pPr>
    </w:p>
    <w:p w14:paraId="24930FEC">
      <w:pPr>
        <w:pStyle w:val="84"/>
        <w:spacing w:line="460" w:lineRule="exact"/>
        <w:ind w:firstLine="420" w:firstLineChars="200"/>
        <w:rPr>
          <w:color w:val="auto"/>
          <w:highlight w:val="none"/>
        </w:rPr>
      </w:pPr>
    </w:p>
    <w:p w14:paraId="2F7BABC3">
      <w:pPr>
        <w:pStyle w:val="84"/>
        <w:spacing w:line="460" w:lineRule="exact"/>
        <w:ind w:firstLine="420" w:firstLineChars="200"/>
        <w:rPr>
          <w:color w:val="auto"/>
          <w:highlight w:val="none"/>
        </w:rPr>
      </w:pPr>
    </w:p>
    <w:p w14:paraId="2E7D4D1D">
      <w:pPr>
        <w:pStyle w:val="84"/>
        <w:spacing w:before="120" w:beforeLines="50" w:after="120" w:afterLines="50" w:line="440" w:lineRule="exact"/>
        <w:ind w:firstLine="560"/>
        <w:jc w:val="left"/>
        <w:rPr>
          <w:rFonts w:ascii="仿宋_GB2312" w:eastAsia="仿宋_GB2312" w:cs="仿宋_GB2312"/>
          <w:color w:val="auto"/>
          <w:sz w:val="28"/>
          <w:szCs w:val="28"/>
          <w:highlight w:val="none"/>
        </w:rPr>
      </w:pPr>
    </w:p>
    <w:p w14:paraId="4F124A0D">
      <w:pPr>
        <w:pStyle w:val="84"/>
        <w:spacing w:before="120" w:beforeLines="50" w:after="120" w:afterLines="50" w:line="440" w:lineRule="exact"/>
        <w:ind w:firstLine="560"/>
        <w:jc w:val="left"/>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附件1：</w:t>
      </w:r>
    </w:p>
    <w:p w14:paraId="4C9A9528">
      <w:pPr>
        <w:pStyle w:val="84"/>
        <w:spacing w:before="120" w:beforeLines="50" w:after="120" w:afterLines="50" w:line="440" w:lineRule="exact"/>
        <w:ind w:firstLine="600"/>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2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86"/>
        <w:gridCol w:w="1126"/>
        <w:gridCol w:w="878"/>
        <w:gridCol w:w="580"/>
        <w:gridCol w:w="755"/>
        <w:gridCol w:w="1116"/>
        <w:gridCol w:w="1053"/>
        <w:gridCol w:w="851"/>
        <w:gridCol w:w="850"/>
      </w:tblGrid>
      <w:tr w14:paraId="6D45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D3F8FE4">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单位工程名称</w:t>
            </w:r>
          </w:p>
        </w:tc>
        <w:tc>
          <w:tcPr>
            <w:tcW w:w="786" w:type="dxa"/>
            <w:tcBorders>
              <w:top w:val="single" w:color="auto" w:sz="4" w:space="0"/>
              <w:left w:val="single" w:color="auto" w:sz="4" w:space="0"/>
              <w:bottom w:val="single" w:color="auto" w:sz="4" w:space="0"/>
              <w:right w:val="single" w:color="auto" w:sz="4" w:space="0"/>
            </w:tcBorders>
            <w:vAlign w:val="center"/>
          </w:tcPr>
          <w:p w14:paraId="32C00951">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建设规模</w:t>
            </w:r>
          </w:p>
        </w:tc>
        <w:tc>
          <w:tcPr>
            <w:tcW w:w="1126" w:type="dxa"/>
            <w:tcBorders>
              <w:top w:val="single" w:color="auto" w:sz="4" w:space="0"/>
              <w:left w:val="single" w:color="auto" w:sz="4" w:space="0"/>
              <w:bottom w:val="single" w:color="auto" w:sz="4" w:space="0"/>
              <w:right w:val="single" w:color="auto" w:sz="4" w:space="0"/>
            </w:tcBorders>
            <w:vAlign w:val="center"/>
          </w:tcPr>
          <w:p w14:paraId="26012D51">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建筑面积</w:t>
            </w:r>
            <w:r>
              <w:rPr>
                <w:rFonts w:eastAsia="仿宋_GB2312"/>
                <w:color w:val="auto"/>
                <w:sz w:val="28"/>
                <w:szCs w:val="28"/>
                <w:highlight w:val="none"/>
                <w:lang w:val="en-US"/>
              </w:rPr>
              <w:t>(</w:t>
            </w:r>
            <w:r>
              <w:rPr>
                <w:rFonts w:hint="eastAsia" w:eastAsia="仿宋_GB2312" w:cs="仿宋_GB2312"/>
                <w:color w:val="auto"/>
                <w:sz w:val="28"/>
                <w:szCs w:val="28"/>
                <w:highlight w:val="none"/>
                <w:lang w:val="en-US"/>
              </w:rPr>
              <w:t>平方米</w:t>
            </w:r>
            <w:r>
              <w:rPr>
                <w:rFonts w:eastAsia="仿宋_GB2312"/>
                <w:color w:val="auto"/>
                <w:sz w:val="28"/>
                <w:szCs w:val="28"/>
                <w:highlight w:val="none"/>
                <w:lang w:val="en-US"/>
              </w:rPr>
              <w:t>)</w:t>
            </w:r>
          </w:p>
        </w:tc>
        <w:tc>
          <w:tcPr>
            <w:tcW w:w="878" w:type="dxa"/>
            <w:tcBorders>
              <w:top w:val="single" w:color="auto" w:sz="4" w:space="0"/>
              <w:left w:val="single" w:color="auto" w:sz="4" w:space="0"/>
              <w:bottom w:val="single" w:color="auto" w:sz="4" w:space="0"/>
              <w:right w:val="single" w:color="auto" w:sz="4" w:space="0"/>
            </w:tcBorders>
            <w:vAlign w:val="center"/>
          </w:tcPr>
          <w:p w14:paraId="6DB8086F">
            <w:pPr>
              <w:pStyle w:val="74"/>
              <w:keepNext/>
              <w:spacing w:after="0" w:line="440" w:lineRule="exact"/>
              <w:ind w:left="63" w:right="63"/>
              <w:rPr>
                <w:rFonts w:eastAsia="仿宋_GB2312" w:cs="仿宋_GB2312"/>
                <w:color w:val="auto"/>
                <w:sz w:val="28"/>
                <w:szCs w:val="28"/>
                <w:highlight w:val="none"/>
                <w:lang w:val="en-US"/>
              </w:rPr>
            </w:pPr>
            <w:r>
              <w:rPr>
                <w:rFonts w:hint="eastAsia" w:eastAsia="仿宋_GB2312" w:cs="仿宋_GB2312"/>
                <w:color w:val="auto"/>
                <w:sz w:val="28"/>
                <w:szCs w:val="28"/>
                <w:highlight w:val="none"/>
                <w:lang w:val="en-US"/>
              </w:rPr>
              <w:t>结构</w:t>
            </w:r>
          </w:p>
          <w:p w14:paraId="2DB237AF">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形式</w:t>
            </w:r>
          </w:p>
        </w:tc>
        <w:tc>
          <w:tcPr>
            <w:tcW w:w="580" w:type="dxa"/>
            <w:tcBorders>
              <w:top w:val="single" w:color="auto" w:sz="4" w:space="0"/>
              <w:left w:val="single" w:color="auto" w:sz="4" w:space="0"/>
              <w:bottom w:val="single" w:color="auto" w:sz="4" w:space="0"/>
              <w:right w:val="single" w:color="auto" w:sz="4" w:space="0"/>
            </w:tcBorders>
            <w:vAlign w:val="center"/>
          </w:tcPr>
          <w:p w14:paraId="0DDECC8B">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层数</w:t>
            </w:r>
          </w:p>
        </w:tc>
        <w:tc>
          <w:tcPr>
            <w:tcW w:w="755" w:type="dxa"/>
            <w:tcBorders>
              <w:top w:val="single" w:color="auto" w:sz="4" w:space="0"/>
              <w:left w:val="single" w:color="auto" w:sz="4" w:space="0"/>
              <w:bottom w:val="single" w:color="auto" w:sz="4" w:space="0"/>
              <w:right w:val="single" w:color="auto" w:sz="4" w:space="0"/>
            </w:tcBorders>
            <w:vAlign w:val="center"/>
          </w:tcPr>
          <w:p w14:paraId="4D4E4958">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生产能力</w:t>
            </w:r>
          </w:p>
        </w:tc>
        <w:tc>
          <w:tcPr>
            <w:tcW w:w="1116" w:type="dxa"/>
            <w:tcBorders>
              <w:top w:val="single" w:color="auto" w:sz="4" w:space="0"/>
              <w:left w:val="single" w:color="auto" w:sz="4" w:space="0"/>
              <w:bottom w:val="single" w:color="auto" w:sz="4" w:space="0"/>
              <w:right w:val="single" w:color="auto" w:sz="4" w:space="0"/>
            </w:tcBorders>
            <w:vAlign w:val="center"/>
          </w:tcPr>
          <w:p w14:paraId="00594C93">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设备安装内容</w:t>
            </w:r>
          </w:p>
        </w:tc>
        <w:tc>
          <w:tcPr>
            <w:tcW w:w="1053" w:type="dxa"/>
            <w:tcBorders>
              <w:top w:val="single" w:color="auto" w:sz="4" w:space="0"/>
              <w:left w:val="single" w:color="auto" w:sz="4" w:space="0"/>
              <w:bottom w:val="single" w:color="auto" w:sz="4" w:space="0"/>
              <w:right w:val="single" w:color="auto" w:sz="4" w:space="0"/>
            </w:tcBorders>
            <w:vAlign w:val="center"/>
          </w:tcPr>
          <w:p w14:paraId="4507AE37">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合同价格（元）</w:t>
            </w:r>
          </w:p>
        </w:tc>
        <w:tc>
          <w:tcPr>
            <w:tcW w:w="851" w:type="dxa"/>
            <w:tcBorders>
              <w:top w:val="single" w:color="auto" w:sz="4" w:space="0"/>
              <w:left w:val="single" w:color="auto" w:sz="4" w:space="0"/>
              <w:bottom w:val="single" w:color="auto" w:sz="4" w:space="0"/>
              <w:right w:val="single" w:color="auto" w:sz="4" w:space="0"/>
            </w:tcBorders>
            <w:vAlign w:val="center"/>
          </w:tcPr>
          <w:p w14:paraId="39112D28">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开工日期</w:t>
            </w:r>
          </w:p>
        </w:tc>
        <w:tc>
          <w:tcPr>
            <w:tcW w:w="850" w:type="dxa"/>
            <w:tcBorders>
              <w:top w:val="single" w:color="auto" w:sz="4" w:space="0"/>
              <w:left w:val="single" w:color="auto" w:sz="4" w:space="0"/>
              <w:bottom w:val="single" w:color="auto" w:sz="4" w:space="0"/>
              <w:right w:val="single" w:color="auto" w:sz="4" w:space="0"/>
            </w:tcBorders>
            <w:vAlign w:val="center"/>
          </w:tcPr>
          <w:p w14:paraId="67BAD5B1">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竣工日期</w:t>
            </w:r>
          </w:p>
        </w:tc>
      </w:tr>
      <w:tr w14:paraId="4666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06D004D">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31F5CD75">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216D6440">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22CFBFAD">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1DB8C1DC">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6BC8E99F">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17B845EA">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16B1C162">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10707F8F">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14D283E5">
            <w:pPr>
              <w:pStyle w:val="74"/>
              <w:keepNext/>
              <w:spacing w:after="0" w:line="440" w:lineRule="exact"/>
              <w:ind w:left="63" w:right="63"/>
              <w:rPr>
                <w:rFonts w:eastAsia="仿宋_GB2312"/>
                <w:color w:val="auto"/>
                <w:sz w:val="28"/>
                <w:szCs w:val="28"/>
                <w:highlight w:val="none"/>
                <w:lang w:val="en-US"/>
              </w:rPr>
            </w:pPr>
          </w:p>
        </w:tc>
      </w:tr>
      <w:tr w14:paraId="5A11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807AEDC">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6AEE1ECE">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522985BD">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0415FC37">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2D0DF4DC">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66093CBD">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2968179B">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3F16E098">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067C1022">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151CFE14">
            <w:pPr>
              <w:pStyle w:val="74"/>
              <w:keepNext/>
              <w:spacing w:after="0" w:line="440" w:lineRule="exact"/>
              <w:ind w:left="63" w:right="63"/>
              <w:rPr>
                <w:rFonts w:eastAsia="仿宋_GB2312"/>
                <w:color w:val="auto"/>
                <w:sz w:val="28"/>
                <w:szCs w:val="28"/>
                <w:highlight w:val="none"/>
                <w:lang w:val="en-US"/>
              </w:rPr>
            </w:pPr>
          </w:p>
        </w:tc>
      </w:tr>
      <w:tr w14:paraId="64C8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3A501CE">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4488B7AE">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79ACF9A5">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2D1BB3DC">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50C71C3D">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632F0156">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637E9C56">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28B0A02B">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4FBCDA76">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4DDE2724">
            <w:pPr>
              <w:pStyle w:val="74"/>
              <w:keepNext/>
              <w:spacing w:after="0" w:line="440" w:lineRule="exact"/>
              <w:ind w:left="63" w:right="63"/>
              <w:rPr>
                <w:rFonts w:eastAsia="仿宋_GB2312"/>
                <w:color w:val="auto"/>
                <w:sz w:val="28"/>
                <w:szCs w:val="28"/>
                <w:highlight w:val="none"/>
                <w:lang w:val="en-US"/>
              </w:rPr>
            </w:pPr>
          </w:p>
        </w:tc>
      </w:tr>
      <w:tr w14:paraId="2E24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54001CF">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21905FC1">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76112001">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44DDD96E">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2FDB1EAC">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152D0A7D">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56E04B85">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1A4F54B5">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56D367AC">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2AAA4B49">
            <w:pPr>
              <w:pStyle w:val="74"/>
              <w:keepNext/>
              <w:spacing w:after="0" w:line="440" w:lineRule="exact"/>
              <w:ind w:left="63" w:right="63"/>
              <w:rPr>
                <w:rFonts w:eastAsia="仿宋_GB2312"/>
                <w:color w:val="auto"/>
                <w:sz w:val="28"/>
                <w:szCs w:val="28"/>
                <w:highlight w:val="none"/>
                <w:lang w:val="en-US"/>
              </w:rPr>
            </w:pPr>
          </w:p>
        </w:tc>
      </w:tr>
      <w:tr w14:paraId="411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484419D">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04E21140">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089DCA42">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7C091D39">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1E1760DE">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28B0FE23">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05FC46BF">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1AF983F3">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7E1EFF3F">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5B1C83F6">
            <w:pPr>
              <w:pStyle w:val="74"/>
              <w:keepNext/>
              <w:spacing w:after="0" w:line="440" w:lineRule="exact"/>
              <w:ind w:left="63" w:right="63"/>
              <w:rPr>
                <w:rFonts w:eastAsia="仿宋_GB2312"/>
                <w:color w:val="auto"/>
                <w:sz w:val="28"/>
                <w:szCs w:val="28"/>
                <w:highlight w:val="none"/>
                <w:lang w:val="en-US"/>
              </w:rPr>
            </w:pPr>
          </w:p>
        </w:tc>
      </w:tr>
      <w:tr w14:paraId="36CB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8733357">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75A62974">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712F791D">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0C3A84A5">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721FF254">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43F06647">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0876E52C">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41703531">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737CFAD7">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12D576D5">
            <w:pPr>
              <w:pStyle w:val="74"/>
              <w:keepNext/>
              <w:spacing w:after="0" w:line="440" w:lineRule="exact"/>
              <w:ind w:left="63" w:right="63"/>
              <w:rPr>
                <w:rFonts w:eastAsia="仿宋_GB2312"/>
                <w:color w:val="auto"/>
                <w:sz w:val="28"/>
                <w:szCs w:val="28"/>
                <w:highlight w:val="none"/>
                <w:lang w:val="en-US"/>
              </w:rPr>
            </w:pPr>
          </w:p>
        </w:tc>
      </w:tr>
      <w:tr w14:paraId="247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21EFF51">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3512A494">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7325C98A">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688347B6">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142DC9F7">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4EB9E488">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74F021A4">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1DE2BB91">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500278B7">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7301C506">
            <w:pPr>
              <w:pStyle w:val="74"/>
              <w:keepNext/>
              <w:spacing w:after="0" w:line="440" w:lineRule="exact"/>
              <w:ind w:left="63" w:right="63"/>
              <w:rPr>
                <w:rFonts w:eastAsia="仿宋_GB2312"/>
                <w:color w:val="auto"/>
                <w:sz w:val="28"/>
                <w:szCs w:val="28"/>
                <w:highlight w:val="none"/>
                <w:lang w:val="en-US"/>
              </w:rPr>
            </w:pPr>
          </w:p>
        </w:tc>
      </w:tr>
      <w:tr w14:paraId="118C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8D6091F">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4DA1A3B8">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63D994F0">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6D1D7062">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6D63C0F3">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49F1C509">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5442932A">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6242DEB3">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52E662E2">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7EC16E8E">
            <w:pPr>
              <w:pStyle w:val="74"/>
              <w:keepNext/>
              <w:spacing w:after="0" w:line="440" w:lineRule="exact"/>
              <w:ind w:left="63" w:right="63"/>
              <w:rPr>
                <w:rFonts w:eastAsia="仿宋_GB2312"/>
                <w:color w:val="auto"/>
                <w:sz w:val="28"/>
                <w:szCs w:val="28"/>
                <w:highlight w:val="none"/>
                <w:lang w:val="en-US"/>
              </w:rPr>
            </w:pPr>
          </w:p>
        </w:tc>
      </w:tr>
      <w:tr w14:paraId="16CB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31599E5A">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3408C632">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1A666530">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2636233B">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26E66A8E">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1A2A42C6">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48EA4B10">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55787F8A">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3F1274A6">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50BEE5A0">
            <w:pPr>
              <w:pStyle w:val="74"/>
              <w:keepNext/>
              <w:spacing w:after="0" w:line="440" w:lineRule="exact"/>
              <w:ind w:left="63" w:right="63"/>
              <w:rPr>
                <w:rFonts w:eastAsia="仿宋_GB2312"/>
                <w:color w:val="auto"/>
                <w:sz w:val="28"/>
                <w:szCs w:val="28"/>
                <w:highlight w:val="none"/>
                <w:lang w:val="en-US"/>
              </w:rPr>
            </w:pPr>
          </w:p>
        </w:tc>
      </w:tr>
      <w:tr w14:paraId="1013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DD3574F">
            <w:pPr>
              <w:pStyle w:val="74"/>
              <w:keepNext/>
              <w:spacing w:after="0" w:line="440" w:lineRule="exact"/>
              <w:ind w:left="63" w:right="63"/>
              <w:rPr>
                <w:rFonts w:eastAsia="仿宋_GB2312"/>
                <w:color w:val="auto"/>
                <w:sz w:val="28"/>
                <w:szCs w:val="28"/>
                <w:highlight w:val="none"/>
                <w:lang w:val="en-US"/>
              </w:rPr>
            </w:pPr>
          </w:p>
        </w:tc>
        <w:tc>
          <w:tcPr>
            <w:tcW w:w="786" w:type="dxa"/>
            <w:tcBorders>
              <w:top w:val="single" w:color="auto" w:sz="4" w:space="0"/>
              <w:left w:val="single" w:color="auto" w:sz="4" w:space="0"/>
              <w:bottom w:val="single" w:color="auto" w:sz="4" w:space="0"/>
              <w:right w:val="single" w:color="auto" w:sz="4" w:space="0"/>
            </w:tcBorders>
            <w:vAlign w:val="center"/>
          </w:tcPr>
          <w:p w14:paraId="0045944E">
            <w:pPr>
              <w:pStyle w:val="74"/>
              <w:keepNext/>
              <w:spacing w:after="0" w:line="440" w:lineRule="exact"/>
              <w:ind w:left="63" w:right="63"/>
              <w:rPr>
                <w:rFonts w:eastAsia="仿宋_GB2312"/>
                <w:color w:val="auto"/>
                <w:sz w:val="28"/>
                <w:szCs w:val="28"/>
                <w:highlight w:val="none"/>
                <w:lang w:val="en-US"/>
              </w:rPr>
            </w:pPr>
          </w:p>
        </w:tc>
        <w:tc>
          <w:tcPr>
            <w:tcW w:w="1126" w:type="dxa"/>
            <w:tcBorders>
              <w:top w:val="single" w:color="auto" w:sz="4" w:space="0"/>
              <w:left w:val="single" w:color="auto" w:sz="4" w:space="0"/>
              <w:bottom w:val="single" w:color="auto" w:sz="4" w:space="0"/>
              <w:right w:val="single" w:color="auto" w:sz="4" w:space="0"/>
            </w:tcBorders>
            <w:vAlign w:val="center"/>
          </w:tcPr>
          <w:p w14:paraId="6D18F7B8">
            <w:pPr>
              <w:pStyle w:val="74"/>
              <w:keepNext/>
              <w:spacing w:after="0" w:line="440" w:lineRule="exact"/>
              <w:ind w:left="63" w:right="63"/>
              <w:rPr>
                <w:rFonts w:eastAsia="仿宋_GB2312"/>
                <w:color w:val="auto"/>
                <w:sz w:val="28"/>
                <w:szCs w:val="28"/>
                <w:highlight w:val="none"/>
                <w:lang w:val="en-US"/>
              </w:rPr>
            </w:pPr>
          </w:p>
        </w:tc>
        <w:tc>
          <w:tcPr>
            <w:tcW w:w="878" w:type="dxa"/>
            <w:tcBorders>
              <w:top w:val="single" w:color="auto" w:sz="4" w:space="0"/>
              <w:left w:val="single" w:color="auto" w:sz="4" w:space="0"/>
              <w:bottom w:val="single" w:color="auto" w:sz="4" w:space="0"/>
              <w:right w:val="single" w:color="auto" w:sz="4" w:space="0"/>
            </w:tcBorders>
            <w:vAlign w:val="center"/>
          </w:tcPr>
          <w:p w14:paraId="08A77AEE">
            <w:pPr>
              <w:pStyle w:val="74"/>
              <w:keepNext/>
              <w:spacing w:after="0" w:line="440" w:lineRule="exact"/>
              <w:ind w:left="63" w:right="63"/>
              <w:rPr>
                <w:rFonts w:eastAsia="仿宋_GB2312"/>
                <w:color w:val="auto"/>
                <w:sz w:val="28"/>
                <w:szCs w:val="28"/>
                <w:highlight w:val="none"/>
                <w:lang w:val="en-US"/>
              </w:rPr>
            </w:pPr>
          </w:p>
        </w:tc>
        <w:tc>
          <w:tcPr>
            <w:tcW w:w="580" w:type="dxa"/>
            <w:tcBorders>
              <w:top w:val="single" w:color="auto" w:sz="4" w:space="0"/>
              <w:left w:val="single" w:color="auto" w:sz="4" w:space="0"/>
              <w:bottom w:val="single" w:color="auto" w:sz="4" w:space="0"/>
              <w:right w:val="single" w:color="auto" w:sz="4" w:space="0"/>
            </w:tcBorders>
            <w:vAlign w:val="center"/>
          </w:tcPr>
          <w:p w14:paraId="7EF8A459">
            <w:pPr>
              <w:pStyle w:val="74"/>
              <w:keepNext/>
              <w:spacing w:after="0" w:line="440" w:lineRule="exact"/>
              <w:ind w:left="63" w:right="63"/>
              <w:rPr>
                <w:rFonts w:eastAsia="仿宋_GB2312"/>
                <w:color w:val="auto"/>
                <w:sz w:val="28"/>
                <w:szCs w:val="28"/>
                <w:highlight w:val="none"/>
                <w:lang w:val="en-US"/>
              </w:rPr>
            </w:pPr>
          </w:p>
        </w:tc>
        <w:tc>
          <w:tcPr>
            <w:tcW w:w="755" w:type="dxa"/>
            <w:tcBorders>
              <w:top w:val="single" w:color="auto" w:sz="4" w:space="0"/>
              <w:left w:val="single" w:color="auto" w:sz="4" w:space="0"/>
              <w:bottom w:val="single" w:color="auto" w:sz="4" w:space="0"/>
              <w:right w:val="single" w:color="auto" w:sz="4" w:space="0"/>
            </w:tcBorders>
            <w:vAlign w:val="center"/>
          </w:tcPr>
          <w:p w14:paraId="26DD826A">
            <w:pPr>
              <w:pStyle w:val="74"/>
              <w:keepNext/>
              <w:spacing w:after="0" w:line="440" w:lineRule="exact"/>
              <w:ind w:left="63" w:right="63"/>
              <w:rPr>
                <w:rFonts w:eastAsia="仿宋_GB2312"/>
                <w:color w:val="auto"/>
                <w:sz w:val="28"/>
                <w:szCs w:val="28"/>
                <w:highlight w:val="none"/>
                <w:lang w:val="en-US"/>
              </w:rPr>
            </w:pPr>
          </w:p>
        </w:tc>
        <w:tc>
          <w:tcPr>
            <w:tcW w:w="1116" w:type="dxa"/>
            <w:tcBorders>
              <w:top w:val="single" w:color="auto" w:sz="4" w:space="0"/>
              <w:left w:val="single" w:color="auto" w:sz="4" w:space="0"/>
              <w:bottom w:val="single" w:color="auto" w:sz="4" w:space="0"/>
              <w:right w:val="single" w:color="auto" w:sz="4" w:space="0"/>
            </w:tcBorders>
            <w:vAlign w:val="center"/>
          </w:tcPr>
          <w:p w14:paraId="1ED9AB54">
            <w:pPr>
              <w:pStyle w:val="74"/>
              <w:keepNext/>
              <w:spacing w:after="0" w:line="440" w:lineRule="exact"/>
              <w:ind w:left="63" w:right="63"/>
              <w:rPr>
                <w:rFonts w:eastAsia="仿宋_GB2312"/>
                <w:color w:val="auto"/>
                <w:sz w:val="28"/>
                <w:szCs w:val="28"/>
                <w:highlight w:val="none"/>
                <w:lang w:val="en-US"/>
              </w:rPr>
            </w:pPr>
          </w:p>
        </w:tc>
        <w:tc>
          <w:tcPr>
            <w:tcW w:w="1053" w:type="dxa"/>
            <w:tcBorders>
              <w:top w:val="single" w:color="auto" w:sz="4" w:space="0"/>
              <w:left w:val="single" w:color="auto" w:sz="4" w:space="0"/>
              <w:bottom w:val="single" w:color="auto" w:sz="4" w:space="0"/>
              <w:right w:val="single" w:color="auto" w:sz="4" w:space="0"/>
            </w:tcBorders>
            <w:vAlign w:val="center"/>
          </w:tcPr>
          <w:p w14:paraId="68FE4932">
            <w:pPr>
              <w:pStyle w:val="74"/>
              <w:keepNext/>
              <w:spacing w:after="0" w:line="440" w:lineRule="exact"/>
              <w:ind w:left="63" w:right="63"/>
              <w:rPr>
                <w:rFonts w:eastAsia="仿宋_GB2312"/>
                <w:color w:val="auto"/>
                <w:sz w:val="28"/>
                <w:szCs w:val="28"/>
                <w:highlight w:val="none"/>
                <w:lang w:val="en-US"/>
              </w:rPr>
            </w:pPr>
          </w:p>
        </w:tc>
        <w:tc>
          <w:tcPr>
            <w:tcW w:w="851" w:type="dxa"/>
            <w:tcBorders>
              <w:top w:val="single" w:color="auto" w:sz="4" w:space="0"/>
              <w:left w:val="single" w:color="auto" w:sz="4" w:space="0"/>
              <w:bottom w:val="single" w:color="auto" w:sz="4" w:space="0"/>
              <w:right w:val="single" w:color="auto" w:sz="4" w:space="0"/>
            </w:tcBorders>
            <w:vAlign w:val="center"/>
          </w:tcPr>
          <w:p w14:paraId="59CD6020">
            <w:pPr>
              <w:pStyle w:val="74"/>
              <w:keepNext/>
              <w:spacing w:after="0" w:line="440" w:lineRule="exact"/>
              <w:ind w:left="63" w:right="63"/>
              <w:rPr>
                <w:rFonts w:eastAsia="仿宋_GB2312"/>
                <w:color w:val="auto"/>
                <w:sz w:val="28"/>
                <w:szCs w:val="28"/>
                <w:highlight w:val="none"/>
                <w:lang w:val="en-US"/>
              </w:rPr>
            </w:pPr>
          </w:p>
        </w:tc>
        <w:tc>
          <w:tcPr>
            <w:tcW w:w="850" w:type="dxa"/>
            <w:tcBorders>
              <w:top w:val="single" w:color="auto" w:sz="4" w:space="0"/>
              <w:left w:val="single" w:color="auto" w:sz="4" w:space="0"/>
              <w:bottom w:val="single" w:color="auto" w:sz="4" w:space="0"/>
              <w:right w:val="single" w:color="auto" w:sz="4" w:space="0"/>
            </w:tcBorders>
            <w:vAlign w:val="center"/>
          </w:tcPr>
          <w:p w14:paraId="392A3B2A">
            <w:pPr>
              <w:pStyle w:val="74"/>
              <w:keepNext/>
              <w:spacing w:after="0" w:line="440" w:lineRule="exact"/>
              <w:ind w:left="63" w:right="63"/>
              <w:rPr>
                <w:rFonts w:eastAsia="仿宋_GB2312"/>
                <w:color w:val="auto"/>
                <w:sz w:val="28"/>
                <w:szCs w:val="28"/>
                <w:highlight w:val="none"/>
                <w:lang w:val="en-US"/>
              </w:rPr>
            </w:pPr>
          </w:p>
        </w:tc>
      </w:tr>
    </w:tbl>
    <w:p w14:paraId="7F888043">
      <w:pPr>
        <w:pStyle w:val="84"/>
        <w:spacing w:line="460" w:lineRule="exact"/>
        <w:ind w:firstLine="420" w:firstLineChars="200"/>
        <w:rPr>
          <w:color w:val="auto"/>
          <w:highlight w:val="none"/>
        </w:rPr>
      </w:pPr>
    </w:p>
    <w:p w14:paraId="2857165A">
      <w:pPr>
        <w:pStyle w:val="84"/>
        <w:spacing w:line="460" w:lineRule="exact"/>
        <w:ind w:firstLine="420" w:firstLineChars="200"/>
        <w:rPr>
          <w:color w:val="auto"/>
          <w:highlight w:val="none"/>
        </w:rPr>
      </w:pPr>
    </w:p>
    <w:p w14:paraId="0BFE2B93">
      <w:pPr>
        <w:pStyle w:val="84"/>
        <w:spacing w:line="460" w:lineRule="exact"/>
        <w:ind w:firstLine="420" w:firstLineChars="200"/>
        <w:rPr>
          <w:color w:val="auto"/>
          <w:highlight w:val="none"/>
        </w:rPr>
      </w:pPr>
    </w:p>
    <w:p w14:paraId="2B983750">
      <w:pPr>
        <w:pStyle w:val="84"/>
        <w:spacing w:line="460" w:lineRule="exact"/>
        <w:ind w:firstLine="420" w:firstLineChars="200"/>
        <w:rPr>
          <w:color w:val="auto"/>
          <w:highlight w:val="none"/>
        </w:rPr>
      </w:pPr>
    </w:p>
    <w:p w14:paraId="319193A5">
      <w:pPr>
        <w:pStyle w:val="84"/>
        <w:spacing w:line="460" w:lineRule="exact"/>
        <w:ind w:firstLine="420" w:firstLineChars="200"/>
        <w:rPr>
          <w:color w:val="auto"/>
          <w:highlight w:val="none"/>
        </w:rPr>
      </w:pPr>
    </w:p>
    <w:p w14:paraId="25C3B226">
      <w:pPr>
        <w:pStyle w:val="84"/>
        <w:spacing w:line="460" w:lineRule="exact"/>
        <w:ind w:firstLine="420" w:firstLineChars="200"/>
        <w:rPr>
          <w:color w:val="auto"/>
          <w:highlight w:val="none"/>
        </w:rPr>
      </w:pPr>
    </w:p>
    <w:p w14:paraId="32C3DE22">
      <w:pPr>
        <w:pStyle w:val="84"/>
        <w:spacing w:line="460" w:lineRule="exact"/>
        <w:ind w:firstLine="420" w:firstLineChars="200"/>
        <w:rPr>
          <w:color w:val="auto"/>
          <w:highlight w:val="none"/>
        </w:rPr>
      </w:pPr>
      <w:r>
        <w:rPr>
          <w:color w:val="auto"/>
          <w:highlight w:val="none"/>
        </w:rPr>
        <w:br w:type="page"/>
      </w:r>
    </w:p>
    <w:p w14:paraId="6D590BC3">
      <w:pPr>
        <w:pStyle w:val="84"/>
        <w:spacing w:line="440" w:lineRule="exact"/>
        <w:ind w:firstLine="560"/>
        <w:rPr>
          <w:color w:val="auto"/>
          <w:sz w:val="28"/>
          <w:szCs w:val="28"/>
          <w:highlight w:val="none"/>
        </w:rPr>
      </w:pPr>
      <w:r>
        <w:rPr>
          <w:rFonts w:hint="eastAsia" w:hAnsi="宋体" w:cs="宋体"/>
          <w:color w:val="auto"/>
          <w:sz w:val="28"/>
          <w:szCs w:val="28"/>
          <w:highlight w:val="none"/>
        </w:rPr>
        <w:t>附件</w:t>
      </w:r>
      <w:r>
        <w:rPr>
          <w:color w:val="auto"/>
          <w:sz w:val="28"/>
          <w:szCs w:val="28"/>
          <w:highlight w:val="none"/>
        </w:rPr>
        <w:t>2</w:t>
      </w:r>
      <w:r>
        <w:rPr>
          <w:rFonts w:hint="eastAsia" w:hAnsi="宋体" w:cs="宋体"/>
          <w:color w:val="auto"/>
          <w:sz w:val="28"/>
          <w:szCs w:val="28"/>
          <w:highlight w:val="none"/>
        </w:rPr>
        <w:t>：</w:t>
      </w:r>
    </w:p>
    <w:p w14:paraId="6F10DBD7">
      <w:pPr>
        <w:pStyle w:val="84"/>
        <w:spacing w:before="120" w:beforeLines="50" w:after="120" w:afterLines="50" w:line="440" w:lineRule="exact"/>
        <w:ind w:firstLine="640"/>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43E7E9AE">
      <w:pPr>
        <w:pStyle w:val="84"/>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75C04405">
      <w:pPr>
        <w:pStyle w:val="84"/>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13DE7F0D">
      <w:pPr>
        <w:pStyle w:val="84"/>
        <w:spacing w:line="440" w:lineRule="exact"/>
        <w:rPr>
          <w:color w:val="auto"/>
          <w:highlight w:val="none"/>
        </w:rPr>
      </w:pPr>
    </w:p>
    <w:p w14:paraId="3BBF7F80">
      <w:pPr>
        <w:pStyle w:val="84"/>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33FF274D">
      <w:pPr>
        <w:pStyle w:val="84"/>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8879325">
      <w:pPr>
        <w:pStyle w:val="84"/>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0B94E1F4">
      <w:pPr>
        <w:pStyle w:val="84"/>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highlight w:val="none"/>
          <w:u w:val="single"/>
        </w:rPr>
        <w:t>属承包人承包范围内的质量缺陷</w:t>
      </w:r>
      <w:r>
        <w:rPr>
          <w:rFonts w:hint="eastAsia" w:hAnsi="宋体" w:cs="宋体"/>
          <w:color w:val="auto"/>
          <w:highlight w:val="none"/>
        </w:rPr>
        <w:t>。</w:t>
      </w:r>
    </w:p>
    <w:p w14:paraId="00D2C802">
      <w:pPr>
        <w:pStyle w:val="84"/>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12FF4D3C">
      <w:pPr>
        <w:pStyle w:val="84"/>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6535275">
      <w:pPr>
        <w:pStyle w:val="84"/>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0AB5E37E">
      <w:pPr>
        <w:pStyle w:val="84"/>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5   </w:t>
      </w:r>
      <w:r>
        <w:rPr>
          <w:rFonts w:hint="eastAsia" w:hAnsi="宋体" w:cs="宋体"/>
          <w:color w:val="auto"/>
          <w:highlight w:val="none"/>
        </w:rPr>
        <w:t>年；</w:t>
      </w:r>
    </w:p>
    <w:p w14:paraId="015A33EF">
      <w:pPr>
        <w:pStyle w:val="84"/>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2   </w:t>
      </w:r>
      <w:r>
        <w:rPr>
          <w:rFonts w:hint="eastAsia" w:hAnsi="宋体" w:cs="宋体"/>
          <w:color w:val="auto"/>
          <w:highlight w:val="none"/>
        </w:rPr>
        <w:t>年；</w:t>
      </w:r>
    </w:p>
    <w:p w14:paraId="1F6E5DDD">
      <w:pPr>
        <w:pStyle w:val="84"/>
        <w:spacing w:line="360" w:lineRule="auto"/>
        <w:ind w:firstLine="420"/>
        <w:rPr>
          <w:rFonts w:hAnsi="宋体"/>
          <w:color w:val="auto"/>
          <w:highlight w:val="none"/>
        </w:rPr>
      </w:pPr>
      <w:r>
        <w:rPr>
          <w:color w:val="auto"/>
          <w:highlight w:val="none"/>
        </w:rPr>
        <w:t>4</w:t>
      </w:r>
      <w:r>
        <w:rPr>
          <w:rFonts w:hint="eastAsia" w:hAnsi="宋体" w:cs="宋体"/>
          <w:color w:val="auto"/>
          <w:highlight w:val="none"/>
        </w:rPr>
        <w:t>．灯光、电气管线、给排水管道、设备安装工程为</w:t>
      </w:r>
      <w:r>
        <w:rPr>
          <w:color w:val="auto"/>
          <w:highlight w:val="none"/>
          <w:u w:val="single"/>
        </w:rPr>
        <w:t xml:space="preserve">  2   </w:t>
      </w:r>
      <w:r>
        <w:rPr>
          <w:rFonts w:hint="eastAsia" w:hAnsi="宋体" w:cs="宋体"/>
          <w:color w:val="auto"/>
          <w:highlight w:val="none"/>
        </w:rPr>
        <w:t>年；</w:t>
      </w:r>
    </w:p>
    <w:p w14:paraId="291BA588">
      <w:pPr>
        <w:pStyle w:val="84"/>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2  </w:t>
      </w:r>
      <w:r>
        <w:rPr>
          <w:rFonts w:hint="eastAsia" w:hAnsi="宋体" w:cs="宋体"/>
          <w:color w:val="auto"/>
          <w:highlight w:val="none"/>
        </w:rPr>
        <w:t>个采暖期、供冷期；</w:t>
      </w:r>
    </w:p>
    <w:p w14:paraId="256A291E">
      <w:pPr>
        <w:pStyle w:val="84"/>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2   </w:t>
      </w:r>
      <w:r>
        <w:rPr>
          <w:rFonts w:hint="eastAsia" w:hAnsi="宋体" w:cs="宋体"/>
          <w:color w:val="auto"/>
          <w:highlight w:val="none"/>
        </w:rPr>
        <w:t>年；</w:t>
      </w:r>
    </w:p>
    <w:p w14:paraId="093D23CA">
      <w:pPr>
        <w:pStyle w:val="84"/>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p>
    <w:p w14:paraId="1BD459FE">
      <w:pPr>
        <w:pStyle w:val="84"/>
        <w:spacing w:line="360" w:lineRule="auto"/>
        <w:ind w:firstLine="420"/>
        <w:rPr>
          <w:rFonts w:hAnsi="宋体"/>
          <w:color w:val="auto"/>
          <w:highlight w:val="none"/>
        </w:rPr>
      </w:pPr>
      <w:r>
        <w:rPr>
          <w:rFonts w:hint="eastAsia"/>
          <w:color w:val="auto"/>
          <w:highlight w:val="none"/>
          <w:u w:val="single"/>
        </w:rPr>
        <w:t>本工程的质量保修期为2年</w:t>
      </w:r>
      <w:r>
        <w:rPr>
          <w:color w:val="auto"/>
          <w:highlight w:val="none"/>
          <w:u w:val="single"/>
        </w:rPr>
        <w:t xml:space="preserve"> </w:t>
      </w:r>
      <w:r>
        <w:rPr>
          <w:rFonts w:hint="eastAsia" w:hAnsi="宋体" w:cs="宋体"/>
          <w:color w:val="auto"/>
          <w:highlight w:val="none"/>
        </w:rPr>
        <w:t>。</w:t>
      </w:r>
    </w:p>
    <w:p w14:paraId="1852753F">
      <w:pPr>
        <w:pStyle w:val="84"/>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10789E4E">
      <w:pPr>
        <w:pStyle w:val="84"/>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7A17CC1D">
      <w:pPr>
        <w:pStyle w:val="84"/>
        <w:spacing w:line="360" w:lineRule="auto"/>
        <w:ind w:firstLine="420"/>
        <w:rPr>
          <w:rFonts w:hAnsi="宋体"/>
          <w:color w:val="auto"/>
          <w:highlight w:val="none"/>
        </w:rPr>
      </w:pPr>
      <w:bookmarkStart w:id="1113" w:name="OLE_LINK108"/>
      <w:bookmarkStart w:id="1114" w:name="OLE_LINK107"/>
      <w:r>
        <w:rPr>
          <w:rFonts w:hint="eastAsia" w:hAnsi="宋体" w:cs="宋体"/>
          <w:color w:val="auto"/>
          <w:highlight w:val="none"/>
        </w:rPr>
        <w:t>工程缺陷责任期为</w:t>
      </w:r>
      <w:r>
        <w:rPr>
          <w:color w:val="auto"/>
          <w:highlight w:val="none"/>
          <w:u w:val="single"/>
        </w:rPr>
        <w:t xml:space="preserve">  24  </w:t>
      </w:r>
      <w:r>
        <w:rPr>
          <w:rFonts w:hint="eastAsia" w:hAnsi="宋体" w:cs="宋体"/>
          <w:color w:val="auto"/>
          <w:highlight w:val="none"/>
        </w:rPr>
        <w:t>个月</w:t>
      </w:r>
      <w:bookmarkEnd w:id="1113"/>
      <w:bookmarkEnd w:id="1114"/>
      <w:r>
        <w:rPr>
          <w:rFonts w:hint="eastAsia" w:hAnsi="宋体" w:cs="宋体"/>
          <w:color w:val="auto"/>
          <w:highlight w:val="none"/>
        </w:rPr>
        <w:t>，缺陷责任期自工程竣工验收合格之日起计算。单位工程先于全部工程进行验收，单位工程缺陷责任期自单位工程验收合格之日起算。</w:t>
      </w:r>
    </w:p>
    <w:p w14:paraId="68EB0AF5">
      <w:pPr>
        <w:pStyle w:val="84"/>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1BF8B67C">
      <w:pPr>
        <w:pStyle w:val="84"/>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1  </w:t>
      </w:r>
      <w:r>
        <w:rPr>
          <w:rFonts w:hint="eastAsia" w:hAnsi="宋体" w:cs="宋体"/>
          <w:color w:val="auto"/>
          <w:highlight w:val="none"/>
        </w:rPr>
        <w:t>天内派人保修。承包人不在约定期限内派人保修的，发包人可以委托他人修理，修理费用从质量保证金内扣除</w:t>
      </w:r>
      <w:r>
        <w:rPr>
          <w:rStyle w:val="36"/>
          <w:rFonts w:hint="eastAsia"/>
          <w:color w:val="auto"/>
          <w:highlight w:val="none"/>
        </w:rPr>
        <w:t>（不需承包人签字认可），质量保修金不足的，由承包人另行支付给发包人</w:t>
      </w:r>
      <w:r>
        <w:rPr>
          <w:rFonts w:hint="eastAsia" w:hAnsi="宋体" w:cs="宋体"/>
          <w:color w:val="auto"/>
          <w:highlight w:val="none"/>
        </w:rPr>
        <w:t>。</w:t>
      </w:r>
    </w:p>
    <w:p w14:paraId="641CB2FA">
      <w:pPr>
        <w:pStyle w:val="84"/>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w:t>
      </w:r>
      <w:r>
        <w:rPr>
          <w:rFonts w:hint="eastAsia" w:ascii="宋体" w:hAnsi="宋体"/>
          <w:color w:val="auto"/>
          <w:szCs w:val="21"/>
          <w:highlight w:val="none"/>
        </w:rPr>
        <w:t>3小时内，</w:t>
      </w:r>
      <w:r>
        <w:rPr>
          <w:rFonts w:hint="eastAsia" w:hAnsi="宋体" w:cs="宋体"/>
          <w:color w:val="auto"/>
          <w:highlight w:val="none"/>
        </w:rPr>
        <w:t>应当立即到达事故现场抢修。</w:t>
      </w:r>
      <w:r>
        <w:rPr>
          <w:rFonts w:hint="eastAsia"/>
          <w:color w:val="auto"/>
          <w:highlight w:val="none"/>
        </w:rPr>
        <w:t>承包人不能按要求到达现场处理，或紧急情况发生时发包人为确保教学科研的正常进行和避免造成更大损失，应急处理产生的费用由承包人承担，</w:t>
      </w:r>
      <w:r>
        <w:rPr>
          <w:rFonts w:hint="eastAsia" w:ascii="宋体" w:hAnsi="宋体"/>
          <w:b/>
          <w:color w:val="auto"/>
          <w:szCs w:val="21"/>
          <w:highlight w:val="none"/>
        </w:rPr>
        <w:t>由发包人自行从质量保修金内扣除（不需承包人签字认可），质量保修金不足的，由承包人另行支付给发包人</w:t>
      </w:r>
      <w:r>
        <w:rPr>
          <w:rFonts w:hint="eastAsia" w:hAnsi="宋体" w:cs="宋体"/>
          <w:color w:val="auto"/>
          <w:highlight w:val="none"/>
        </w:rPr>
        <w:t>。</w:t>
      </w:r>
    </w:p>
    <w:p w14:paraId="26FD22EB">
      <w:pPr>
        <w:pStyle w:val="84"/>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08B16CF">
      <w:pPr>
        <w:pStyle w:val="84"/>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63123E25">
      <w:pPr>
        <w:pStyle w:val="84"/>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77C664E1">
      <w:pPr>
        <w:pStyle w:val="84"/>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6F9DFD8C">
      <w:pPr>
        <w:pStyle w:val="84"/>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 xml:space="preserve">六、双方约定的其他工程质量保修事项： </w:t>
      </w:r>
    </w:p>
    <w:p w14:paraId="599C872B">
      <w:pPr>
        <w:pStyle w:val="84"/>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u w:val="single"/>
        </w:rPr>
        <w:t>承包人按工程价款结算总额的3% 缴纳工程质量保修金。工程质量保修金在</w:t>
      </w:r>
      <w:r>
        <w:rPr>
          <w:rFonts w:hint="eastAsia"/>
          <w:b/>
          <w:bCs/>
          <w:color w:val="auto"/>
          <w:highlight w:val="none"/>
        </w:rPr>
        <w:t>质量保修期</w:t>
      </w:r>
      <w:r>
        <w:rPr>
          <w:rFonts w:hint="eastAsia" w:ascii="宋体" w:hAnsi="宋体" w:cs="宋体"/>
          <w:color w:val="auto"/>
          <w:highlight w:val="none"/>
          <w:u w:val="single"/>
        </w:rPr>
        <w:t>满后退还（含已扣除应该扣除的费用后，不含息）。</w:t>
      </w:r>
    </w:p>
    <w:p w14:paraId="72B53C18">
      <w:pPr>
        <w:pStyle w:val="84"/>
        <w:spacing w:line="360" w:lineRule="auto"/>
        <w:ind w:firstLine="420" w:firstLineChars="200"/>
        <w:jc w:val="left"/>
        <w:rPr>
          <w:color w:val="auto"/>
          <w:highlight w:val="none"/>
        </w:rPr>
      </w:pPr>
      <w:r>
        <w:rPr>
          <w:rFonts w:hint="eastAsia" w:ascii="宋体" w:hAnsi="宋体" w:cs="宋体"/>
          <w:color w:val="auto"/>
          <w:highlight w:val="none"/>
          <w:u w:val="single"/>
        </w:rPr>
        <w:t>本工程在保修期有质量问题的，且保修期仍未解决的，承包人应负责维修</w:t>
      </w:r>
      <w:r>
        <w:rPr>
          <w:color w:val="auto"/>
          <w:highlight w:val="none"/>
          <w:u w:val="single"/>
        </w:rPr>
        <w:t xml:space="preserve"> </w:t>
      </w:r>
      <w:r>
        <w:rPr>
          <w:rFonts w:hint="eastAsia" w:hAnsi="宋体" w:cs="宋体"/>
          <w:color w:val="auto"/>
          <w:highlight w:val="none"/>
        </w:rPr>
        <w:t>。</w:t>
      </w:r>
    </w:p>
    <w:p w14:paraId="6D2D17EB">
      <w:pPr>
        <w:pStyle w:val="84"/>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512A8B92">
      <w:pPr>
        <w:pStyle w:val="84"/>
        <w:spacing w:line="360" w:lineRule="auto"/>
        <w:ind w:firstLine="420"/>
        <w:rPr>
          <w:color w:val="auto"/>
          <w:highlight w:val="none"/>
        </w:rPr>
      </w:pPr>
    </w:p>
    <w:p w14:paraId="4A0AFA4A">
      <w:pPr>
        <w:pStyle w:val="84"/>
        <w:spacing w:line="360" w:lineRule="auto"/>
        <w:rPr>
          <w:color w:val="auto"/>
          <w:highlight w:val="none"/>
        </w:rPr>
      </w:pPr>
      <w:r>
        <w:rPr>
          <w:rFonts w:hint="eastAsia" w:hAnsi="宋体"/>
          <w:color w:val="auto"/>
          <w:highlight w:val="none"/>
        </w:rPr>
        <w:t>发包人</w:t>
      </w:r>
      <w:r>
        <w:rPr>
          <w:rFonts w:hint="eastAsia"/>
          <w:color w:val="auto"/>
          <w:highlight w:val="none"/>
        </w:rPr>
        <w:t>（</w:t>
      </w:r>
      <w:r>
        <w:rPr>
          <w:rFonts w:hint="eastAsia" w:hAnsi="宋体"/>
          <w:color w:val="auto"/>
          <w:highlight w:val="none"/>
        </w:rPr>
        <w:t>公章</w:t>
      </w:r>
      <w:r>
        <w:rPr>
          <w:rFonts w:hint="eastAsia"/>
          <w:color w:val="auto"/>
          <w:highlight w:val="none"/>
        </w:rPr>
        <w:t>）</w:t>
      </w:r>
      <w:r>
        <w:rPr>
          <w:rFonts w:hint="eastAsia" w:hAnsi="宋体"/>
          <w:color w:val="auto"/>
          <w:highlight w:val="none"/>
        </w:rPr>
        <w:t>：</w:t>
      </w:r>
      <w:r>
        <w:rPr>
          <w:color w:val="auto"/>
          <w:highlight w:val="none"/>
          <w:u w:val="single"/>
        </w:rPr>
        <w:t xml:space="preserve"> </w:t>
      </w:r>
      <w:r>
        <w:rPr>
          <w:rFonts w:hint="eastAsia" w:ascii="宋体" w:hAnsi="宋体"/>
          <w:color w:val="auto"/>
          <w:highlight w:val="none"/>
          <w:u w:val="single"/>
        </w:rPr>
        <w:t></w:t>
      </w:r>
      <w:r>
        <w:rPr>
          <w:color w:val="auto"/>
          <w:highlight w:val="none"/>
          <w:u w:val="single"/>
        </w:rPr>
        <w:t xml:space="preserve"> </w:t>
      </w:r>
      <w:r>
        <w:rPr>
          <w:rFonts w:hint="eastAsia"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hAnsi="宋体"/>
          <w:color w:val="auto"/>
          <w:highlight w:val="none"/>
        </w:rPr>
        <w:t>承包人</w:t>
      </w:r>
      <w:r>
        <w:rPr>
          <w:rFonts w:hint="eastAsia"/>
          <w:color w:val="auto"/>
          <w:highlight w:val="none"/>
        </w:rPr>
        <w:t>（</w:t>
      </w:r>
      <w:r>
        <w:rPr>
          <w:rFonts w:hint="eastAsia" w:hAnsi="宋体"/>
          <w:color w:val="auto"/>
          <w:highlight w:val="none"/>
        </w:rPr>
        <w:t>公章</w:t>
      </w:r>
      <w:r>
        <w:rPr>
          <w:rFonts w:hint="eastAsia"/>
          <w:color w:val="auto"/>
          <w:highlight w:val="none"/>
        </w:rPr>
        <w:t>）</w:t>
      </w:r>
      <w:r>
        <w:rPr>
          <w:rFonts w:hint="eastAsia" w:hAnsi="宋体"/>
          <w:color w:val="auto"/>
          <w:highlight w:val="none"/>
        </w:rPr>
        <w:t>：</w:t>
      </w:r>
      <w:r>
        <w:rPr>
          <w:rFonts w:hint="eastAsia" w:ascii="宋体" w:hAnsi="宋体"/>
          <w:color w:val="auto"/>
          <w:highlight w:val="none"/>
          <w:u w:val="single"/>
        </w:rPr>
        <w:t></w:t>
      </w:r>
      <w:r>
        <w:rPr>
          <w:color w:val="auto"/>
          <w:highlight w:val="none"/>
          <w:u w:val="single"/>
        </w:rPr>
        <w:t xml:space="preserve">          </w:t>
      </w:r>
      <w:r>
        <w:rPr>
          <w:rFonts w:hint="eastAsia" w:ascii="宋体" w:hAnsi="宋体"/>
          <w:color w:val="auto"/>
          <w:highlight w:val="none"/>
          <w:u w:val="single"/>
        </w:rPr>
        <w:t></w:t>
      </w:r>
    </w:p>
    <w:p w14:paraId="12B7E75A">
      <w:pPr>
        <w:pStyle w:val="84"/>
        <w:spacing w:line="360" w:lineRule="auto"/>
        <w:rPr>
          <w:color w:val="auto"/>
          <w:highlight w:val="none"/>
        </w:rPr>
      </w:pPr>
      <w:r>
        <w:rPr>
          <w:rFonts w:hint="eastAsia" w:hAnsi="宋体"/>
          <w:color w:val="auto"/>
          <w:highlight w:val="none"/>
        </w:rPr>
        <w:t>地</w:t>
      </w:r>
      <w:r>
        <w:rPr>
          <w:color w:val="auto"/>
          <w:highlight w:val="none"/>
        </w:rPr>
        <w:t xml:space="preserve">  </w:t>
      </w:r>
      <w:r>
        <w:rPr>
          <w:rFonts w:hint="eastAsia" w:hAnsi="宋体"/>
          <w:color w:val="auto"/>
          <w:highlight w:val="none"/>
        </w:rPr>
        <w:t>址：</w:t>
      </w:r>
      <w:r>
        <w:rPr>
          <w:color w:val="auto"/>
          <w:highlight w:val="none"/>
          <w:u w:val="single"/>
        </w:rPr>
        <w:t xml:space="preserve"> </w:t>
      </w:r>
      <w:r>
        <w:rPr>
          <w:rFonts w:hint="eastAsia"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hAnsi="宋体"/>
          <w:color w:val="auto"/>
          <w:highlight w:val="none"/>
        </w:rPr>
        <w:t>地</w:t>
      </w:r>
      <w:r>
        <w:rPr>
          <w:color w:val="auto"/>
          <w:highlight w:val="none"/>
        </w:rPr>
        <w:t xml:space="preserve">  </w:t>
      </w:r>
      <w:r>
        <w:rPr>
          <w:rFonts w:hint="eastAsia" w:hAnsi="宋体"/>
          <w:color w:val="auto"/>
          <w:highlight w:val="none"/>
        </w:rPr>
        <w:t>址：</w:t>
      </w:r>
      <w:r>
        <w:rPr>
          <w:rFonts w:hint="eastAsia" w:ascii="宋体" w:hAnsi="宋体"/>
          <w:color w:val="auto"/>
          <w:highlight w:val="none"/>
          <w:u w:val="single"/>
        </w:rPr>
        <w:t></w:t>
      </w:r>
      <w:r>
        <w:rPr>
          <w:color w:val="auto"/>
          <w:highlight w:val="none"/>
          <w:u w:val="single"/>
        </w:rPr>
        <w:t xml:space="preserve">      </w:t>
      </w:r>
      <w:r>
        <w:rPr>
          <w:rFonts w:hint="eastAsia" w:ascii="宋体" w:hAnsi="宋体"/>
          <w:color w:val="auto"/>
          <w:highlight w:val="none"/>
          <w:u w:val="single"/>
        </w:rPr>
        <w:t></w:t>
      </w:r>
    </w:p>
    <w:p w14:paraId="79CAB3CD">
      <w:pPr>
        <w:pStyle w:val="84"/>
        <w:spacing w:line="360" w:lineRule="auto"/>
        <w:rPr>
          <w:color w:val="auto"/>
          <w:highlight w:val="none"/>
        </w:rPr>
      </w:pPr>
      <w:r>
        <w:rPr>
          <w:rFonts w:hint="eastAsia" w:hAnsi="宋体"/>
          <w:color w:val="auto"/>
          <w:highlight w:val="none"/>
        </w:rPr>
        <w:t>法定代表人</w:t>
      </w:r>
      <w:r>
        <w:rPr>
          <w:rFonts w:hint="eastAsia"/>
          <w:color w:val="auto"/>
          <w:highlight w:val="none"/>
        </w:rPr>
        <w:t>（</w:t>
      </w:r>
      <w:r>
        <w:rPr>
          <w:rFonts w:hint="eastAsia" w:hAnsi="宋体"/>
          <w:color w:val="auto"/>
          <w:highlight w:val="none"/>
        </w:rPr>
        <w:t>签字</w:t>
      </w:r>
      <w:r>
        <w:rPr>
          <w:rFonts w:hint="eastAsia"/>
          <w:color w:val="auto"/>
          <w:highlight w:val="none"/>
        </w:rPr>
        <w:t>）</w:t>
      </w:r>
      <w:r>
        <w:rPr>
          <w:rFonts w:hint="eastAsia" w:hAnsi="宋体"/>
          <w:color w:val="auto"/>
          <w:highlight w:val="none"/>
        </w:rPr>
        <w:t>：</w:t>
      </w:r>
      <w:r>
        <w:rPr>
          <w:rFonts w:hint="eastAsia"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hAnsi="宋体"/>
          <w:color w:val="auto"/>
          <w:highlight w:val="none"/>
        </w:rPr>
        <w:t>法定代表人</w:t>
      </w:r>
      <w:r>
        <w:rPr>
          <w:rFonts w:hint="eastAsia"/>
          <w:color w:val="auto"/>
          <w:highlight w:val="none"/>
        </w:rPr>
        <w:t>（</w:t>
      </w:r>
      <w:r>
        <w:rPr>
          <w:rFonts w:hint="eastAsia" w:hAnsi="宋体"/>
          <w:color w:val="auto"/>
          <w:highlight w:val="none"/>
        </w:rPr>
        <w:t>签字</w:t>
      </w:r>
      <w:r>
        <w:rPr>
          <w:rFonts w:hint="eastAsia"/>
          <w:color w:val="auto"/>
          <w:highlight w:val="none"/>
        </w:rPr>
        <w:t>）</w:t>
      </w:r>
      <w:r>
        <w:rPr>
          <w:rFonts w:hint="eastAsia" w:hAnsi="宋体"/>
          <w:color w:val="auto"/>
          <w:highlight w:val="none"/>
        </w:rPr>
        <w:t>：</w:t>
      </w:r>
      <w:r>
        <w:rPr>
          <w:rFonts w:hint="eastAsia" w:ascii="宋体" w:hAnsi="宋体"/>
          <w:color w:val="auto"/>
          <w:highlight w:val="none"/>
          <w:u w:val="single"/>
        </w:rPr>
        <w:t>     </w:t>
      </w:r>
    </w:p>
    <w:p w14:paraId="2C3DB5D4">
      <w:pPr>
        <w:pStyle w:val="84"/>
        <w:spacing w:line="360" w:lineRule="auto"/>
        <w:rPr>
          <w:color w:val="auto"/>
          <w:highlight w:val="none"/>
        </w:rPr>
      </w:pPr>
      <w:r>
        <w:rPr>
          <w:rFonts w:hint="eastAsia" w:hAnsi="宋体"/>
          <w:color w:val="auto"/>
          <w:highlight w:val="none"/>
        </w:rPr>
        <w:t>委托代理人</w:t>
      </w:r>
      <w:r>
        <w:rPr>
          <w:rFonts w:hint="eastAsia"/>
          <w:color w:val="auto"/>
          <w:highlight w:val="none"/>
        </w:rPr>
        <w:t>（</w:t>
      </w:r>
      <w:r>
        <w:rPr>
          <w:rFonts w:hint="eastAsia" w:hAnsi="宋体"/>
          <w:color w:val="auto"/>
          <w:highlight w:val="none"/>
        </w:rPr>
        <w:t>签字</w:t>
      </w:r>
      <w:r>
        <w:rPr>
          <w:rFonts w:hint="eastAsia"/>
          <w:color w:val="auto"/>
          <w:highlight w:val="none"/>
        </w:rPr>
        <w:t>）</w:t>
      </w:r>
      <w:r>
        <w:rPr>
          <w:rFonts w:hint="eastAsia" w:hAnsi="宋体"/>
          <w:color w:val="auto"/>
          <w:highlight w:val="none"/>
        </w:rPr>
        <w:t>：</w:t>
      </w:r>
      <w:r>
        <w:rPr>
          <w:rFonts w:hint="eastAsia"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hAnsi="宋体"/>
          <w:color w:val="auto"/>
          <w:highlight w:val="none"/>
        </w:rPr>
        <w:t>委托代理人</w:t>
      </w:r>
      <w:r>
        <w:rPr>
          <w:rFonts w:hint="eastAsia"/>
          <w:color w:val="auto"/>
          <w:highlight w:val="none"/>
        </w:rPr>
        <w:t>（</w:t>
      </w:r>
      <w:r>
        <w:rPr>
          <w:rFonts w:hint="eastAsia" w:hAnsi="宋体"/>
          <w:color w:val="auto"/>
          <w:highlight w:val="none"/>
        </w:rPr>
        <w:t>签字</w:t>
      </w:r>
      <w:r>
        <w:rPr>
          <w:rFonts w:hint="eastAsia"/>
          <w:color w:val="auto"/>
          <w:highlight w:val="none"/>
        </w:rPr>
        <w:t>）</w:t>
      </w:r>
      <w:r>
        <w:rPr>
          <w:rFonts w:hint="eastAsia" w:hAnsi="宋体"/>
          <w:color w:val="auto"/>
          <w:highlight w:val="none"/>
        </w:rPr>
        <w:t>：</w:t>
      </w:r>
      <w:r>
        <w:rPr>
          <w:rFonts w:hint="eastAsia" w:ascii="宋体" w:hAnsi="宋体"/>
          <w:color w:val="auto"/>
          <w:highlight w:val="none"/>
          <w:u w:val="single"/>
        </w:rPr>
        <w:t>     </w:t>
      </w:r>
    </w:p>
    <w:p w14:paraId="72484D4E">
      <w:pPr>
        <w:pStyle w:val="84"/>
        <w:spacing w:line="360" w:lineRule="auto"/>
        <w:rPr>
          <w:color w:val="auto"/>
          <w:highlight w:val="none"/>
        </w:rPr>
      </w:pPr>
      <w:r>
        <w:rPr>
          <w:rFonts w:hint="eastAsia" w:hAnsi="宋体"/>
          <w:color w:val="auto"/>
          <w:highlight w:val="none"/>
        </w:rPr>
        <w:t>电</w:t>
      </w:r>
      <w:r>
        <w:rPr>
          <w:color w:val="auto"/>
          <w:highlight w:val="none"/>
        </w:rPr>
        <w:t xml:space="preserve">  </w:t>
      </w:r>
      <w:r>
        <w:rPr>
          <w:rFonts w:hint="eastAsia" w:hAnsi="宋体"/>
          <w:color w:val="auto"/>
          <w:highlight w:val="none"/>
        </w:rPr>
        <w:t>话：</w:t>
      </w:r>
      <w:r>
        <w:rPr>
          <w:rFonts w:hint="eastAsia"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hAnsi="宋体"/>
          <w:color w:val="auto"/>
          <w:highlight w:val="none"/>
        </w:rPr>
        <w:t>电</w:t>
      </w:r>
      <w:r>
        <w:rPr>
          <w:color w:val="auto"/>
          <w:highlight w:val="none"/>
        </w:rPr>
        <w:t xml:space="preserve">  </w:t>
      </w:r>
      <w:r>
        <w:rPr>
          <w:rFonts w:hint="eastAsia" w:hAnsi="宋体"/>
          <w:color w:val="auto"/>
          <w:highlight w:val="none"/>
        </w:rPr>
        <w:t>话：</w:t>
      </w:r>
      <w:r>
        <w:rPr>
          <w:rFonts w:hint="eastAsia" w:ascii="宋体" w:hAnsi="宋体"/>
          <w:color w:val="auto"/>
          <w:highlight w:val="none"/>
          <w:u w:val="single"/>
        </w:rPr>
        <w:t>      </w:t>
      </w:r>
    </w:p>
    <w:p w14:paraId="6C561E23">
      <w:pPr>
        <w:pStyle w:val="84"/>
        <w:spacing w:line="360" w:lineRule="auto"/>
        <w:rPr>
          <w:color w:val="auto"/>
          <w:highlight w:val="none"/>
        </w:rPr>
      </w:pPr>
      <w:r>
        <w:rPr>
          <w:rFonts w:hint="eastAsia" w:hAnsi="宋体"/>
          <w:color w:val="auto"/>
          <w:highlight w:val="none"/>
        </w:rPr>
        <w:t>传</w:t>
      </w:r>
      <w:r>
        <w:rPr>
          <w:color w:val="auto"/>
          <w:highlight w:val="none"/>
        </w:rPr>
        <w:t xml:space="preserve">  </w:t>
      </w:r>
      <w:r>
        <w:rPr>
          <w:rFonts w:hint="eastAsia" w:hAnsi="宋体"/>
          <w:color w:val="auto"/>
          <w:highlight w:val="none"/>
        </w:rPr>
        <w:t>真：</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olor w:val="auto"/>
          <w:highlight w:val="none"/>
        </w:rPr>
        <w:t>传</w:t>
      </w:r>
      <w:r>
        <w:rPr>
          <w:color w:val="auto"/>
          <w:highlight w:val="none"/>
        </w:rPr>
        <w:t xml:space="preserve">  </w:t>
      </w:r>
      <w:r>
        <w:rPr>
          <w:rFonts w:hint="eastAsia" w:hAnsi="宋体"/>
          <w:color w:val="auto"/>
          <w:highlight w:val="none"/>
        </w:rPr>
        <w:t>真：</w:t>
      </w:r>
      <w:r>
        <w:rPr>
          <w:rFonts w:hint="eastAsia" w:ascii="宋体" w:hAnsi="宋体"/>
          <w:color w:val="auto"/>
          <w:highlight w:val="none"/>
          <w:u w:val="single"/>
        </w:rPr>
        <w:t xml:space="preserve">  </w:t>
      </w:r>
      <w:r>
        <w:rPr>
          <w:color w:val="auto"/>
          <w:highlight w:val="none"/>
          <w:u w:val="single"/>
        </w:rPr>
        <w:t xml:space="preserve">  </w:t>
      </w:r>
      <w:r>
        <w:rPr>
          <w:rFonts w:hint="eastAsia" w:ascii="宋体" w:hAnsi="宋体"/>
          <w:color w:val="auto"/>
          <w:highlight w:val="none"/>
          <w:u w:val="single"/>
        </w:rPr>
        <w:t></w:t>
      </w:r>
    </w:p>
    <w:p w14:paraId="1054C0F8">
      <w:pPr>
        <w:pStyle w:val="84"/>
        <w:spacing w:line="360" w:lineRule="auto"/>
        <w:rPr>
          <w:color w:val="auto"/>
          <w:highlight w:val="none"/>
        </w:rPr>
      </w:pPr>
      <w:r>
        <w:rPr>
          <w:rFonts w:hint="eastAsia" w:hAnsi="宋体"/>
          <w:color w:val="auto"/>
          <w:highlight w:val="none"/>
        </w:rPr>
        <w:t>开户银行：</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olor w:val="auto"/>
          <w:highlight w:val="none"/>
        </w:rPr>
        <w:t>开户银行：</w:t>
      </w:r>
      <w:r>
        <w:rPr>
          <w:rFonts w:hint="eastAsia" w:ascii="宋体" w:hAnsi="宋体"/>
          <w:color w:val="auto"/>
          <w:highlight w:val="none"/>
          <w:u w:val="single"/>
        </w:rPr>
        <w:t>  </w:t>
      </w:r>
    </w:p>
    <w:p w14:paraId="39E48DB0">
      <w:pPr>
        <w:pStyle w:val="84"/>
        <w:tabs>
          <w:tab w:val="left" w:pos="2880"/>
          <w:tab w:val="left" w:pos="3060"/>
          <w:tab w:val="left" w:pos="4500"/>
        </w:tabs>
        <w:spacing w:line="360" w:lineRule="auto"/>
        <w:rPr>
          <w:color w:val="auto"/>
          <w:highlight w:val="none"/>
        </w:rPr>
      </w:pPr>
      <w:r>
        <w:rPr>
          <w:rFonts w:hint="eastAsia" w:hAnsi="宋体"/>
          <w:color w:val="auto"/>
          <w:highlight w:val="none"/>
        </w:rPr>
        <w:t>账</w:t>
      </w:r>
      <w:r>
        <w:rPr>
          <w:color w:val="auto"/>
          <w:highlight w:val="none"/>
        </w:rPr>
        <w:t xml:space="preserve">  </w:t>
      </w:r>
      <w:r>
        <w:rPr>
          <w:rFonts w:hint="eastAsia" w:hAnsi="宋体"/>
          <w:color w:val="auto"/>
          <w:highlight w:val="none"/>
        </w:rPr>
        <w:t>号：</w:t>
      </w:r>
      <w:r>
        <w:rPr>
          <w:rFonts w:hint="eastAsia" w:ascii="宋体" w:hAnsi="宋体"/>
          <w:color w:val="auto"/>
          <w:highlight w:val="none"/>
          <w:u w:val="single"/>
        </w:rPr>
        <w:t></w:t>
      </w:r>
      <w:r>
        <w:rPr>
          <w:color w:val="auto"/>
          <w:highlight w:val="none"/>
          <w:u w:val="single"/>
        </w:rPr>
        <w:t xml:space="preserve"> </w:t>
      </w:r>
      <w:r>
        <w:rPr>
          <w:rFonts w:hint="eastAsia"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hAnsi="宋体"/>
          <w:color w:val="auto"/>
          <w:highlight w:val="none"/>
        </w:rPr>
        <w:t>账</w:t>
      </w:r>
      <w:r>
        <w:rPr>
          <w:color w:val="auto"/>
          <w:highlight w:val="none"/>
        </w:rPr>
        <w:t xml:space="preserve">  </w:t>
      </w:r>
      <w:r>
        <w:rPr>
          <w:rFonts w:hint="eastAsia" w:hAnsi="宋体"/>
          <w:color w:val="auto"/>
          <w:highlight w:val="none"/>
        </w:rPr>
        <w:t>号：</w:t>
      </w:r>
      <w:r>
        <w:rPr>
          <w:rFonts w:hint="eastAsia" w:ascii="宋体" w:hAnsi="宋体"/>
          <w:color w:val="auto"/>
          <w:highlight w:val="none"/>
          <w:u w:val="single"/>
        </w:rPr>
        <w:t>    </w:t>
      </w:r>
    </w:p>
    <w:p w14:paraId="70F2EEBB">
      <w:pPr>
        <w:pStyle w:val="84"/>
        <w:tabs>
          <w:tab w:val="left" w:pos="7200"/>
          <w:tab w:val="left" w:pos="7380"/>
          <w:tab w:val="left" w:pos="7560"/>
        </w:tabs>
        <w:spacing w:line="360" w:lineRule="auto"/>
        <w:rPr>
          <w:color w:val="auto"/>
          <w:highlight w:val="none"/>
        </w:rPr>
      </w:pPr>
      <w:r>
        <w:rPr>
          <w:rFonts w:hint="eastAsia" w:hAnsi="宋体"/>
          <w:color w:val="auto"/>
          <w:highlight w:val="none"/>
        </w:rPr>
        <w:t>邮政编码：</w:t>
      </w:r>
      <w:r>
        <w:rPr>
          <w:color w:val="auto"/>
          <w:highlight w:val="none"/>
          <w:u w:val="single"/>
        </w:rPr>
        <w:t xml:space="preserve"> </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olor w:val="auto"/>
          <w:highlight w:val="none"/>
        </w:rPr>
        <w:t>邮政编码：</w:t>
      </w:r>
      <w:r>
        <w:rPr>
          <w:rFonts w:hint="eastAsia" w:ascii="宋体" w:hAnsi="宋体"/>
          <w:color w:val="auto"/>
          <w:highlight w:val="none"/>
          <w:u w:val="single"/>
        </w:rPr>
        <w:t>   </w:t>
      </w:r>
    </w:p>
    <w:p w14:paraId="01A04946">
      <w:pPr>
        <w:pStyle w:val="84"/>
        <w:spacing w:before="120" w:beforeLines="50" w:after="120" w:afterLines="50" w:line="440" w:lineRule="exact"/>
        <w:ind w:firstLine="640"/>
        <w:jc w:val="center"/>
        <w:rPr>
          <w:rFonts w:ascii="黑体" w:hAnsi="宋体" w:eastAsia="黑体"/>
          <w:color w:val="auto"/>
          <w:sz w:val="32"/>
          <w:szCs w:val="32"/>
          <w:highlight w:val="none"/>
        </w:rPr>
      </w:pPr>
    </w:p>
    <w:p w14:paraId="57A76ECF">
      <w:pPr>
        <w:pStyle w:val="84"/>
        <w:spacing w:before="120" w:beforeLines="50" w:after="120" w:afterLines="50" w:line="440" w:lineRule="exact"/>
        <w:ind w:firstLine="640"/>
        <w:jc w:val="center"/>
        <w:rPr>
          <w:rFonts w:ascii="黑体" w:hAnsi="宋体" w:eastAsia="黑体"/>
          <w:color w:val="auto"/>
          <w:sz w:val="32"/>
          <w:szCs w:val="32"/>
          <w:highlight w:val="none"/>
        </w:rPr>
      </w:pPr>
    </w:p>
    <w:p w14:paraId="63C7B1AE">
      <w:pPr>
        <w:pStyle w:val="84"/>
        <w:spacing w:before="120" w:beforeLines="50" w:after="120" w:afterLines="50" w:line="440" w:lineRule="exact"/>
        <w:ind w:firstLine="640"/>
        <w:jc w:val="left"/>
        <w:rPr>
          <w:rFonts w:eastAsia="仿宋_GB2312"/>
          <w:color w:val="auto"/>
          <w:sz w:val="28"/>
          <w:szCs w:val="28"/>
          <w:highlight w:val="none"/>
        </w:rPr>
      </w:pPr>
      <w:r>
        <w:rPr>
          <w:rFonts w:ascii="黑体" w:hAnsi="宋体" w:eastAsia="黑体"/>
          <w:color w:val="auto"/>
          <w:sz w:val="32"/>
          <w:szCs w:val="32"/>
          <w:highlight w:val="none"/>
        </w:rPr>
        <w:br w:type="page"/>
      </w:r>
      <w:r>
        <w:rPr>
          <w:rFonts w:hint="eastAsia" w:eastAsia="仿宋_GB2312"/>
          <w:color w:val="auto"/>
          <w:sz w:val="28"/>
          <w:szCs w:val="28"/>
          <w:highlight w:val="none"/>
        </w:rPr>
        <w:t>附件</w:t>
      </w:r>
      <w:r>
        <w:rPr>
          <w:rFonts w:eastAsia="仿宋_GB2312"/>
          <w:color w:val="auto"/>
          <w:sz w:val="28"/>
          <w:szCs w:val="28"/>
          <w:highlight w:val="none"/>
        </w:rPr>
        <w:t>3</w:t>
      </w:r>
      <w:r>
        <w:rPr>
          <w:rFonts w:hint="eastAsia" w:eastAsia="仿宋_GB2312"/>
          <w:color w:val="auto"/>
          <w:sz w:val="28"/>
          <w:szCs w:val="28"/>
          <w:highlight w:val="none"/>
        </w:rPr>
        <w:t>：</w:t>
      </w:r>
    </w:p>
    <w:p w14:paraId="0F4CF8DC">
      <w:pPr>
        <w:pStyle w:val="84"/>
        <w:spacing w:before="120" w:beforeLines="50" w:after="120" w:afterLines="50" w:line="440" w:lineRule="exact"/>
        <w:ind w:firstLine="560"/>
        <w:jc w:val="left"/>
        <w:rPr>
          <w:rFonts w:eastAsia="黑体"/>
          <w:color w:val="auto"/>
          <w:sz w:val="28"/>
          <w:szCs w:val="28"/>
          <w:highlight w:val="none"/>
        </w:rPr>
      </w:pPr>
    </w:p>
    <w:p w14:paraId="58E8CEC9">
      <w:pPr>
        <w:pStyle w:val="84"/>
        <w:spacing w:before="120" w:beforeLines="50" w:after="120" w:afterLines="50" w:line="440" w:lineRule="exact"/>
        <w:ind w:firstLine="600"/>
        <w:jc w:val="center"/>
        <w:rPr>
          <w:rFonts w:eastAsia="黑体"/>
          <w:color w:val="auto"/>
          <w:sz w:val="30"/>
          <w:szCs w:val="30"/>
          <w:highlight w:val="none"/>
        </w:rPr>
      </w:pPr>
      <w:r>
        <w:rPr>
          <w:rFonts w:hint="eastAsia" w:eastAsia="黑体"/>
          <w:color w:val="auto"/>
          <w:sz w:val="30"/>
          <w:szCs w:val="30"/>
          <w:highlight w:val="none"/>
        </w:rPr>
        <w:t>主要建设工程文件目录</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DC55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1755E77">
            <w:pPr>
              <w:pStyle w:val="74"/>
              <w:keepNext/>
              <w:spacing w:after="0" w:line="440" w:lineRule="exact"/>
              <w:ind w:left="63" w:right="63"/>
              <w:rPr>
                <w:rFonts w:eastAsia="仿宋_GB2312"/>
                <w:color w:val="auto"/>
                <w:sz w:val="28"/>
                <w:szCs w:val="30"/>
                <w:highlight w:val="none"/>
                <w:lang w:val="en-US"/>
              </w:rPr>
            </w:pPr>
            <w:r>
              <w:rPr>
                <w:rFonts w:hint="eastAsia" w:eastAsia="仿宋_GB2312"/>
                <w:color w:val="auto"/>
                <w:sz w:val="28"/>
                <w:szCs w:val="30"/>
                <w:highlight w:val="none"/>
                <w:lang w:val="en-US"/>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5FE9B4E9">
            <w:pPr>
              <w:pStyle w:val="74"/>
              <w:keepNext/>
              <w:spacing w:after="0" w:line="440" w:lineRule="exact"/>
              <w:ind w:left="63" w:right="63"/>
              <w:rPr>
                <w:rFonts w:eastAsia="仿宋_GB2312"/>
                <w:color w:val="auto"/>
                <w:sz w:val="28"/>
                <w:szCs w:val="30"/>
                <w:highlight w:val="none"/>
                <w:lang w:val="en-US"/>
              </w:rPr>
            </w:pPr>
            <w:r>
              <w:rPr>
                <w:rFonts w:hint="eastAsia" w:eastAsia="仿宋_GB2312"/>
                <w:color w:val="auto"/>
                <w:sz w:val="28"/>
                <w:szCs w:val="30"/>
                <w:highlight w:val="none"/>
                <w:lang w:val="en-US"/>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6C8B166D">
            <w:pPr>
              <w:pStyle w:val="74"/>
              <w:keepNext/>
              <w:spacing w:after="0" w:line="440" w:lineRule="exact"/>
              <w:ind w:left="63" w:right="63"/>
              <w:rPr>
                <w:rFonts w:eastAsia="仿宋_GB2312"/>
                <w:color w:val="auto"/>
                <w:sz w:val="28"/>
                <w:szCs w:val="30"/>
                <w:highlight w:val="none"/>
                <w:lang w:val="en-US"/>
              </w:rPr>
            </w:pPr>
            <w:r>
              <w:rPr>
                <w:rFonts w:hint="eastAsia" w:eastAsia="仿宋_GB2312"/>
                <w:color w:val="auto"/>
                <w:sz w:val="28"/>
                <w:szCs w:val="30"/>
                <w:highlight w:val="none"/>
                <w:lang w:val="en-US"/>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66C691D2">
            <w:pPr>
              <w:pStyle w:val="74"/>
              <w:keepNext/>
              <w:spacing w:after="0" w:line="440" w:lineRule="exact"/>
              <w:ind w:left="63" w:right="63"/>
              <w:rPr>
                <w:rFonts w:eastAsia="仿宋_GB2312"/>
                <w:color w:val="auto"/>
                <w:sz w:val="28"/>
                <w:szCs w:val="30"/>
                <w:highlight w:val="none"/>
                <w:lang w:val="en-US"/>
              </w:rPr>
            </w:pPr>
            <w:r>
              <w:rPr>
                <w:rFonts w:hint="eastAsia" w:eastAsia="仿宋_GB2312"/>
                <w:color w:val="auto"/>
                <w:sz w:val="28"/>
                <w:szCs w:val="30"/>
                <w:highlight w:val="none"/>
                <w:lang w:val="en-US"/>
              </w:rPr>
              <w:t>质量</w:t>
            </w:r>
          </w:p>
        </w:tc>
        <w:tc>
          <w:tcPr>
            <w:tcW w:w="1450" w:type="dxa"/>
            <w:tcBorders>
              <w:top w:val="single" w:color="auto" w:sz="12" w:space="0"/>
              <w:left w:val="single" w:color="auto" w:sz="6" w:space="0"/>
              <w:bottom w:val="double" w:color="auto" w:sz="6" w:space="0"/>
              <w:right w:val="single" w:color="auto" w:sz="6" w:space="0"/>
            </w:tcBorders>
          </w:tcPr>
          <w:p w14:paraId="7AB2A8F3">
            <w:pPr>
              <w:pStyle w:val="84"/>
              <w:spacing w:line="440" w:lineRule="exact"/>
              <w:ind w:firstLine="560"/>
              <w:jc w:val="center"/>
              <w:rPr>
                <w:rFonts w:eastAsia="仿宋_GB2312"/>
                <w:color w:val="auto"/>
                <w:sz w:val="28"/>
                <w:szCs w:val="30"/>
                <w:highlight w:val="none"/>
              </w:rPr>
            </w:pPr>
            <w:r>
              <w:rPr>
                <w:rFonts w:hint="eastAsia" w:eastAsia="仿宋_GB2312"/>
                <w:color w:val="auto"/>
                <w:sz w:val="28"/>
                <w:szCs w:val="30"/>
                <w:highlight w:val="none"/>
              </w:rPr>
              <w:t>移交时间</w:t>
            </w:r>
          </w:p>
        </w:tc>
        <w:tc>
          <w:tcPr>
            <w:tcW w:w="1667" w:type="dxa"/>
            <w:tcBorders>
              <w:top w:val="single" w:color="auto" w:sz="12" w:space="0"/>
              <w:left w:val="single" w:color="auto" w:sz="6" w:space="0"/>
              <w:bottom w:val="double" w:color="auto" w:sz="6" w:space="0"/>
              <w:right w:val="single" w:color="auto" w:sz="12" w:space="0"/>
            </w:tcBorders>
          </w:tcPr>
          <w:p w14:paraId="6A0C97FD">
            <w:pPr>
              <w:pStyle w:val="84"/>
              <w:spacing w:line="440" w:lineRule="exact"/>
              <w:ind w:firstLine="560"/>
              <w:jc w:val="center"/>
              <w:rPr>
                <w:rFonts w:eastAsia="仿宋_GB2312"/>
                <w:color w:val="auto"/>
                <w:sz w:val="28"/>
                <w:szCs w:val="30"/>
                <w:highlight w:val="none"/>
              </w:rPr>
            </w:pPr>
            <w:r>
              <w:rPr>
                <w:rFonts w:hint="eastAsia" w:eastAsia="仿宋_GB2312"/>
                <w:color w:val="auto"/>
                <w:sz w:val="28"/>
                <w:szCs w:val="30"/>
                <w:highlight w:val="none"/>
              </w:rPr>
              <w:t>责任人</w:t>
            </w:r>
          </w:p>
        </w:tc>
      </w:tr>
      <w:tr w14:paraId="1CF5D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03FE2417">
            <w:pPr>
              <w:pStyle w:val="74"/>
              <w:keepNext/>
              <w:spacing w:after="0" w:line="440" w:lineRule="exact"/>
              <w:ind w:left="63" w:right="63"/>
              <w:rPr>
                <w:rFonts w:eastAsia="仿宋_GB2312"/>
                <w:color w:val="auto"/>
                <w:sz w:val="30"/>
                <w:szCs w:val="30"/>
                <w:highlight w:val="none"/>
                <w:lang w:val="en-US"/>
              </w:rPr>
            </w:pPr>
          </w:p>
        </w:tc>
        <w:tc>
          <w:tcPr>
            <w:tcW w:w="1276" w:type="dxa"/>
            <w:tcBorders>
              <w:top w:val="double" w:color="auto" w:sz="6" w:space="0"/>
              <w:left w:val="single" w:color="auto" w:sz="6" w:space="0"/>
              <w:bottom w:val="single" w:color="auto" w:sz="6" w:space="0"/>
              <w:right w:val="single" w:color="auto" w:sz="6" w:space="0"/>
            </w:tcBorders>
            <w:vAlign w:val="center"/>
          </w:tcPr>
          <w:p w14:paraId="5E6DEE18">
            <w:pPr>
              <w:pStyle w:val="74"/>
              <w:keepNext/>
              <w:spacing w:after="0" w:line="440" w:lineRule="exact"/>
              <w:ind w:left="63" w:right="63"/>
              <w:rPr>
                <w:rFonts w:eastAsia="仿宋_GB2312"/>
                <w:color w:val="auto"/>
                <w:sz w:val="30"/>
                <w:szCs w:val="30"/>
                <w:highlight w:val="none"/>
                <w:lang w:val="en-US"/>
              </w:rPr>
            </w:pPr>
          </w:p>
        </w:tc>
        <w:tc>
          <w:tcPr>
            <w:tcW w:w="1450" w:type="dxa"/>
            <w:tcBorders>
              <w:top w:val="double" w:color="auto" w:sz="6" w:space="0"/>
              <w:left w:val="single" w:color="auto" w:sz="6" w:space="0"/>
              <w:bottom w:val="single" w:color="auto" w:sz="6" w:space="0"/>
              <w:right w:val="single" w:color="auto" w:sz="6" w:space="0"/>
            </w:tcBorders>
            <w:vAlign w:val="center"/>
          </w:tcPr>
          <w:p w14:paraId="0776AB71">
            <w:pPr>
              <w:pStyle w:val="74"/>
              <w:keepNext/>
              <w:spacing w:after="0" w:line="440" w:lineRule="exact"/>
              <w:ind w:left="63" w:right="63"/>
              <w:rPr>
                <w:rFonts w:eastAsia="仿宋_GB2312"/>
                <w:color w:val="auto"/>
                <w:sz w:val="30"/>
                <w:szCs w:val="30"/>
                <w:highlight w:val="none"/>
                <w:lang w:val="en-US"/>
              </w:rPr>
            </w:pPr>
          </w:p>
        </w:tc>
        <w:tc>
          <w:tcPr>
            <w:tcW w:w="1243" w:type="dxa"/>
            <w:tcBorders>
              <w:top w:val="double" w:color="auto" w:sz="6" w:space="0"/>
              <w:left w:val="single" w:color="auto" w:sz="6" w:space="0"/>
              <w:bottom w:val="single" w:color="auto" w:sz="6" w:space="0"/>
              <w:right w:val="single" w:color="auto" w:sz="6" w:space="0"/>
            </w:tcBorders>
            <w:vAlign w:val="center"/>
          </w:tcPr>
          <w:p w14:paraId="623B10AE">
            <w:pPr>
              <w:pStyle w:val="74"/>
              <w:keepNext/>
              <w:spacing w:after="0" w:line="440" w:lineRule="exact"/>
              <w:ind w:left="63" w:right="63"/>
              <w:rPr>
                <w:rFonts w:eastAsia="仿宋_GB2312"/>
                <w:color w:val="auto"/>
                <w:sz w:val="30"/>
                <w:szCs w:val="30"/>
                <w:highlight w:val="none"/>
                <w:lang w:val="en-US"/>
              </w:rPr>
            </w:pPr>
          </w:p>
        </w:tc>
        <w:tc>
          <w:tcPr>
            <w:tcW w:w="1450" w:type="dxa"/>
            <w:tcBorders>
              <w:top w:val="double" w:color="auto" w:sz="6" w:space="0"/>
              <w:left w:val="single" w:color="auto" w:sz="6" w:space="0"/>
              <w:bottom w:val="single" w:color="auto" w:sz="6" w:space="0"/>
              <w:right w:val="single" w:color="auto" w:sz="6" w:space="0"/>
            </w:tcBorders>
            <w:vAlign w:val="center"/>
          </w:tcPr>
          <w:p w14:paraId="7D7B7755">
            <w:pPr>
              <w:pStyle w:val="74"/>
              <w:keepNext/>
              <w:spacing w:after="0" w:line="440" w:lineRule="exact"/>
              <w:ind w:left="63" w:right="63"/>
              <w:rPr>
                <w:rFonts w:eastAsia="仿宋_GB2312"/>
                <w:color w:val="auto"/>
                <w:sz w:val="30"/>
                <w:szCs w:val="30"/>
                <w:highlight w:val="none"/>
                <w:lang w:val="en-US"/>
              </w:rPr>
            </w:pPr>
          </w:p>
        </w:tc>
        <w:tc>
          <w:tcPr>
            <w:tcW w:w="1667" w:type="dxa"/>
            <w:tcBorders>
              <w:top w:val="double" w:color="auto" w:sz="6" w:space="0"/>
              <w:left w:val="single" w:color="auto" w:sz="6" w:space="0"/>
              <w:bottom w:val="single" w:color="auto" w:sz="6" w:space="0"/>
              <w:right w:val="single" w:color="auto" w:sz="12" w:space="0"/>
            </w:tcBorders>
            <w:vAlign w:val="center"/>
          </w:tcPr>
          <w:p w14:paraId="2F353B61">
            <w:pPr>
              <w:pStyle w:val="74"/>
              <w:keepNext/>
              <w:spacing w:after="0" w:line="440" w:lineRule="exact"/>
              <w:ind w:left="63" w:right="63"/>
              <w:rPr>
                <w:rFonts w:eastAsia="仿宋_GB2312"/>
                <w:color w:val="auto"/>
                <w:sz w:val="30"/>
                <w:szCs w:val="30"/>
                <w:highlight w:val="none"/>
                <w:lang w:val="en-US"/>
              </w:rPr>
            </w:pPr>
          </w:p>
        </w:tc>
      </w:tr>
      <w:tr w14:paraId="0A0D0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7CF2B48">
            <w:pPr>
              <w:pStyle w:val="74"/>
              <w:keepNext/>
              <w:spacing w:after="0" w:line="440" w:lineRule="exact"/>
              <w:ind w:left="63" w:right="63"/>
              <w:rPr>
                <w:rFonts w:eastAsia="仿宋_GB2312"/>
                <w:color w:val="auto"/>
                <w:sz w:val="30"/>
                <w:szCs w:val="30"/>
                <w:highlight w:val="none"/>
                <w:lang w:val="en-US"/>
              </w:rPr>
            </w:pPr>
          </w:p>
        </w:tc>
        <w:tc>
          <w:tcPr>
            <w:tcW w:w="1276" w:type="dxa"/>
            <w:tcBorders>
              <w:top w:val="nil"/>
              <w:left w:val="single" w:color="auto" w:sz="6" w:space="0"/>
              <w:bottom w:val="single" w:color="auto" w:sz="6" w:space="0"/>
              <w:right w:val="single" w:color="auto" w:sz="6" w:space="0"/>
            </w:tcBorders>
            <w:vAlign w:val="center"/>
          </w:tcPr>
          <w:p w14:paraId="26001F7D">
            <w:pPr>
              <w:pStyle w:val="74"/>
              <w:keepNext/>
              <w:spacing w:after="0" w:line="440" w:lineRule="exact"/>
              <w:ind w:left="63" w:right="63"/>
              <w:rPr>
                <w:rFonts w:eastAsia="仿宋_GB2312"/>
                <w:color w:val="auto"/>
                <w:sz w:val="30"/>
                <w:szCs w:val="30"/>
                <w:highlight w:val="none"/>
                <w:lang w:val="en-US"/>
              </w:rPr>
            </w:pPr>
          </w:p>
        </w:tc>
        <w:tc>
          <w:tcPr>
            <w:tcW w:w="1450" w:type="dxa"/>
            <w:tcBorders>
              <w:top w:val="nil"/>
              <w:left w:val="single" w:color="auto" w:sz="6" w:space="0"/>
              <w:bottom w:val="single" w:color="auto" w:sz="6" w:space="0"/>
              <w:right w:val="single" w:color="auto" w:sz="6" w:space="0"/>
            </w:tcBorders>
            <w:vAlign w:val="center"/>
          </w:tcPr>
          <w:p w14:paraId="70595C0B">
            <w:pPr>
              <w:pStyle w:val="74"/>
              <w:keepNext/>
              <w:spacing w:after="0" w:line="440" w:lineRule="exact"/>
              <w:ind w:left="63" w:right="63"/>
              <w:rPr>
                <w:rFonts w:eastAsia="仿宋_GB2312"/>
                <w:color w:val="auto"/>
                <w:sz w:val="30"/>
                <w:szCs w:val="30"/>
                <w:highlight w:val="none"/>
                <w:lang w:val="en-US"/>
              </w:rPr>
            </w:pPr>
          </w:p>
        </w:tc>
        <w:tc>
          <w:tcPr>
            <w:tcW w:w="1243" w:type="dxa"/>
            <w:tcBorders>
              <w:top w:val="nil"/>
              <w:left w:val="single" w:color="auto" w:sz="6" w:space="0"/>
              <w:bottom w:val="single" w:color="auto" w:sz="6" w:space="0"/>
              <w:right w:val="single" w:color="auto" w:sz="6" w:space="0"/>
            </w:tcBorders>
            <w:vAlign w:val="center"/>
          </w:tcPr>
          <w:p w14:paraId="021CE5FB">
            <w:pPr>
              <w:pStyle w:val="74"/>
              <w:keepNext/>
              <w:spacing w:after="0" w:line="440" w:lineRule="exact"/>
              <w:ind w:left="63" w:right="63"/>
              <w:rPr>
                <w:rFonts w:eastAsia="仿宋_GB2312"/>
                <w:color w:val="auto"/>
                <w:sz w:val="30"/>
                <w:szCs w:val="30"/>
                <w:highlight w:val="none"/>
                <w:lang w:val="en-US"/>
              </w:rPr>
            </w:pPr>
          </w:p>
        </w:tc>
        <w:tc>
          <w:tcPr>
            <w:tcW w:w="1450" w:type="dxa"/>
            <w:tcBorders>
              <w:top w:val="nil"/>
              <w:left w:val="single" w:color="auto" w:sz="6" w:space="0"/>
              <w:bottom w:val="single" w:color="auto" w:sz="6" w:space="0"/>
              <w:right w:val="single" w:color="auto" w:sz="6" w:space="0"/>
            </w:tcBorders>
            <w:vAlign w:val="center"/>
          </w:tcPr>
          <w:p w14:paraId="1217B295">
            <w:pPr>
              <w:pStyle w:val="74"/>
              <w:keepNext/>
              <w:spacing w:after="0" w:line="440" w:lineRule="exact"/>
              <w:ind w:left="63" w:right="63"/>
              <w:rPr>
                <w:rFonts w:eastAsia="仿宋_GB2312"/>
                <w:color w:val="auto"/>
                <w:sz w:val="30"/>
                <w:szCs w:val="30"/>
                <w:highlight w:val="none"/>
                <w:lang w:val="en-US"/>
              </w:rPr>
            </w:pPr>
          </w:p>
        </w:tc>
        <w:tc>
          <w:tcPr>
            <w:tcW w:w="1667" w:type="dxa"/>
            <w:tcBorders>
              <w:top w:val="nil"/>
              <w:left w:val="single" w:color="auto" w:sz="6" w:space="0"/>
              <w:bottom w:val="single" w:color="auto" w:sz="6" w:space="0"/>
              <w:right w:val="single" w:color="auto" w:sz="12" w:space="0"/>
            </w:tcBorders>
            <w:vAlign w:val="center"/>
          </w:tcPr>
          <w:p w14:paraId="269CDA68">
            <w:pPr>
              <w:pStyle w:val="74"/>
              <w:keepNext/>
              <w:spacing w:after="0" w:line="440" w:lineRule="exact"/>
              <w:ind w:left="63" w:right="63"/>
              <w:rPr>
                <w:rFonts w:eastAsia="仿宋_GB2312"/>
                <w:color w:val="auto"/>
                <w:sz w:val="30"/>
                <w:szCs w:val="30"/>
                <w:highlight w:val="none"/>
                <w:lang w:val="en-US"/>
              </w:rPr>
            </w:pPr>
          </w:p>
        </w:tc>
      </w:tr>
      <w:tr w14:paraId="0914E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63C7064">
            <w:pPr>
              <w:pStyle w:val="74"/>
              <w:keepNext/>
              <w:spacing w:after="0" w:line="440" w:lineRule="exact"/>
              <w:ind w:left="63" w:right="63"/>
              <w:rPr>
                <w:rFonts w:eastAsia="仿宋_GB2312"/>
                <w:color w:val="auto"/>
                <w:sz w:val="30"/>
                <w:szCs w:val="30"/>
                <w:highlight w:val="none"/>
                <w:lang w:val="en-US"/>
              </w:rPr>
            </w:pPr>
          </w:p>
        </w:tc>
        <w:tc>
          <w:tcPr>
            <w:tcW w:w="1276" w:type="dxa"/>
            <w:tcBorders>
              <w:top w:val="single" w:color="auto" w:sz="6" w:space="0"/>
              <w:left w:val="single" w:color="auto" w:sz="6" w:space="0"/>
              <w:bottom w:val="single" w:color="auto" w:sz="6" w:space="0"/>
              <w:right w:val="single" w:color="auto" w:sz="6" w:space="0"/>
            </w:tcBorders>
            <w:vAlign w:val="center"/>
          </w:tcPr>
          <w:p w14:paraId="52AACCAF">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5154E0BA">
            <w:pPr>
              <w:pStyle w:val="74"/>
              <w:keepNext/>
              <w:spacing w:after="0" w:line="440" w:lineRule="exact"/>
              <w:ind w:left="63" w:right="63"/>
              <w:rPr>
                <w:rFonts w:eastAsia="仿宋_GB2312"/>
                <w:color w:val="auto"/>
                <w:sz w:val="30"/>
                <w:szCs w:val="30"/>
                <w:highlight w:val="none"/>
                <w:lang w:val="en-US"/>
              </w:rPr>
            </w:pPr>
          </w:p>
        </w:tc>
        <w:tc>
          <w:tcPr>
            <w:tcW w:w="1243" w:type="dxa"/>
            <w:tcBorders>
              <w:top w:val="single" w:color="auto" w:sz="6" w:space="0"/>
              <w:left w:val="single" w:color="auto" w:sz="6" w:space="0"/>
              <w:bottom w:val="single" w:color="auto" w:sz="6" w:space="0"/>
              <w:right w:val="single" w:color="auto" w:sz="6" w:space="0"/>
            </w:tcBorders>
            <w:vAlign w:val="center"/>
          </w:tcPr>
          <w:p w14:paraId="10495FFF">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49855EC3">
            <w:pPr>
              <w:pStyle w:val="74"/>
              <w:keepNext/>
              <w:spacing w:after="0" w:line="440" w:lineRule="exact"/>
              <w:ind w:left="63" w:right="63"/>
              <w:rPr>
                <w:rFonts w:eastAsia="仿宋_GB2312"/>
                <w:color w:val="auto"/>
                <w:sz w:val="30"/>
                <w:szCs w:val="30"/>
                <w:highlight w:val="none"/>
                <w:lang w:val="en-US"/>
              </w:rPr>
            </w:pPr>
          </w:p>
        </w:tc>
        <w:tc>
          <w:tcPr>
            <w:tcW w:w="1667" w:type="dxa"/>
            <w:tcBorders>
              <w:top w:val="single" w:color="auto" w:sz="6" w:space="0"/>
              <w:left w:val="single" w:color="auto" w:sz="6" w:space="0"/>
              <w:bottom w:val="single" w:color="auto" w:sz="6" w:space="0"/>
              <w:right w:val="single" w:color="auto" w:sz="12" w:space="0"/>
            </w:tcBorders>
            <w:vAlign w:val="center"/>
          </w:tcPr>
          <w:p w14:paraId="5031D97F">
            <w:pPr>
              <w:pStyle w:val="74"/>
              <w:keepNext/>
              <w:spacing w:after="0" w:line="440" w:lineRule="exact"/>
              <w:ind w:left="63" w:right="63"/>
              <w:rPr>
                <w:rFonts w:eastAsia="仿宋_GB2312"/>
                <w:color w:val="auto"/>
                <w:sz w:val="30"/>
                <w:szCs w:val="30"/>
                <w:highlight w:val="none"/>
                <w:lang w:val="en-US"/>
              </w:rPr>
            </w:pPr>
          </w:p>
        </w:tc>
      </w:tr>
      <w:tr w14:paraId="0A1E3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74040AF">
            <w:pPr>
              <w:pStyle w:val="74"/>
              <w:keepNext/>
              <w:spacing w:after="0" w:line="440" w:lineRule="exact"/>
              <w:ind w:left="63" w:right="63"/>
              <w:rPr>
                <w:rFonts w:eastAsia="仿宋_GB2312"/>
                <w:color w:val="auto"/>
                <w:sz w:val="30"/>
                <w:szCs w:val="30"/>
                <w:highlight w:val="none"/>
                <w:lang w:val="en-US"/>
              </w:rPr>
            </w:pPr>
          </w:p>
        </w:tc>
        <w:tc>
          <w:tcPr>
            <w:tcW w:w="1276" w:type="dxa"/>
            <w:tcBorders>
              <w:top w:val="single" w:color="auto" w:sz="6" w:space="0"/>
              <w:left w:val="single" w:color="auto" w:sz="6" w:space="0"/>
              <w:bottom w:val="single" w:color="auto" w:sz="6" w:space="0"/>
              <w:right w:val="single" w:color="auto" w:sz="6" w:space="0"/>
            </w:tcBorders>
            <w:vAlign w:val="center"/>
          </w:tcPr>
          <w:p w14:paraId="3D8038D1">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1A56B16B">
            <w:pPr>
              <w:pStyle w:val="74"/>
              <w:keepNext/>
              <w:spacing w:after="0" w:line="440" w:lineRule="exact"/>
              <w:ind w:left="63" w:right="63"/>
              <w:rPr>
                <w:rFonts w:eastAsia="仿宋_GB2312"/>
                <w:color w:val="auto"/>
                <w:sz w:val="30"/>
                <w:szCs w:val="30"/>
                <w:highlight w:val="none"/>
                <w:lang w:val="en-US"/>
              </w:rPr>
            </w:pPr>
          </w:p>
        </w:tc>
        <w:tc>
          <w:tcPr>
            <w:tcW w:w="1243" w:type="dxa"/>
            <w:tcBorders>
              <w:top w:val="single" w:color="auto" w:sz="6" w:space="0"/>
              <w:left w:val="single" w:color="auto" w:sz="6" w:space="0"/>
              <w:bottom w:val="single" w:color="auto" w:sz="6" w:space="0"/>
              <w:right w:val="single" w:color="auto" w:sz="6" w:space="0"/>
            </w:tcBorders>
            <w:vAlign w:val="center"/>
          </w:tcPr>
          <w:p w14:paraId="6CDB2E4C">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68976B67">
            <w:pPr>
              <w:pStyle w:val="74"/>
              <w:keepNext/>
              <w:spacing w:after="0" w:line="440" w:lineRule="exact"/>
              <w:ind w:left="63" w:right="63"/>
              <w:rPr>
                <w:rFonts w:eastAsia="仿宋_GB2312"/>
                <w:color w:val="auto"/>
                <w:sz w:val="30"/>
                <w:szCs w:val="30"/>
                <w:highlight w:val="none"/>
                <w:lang w:val="en-US"/>
              </w:rPr>
            </w:pPr>
          </w:p>
        </w:tc>
        <w:tc>
          <w:tcPr>
            <w:tcW w:w="1667" w:type="dxa"/>
            <w:tcBorders>
              <w:top w:val="single" w:color="auto" w:sz="6" w:space="0"/>
              <w:left w:val="single" w:color="auto" w:sz="6" w:space="0"/>
              <w:bottom w:val="single" w:color="auto" w:sz="6" w:space="0"/>
              <w:right w:val="single" w:color="auto" w:sz="12" w:space="0"/>
            </w:tcBorders>
            <w:vAlign w:val="center"/>
          </w:tcPr>
          <w:p w14:paraId="1E055304">
            <w:pPr>
              <w:pStyle w:val="74"/>
              <w:keepNext/>
              <w:spacing w:after="0" w:line="440" w:lineRule="exact"/>
              <w:ind w:left="63" w:right="63"/>
              <w:rPr>
                <w:rFonts w:eastAsia="仿宋_GB2312"/>
                <w:color w:val="auto"/>
                <w:sz w:val="30"/>
                <w:szCs w:val="30"/>
                <w:highlight w:val="none"/>
                <w:lang w:val="en-US"/>
              </w:rPr>
            </w:pPr>
          </w:p>
        </w:tc>
      </w:tr>
      <w:tr w14:paraId="12875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00E31FC">
            <w:pPr>
              <w:pStyle w:val="74"/>
              <w:keepNext/>
              <w:spacing w:after="0" w:line="440" w:lineRule="exact"/>
              <w:ind w:left="63" w:right="63"/>
              <w:rPr>
                <w:rFonts w:eastAsia="仿宋_GB2312"/>
                <w:color w:val="auto"/>
                <w:sz w:val="30"/>
                <w:szCs w:val="30"/>
                <w:highlight w:val="none"/>
                <w:lang w:val="en-US"/>
              </w:rPr>
            </w:pPr>
          </w:p>
        </w:tc>
        <w:tc>
          <w:tcPr>
            <w:tcW w:w="1276" w:type="dxa"/>
            <w:tcBorders>
              <w:top w:val="single" w:color="auto" w:sz="6" w:space="0"/>
              <w:left w:val="single" w:color="auto" w:sz="6" w:space="0"/>
              <w:bottom w:val="single" w:color="auto" w:sz="6" w:space="0"/>
              <w:right w:val="single" w:color="auto" w:sz="6" w:space="0"/>
            </w:tcBorders>
            <w:vAlign w:val="center"/>
          </w:tcPr>
          <w:p w14:paraId="706B8503">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2821EE64">
            <w:pPr>
              <w:pStyle w:val="74"/>
              <w:keepNext/>
              <w:spacing w:after="0" w:line="440" w:lineRule="exact"/>
              <w:ind w:left="63" w:right="63"/>
              <w:rPr>
                <w:rFonts w:eastAsia="仿宋_GB2312"/>
                <w:color w:val="auto"/>
                <w:sz w:val="30"/>
                <w:szCs w:val="30"/>
                <w:highlight w:val="none"/>
                <w:lang w:val="en-US"/>
              </w:rPr>
            </w:pPr>
          </w:p>
        </w:tc>
        <w:tc>
          <w:tcPr>
            <w:tcW w:w="1243" w:type="dxa"/>
            <w:tcBorders>
              <w:top w:val="single" w:color="auto" w:sz="6" w:space="0"/>
              <w:left w:val="single" w:color="auto" w:sz="6" w:space="0"/>
              <w:bottom w:val="single" w:color="auto" w:sz="6" w:space="0"/>
              <w:right w:val="single" w:color="auto" w:sz="6" w:space="0"/>
            </w:tcBorders>
            <w:vAlign w:val="center"/>
          </w:tcPr>
          <w:p w14:paraId="6D107643">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5D01CED2">
            <w:pPr>
              <w:pStyle w:val="74"/>
              <w:keepNext/>
              <w:spacing w:after="0" w:line="440" w:lineRule="exact"/>
              <w:ind w:left="63" w:right="63"/>
              <w:rPr>
                <w:rFonts w:eastAsia="仿宋_GB2312"/>
                <w:color w:val="auto"/>
                <w:sz w:val="30"/>
                <w:szCs w:val="30"/>
                <w:highlight w:val="none"/>
                <w:lang w:val="en-US"/>
              </w:rPr>
            </w:pPr>
          </w:p>
        </w:tc>
        <w:tc>
          <w:tcPr>
            <w:tcW w:w="1667" w:type="dxa"/>
            <w:tcBorders>
              <w:top w:val="single" w:color="auto" w:sz="6" w:space="0"/>
              <w:left w:val="single" w:color="auto" w:sz="6" w:space="0"/>
              <w:bottom w:val="single" w:color="auto" w:sz="6" w:space="0"/>
              <w:right w:val="single" w:color="auto" w:sz="12" w:space="0"/>
            </w:tcBorders>
            <w:vAlign w:val="center"/>
          </w:tcPr>
          <w:p w14:paraId="346F5DA9">
            <w:pPr>
              <w:pStyle w:val="74"/>
              <w:keepNext/>
              <w:spacing w:after="0" w:line="440" w:lineRule="exact"/>
              <w:ind w:left="63" w:right="63"/>
              <w:rPr>
                <w:rFonts w:eastAsia="仿宋_GB2312"/>
                <w:color w:val="auto"/>
                <w:sz w:val="30"/>
                <w:szCs w:val="30"/>
                <w:highlight w:val="none"/>
                <w:lang w:val="en-US"/>
              </w:rPr>
            </w:pPr>
          </w:p>
        </w:tc>
      </w:tr>
      <w:tr w14:paraId="40116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6AFDD19">
            <w:pPr>
              <w:pStyle w:val="74"/>
              <w:keepNext/>
              <w:spacing w:after="0" w:line="440" w:lineRule="exact"/>
              <w:ind w:left="63" w:right="63"/>
              <w:rPr>
                <w:rFonts w:eastAsia="仿宋_GB2312"/>
                <w:color w:val="auto"/>
                <w:sz w:val="30"/>
                <w:szCs w:val="30"/>
                <w:highlight w:val="none"/>
                <w:lang w:val="en-US"/>
              </w:rPr>
            </w:pPr>
          </w:p>
        </w:tc>
        <w:tc>
          <w:tcPr>
            <w:tcW w:w="1276" w:type="dxa"/>
            <w:tcBorders>
              <w:top w:val="single" w:color="auto" w:sz="6" w:space="0"/>
              <w:left w:val="single" w:color="auto" w:sz="6" w:space="0"/>
              <w:bottom w:val="single" w:color="auto" w:sz="6" w:space="0"/>
              <w:right w:val="single" w:color="auto" w:sz="6" w:space="0"/>
            </w:tcBorders>
            <w:vAlign w:val="center"/>
          </w:tcPr>
          <w:p w14:paraId="6DEAB890">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4A30F779">
            <w:pPr>
              <w:pStyle w:val="74"/>
              <w:keepNext/>
              <w:spacing w:after="0" w:line="440" w:lineRule="exact"/>
              <w:ind w:left="63" w:right="63"/>
              <w:rPr>
                <w:rFonts w:eastAsia="仿宋_GB2312"/>
                <w:color w:val="auto"/>
                <w:sz w:val="30"/>
                <w:szCs w:val="30"/>
                <w:highlight w:val="none"/>
                <w:lang w:val="en-US"/>
              </w:rPr>
            </w:pPr>
          </w:p>
        </w:tc>
        <w:tc>
          <w:tcPr>
            <w:tcW w:w="1243" w:type="dxa"/>
            <w:tcBorders>
              <w:top w:val="single" w:color="auto" w:sz="6" w:space="0"/>
              <w:left w:val="single" w:color="auto" w:sz="6" w:space="0"/>
              <w:bottom w:val="single" w:color="auto" w:sz="6" w:space="0"/>
              <w:right w:val="single" w:color="auto" w:sz="6" w:space="0"/>
            </w:tcBorders>
            <w:vAlign w:val="center"/>
          </w:tcPr>
          <w:p w14:paraId="37B61301">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7C3AF831">
            <w:pPr>
              <w:pStyle w:val="74"/>
              <w:keepNext/>
              <w:spacing w:after="0" w:line="440" w:lineRule="exact"/>
              <w:ind w:left="63" w:right="63"/>
              <w:rPr>
                <w:rFonts w:eastAsia="仿宋_GB2312"/>
                <w:color w:val="auto"/>
                <w:sz w:val="30"/>
                <w:szCs w:val="30"/>
                <w:highlight w:val="none"/>
                <w:lang w:val="en-US"/>
              </w:rPr>
            </w:pPr>
          </w:p>
        </w:tc>
        <w:tc>
          <w:tcPr>
            <w:tcW w:w="1667" w:type="dxa"/>
            <w:tcBorders>
              <w:top w:val="single" w:color="auto" w:sz="6" w:space="0"/>
              <w:left w:val="single" w:color="auto" w:sz="6" w:space="0"/>
              <w:bottom w:val="single" w:color="auto" w:sz="6" w:space="0"/>
              <w:right w:val="single" w:color="auto" w:sz="12" w:space="0"/>
            </w:tcBorders>
            <w:vAlign w:val="center"/>
          </w:tcPr>
          <w:p w14:paraId="6A30B1D4">
            <w:pPr>
              <w:pStyle w:val="74"/>
              <w:keepNext/>
              <w:spacing w:after="0" w:line="440" w:lineRule="exact"/>
              <w:ind w:left="63" w:right="63"/>
              <w:rPr>
                <w:rFonts w:eastAsia="仿宋_GB2312"/>
                <w:color w:val="auto"/>
                <w:sz w:val="30"/>
                <w:szCs w:val="30"/>
                <w:highlight w:val="none"/>
                <w:lang w:val="en-US"/>
              </w:rPr>
            </w:pPr>
          </w:p>
        </w:tc>
      </w:tr>
      <w:tr w14:paraId="01FB0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54A7FEB">
            <w:pPr>
              <w:pStyle w:val="74"/>
              <w:keepNext/>
              <w:spacing w:after="0" w:line="440" w:lineRule="exact"/>
              <w:ind w:left="63" w:right="63"/>
              <w:rPr>
                <w:rFonts w:eastAsia="仿宋_GB2312"/>
                <w:color w:val="auto"/>
                <w:sz w:val="30"/>
                <w:szCs w:val="30"/>
                <w:highlight w:val="none"/>
                <w:lang w:val="en-US"/>
              </w:rPr>
            </w:pPr>
          </w:p>
        </w:tc>
        <w:tc>
          <w:tcPr>
            <w:tcW w:w="1276" w:type="dxa"/>
            <w:tcBorders>
              <w:top w:val="single" w:color="auto" w:sz="6" w:space="0"/>
              <w:left w:val="single" w:color="auto" w:sz="6" w:space="0"/>
              <w:bottom w:val="single" w:color="auto" w:sz="6" w:space="0"/>
              <w:right w:val="single" w:color="auto" w:sz="6" w:space="0"/>
            </w:tcBorders>
            <w:vAlign w:val="center"/>
          </w:tcPr>
          <w:p w14:paraId="6FE55EF5">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595F4309">
            <w:pPr>
              <w:pStyle w:val="74"/>
              <w:keepNext/>
              <w:spacing w:after="0" w:line="440" w:lineRule="exact"/>
              <w:ind w:left="63" w:right="63"/>
              <w:rPr>
                <w:rFonts w:eastAsia="仿宋_GB2312"/>
                <w:color w:val="auto"/>
                <w:sz w:val="30"/>
                <w:szCs w:val="30"/>
                <w:highlight w:val="none"/>
                <w:lang w:val="en-US"/>
              </w:rPr>
            </w:pPr>
          </w:p>
        </w:tc>
        <w:tc>
          <w:tcPr>
            <w:tcW w:w="1243" w:type="dxa"/>
            <w:tcBorders>
              <w:top w:val="single" w:color="auto" w:sz="6" w:space="0"/>
              <w:left w:val="single" w:color="auto" w:sz="6" w:space="0"/>
              <w:bottom w:val="single" w:color="auto" w:sz="6" w:space="0"/>
              <w:right w:val="single" w:color="auto" w:sz="6" w:space="0"/>
            </w:tcBorders>
            <w:vAlign w:val="center"/>
          </w:tcPr>
          <w:p w14:paraId="7DDF08EC">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4645D9D4">
            <w:pPr>
              <w:pStyle w:val="74"/>
              <w:keepNext/>
              <w:spacing w:after="0" w:line="440" w:lineRule="exact"/>
              <w:ind w:left="63" w:right="63"/>
              <w:rPr>
                <w:rFonts w:eastAsia="仿宋_GB2312"/>
                <w:color w:val="auto"/>
                <w:sz w:val="30"/>
                <w:szCs w:val="30"/>
                <w:highlight w:val="none"/>
                <w:lang w:val="en-US"/>
              </w:rPr>
            </w:pPr>
          </w:p>
        </w:tc>
        <w:tc>
          <w:tcPr>
            <w:tcW w:w="1667" w:type="dxa"/>
            <w:tcBorders>
              <w:top w:val="single" w:color="auto" w:sz="6" w:space="0"/>
              <w:left w:val="single" w:color="auto" w:sz="6" w:space="0"/>
              <w:bottom w:val="single" w:color="auto" w:sz="6" w:space="0"/>
              <w:right w:val="single" w:color="auto" w:sz="12" w:space="0"/>
            </w:tcBorders>
            <w:vAlign w:val="center"/>
          </w:tcPr>
          <w:p w14:paraId="63AAF94E">
            <w:pPr>
              <w:pStyle w:val="74"/>
              <w:keepNext/>
              <w:spacing w:after="0" w:line="440" w:lineRule="exact"/>
              <w:ind w:left="63" w:right="63"/>
              <w:rPr>
                <w:rFonts w:eastAsia="仿宋_GB2312"/>
                <w:color w:val="auto"/>
                <w:sz w:val="30"/>
                <w:szCs w:val="30"/>
                <w:highlight w:val="none"/>
                <w:lang w:val="en-US"/>
              </w:rPr>
            </w:pPr>
          </w:p>
        </w:tc>
      </w:tr>
      <w:tr w14:paraId="2A8E9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ED5968">
            <w:pPr>
              <w:pStyle w:val="74"/>
              <w:keepNext/>
              <w:spacing w:after="0" w:line="440" w:lineRule="exact"/>
              <w:ind w:left="63" w:right="63"/>
              <w:rPr>
                <w:rFonts w:eastAsia="仿宋_GB2312"/>
                <w:color w:val="auto"/>
                <w:sz w:val="30"/>
                <w:szCs w:val="30"/>
                <w:highlight w:val="none"/>
                <w:lang w:val="en-US"/>
              </w:rPr>
            </w:pPr>
          </w:p>
        </w:tc>
        <w:tc>
          <w:tcPr>
            <w:tcW w:w="1276" w:type="dxa"/>
            <w:tcBorders>
              <w:top w:val="single" w:color="auto" w:sz="6" w:space="0"/>
              <w:left w:val="single" w:color="auto" w:sz="6" w:space="0"/>
              <w:bottom w:val="single" w:color="auto" w:sz="6" w:space="0"/>
              <w:right w:val="single" w:color="auto" w:sz="6" w:space="0"/>
            </w:tcBorders>
            <w:vAlign w:val="center"/>
          </w:tcPr>
          <w:p w14:paraId="434FC979">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260485F6">
            <w:pPr>
              <w:pStyle w:val="74"/>
              <w:keepNext/>
              <w:spacing w:after="0" w:line="440" w:lineRule="exact"/>
              <w:ind w:left="63" w:right="63"/>
              <w:rPr>
                <w:rFonts w:eastAsia="仿宋_GB2312"/>
                <w:color w:val="auto"/>
                <w:sz w:val="30"/>
                <w:szCs w:val="30"/>
                <w:highlight w:val="none"/>
                <w:lang w:val="en-US"/>
              </w:rPr>
            </w:pPr>
          </w:p>
        </w:tc>
        <w:tc>
          <w:tcPr>
            <w:tcW w:w="1243" w:type="dxa"/>
            <w:tcBorders>
              <w:top w:val="single" w:color="auto" w:sz="6" w:space="0"/>
              <w:left w:val="single" w:color="auto" w:sz="6" w:space="0"/>
              <w:bottom w:val="single" w:color="auto" w:sz="6" w:space="0"/>
              <w:right w:val="single" w:color="auto" w:sz="6" w:space="0"/>
            </w:tcBorders>
            <w:vAlign w:val="center"/>
          </w:tcPr>
          <w:p w14:paraId="0AB4CF29">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42369ED6">
            <w:pPr>
              <w:pStyle w:val="74"/>
              <w:keepNext/>
              <w:spacing w:after="0" w:line="440" w:lineRule="exact"/>
              <w:ind w:left="63" w:right="63"/>
              <w:rPr>
                <w:rFonts w:eastAsia="仿宋_GB2312"/>
                <w:color w:val="auto"/>
                <w:sz w:val="30"/>
                <w:szCs w:val="30"/>
                <w:highlight w:val="none"/>
                <w:lang w:val="en-US"/>
              </w:rPr>
            </w:pPr>
          </w:p>
        </w:tc>
        <w:tc>
          <w:tcPr>
            <w:tcW w:w="1667" w:type="dxa"/>
            <w:tcBorders>
              <w:top w:val="single" w:color="auto" w:sz="6" w:space="0"/>
              <w:left w:val="single" w:color="auto" w:sz="6" w:space="0"/>
              <w:bottom w:val="single" w:color="auto" w:sz="6" w:space="0"/>
              <w:right w:val="single" w:color="auto" w:sz="12" w:space="0"/>
            </w:tcBorders>
            <w:vAlign w:val="center"/>
          </w:tcPr>
          <w:p w14:paraId="6784CF20">
            <w:pPr>
              <w:pStyle w:val="74"/>
              <w:keepNext/>
              <w:spacing w:after="0" w:line="440" w:lineRule="exact"/>
              <w:ind w:left="63" w:right="63"/>
              <w:rPr>
                <w:rFonts w:eastAsia="仿宋_GB2312"/>
                <w:color w:val="auto"/>
                <w:sz w:val="30"/>
                <w:szCs w:val="30"/>
                <w:highlight w:val="none"/>
                <w:lang w:val="en-US"/>
              </w:rPr>
            </w:pPr>
          </w:p>
        </w:tc>
      </w:tr>
      <w:tr w14:paraId="01629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5BEE16D">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46C1C4EB">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18F34BCB">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6D45E7D7">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36671674">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665F221C">
            <w:pPr>
              <w:pStyle w:val="84"/>
              <w:ind w:firstLine="600"/>
              <w:rPr>
                <w:rFonts w:eastAsia="仿宋_GB2312"/>
                <w:color w:val="auto"/>
                <w:sz w:val="30"/>
                <w:szCs w:val="30"/>
                <w:highlight w:val="none"/>
              </w:rPr>
            </w:pPr>
          </w:p>
        </w:tc>
      </w:tr>
      <w:tr w14:paraId="67467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21D8AAA">
            <w:pPr>
              <w:pStyle w:val="74"/>
              <w:keepNext/>
              <w:spacing w:after="0" w:line="440" w:lineRule="exact"/>
              <w:ind w:left="63" w:right="63"/>
              <w:rPr>
                <w:rFonts w:eastAsia="仿宋_GB2312"/>
                <w:color w:val="auto"/>
                <w:sz w:val="30"/>
                <w:szCs w:val="30"/>
                <w:highlight w:val="none"/>
                <w:lang w:val="en-US"/>
              </w:rPr>
            </w:pPr>
          </w:p>
        </w:tc>
        <w:tc>
          <w:tcPr>
            <w:tcW w:w="1276" w:type="dxa"/>
            <w:tcBorders>
              <w:top w:val="single" w:color="auto" w:sz="6" w:space="0"/>
              <w:left w:val="single" w:color="auto" w:sz="6" w:space="0"/>
              <w:bottom w:val="single" w:color="auto" w:sz="6" w:space="0"/>
              <w:right w:val="single" w:color="auto" w:sz="6" w:space="0"/>
            </w:tcBorders>
            <w:vAlign w:val="center"/>
          </w:tcPr>
          <w:p w14:paraId="66184040">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3D4C4286">
            <w:pPr>
              <w:pStyle w:val="74"/>
              <w:keepNext/>
              <w:spacing w:after="0" w:line="440" w:lineRule="exact"/>
              <w:ind w:left="63" w:right="63"/>
              <w:rPr>
                <w:rFonts w:eastAsia="仿宋_GB2312"/>
                <w:color w:val="auto"/>
                <w:sz w:val="30"/>
                <w:szCs w:val="30"/>
                <w:highlight w:val="none"/>
                <w:lang w:val="en-US"/>
              </w:rPr>
            </w:pPr>
          </w:p>
        </w:tc>
        <w:tc>
          <w:tcPr>
            <w:tcW w:w="1243" w:type="dxa"/>
            <w:tcBorders>
              <w:top w:val="single" w:color="auto" w:sz="6" w:space="0"/>
              <w:left w:val="single" w:color="auto" w:sz="6" w:space="0"/>
              <w:bottom w:val="single" w:color="auto" w:sz="6" w:space="0"/>
              <w:right w:val="single" w:color="auto" w:sz="6" w:space="0"/>
            </w:tcBorders>
            <w:vAlign w:val="center"/>
          </w:tcPr>
          <w:p w14:paraId="314A75F9">
            <w:pPr>
              <w:pStyle w:val="74"/>
              <w:keepNext/>
              <w:spacing w:after="0" w:line="440" w:lineRule="exact"/>
              <w:ind w:left="63" w:right="63"/>
              <w:rPr>
                <w:rFonts w:eastAsia="仿宋_GB2312"/>
                <w:color w:val="auto"/>
                <w:sz w:val="30"/>
                <w:szCs w:val="30"/>
                <w:highlight w:val="none"/>
                <w:lang w:val="en-US"/>
              </w:rPr>
            </w:pPr>
          </w:p>
        </w:tc>
        <w:tc>
          <w:tcPr>
            <w:tcW w:w="1450" w:type="dxa"/>
            <w:tcBorders>
              <w:top w:val="single" w:color="auto" w:sz="6" w:space="0"/>
              <w:left w:val="single" w:color="auto" w:sz="6" w:space="0"/>
              <w:bottom w:val="single" w:color="auto" w:sz="6" w:space="0"/>
              <w:right w:val="single" w:color="auto" w:sz="6" w:space="0"/>
            </w:tcBorders>
            <w:vAlign w:val="center"/>
          </w:tcPr>
          <w:p w14:paraId="0391C40E">
            <w:pPr>
              <w:pStyle w:val="74"/>
              <w:keepNext/>
              <w:spacing w:after="0" w:line="440" w:lineRule="exact"/>
              <w:ind w:left="63" w:right="63"/>
              <w:rPr>
                <w:rFonts w:eastAsia="仿宋_GB2312"/>
                <w:color w:val="auto"/>
                <w:sz w:val="30"/>
                <w:szCs w:val="30"/>
                <w:highlight w:val="none"/>
                <w:lang w:val="en-US"/>
              </w:rPr>
            </w:pPr>
          </w:p>
        </w:tc>
        <w:tc>
          <w:tcPr>
            <w:tcW w:w="1667" w:type="dxa"/>
            <w:tcBorders>
              <w:top w:val="single" w:color="auto" w:sz="6" w:space="0"/>
              <w:left w:val="single" w:color="auto" w:sz="6" w:space="0"/>
              <w:bottom w:val="single" w:color="auto" w:sz="6" w:space="0"/>
              <w:right w:val="single" w:color="auto" w:sz="12" w:space="0"/>
            </w:tcBorders>
            <w:vAlign w:val="center"/>
          </w:tcPr>
          <w:p w14:paraId="343BA45C">
            <w:pPr>
              <w:pStyle w:val="74"/>
              <w:keepNext/>
              <w:spacing w:after="0" w:line="440" w:lineRule="exact"/>
              <w:ind w:left="63" w:right="63"/>
              <w:rPr>
                <w:rFonts w:eastAsia="仿宋_GB2312"/>
                <w:color w:val="auto"/>
                <w:sz w:val="30"/>
                <w:szCs w:val="30"/>
                <w:highlight w:val="none"/>
                <w:lang w:val="en-US"/>
              </w:rPr>
            </w:pPr>
          </w:p>
        </w:tc>
      </w:tr>
      <w:tr w14:paraId="5CD0B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1ADB729">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6450A5FC">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525BFBF3">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4FCAC9BB">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48AB6FB5">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60485EC2">
            <w:pPr>
              <w:pStyle w:val="84"/>
              <w:ind w:firstLine="600"/>
              <w:rPr>
                <w:rFonts w:eastAsia="仿宋_GB2312"/>
                <w:color w:val="auto"/>
                <w:sz w:val="30"/>
                <w:szCs w:val="30"/>
                <w:highlight w:val="none"/>
              </w:rPr>
            </w:pPr>
          </w:p>
        </w:tc>
      </w:tr>
      <w:tr w14:paraId="0F41B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3F0FB3">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62AEC920">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3EA084F5">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22033E81">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52DE85FF">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30BC9D68">
            <w:pPr>
              <w:pStyle w:val="84"/>
              <w:ind w:firstLine="600"/>
              <w:rPr>
                <w:rFonts w:eastAsia="仿宋_GB2312"/>
                <w:color w:val="auto"/>
                <w:sz w:val="30"/>
                <w:szCs w:val="30"/>
                <w:highlight w:val="none"/>
              </w:rPr>
            </w:pPr>
          </w:p>
        </w:tc>
      </w:tr>
      <w:tr w14:paraId="12292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267556B">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5D99F231">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088A48BA">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73107FA4">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63600E6B">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0DE5BF7D">
            <w:pPr>
              <w:pStyle w:val="84"/>
              <w:ind w:firstLine="600"/>
              <w:rPr>
                <w:rFonts w:eastAsia="仿宋_GB2312"/>
                <w:color w:val="auto"/>
                <w:sz w:val="30"/>
                <w:szCs w:val="30"/>
                <w:highlight w:val="none"/>
              </w:rPr>
            </w:pPr>
          </w:p>
        </w:tc>
      </w:tr>
      <w:tr w14:paraId="762D8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D4ED4A8">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651B1FEB">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51B07E20">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04EC7E41">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352DBD7F">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6140A9DA">
            <w:pPr>
              <w:pStyle w:val="84"/>
              <w:ind w:firstLine="600"/>
              <w:rPr>
                <w:rFonts w:eastAsia="仿宋_GB2312"/>
                <w:color w:val="auto"/>
                <w:sz w:val="30"/>
                <w:szCs w:val="30"/>
                <w:highlight w:val="none"/>
              </w:rPr>
            </w:pPr>
          </w:p>
        </w:tc>
      </w:tr>
      <w:tr w14:paraId="00CDC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A96C7EF">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3ADCF73D">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2B12EFCF">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334D4F64">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629BBEB7">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211CE341">
            <w:pPr>
              <w:pStyle w:val="84"/>
              <w:ind w:firstLine="600"/>
              <w:rPr>
                <w:rFonts w:eastAsia="仿宋_GB2312"/>
                <w:color w:val="auto"/>
                <w:sz w:val="30"/>
                <w:szCs w:val="30"/>
                <w:highlight w:val="none"/>
              </w:rPr>
            </w:pPr>
          </w:p>
        </w:tc>
      </w:tr>
      <w:tr w14:paraId="77B31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0FCA58C">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3EB234AC">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403E5FE6">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1043D9F8">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57789BF4">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3D2E71E7">
            <w:pPr>
              <w:pStyle w:val="84"/>
              <w:ind w:firstLine="600"/>
              <w:rPr>
                <w:rFonts w:eastAsia="仿宋_GB2312"/>
                <w:color w:val="auto"/>
                <w:sz w:val="30"/>
                <w:szCs w:val="30"/>
                <w:highlight w:val="none"/>
              </w:rPr>
            </w:pPr>
          </w:p>
        </w:tc>
      </w:tr>
      <w:tr w14:paraId="64E76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2371526">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2A275AEB">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3524CCFD">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1ED274A1">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5B65034F">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66218DA6">
            <w:pPr>
              <w:pStyle w:val="84"/>
              <w:ind w:firstLine="600"/>
              <w:rPr>
                <w:rFonts w:eastAsia="仿宋_GB2312"/>
                <w:color w:val="auto"/>
                <w:sz w:val="30"/>
                <w:szCs w:val="30"/>
                <w:highlight w:val="none"/>
              </w:rPr>
            </w:pPr>
          </w:p>
        </w:tc>
      </w:tr>
      <w:tr w14:paraId="52A6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4B54291">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6" w:space="0"/>
              <w:right w:val="single" w:color="auto" w:sz="6" w:space="0"/>
            </w:tcBorders>
          </w:tcPr>
          <w:p w14:paraId="011132F7">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40BF4488">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6" w:space="0"/>
              <w:right w:val="single" w:color="auto" w:sz="6" w:space="0"/>
            </w:tcBorders>
          </w:tcPr>
          <w:p w14:paraId="1F174443">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6" w:space="0"/>
              <w:right w:val="single" w:color="auto" w:sz="6" w:space="0"/>
            </w:tcBorders>
          </w:tcPr>
          <w:p w14:paraId="2E0F62C4">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6" w:space="0"/>
              <w:right w:val="single" w:color="auto" w:sz="12" w:space="0"/>
            </w:tcBorders>
          </w:tcPr>
          <w:p w14:paraId="33344158">
            <w:pPr>
              <w:pStyle w:val="84"/>
              <w:ind w:firstLine="600"/>
              <w:rPr>
                <w:rFonts w:eastAsia="仿宋_GB2312"/>
                <w:color w:val="auto"/>
                <w:sz w:val="30"/>
                <w:szCs w:val="30"/>
                <w:highlight w:val="none"/>
              </w:rPr>
            </w:pPr>
          </w:p>
        </w:tc>
      </w:tr>
      <w:tr w14:paraId="67DFA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5A8A8CAD">
            <w:pPr>
              <w:pStyle w:val="84"/>
              <w:ind w:firstLine="600"/>
              <w:rPr>
                <w:rFonts w:eastAsia="仿宋_GB2312"/>
                <w:color w:val="auto"/>
                <w:sz w:val="30"/>
                <w:szCs w:val="30"/>
                <w:highlight w:val="none"/>
              </w:rPr>
            </w:pPr>
          </w:p>
        </w:tc>
        <w:tc>
          <w:tcPr>
            <w:tcW w:w="1276" w:type="dxa"/>
            <w:tcBorders>
              <w:top w:val="single" w:color="auto" w:sz="6" w:space="0"/>
              <w:left w:val="single" w:color="auto" w:sz="6" w:space="0"/>
              <w:bottom w:val="single" w:color="auto" w:sz="12" w:space="0"/>
              <w:right w:val="single" w:color="auto" w:sz="6" w:space="0"/>
            </w:tcBorders>
          </w:tcPr>
          <w:p w14:paraId="6E887172">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12" w:space="0"/>
              <w:right w:val="single" w:color="auto" w:sz="6" w:space="0"/>
            </w:tcBorders>
          </w:tcPr>
          <w:p w14:paraId="0041BB71">
            <w:pPr>
              <w:pStyle w:val="84"/>
              <w:ind w:firstLine="600"/>
              <w:rPr>
                <w:rFonts w:eastAsia="仿宋_GB2312"/>
                <w:color w:val="auto"/>
                <w:sz w:val="30"/>
                <w:szCs w:val="30"/>
                <w:highlight w:val="none"/>
              </w:rPr>
            </w:pPr>
          </w:p>
        </w:tc>
        <w:tc>
          <w:tcPr>
            <w:tcW w:w="1243" w:type="dxa"/>
            <w:tcBorders>
              <w:top w:val="single" w:color="auto" w:sz="6" w:space="0"/>
              <w:left w:val="single" w:color="auto" w:sz="6" w:space="0"/>
              <w:bottom w:val="single" w:color="auto" w:sz="12" w:space="0"/>
              <w:right w:val="single" w:color="auto" w:sz="6" w:space="0"/>
            </w:tcBorders>
          </w:tcPr>
          <w:p w14:paraId="5B7D8829">
            <w:pPr>
              <w:pStyle w:val="84"/>
              <w:ind w:firstLine="600"/>
              <w:rPr>
                <w:rFonts w:eastAsia="仿宋_GB2312"/>
                <w:color w:val="auto"/>
                <w:sz w:val="30"/>
                <w:szCs w:val="30"/>
                <w:highlight w:val="none"/>
              </w:rPr>
            </w:pPr>
          </w:p>
        </w:tc>
        <w:tc>
          <w:tcPr>
            <w:tcW w:w="1450" w:type="dxa"/>
            <w:tcBorders>
              <w:top w:val="single" w:color="auto" w:sz="6" w:space="0"/>
              <w:left w:val="single" w:color="auto" w:sz="6" w:space="0"/>
              <w:bottom w:val="single" w:color="auto" w:sz="12" w:space="0"/>
              <w:right w:val="single" w:color="auto" w:sz="6" w:space="0"/>
            </w:tcBorders>
          </w:tcPr>
          <w:p w14:paraId="575DEB7E">
            <w:pPr>
              <w:pStyle w:val="84"/>
              <w:ind w:firstLine="600"/>
              <w:rPr>
                <w:rFonts w:eastAsia="仿宋_GB2312"/>
                <w:color w:val="auto"/>
                <w:sz w:val="30"/>
                <w:szCs w:val="30"/>
                <w:highlight w:val="none"/>
              </w:rPr>
            </w:pPr>
          </w:p>
        </w:tc>
        <w:tc>
          <w:tcPr>
            <w:tcW w:w="1667" w:type="dxa"/>
            <w:tcBorders>
              <w:top w:val="single" w:color="auto" w:sz="6" w:space="0"/>
              <w:left w:val="single" w:color="auto" w:sz="6" w:space="0"/>
              <w:bottom w:val="single" w:color="auto" w:sz="12" w:space="0"/>
              <w:right w:val="single" w:color="auto" w:sz="12" w:space="0"/>
            </w:tcBorders>
          </w:tcPr>
          <w:p w14:paraId="4483A674">
            <w:pPr>
              <w:pStyle w:val="84"/>
              <w:ind w:firstLine="600"/>
              <w:rPr>
                <w:rFonts w:eastAsia="仿宋_GB2312"/>
                <w:color w:val="auto"/>
                <w:sz w:val="30"/>
                <w:szCs w:val="30"/>
                <w:highlight w:val="none"/>
              </w:rPr>
            </w:pPr>
          </w:p>
        </w:tc>
      </w:tr>
    </w:tbl>
    <w:p w14:paraId="575408FD">
      <w:pPr>
        <w:pStyle w:val="84"/>
        <w:spacing w:line="440" w:lineRule="exact"/>
        <w:ind w:firstLine="600"/>
        <w:rPr>
          <w:rFonts w:eastAsia="仿宋_GB2312"/>
          <w:color w:val="auto"/>
          <w:sz w:val="30"/>
          <w:szCs w:val="30"/>
          <w:highlight w:val="none"/>
        </w:rPr>
      </w:pPr>
    </w:p>
    <w:p w14:paraId="55E1A576">
      <w:pPr>
        <w:pStyle w:val="84"/>
        <w:spacing w:line="440" w:lineRule="exact"/>
        <w:ind w:firstLine="600"/>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28"/>
          <w:szCs w:val="28"/>
          <w:highlight w:val="none"/>
        </w:rPr>
        <w:t>附件</w:t>
      </w:r>
      <w:r>
        <w:rPr>
          <w:rFonts w:eastAsia="仿宋_GB2312"/>
          <w:color w:val="auto"/>
          <w:sz w:val="28"/>
          <w:szCs w:val="28"/>
          <w:highlight w:val="none"/>
        </w:rPr>
        <w:t>4</w:t>
      </w:r>
      <w:r>
        <w:rPr>
          <w:rFonts w:hint="eastAsia" w:eastAsia="仿宋_GB2312" w:cs="仿宋_GB2312"/>
          <w:color w:val="auto"/>
          <w:sz w:val="30"/>
          <w:szCs w:val="30"/>
          <w:highlight w:val="none"/>
        </w:rPr>
        <w:t>：</w:t>
      </w:r>
    </w:p>
    <w:p w14:paraId="4F5F6BDB">
      <w:pPr>
        <w:pStyle w:val="84"/>
        <w:spacing w:before="120" w:beforeLines="50" w:after="120" w:afterLines="50" w:line="440" w:lineRule="exact"/>
        <w:ind w:firstLine="600"/>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32"/>
        <w:gridCol w:w="1262"/>
        <w:gridCol w:w="756"/>
        <w:gridCol w:w="941"/>
        <w:gridCol w:w="784"/>
        <w:gridCol w:w="908"/>
        <w:gridCol w:w="1316"/>
        <w:gridCol w:w="908"/>
        <w:gridCol w:w="819"/>
      </w:tblGrid>
      <w:tr w14:paraId="1151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2" w:type="pct"/>
            <w:tcBorders>
              <w:top w:val="single" w:color="auto" w:sz="4" w:space="0"/>
              <w:left w:val="single" w:color="auto" w:sz="4" w:space="0"/>
              <w:bottom w:val="single" w:color="auto" w:sz="4" w:space="0"/>
              <w:right w:val="single" w:color="auto" w:sz="4" w:space="0"/>
            </w:tcBorders>
            <w:vAlign w:val="center"/>
          </w:tcPr>
          <w:p w14:paraId="68BC2990">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序号</w:t>
            </w:r>
          </w:p>
        </w:tc>
        <w:tc>
          <w:tcPr>
            <w:tcW w:w="723" w:type="pct"/>
            <w:tcBorders>
              <w:top w:val="single" w:color="auto" w:sz="4" w:space="0"/>
              <w:left w:val="single" w:color="auto" w:sz="4" w:space="0"/>
              <w:bottom w:val="single" w:color="auto" w:sz="4" w:space="0"/>
              <w:right w:val="single" w:color="auto" w:sz="4" w:space="0"/>
            </w:tcBorders>
            <w:vAlign w:val="center"/>
          </w:tcPr>
          <w:p w14:paraId="7C5606F3">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机械或设备名称</w:t>
            </w:r>
          </w:p>
        </w:tc>
        <w:tc>
          <w:tcPr>
            <w:tcW w:w="433" w:type="pct"/>
            <w:tcBorders>
              <w:top w:val="single" w:color="auto" w:sz="4" w:space="0"/>
              <w:left w:val="single" w:color="auto" w:sz="4" w:space="0"/>
              <w:bottom w:val="single" w:color="auto" w:sz="4" w:space="0"/>
              <w:right w:val="single" w:color="auto" w:sz="4" w:space="0"/>
            </w:tcBorders>
            <w:vAlign w:val="center"/>
          </w:tcPr>
          <w:p w14:paraId="028A5B31">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规格型号</w:t>
            </w:r>
          </w:p>
        </w:tc>
        <w:tc>
          <w:tcPr>
            <w:tcW w:w="539" w:type="pct"/>
            <w:tcBorders>
              <w:top w:val="single" w:color="auto" w:sz="4" w:space="0"/>
              <w:left w:val="single" w:color="auto" w:sz="4" w:space="0"/>
              <w:bottom w:val="single" w:color="auto" w:sz="4" w:space="0"/>
              <w:right w:val="single" w:color="auto" w:sz="4" w:space="0"/>
            </w:tcBorders>
            <w:vAlign w:val="center"/>
          </w:tcPr>
          <w:p w14:paraId="3ECCE55A">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数量</w:t>
            </w:r>
          </w:p>
        </w:tc>
        <w:tc>
          <w:tcPr>
            <w:tcW w:w="449" w:type="pct"/>
            <w:tcBorders>
              <w:top w:val="single" w:color="auto" w:sz="4" w:space="0"/>
              <w:left w:val="single" w:color="auto" w:sz="4" w:space="0"/>
              <w:bottom w:val="single" w:color="auto" w:sz="4" w:space="0"/>
              <w:right w:val="single" w:color="auto" w:sz="4" w:space="0"/>
            </w:tcBorders>
            <w:vAlign w:val="center"/>
          </w:tcPr>
          <w:p w14:paraId="03BB7CED">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产地</w:t>
            </w:r>
          </w:p>
        </w:tc>
        <w:tc>
          <w:tcPr>
            <w:tcW w:w="520" w:type="pct"/>
            <w:tcBorders>
              <w:top w:val="single" w:color="auto" w:sz="4" w:space="0"/>
              <w:left w:val="single" w:color="auto" w:sz="4" w:space="0"/>
              <w:bottom w:val="single" w:color="auto" w:sz="4" w:space="0"/>
              <w:right w:val="single" w:color="auto" w:sz="4" w:space="0"/>
            </w:tcBorders>
            <w:vAlign w:val="center"/>
          </w:tcPr>
          <w:p w14:paraId="6BC8ED3B">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制造年份</w:t>
            </w:r>
          </w:p>
        </w:tc>
        <w:tc>
          <w:tcPr>
            <w:tcW w:w="754" w:type="pct"/>
            <w:tcBorders>
              <w:top w:val="single" w:color="auto" w:sz="4" w:space="0"/>
              <w:left w:val="single" w:color="auto" w:sz="4" w:space="0"/>
              <w:bottom w:val="single" w:color="auto" w:sz="4" w:space="0"/>
              <w:right w:val="single" w:color="auto" w:sz="4" w:space="0"/>
            </w:tcBorders>
            <w:vAlign w:val="center"/>
          </w:tcPr>
          <w:p w14:paraId="1B3B4230">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额定功率（</w:t>
            </w:r>
            <w:r>
              <w:rPr>
                <w:rFonts w:eastAsia="仿宋_GB2312"/>
                <w:color w:val="auto"/>
                <w:sz w:val="28"/>
                <w:szCs w:val="28"/>
                <w:highlight w:val="none"/>
                <w:lang w:val="en-US"/>
              </w:rPr>
              <w:t>kW</w:t>
            </w:r>
            <w:r>
              <w:rPr>
                <w:rFonts w:hint="eastAsia" w:eastAsia="仿宋_GB2312" w:cs="仿宋_GB2312"/>
                <w:color w:val="auto"/>
                <w:sz w:val="28"/>
                <w:szCs w:val="28"/>
                <w:highlight w:val="none"/>
                <w:lang w:val="en-US"/>
              </w:rPr>
              <w:t>）</w:t>
            </w:r>
          </w:p>
        </w:tc>
        <w:tc>
          <w:tcPr>
            <w:tcW w:w="520" w:type="pct"/>
            <w:tcBorders>
              <w:top w:val="single" w:color="auto" w:sz="4" w:space="0"/>
              <w:left w:val="single" w:color="auto" w:sz="4" w:space="0"/>
              <w:bottom w:val="single" w:color="auto" w:sz="4" w:space="0"/>
              <w:right w:val="single" w:color="auto" w:sz="4" w:space="0"/>
            </w:tcBorders>
            <w:vAlign w:val="center"/>
          </w:tcPr>
          <w:p w14:paraId="0E1CED81">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生产能力</w:t>
            </w:r>
          </w:p>
        </w:tc>
        <w:tc>
          <w:tcPr>
            <w:tcW w:w="469" w:type="pct"/>
            <w:tcBorders>
              <w:top w:val="single" w:color="auto" w:sz="4" w:space="0"/>
              <w:left w:val="single" w:color="auto" w:sz="4" w:space="0"/>
              <w:bottom w:val="single" w:color="auto" w:sz="4" w:space="0"/>
              <w:right w:val="single" w:color="auto" w:sz="4" w:space="0"/>
            </w:tcBorders>
            <w:vAlign w:val="center"/>
          </w:tcPr>
          <w:p w14:paraId="61D48B3E">
            <w:pPr>
              <w:pStyle w:val="74"/>
              <w:keepNext/>
              <w:spacing w:after="0" w:line="440" w:lineRule="exact"/>
              <w:ind w:left="63" w:right="63"/>
              <w:rPr>
                <w:rFonts w:eastAsia="仿宋_GB2312"/>
                <w:color w:val="auto"/>
                <w:sz w:val="28"/>
                <w:szCs w:val="28"/>
                <w:highlight w:val="none"/>
                <w:lang w:val="en-US"/>
              </w:rPr>
            </w:pPr>
            <w:r>
              <w:rPr>
                <w:rFonts w:hint="eastAsia" w:eastAsia="仿宋_GB2312" w:cs="仿宋_GB2312"/>
                <w:color w:val="auto"/>
                <w:sz w:val="28"/>
                <w:szCs w:val="28"/>
                <w:highlight w:val="none"/>
                <w:lang w:val="en-US"/>
              </w:rPr>
              <w:t>备注</w:t>
            </w:r>
          </w:p>
        </w:tc>
      </w:tr>
      <w:tr w14:paraId="7824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39F3C7F5">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4575F6A4">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37CCE5B7">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13BE055B">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33731062">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24EA22E5">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648D414A">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6DCC1E4B">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5EBBB6EE">
            <w:pPr>
              <w:pStyle w:val="74"/>
              <w:keepNext/>
              <w:spacing w:after="0" w:line="440" w:lineRule="exact"/>
              <w:ind w:left="63" w:right="63"/>
              <w:rPr>
                <w:rFonts w:eastAsia="仿宋_GB2312"/>
                <w:color w:val="auto"/>
                <w:sz w:val="30"/>
                <w:szCs w:val="30"/>
                <w:highlight w:val="none"/>
                <w:lang w:val="en-US"/>
              </w:rPr>
            </w:pPr>
          </w:p>
        </w:tc>
      </w:tr>
      <w:tr w14:paraId="37A9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2FC4CEEB">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20B8B3B0">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4CB8873A">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366530B2">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0C1CDF37">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3C211BEA">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349F133E">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08B57A0A">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77B70194">
            <w:pPr>
              <w:pStyle w:val="74"/>
              <w:keepNext/>
              <w:spacing w:after="0" w:line="440" w:lineRule="exact"/>
              <w:ind w:left="63" w:right="63"/>
              <w:rPr>
                <w:rFonts w:eastAsia="仿宋_GB2312"/>
                <w:color w:val="auto"/>
                <w:sz w:val="30"/>
                <w:szCs w:val="30"/>
                <w:highlight w:val="none"/>
                <w:lang w:val="en-US"/>
              </w:rPr>
            </w:pPr>
          </w:p>
        </w:tc>
      </w:tr>
      <w:tr w14:paraId="0F4A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33D5B7E6">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41DC0486">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65ACB7BF">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10ECABA8">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25F6DE4E">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35C69A0C">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15A687D9">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7B3DC4F0">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6BACA18F">
            <w:pPr>
              <w:pStyle w:val="74"/>
              <w:keepNext/>
              <w:spacing w:after="0" w:line="440" w:lineRule="exact"/>
              <w:ind w:left="63" w:right="63"/>
              <w:rPr>
                <w:rFonts w:eastAsia="仿宋_GB2312"/>
                <w:color w:val="auto"/>
                <w:sz w:val="30"/>
                <w:szCs w:val="30"/>
                <w:highlight w:val="none"/>
                <w:lang w:val="en-US"/>
              </w:rPr>
            </w:pPr>
          </w:p>
        </w:tc>
      </w:tr>
      <w:tr w14:paraId="7334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08DFE130">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226E2C8B">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05022C22">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4E9DDE06">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121FEAF0">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1E3472C8">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2A70ED19">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522C3A8D">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2513DD7A">
            <w:pPr>
              <w:pStyle w:val="74"/>
              <w:keepNext/>
              <w:spacing w:after="0" w:line="440" w:lineRule="exact"/>
              <w:ind w:left="63" w:right="63"/>
              <w:rPr>
                <w:rFonts w:eastAsia="仿宋_GB2312"/>
                <w:color w:val="auto"/>
                <w:sz w:val="30"/>
                <w:szCs w:val="30"/>
                <w:highlight w:val="none"/>
                <w:lang w:val="en-US"/>
              </w:rPr>
            </w:pPr>
          </w:p>
        </w:tc>
      </w:tr>
      <w:tr w14:paraId="4BB2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741AF4F6">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1F58CDCF">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3B96F68A">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2F4CC010">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096B7902">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35497F1F">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3D1EAFE0">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22CD55EF">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40C9EE4C">
            <w:pPr>
              <w:pStyle w:val="74"/>
              <w:keepNext/>
              <w:spacing w:after="0" w:line="440" w:lineRule="exact"/>
              <w:ind w:left="63" w:right="63"/>
              <w:rPr>
                <w:rFonts w:eastAsia="仿宋_GB2312"/>
                <w:color w:val="auto"/>
                <w:sz w:val="30"/>
                <w:szCs w:val="30"/>
                <w:highlight w:val="none"/>
                <w:lang w:val="en-US"/>
              </w:rPr>
            </w:pPr>
          </w:p>
        </w:tc>
      </w:tr>
      <w:tr w14:paraId="2386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7245BEB8">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62E30D75">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55878AB7">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2A84CBF0">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753823F8">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54FDABD5">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03283135">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2F179382">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74CBBA5F">
            <w:pPr>
              <w:pStyle w:val="74"/>
              <w:keepNext/>
              <w:spacing w:after="0" w:line="440" w:lineRule="exact"/>
              <w:ind w:left="63" w:right="63"/>
              <w:rPr>
                <w:rFonts w:eastAsia="仿宋_GB2312"/>
                <w:color w:val="auto"/>
                <w:sz w:val="30"/>
                <w:szCs w:val="30"/>
                <w:highlight w:val="none"/>
                <w:lang w:val="en-US"/>
              </w:rPr>
            </w:pPr>
          </w:p>
        </w:tc>
      </w:tr>
      <w:tr w14:paraId="3E6B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1C4182A9">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10AF70C2">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478BB840">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138FE575">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1912A4F9">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0472A11D">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41C1852D">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3264A5FA">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33D78224">
            <w:pPr>
              <w:pStyle w:val="74"/>
              <w:keepNext/>
              <w:spacing w:after="0" w:line="440" w:lineRule="exact"/>
              <w:ind w:left="63" w:right="63"/>
              <w:rPr>
                <w:rFonts w:eastAsia="仿宋_GB2312"/>
                <w:color w:val="auto"/>
                <w:sz w:val="30"/>
                <w:szCs w:val="30"/>
                <w:highlight w:val="none"/>
                <w:lang w:val="en-US"/>
              </w:rPr>
            </w:pPr>
          </w:p>
        </w:tc>
      </w:tr>
      <w:tr w14:paraId="066F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0CBC4AD1">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12CB4E91">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6586F58C">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718CDDAF">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72F9A437">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15FA425B">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085E2AB9">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1B3F188F">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47F84545">
            <w:pPr>
              <w:pStyle w:val="74"/>
              <w:keepNext/>
              <w:spacing w:after="0" w:line="440" w:lineRule="exact"/>
              <w:ind w:left="63" w:right="63"/>
              <w:rPr>
                <w:rFonts w:eastAsia="仿宋_GB2312"/>
                <w:color w:val="auto"/>
                <w:sz w:val="30"/>
                <w:szCs w:val="30"/>
                <w:highlight w:val="none"/>
                <w:lang w:val="en-US"/>
              </w:rPr>
            </w:pPr>
          </w:p>
        </w:tc>
      </w:tr>
      <w:tr w14:paraId="13C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423D559E">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092FA01A">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2D5A230B">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0C9FCDFC">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6326D789">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7C77BDBA">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647683A9">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3840128D">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0B2EDECE">
            <w:pPr>
              <w:pStyle w:val="84"/>
              <w:ind w:firstLine="600"/>
              <w:rPr>
                <w:rFonts w:eastAsia="仿宋_GB2312"/>
                <w:color w:val="auto"/>
                <w:sz w:val="30"/>
                <w:szCs w:val="30"/>
                <w:highlight w:val="none"/>
              </w:rPr>
            </w:pPr>
          </w:p>
        </w:tc>
      </w:tr>
      <w:tr w14:paraId="1A94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591A8B05">
            <w:pPr>
              <w:pStyle w:val="74"/>
              <w:keepNext/>
              <w:spacing w:after="0" w:line="440" w:lineRule="exact"/>
              <w:ind w:left="63" w:right="63"/>
              <w:rPr>
                <w:rFonts w:eastAsia="仿宋_GB2312"/>
                <w:color w:val="auto"/>
                <w:sz w:val="30"/>
                <w:szCs w:val="30"/>
                <w:highlight w:val="none"/>
                <w:lang w:val="en-US"/>
              </w:rPr>
            </w:pPr>
          </w:p>
        </w:tc>
        <w:tc>
          <w:tcPr>
            <w:tcW w:w="723" w:type="pct"/>
            <w:tcBorders>
              <w:top w:val="single" w:color="auto" w:sz="4" w:space="0"/>
              <w:left w:val="single" w:color="auto" w:sz="4" w:space="0"/>
              <w:bottom w:val="single" w:color="auto" w:sz="4" w:space="0"/>
              <w:right w:val="single" w:color="auto" w:sz="4" w:space="0"/>
            </w:tcBorders>
            <w:vAlign w:val="center"/>
          </w:tcPr>
          <w:p w14:paraId="37895AAA">
            <w:pPr>
              <w:pStyle w:val="74"/>
              <w:keepNext/>
              <w:spacing w:after="0" w:line="440" w:lineRule="exact"/>
              <w:ind w:left="63" w:right="63"/>
              <w:rPr>
                <w:rFonts w:eastAsia="仿宋_GB2312"/>
                <w:color w:val="auto"/>
                <w:sz w:val="30"/>
                <w:szCs w:val="30"/>
                <w:highlight w:val="none"/>
                <w:lang w:val="en-US"/>
              </w:rPr>
            </w:pPr>
          </w:p>
        </w:tc>
        <w:tc>
          <w:tcPr>
            <w:tcW w:w="433" w:type="pct"/>
            <w:tcBorders>
              <w:top w:val="single" w:color="auto" w:sz="4" w:space="0"/>
              <w:left w:val="single" w:color="auto" w:sz="4" w:space="0"/>
              <w:bottom w:val="single" w:color="auto" w:sz="4" w:space="0"/>
              <w:right w:val="single" w:color="auto" w:sz="4" w:space="0"/>
            </w:tcBorders>
            <w:vAlign w:val="center"/>
          </w:tcPr>
          <w:p w14:paraId="74DFD2EB">
            <w:pPr>
              <w:pStyle w:val="74"/>
              <w:keepNext/>
              <w:spacing w:after="0" w:line="440" w:lineRule="exact"/>
              <w:ind w:left="63" w:right="63"/>
              <w:rPr>
                <w:rFonts w:eastAsia="仿宋_GB2312"/>
                <w:color w:val="auto"/>
                <w:sz w:val="30"/>
                <w:szCs w:val="30"/>
                <w:highlight w:val="none"/>
                <w:lang w:val="en-US"/>
              </w:rPr>
            </w:pPr>
          </w:p>
        </w:tc>
        <w:tc>
          <w:tcPr>
            <w:tcW w:w="539" w:type="pct"/>
            <w:tcBorders>
              <w:top w:val="single" w:color="auto" w:sz="4" w:space="0"/>
              <w:left w:val="single" w:color="auto" w:sz="4" w:space="0"/>
              <w:bottom w:val="single" w:color="auto" w:sz="4" w:space="0"/>
              <w:right w:val="single" w:color="auto" w:sz="4" w:space="0"/>
            </w:tcBorders>
            <w:vAlign w:val="center"/>
          </w:tcPr>
          <w:p w14:paraId="7AEB47CE">
            <w:pPr>
              <w:pStyle w:val="74"/>
              <w:keepNext/>
              <w:spacing w:after="0" w:line="440" w:lineRule="exact"/>
              <w:ind w:left="63" w:right="63"/>
              <w:rPr>
                <w:rFonts w:eastAsia="仿宋_GB2312"/>
                <w:color w:val="auto"/>
                <w:sz w:val="30"/>
                <w:szCs w:val="30"/>
                <w:highlight w:val="none"/>
                <w:lang w:val="en-US"/>
              </w:rPr>
            </w:pPr>
          </w:p>
        </w:tc>
        <w:tc>
          <w:tcPr>
            <w:tcW w:w="449" w:type="pct"/>
            <w:tcBorders>
              <w:top w:val="single" w:color="auto" w:sz="4" w:space="0"/>
              <w:left w:val="single" w:color="auto" w:sz="4" w:space="0"/>
              <w:bottom w:val="single" w:color="auto" w:sz="4" w:space="0"/>
              <w:right w:val="single" w:color="auto" w:sz="4" w:space="0"/>
            </w:tcBorders>
            <w:vAlign w:val="center"/>
          </w:tcPr>
          <w:p w14:paraId="65B4F5EF">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099BBFB5">
            <w:pPr>
              <w:pStyle w:val="74"/>
              <w:keepNext/>
              <w:spacing w:after="0" w:line="440" w:lineRule="exact"/>
              <w:ind w:left="63" w:right="63"/>
              <w:rPr>
                <w:rFonts w:eastAsia="仿宋_GB2312"/>
                <w:color w:val="auto"/>
                <w:sz w:val="30"/>
                <w:szCs w:val="30"/>
                <w:highlight w:val="none"/>
                <w:lang w:val="en-US"/>
              </w:rPr>
            </w:pPr>
          </w:p>
        </w:tc>
        <w:tc>
          <w:tcPr>
            <w:tcW w:w="754" w:type="pct"/>
            <w:tcBorders>
              <w:top w:val="single" w:color="auto" w:sz="4" w:space="0"/>
              <w:left w:val="single" w:color="auto" w:sz="4" w:space="0"/>
              <w:bottom w:val="single" w:color="auto" w:sz="4" w:space="0"/>
              <w:right w:val="single" w:color="auto" w:sz="4" w:space="0"/>
            </w:tcBorders>
            <w:vAlign w:val="center"/>
          </w:tcPr>
          <w:p w14:paraId="11E6042C">
            <w:pPr>
              <w:pStyle w:val="74"/>
              <w:keepNext/>
              <w:spacing w:after="0" w:line="440" w:lineRule="exact"/>
              <w:ind w:left="63" w:right="63"/>
              <w:rPr>
                <w:rFonts w:eastAsia="仿宋_GB2312"/>
                <w:color w:val="auto"/>
                <w:sz w:val="30"/>
                <w:szCs w:val="30"/>
                <w:highlight w:val="none"/>
                <w:lang w:val="en-US"/>
              </w:rPr>
            </w:pPr>
          </w:p>
        </w:tc>
        <w:tc>
          <w:tcPr>
            <w:tcW w:w="520" w:type="pct"/>
            <w:tcBorders>
              <w:top w:val="single" w:color="auto" w:sz="4" w:space="0"/>
              <w:left w:val="single" w:color="auto" w:sz="4" w:space="0"/>
              <w:bottom w:val="single" w:color="auto" w:sz="4" w:space="0"/>
              <w:right w:val="single" w:color="auto" w:sz="4" w:space="0"/>
            </w:tcBorders>
            <w:vAlign w:val="center"/>
          </w:tcPr>
          <w:p w14:paraId="73891317">
            <w:pPr>
              <w:pStyle w:val="74"/>
              <w:keepNext/>
              <w:spacing w:after="0" w:line="440" w:lineRule="exact"/>
              <w:ind w:left="63" w:right="63"/>
              <w:rPr>
                <w:rFonts w:eastAsia="仿宋_GB2312"/>
                <w:color w:val="auto"/>
                <w:sz w:val="30"/>
                <w:szCs w:val="30"/>
                <w:highlight w:val="none"/>
                <w:lang w:val="en-US"/>
              </w:rPr>
            </w:pPr>
          </w:p>
        </w:tc>
        <w:tc>
          <w:tcPr>
            <w:tcW w:w="469" w:type="pct"/>
            <w:tcBorders>
              <w:top w:val="single" w:color="auto" w:sz="4" w:space="0"/>
              <w:left w:val="single" w:color="auto" w:sz="4" w:space="0"/>
              <w:bottom w:val="single" w:color="auto" w:sz="4" w:space="0"/>
              <w:right w:val="single" w:color="auto" w:sz="4" w:space="0"/>
            </w:tcBorders>
            <w:vAlign w:val="center"/>
          </w:tcPr>
          <w:p w14:paraId="093CA312">
            <w:pPr>
              <w:pStyle w:val="74"/>
              <w:keepNext/>
              <w:spacing w:after="0" w:line="440" w:lineRule="exact"/>
              <w:ind w:left="63" w:right="63"/>
              <w:rPr>
                <w:rFonts w:eastAsia="仿宋_GB2312"/>
                <w:color w:val="auto"/>
                <w:sz w:val="30"/>
                <w:szCs w:val="30"/>
                <w:highlight w:val="none"/>
                <w:lang w:val="en-US"/>
              </w:rPr>
            </w:pPr>
          </w:p>
        </w:tc>
      </w:tr>
      <w:tr w14:paraId="137E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053F9909">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60293648">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3358B446">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3C6A408C">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5E597309">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552D8620">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20988D61">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2AE5387F">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6A576200">
            <w:pPr>
              <w:pStyle w:val="84"/>
              <w:ind w:firstLine="600"/>
              <w:rPr>
                <w:rFonts w:eastAsia="仿宋_GB2312"/>
                <w:color w:val="auto"/>
                <w:sz w:val="30"/>
                <w:szCs w:val="30"/>
                <w:highlight w:val="none"/>
              </w:rPr>
            </w:pPr>
          </w:p>
        </w:tc>
      </w:tr>
      <w:tr w14:paraId="3919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68F05001">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4B93BFC3">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070F7555">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474D8D24">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10D5DC26">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48266218">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43674544">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7B9D995E">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4AEB2D84">
            <w:pPr>
              <w:pStyle w:val="84"/>
              <w:ind w:firstLine="600"/>
              <w:rPr>
                <w:rFonts w:eastAsia="仿宋_GB2312"/>
                <w:color w:val="auto"/>
                <w:sz w:val="30"/>
                <w:szCs w:val="30"/>
                <w:highlight w:val="none"/>
              </w:rPr>
            </w:pPr>
          </w:p>
        </w:tc>
      </w:tr>
      <w:tr w14:paraId="6707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44361DC5">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643920EB">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5D64EE82">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16D58DEF">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0C75C9D3">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70B52368">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7B42C2B1">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61FE489A">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6BA1D6DA">
            <w:pPr>
              <w:pStyle w:val="84"/>
              <w:ind w:firstLine="600"/>
              <w:rPr>
                <w:rFonts w:eastAsia="仿宋_GB2312"/>
                <w:color w:val="auto"/>
                <w:sz w:val="30"/>
                <w:szCs w:val="30"/>
                <w:highlight w:val="none"/>
              </w:rPr>
            </w:pPr>
          </w:p>
        </w:tc>
      </w:tr>
      <w:tr w14:paraId="77D5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3F15423D">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0813D136">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62F18ECA">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643CB7B5">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5EA0DEDF">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35ACECB9">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00528BD1">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56A1F42D">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2AC70A6C">
            <w:pPr>
              <w:pStyle w:val="84"/>
              <w:ind w:firstLine="600"/>
              <w:rPr>
                <w:rFonts w:eastAsia="仿宋_GB2312"/>
                <w:color w:val="auto"/>
                <w:sz w:val="30"/>
                <w:szCs w:val="30"/>
                <w:highlight w:val="none"/>
              </w:rPr>
            </w:pPr>
          </w:p>
        </w:tc>
      </w:tr>
      <w:tr w14:paraId="719B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5B8F2B13">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25A7E05D">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1B0848BA">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28906987">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044ECDCF">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753F6301">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4AAC7F2C">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5163898B">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5C27023F">
            <w:pPr>
              <w:pStyle w:val="84"/>
              <w:ind w:firstLine="600"/>
              <w:rPr>
                <w:rFonts w:eastAsia="仿宋_GB2312"/>
                <w:color w:val="auto"/>
                <w:sz w:val="30"/>
                <w:szCs w:val="30"/>
                <w:highlight w:val="none"/>
              </w:rPr>
            </w:pPr>
          </w:p>
        </w:tc>
      </w:tr>
      <w:tr w14:paraId="597C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15A048F3">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569E1A88">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5E174A5F">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1ABC9034">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065713A4">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20234D71">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1AA56A0B">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775D0AA3">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79EA23B2">
            <w:pPr>
              <w:pStyle w:val="84"/>
              <w:ind w:firstLine="600"/>
              <w:rPr>
                <w:rFonts w:eastAsia="仿宋_GB2312"/>
                <w:color w:val="auto"/>
                <w:sz w:val="30"/>
                <w:szCs w:val="30"/>
                <w:highlight w:val="none"/>
              </w:rPr>
            </w:pPr>
          </w:p>
        </w:tc>
      </w:tr>
      <w:tr w14:paraId="5FD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5FE7B7E8">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44A1A776">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34ADFBE6">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7D323C89">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4399D66C">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5F7A8F9B">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4CA19785">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657709BB">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03595028">
            <w:pPr>
              <w:pStyle w:val="84"/>
              <w:ind w:firstLine="600"/>
              <w:rPr>
                <w:rFonts w:eastAsia="仿宋_GB2312"/>
                <w:color w:val="auto"/>
                <w:sz w:val="30"/>
                <w:szCs w:val="30"/>
                <w:highlight w:val="none"/>
              </w:rPr>
            </w:pPr>
          </w:p>
        </w:tc>
      </w:tr>
      <w:tr w14:paraId="4493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1C2F0A4B">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05C20077">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407604A4">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76BF7AE3">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3F2A87E5">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16E8F062">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54D9D861">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5C7D7DFF">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3DFB731D">
            <w:pPr>
              <w:pStyle w:val="84"/>
              <w:ind w:firstLine="600"/>
              <w:rPr>
                <w:rFonts w:eastAsia="仿宋_GB2312"/>
                <w:color w:val="auto"/>
                <w:sz w:val="30"/>
                <w:szCs w:val="30"/>
                <w:highlight w:val="none"/>
              </w:rPr>
            </w:pPr>
          </w:p>
        </w:tc>
      </w:tr>
      <w:tr w14:paraId="7F47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pct"/>
            <w:tcBorders>
              <w:top w:val="single" w:color="auto" w:sz="4" w:space="0"/>
              <w:left w:val="single" w:color="auto" w:sz="4" w:space="0"/>
              <w:bottom w:val="single" w:color="auto" w:sz="4" w:space="0"/>
              <w:right w:val="single" w:color="auto" w:sz="4" w:space="0"/>
            </w:tcBorders>
          </w:tcPr>
          <w:p w14:paraId="2F1BC26C">
            <w:pPr>
              <w:pStyle w:val="84"/>
              <w:ind w:firstLine="600"/>
              <w:rPr>
                <w:rFonts w:eastAsia="仿宋_GB2312"/>
                <w:color w:val="auto"/>
                <w:sz w:val="30"/>
                <w:szCs w:val="30"/>
                <w:highlight w:val="none"/>
              </w:rPr>
            </w:pPr>
          </w:p>
        </w:tc>
        <w:tc>
          <w:tcPr>
            <w:tcW w:w="723" w:type="pct"/>
            <w:tcBorders>
              <w:top w:val="single" w:color="auto" w:sz="4" w:space="0"/>
              <w:left w:val="single" w:color="auto" w:sz="4" w:space="0"/>
              <w:bottom w:val="single" w:color="auto" w:sz="4" w:space="0"/>
              <w:right w:val="single" w:color="auto" w:sz="4" w:space="0"/>
            </w:tcBorders>
          </w:tcPr>
          <w:p w14:paraId="4C1ABDE7">
            <w:pPr>
              <w:pStyle w:val="84"/>
              <w:ind w:firstLine="600"/>
              <w:rPr>
                <w:rFonts w:eastAsia="仿宋_GB2312"/>
                <w:color w:val="auto"/>
                <w:sz w:val="30"/>
                <w:szCs w:val="30"/>
                <w:highlight w:val="none"/>
              </w:rPr>
            </w:pPr>
          </w:p>
        </w:tc>
        <w:tc>
          <w:tcPr>
            <w:tcW w:w="433" w:type="pct"/>
            <w:tcBorders>
              <w:top w:val="single" w:color="auto" w:sz="4" w:space="0"/>
              <w:left w:val="single" w:color="auto" w:sz="4" w:space="0"/>
              <w:bottom w:val="single" w:color="auto" w:sz="4" w:space="0"/>
              <w:right w:val="single" w:color="auto" w:sz="4" w:space="0"/>
            </w:tcBorders>
          </w:tcPr>
          <w:p w14:paraId="04D1B308">
            <w:pPr>
              <w:pStyle w:val="84"/>
              <w:ind w:firstLine="600"/>
              <w:rPr>
                <w:rFonts w:eastAsia="仿宋_GB2312"/>
                <w:color w:val="auto"/>
                <w:sz w:val="30"/>
                <w:szCs w:val="30"/>
                <w:highlight w:val="none"/>
              </w:rPr>
            </w:pPr>
          </w:p>
        </w:tc>
        <w:tc>
          <w:tcPr>
            <w:tcW w:w="539" w:type="pct"/>
            <w:tcBorders>
              <w:top w:val="single" w:color="auto" w:sz="4" w:space="0"/>
              <w:left w:val="single" w:color="auto" w:sz="4" w:space="0"/>
              <w:bottom w:val="single" w:color="auto" w:sz="4" w:space="0"/>
              <w:right w:val="single" w:color="auto" w:sz="4" w:space="0"/>
            </w:tcBorders>
          </w:tcPr>
          <w:p w14:paraId="31AB751B">
            <w:pPr>
              <w:pStyle w:val="84"/>
              <w:ind w:firstLine="600"/>
              <w:rPr>
                <w:rFonts w:eastAsia="仿宋_GB2312"/>
                <w:color w:val="auto"/>
                <w:sz w:val="30"/>
                <w:szCs w:val="30"/>
                <w:highlight w:val="none"/>
              </w:rPr>
            </w:pPr>
          </w:p>
        </w:tc>
        <w:tc>
          <w:tcPr>
            <w:tcW w:w="449" w:type="pct"/>
            <w:tcBorders>
              <w:top w:val="single" w:color="auto" w:sz="4" w:space="0"/>
              <w:left w:val="single" w:color="auto" w:sz="4" w:space="0"/>
              <w:bottom w:val="single" w:color="auto" w:sz="4" w:space="0"/>
              <w:right w:val="single" w:color="auto" w:sz="4" w:space="0"/>
            </w:tcBorders>
          </w:tcPr>
          <w:p w14:paraId="1A94E239">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22589D77">
            <w:pPr>
              <w:pStyle w:val="84"/>
              <w:ind w:firstLine="600"/>
              <w:rPr>
                <w:rFonts w:eastAsia="仿宋_GB2312"/>
                <w:color w:val="auto"/>
                <w:sz w:val="30"/>
                <w:szCs w:val="30"/>
                <w:highlight w:val="none"/>
              </w:rPr>
            </w:pPr>
          </w:p>
        </w:tc>
        <w:tc>
          <w:tcPr>
            <w:tcW w:w="754" w:type="pct"/>
            <w:tcBorders>
              <w:top w:val="single" w:color="auto" w:sz="4" w:space="0"/>
              <w:left w:val="single" w:color="auto" w:sz="4" w:space="0"/>
              <w:bottom w:val="single" w:color="auto" w:sz="4" w:space="0"/>
              <w:right w:val="single" w:color="auto" w:sz="4" w:space="0"/>
            </w:tcBorders>
          </w:tcPr>
          <w:p w14:paraId="4D20D738">
            <w:pPr>
              <w:pStyle w:val="84"/>
              <w:ind w:firstLine="600"/>
              <w:rPr>
                <w:rFonts w:eastAsia="仿宋_GB2312"/>
                <w:color w:val="auto"/>
                <w:sz w:val="30"/>
                <w:szCs w:val="30"/>
                <w:highlight w:val="none"/>
              </w:rPr>
            </w:pPr>
          </w:p>
        </w:tc>
        <w:tc>
          <w:tcPr>
            <w:tcW w:w="520" w:type="pct"/>
            <w:tcBorders>
              <w:top w:val="single" w:color="auto" w:sz="4" w:space="0"/>
              <w:left w:val="single" w:color="auto" w:sz="4" w:space="0"/>
              <w:bottom w:val="single" w:color="auto" w:sz="4" w:space="0"/>
              <w:right w:val="single" w:color="auto" w:sz="4" w:space="0"/>
            </w:tcBorders>
          </w:tcPr>
          <w:p w14:paraId="00C42909">
            <w:pPr>
              <w:pStyle w:val="84"/>
              <w:ind w:firstLine="600"/>
              <w:rPr>
                <w:rFonts w:eastAsia="仿宋_GB2312"/>
                <w:color w:val="auto"/>
                <w:sz w:val="30"/>
                <w:szCs w:val="30"/>
                <w:highlight w:val="none"/>
              </w:rPr>
            </w:pPr>
          </w:p>
        </w:tc>
        <w:tc>
          <w:tcPr>
            <w:tcW w:w="469" w:type="pct"/>
            <w:tcBorders>
              <w:top w:val="single" w:color="auto" w:sz="4" w:space="0"/>
              <w:left w:val="single" w:color="auto" w:sz="4" w:space="0"/>
              <w:bottom w:val="single" w:color="auto" w:sz="4" w:space="0"/>
              <w:right w:val="single" w:color="auto" w:sz="4" w:space="0"/>
            </w:tcBorders>
          </w:tcPr>
          <w:p w14:paraId="0F808A69">
            <w:pPr>
              <w:pStyle w:val="84"/>
              <w:ind w:firstLine="600"/>
              <w:rPr>
                <w:rFonts w:eastAsia="仿宋_GB2312"/>
                <w:color w:val="auto"/>
                <w:sz w:val="30"/>
                <w:szCs w:val="30"/>
                <w:highlight w:val="none"/>
              </w:rPr>
            </w:pPr>
          </w:p>
        </w:tc>
      </w:tr>
    </w:tbl>
    <w:p w14:paraId="6B870DA2">
      <w:pPr>
        <w:pStyle w:val="84"/>
        <w:spacing w:line="440" w:lineRule="exact"/>
        <w:ind w:firstLine="600"/>
        <w:jc w:val="left"/>
        <w:rPr>
          <w:rFonts w:eastAsia="仿宋_GB2312" w:cs="仿宋_GB2312"/>
          <w:color w:val="auto"/>
          <w:sz w:val="30"/>
          <w:szCs w:val="30"/>
          <w:highlight w:val="none"/>
        </w:rPr>
      </w:pPr>
    </w:p>
    <w:p w14:paraId="54216B6F">
      <w:pPr>
        <w:pStyle w:val="84"/>
        <w:spacing w:line="440" w:lineRule="exact"/>
        <w:ind w:firstLine="560"/>
        <w:jc w:val="left"/>
        <w:rPr>
          <w:rFonts w:eastAsia="黑体"/>
          <w:color w:val="auto"/>
          <w:sz w:val="28"/>
          <w:szCs w:val="28"/>
          <w:highlight w:val="none"/>
        </w:rPr>
      </w:pPr>
      <w:r>
        <w:rPr>
          <w:rFonts w:hint="eastAsia" w:eastAsia="仿宋_GB2312" w:cs="仿宋_GB2312"/>
          <w:color w:val="auto"/>
          <w:sz w:val="28"/>
          <w:szCs w:val="28"/>
          <w:highlight w:val="none"/>
        </w:rPr>
        <w:t>附</w:t>
      </w:r>
      <w:bookmarkStart w:id="1115" w:name="_Toc296891268"/>
      <w:bookmarkStart w:id="1116" w:name="_Toc296944567"/>
      <w:bookmarkStart w:id="1117" w:name="_Toc296891056"/>
      <w:bookmarkStart w:id="1118" w:name="_Toc296503228"/>
      <w:bookmarkStart w:id="1119" w:name="_Toc267261699"/>
      <w:bookmarkStart w:id="1120" w:name="_Toc296346729"/>
      <w:bookmarkStart w:id="1121" w:name="_Toc296347227"/>
      <w:r>
        <w:rPr>
          <w:rFonts w:hint="eastAsia" w:eastAsia="仿宋_GB2312" w:cs="仿宋_GB2312"/>
          <w:color w:val="auto"/>
          <w:sz w:val="28"/>
          <w:szCs w:val="28"/>
          <w:highlight w:val="none"/>
        </w:rPr>
        <w:t>件</w:t>
      </w:r>
      <w:r>
        <w:rPr>
          <w:rFonts w:eastAsia="仿宋_GB2312"/>
          <w:color w:val="auto"/>
          <w:sz w:val="28"/>
          <w:szCs w:val="28"/>
          <w:highlight w:val="none"/>
        </w:rPr>
        <w:t>5</w:t>
      </w:r>
      <w:r>
        <w:rPr>
          <w:rFonts w:hint="eastAsia" w:eastAsia="仿宋_GB2312" w:cs="仿宋_GB2312"/>
          <w:color w:val="auto"/>
          <w:sz w:val="28"/>
          <w:szCs w:val="28"/>
          <w:highlight w:val="none"/>
        </w:rPr>
        <w:t>：</w:t>
      </w:r>
    </w:p>
    <w:bookmarkEnd w:id="1115"/>
    <w:bookmarkEnd w:id="1116"/>
    <w:bookmarkEnd w:id="1117"/>
    <w:bookmarkEnd w:id="1118"/>
    <w:bookmarkEnd w:id="1119"/>
    <w:bookmarkEnd w:id="1120"/>
    <w:bookmarkEnd w:id="1121"/>
    <w:p w14:paraId="2DD88448">
      <w:pPr>
        <w:pStyle w:val="84"/>
        <w:spacing w:before="120" w:beforeLines="50" w:after="120" w:afterLines="50" w:line="440" w:lineRule="exact"/>
        <w:ind w:firstLine="600"/>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28"/>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734"/>
      </w:tblGrid>
      <w:tr w14:paraId="4007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5376C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vAlign w:val="center"/>
          </w:tcPr>
          <w:p w14:paraId="00511E6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134" w:type="dxa"/>
            <w:vAlign w:val="center"/>
          </w:tcPr>
          <w:p w14:paraId="741FC8E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1134" w:type="dxa"/>
            <w:vAlign w:val="center"/>
          </w:tcPr>
          <w:p w14:paraId="41BA440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3734" w:type="dxa"/>
            <w:vAlign w:val="center"/>
          </w:tcPr>
          <w:p w14:paraId="213C0163">
            <w:pPr>
              <w:pStyle w:val="93"/>
              <w:keepNext/>
              <w:adjustRightInd w:val="0"/>
              <w:spacing w:line="440" w:lineRule="exact"/>
              <w:ind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计划进场时间</w:t>
            </w:r>
          </w:p>
        </w:tc>
      </w:tr>
      <w:tr w14:paraId="0A88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291" w:type="dxa"/>
            <w:gridSpan w:val="5"/>
            <w:vAlign w:val="center"/>
          </w:tcPr>
          <w:p w14:paraId="5DC55BC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62B7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2372F8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vAlign w:val="center"/>
          </w:tcPr>
          <w:p w14:paraId="67C8437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5179E99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701267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2240416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68A1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A4CD3E6">
            <w:pPr>
              <w:pStyle w:val="93"/>
              <w:keepNext/>
              <w:adjustRightInd w:val="0"/>
              <w:spacing w:after="60"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6AFF8C5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32D45B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7CE429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0F4D450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7BFA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2B64B3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1B6BFDD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58D44AD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ABB815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2463B7D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F24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1B1105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3C2A5C1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D6BB80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1132D0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4B5B21B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586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291" w:type="dxa"/>
            <w:gridSpan w:val="5"/>
            <w:vAlign w:val="center"/>
          </w:tcPr>
          <w:p w14:paraId="36080AC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2A83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30E23E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418" w:type="dxa"/>
            <w:vAlign w:val="center"/>
          </w:tcPr>
          <w:p w14:paraId="47C4140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CA8256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C82332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27B2727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0039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EBCB3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项目副经理</w:t>
            </w:r>
          </w:p>
        </w:tc>
        <w:tc>
          <w:tcPr>
            <w:tcW w:w="1418" w:type="dxa"/>
            <w:vAlign w:val="center"/>
          </w:tcPr>
          <w:p w14:paraId="5761A94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6471D6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0E6775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7276264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8FA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CEFB85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vAlign w:val="center"/>
          </w:tcPr>
          <w:p w14:paraId="591D961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0E0121A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C37CFC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0EBBAB4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586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A8098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vAlign w:val="center"/>
          </w:tcPr>
          <w:p w14:paraId="106E17A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001ADA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CD74D6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6BEFB65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1F3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292C28A">
            <w:pPr>
              <w:pStyle w:val="93"/>
              <w:keepNext/>
              <w:adjustRightInd w:val="0"/>
              <w:spacing w:after="60"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vAlign w:val="center"/>
          </w:tcPr>
          <w:p w14:paraId="568690C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0803C79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2B24D4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76D3D74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77D6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AB158D2">
            <w:pPr>
              <w:pStyle w:val="93"/>
              <w:keepNext/>
              <w:adjustRightInd w:val="0"/>
              <w:spacing w:after="60"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444C8B64">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0732C94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2A9772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6CFAC72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43F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7FBBFE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579704D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5EA500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BC7696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49ADAE2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6AB8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3139C5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vAlign w:val="center"/>
          </w:tcPr>
          <w:p w14:paraId="779C0F2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A53737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0DCB95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53DA5E8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32AA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873C21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计划管理</w:t>
            </w:r>
          </w:p>
        </w:tc>
        <w:tc>
          <w:tcPr>
            <w:tcW w:w="1418" w:type="dxa"/>
            <w:vAlign w:val="center"/>
          </w:tcPr>
          <w:p w14:paraId="3F85BAF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0BA7FB1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C1A15C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23B35AE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0D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937A6A1">
            <w:pPr>
              <w:pStyle w:val="93"/>
              <w:keepNext/>
              <w:adjustRightInd w:val="0"/>
              <w:spacing w:after="60"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vAlign w:val="center"/>
          </w:tcPr>
          <w:p w14:paraId="2262FA0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7DCF83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B77B21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6AF8BE6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0A73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FCDE1B2">
            <w:pPr>
              <w:pStyle w:val="93"/>
              <w:keepNext/>
              <w:adjustRightInd w:val="0"/>
              <w:spacing w:after="60"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5522427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E03D51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0241189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073A965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3E9C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AA0607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6E9B9EB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9C5018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33C9A4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74A2EEC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6000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FBC04C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3181669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0B138A5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3BD73F3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51D0079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1BEC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93B4D7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3440F8C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7D4BA0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053621D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374B023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410D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3E737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681C056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E6E256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AA12EF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614470F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B8A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73AF80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67A4958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4B2379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549DD28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7192EA5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A5A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E3E777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2D5976D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C5CDC94">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02C42E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3E02AE2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34EC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F5EFA7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3F46C84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3CC2D9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F18432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34" w:type="dxa"/>
            <w:vAlign w:val="center"/>
          </w:tcPr>
          <w:p w14:paraId="01D5376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bl>
    <w:p w14:paraId="7C8730DF">
      <w:pPr>
        <w:pStyle w:val="84"/>
        <w:spacing w:line="440" w:lineRule="exact"/>
        <w:ind w:firstLine="600"/>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122" w:name="_Toc296891269"/>
      <w:bookmarkStart w:id="1123" w:name="_Toc296891057"/>
      <w:bookmarkStart w:id="1124" w:name="_Toc296346730"/>
      <w:bookmarkStart w:id="1125" w:name="_Toc296503229"/>
      <w:bookmarkStart w:id="1126" w:name="_Toc296944568"/>
      <w:bookmarkStart w:id="1127" w:name="_Toc296347228"/>
      <w:r>
        <w:rPr>
          <w:rFonts w:hint="eastAsia" w:eastAsia="仿宋_GB2312" w:cs="仿宋_GB2312"/>
          <w:color w:val="auto"/>
          <w:sz w:val="30"/>
          <w:szCs w:val="30"/>
          <w:highlight w:val="none"/>
        </w:rPr>
        <w:t>件</w:t>
      </w:r>
      <w:r>
        <w:rPr>
          <w:rFonts w:eastAsia="仿宋_GB2312"/>
          <w:color w:val="auto"/>
          <w:sz w:val="30"/>
          <w:szCs w:val="30"/>
          <w:highlight w:val="none"/>
        </w:rPr>
        <w:t>6</w:t>
      </w:r>
      <w:r>
        <w:rPr>
          <w:rFonts w:hint="eastAsia" w:eastAsia="仿宋_GB2312" w:cs="仿宋_GB2312"/>
          <w:color w:val="auto"/>
          <w:sz w:val="30"/>
          <w:szCs w:val="30"/>
          <w:highlight w:val="none"/>
        </w:rPr>
        <w:t>：</w:t>
      </w:r>
    </w:p>
    <w:bookmarkEnd w:id="1122"/>
    <w:bookmarkEnd w:id="1123"/>
    <w:bookmarkEnd w:id="1124"/>
    <w:bookmarkEnd w:id="1125"/>
    <w:bookmarkEnd w:id="1126"/>
    <w:bookmarkEnd w:id="1127"/>
    <w:p w14:paraId="5EC819DC">
      <w:pPr>
        <w:pStyle w:val="84"/>
        <w:spacing w:before="120" w:beforeLines="50" w:after="120" w:afterLines="50" w:line="440" w:lineRule="exact"/>
        <w:ind w:firstLine="600"/>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2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780"/>
      </w:tblGrid>
      <w:tr w14:paraId="7369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D60D2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vAlign w:val="center"/>
          </w:tcPr>
          <w:p w14:paraId="198CEFD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134" w:type="dxa"/>
            <w:vAlign w:val="center"/>
          </w:tcPr>
          <w:p w14:paraId="48D7623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1134" w:type="dxa"/>
            <w:vAlign w:val="center"/>
          </w:tcPr>
          <w:p w14:paraId="0C81B0C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3780" w:type="dxa"/>
            <w:vAlign w:val="center"/>
          </w:tcPr>
          <w:p w14:paraId="3CAA59A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主要资历、经验及承担过的项目</w:t>
            </w:r>
          </w:p>
        </w:tc>
      </w:tr>
      <w:tr w14:paraId="5E45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337" w:type="dxa"/>
            <w:gridSpan w:val="5"/>
            <w:vAlign w:val="center"/>
          </w:tcPr>
          <w:p w14:paraId="275E1DF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52A7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546452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vAlign w:val="center"/>
          </w:tcPr>
          <w:p w14:paraId="6CEB5A34">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446027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D2803C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5D260C6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76CF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7222C57">
            <w:pPr>
              <w:pStyle w:val="93"/>
              <w:keepNext/>
              <w:adjustRightInd w:val="0"/>
              <w:spacing w:after="60"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602E8C2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C275C0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FCB577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1411D0C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44A9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B7E661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431321C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F2BE6C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3DE978A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57666D9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736F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7D35D2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51A36B2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36092FF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599776A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7314D7A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75DF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337" w:type="dxa"/>
            <w:gridSpan w:val="5"/>
            <w:vAlign w:val="center"/>
          </w:tcPr>
          <w:p w14:paraId="362B7CF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683C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EDFF7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418" w:type="dxa"/>
            <w:vAlign w:val="center"/>
          </w:tcPr>
          <w:p w14:paraId="612003F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7D980B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8B81C8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0AC60EE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3374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4284E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项目副经理</w:t>
            </w:r>
          </w:p>
        </w:tc>
        <w:tc>
          <w:tcPr>
            <w:tcW w:w="1418" w:type="dxa"/>
            <w:vAlign w:val="center"/>
          </w:tcPr>
          <w:p w14:paraId="3DCBC3E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B2CA3F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4C8804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489892B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148E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B45E19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vAlign w:val="center"/>
          </w:tcPr>
          <w:p w14:paraId="76169C9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AF2443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311E2B1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26A6EB3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DEA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66B136D">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vAlign w:val="center"/>
          </w:tcPr>
          <w:p w14:paraId="76BB81A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DD66EA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862212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276972F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0FA8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756C63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vAlign w:val="center"/>
          </w:tcPr>
          <w:p w14:paraId="7315DB7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504701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059595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5C65F28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6A30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5F6F32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vAlign w:val="center"/>
          </w:tcPr>
          <w:p w14:paraId="1D78F67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74A678B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3F4D269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580E653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F95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D4C88E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计划管理</w:t>
            </w:r>
          </w:p>
        </w:tc>
        <w:tc>
          <w:tcPr>
            <w:tcW w:w="1418" w:type="dxa"/>
            <w:vAlign w:val="center"/>
          </w:tcPr>
          <w:p w14:paraId="61FB0BB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36F50F2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03EF5F6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3AE0677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4663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C305D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vAlign w:val="center"/>
          </w:tcPr>
          <w:p w14:paraId="0996510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56779F34">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83497B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4F0FAEF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66E7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3B9FCF3">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vAlign w:val="center"/>
          </w:tcPr>
          <w:p w14:paraId="6E48E34E">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309E636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4705827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4C52CC5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0367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43A3A5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06029FD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573CB8A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5C1C81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7661511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4D24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837DE9B">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6290D57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65464C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80BC560">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5471E8D5">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24F8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4E52DC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23BE6FE9">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6DC05B0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56AA744F">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70EB5F3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3909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57BA218">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63BFC55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21AEF226">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0741B8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6DDDA5D7">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r w14:paraId="7A9B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8E3BBE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418" w:type="dxa"/>
            <w:vAlign w:val="center"/>
          </w:tcPr>
          <w:p w14:paraId="0DC2EA02">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1E4C423A">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1134" w:type="dxa"/>
            <w:vAlign w:val="center"/>
          </w:tcPr>
          <w:p w14:paraId="3F427481">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c>
          <w:tcPr>
            <w:tcW w:w="3780" w:type="dxa"/>
            <w:vAlign w:val="center"/>
          </w:tcPr>
          <w:p w14:paraId="33B21ACC">
            <w:pPr>
              <w:pStyle w:val="93"/>
              <w:keepNext/>
              <w:adjustRightInd w:val="0"/>
              <w:spacing w:line="440" w:lineRule="exact"/>
              <w:ind w:left="63" w:leftChars="30" w:right="63" w:rightChars="30"/>
              <w:jc w:val="center"/>
              <w:textAlignment w:val="baseline"/>
              <w:rPr>
                <w:rFonts w:ascii="宋体" w:hAnsi="宋体" w:cs="宋体"/>
                <w:color w:val="auto"/>
                <w:sz w:val="24"/>
                <w:szCs w:val="24"/>
                <w:highlight w:val="none"/>
              </w:rPr>
            </w:pPr>
          </w:p>
        </w:tc>
      </w:tr>
    </w:tbl>
    <w:p w14:paraId="74C9877C">
      <w:pPr>
        <w:pStyle w:val="84"/>
        <w:spacing w:line="360" w:lineRule="auto"/>
        <w:ind w:firstLine="600"/>
        <w:jc w:val="left"/>
        <w:rPr>
          <w:rFonts w:ascii="宋体" w:hAnsi="宋体" w:cs="黑体"/>
          <w:color w:val="auto"/>
          <w:sz w:val="28"/>
          <w:szCs w:val="28"/>
          <w:highlight w:val="none"/>
        </w:rPr>
      </w:pPr>
      <w:r>
        <w:rPr>
          <w:rFonts w:eastAsia="仿宋_GB2312"/>
          <w:color w:val="auto"/>
          <w:sz w:val="30"/>
          <w:szCs w:val="30"/>
          <w:highlight w:val="none"/>
        </w:rPr>
        <w:br w:type="page"/>
      </w:r>
      <w:bookmarkStart w:id="1128" w:name="_Toc267261701"/>
      <w:r>
        <w:rPr>
          <w:rFonts w:hint="eastAsia" w:ascii="宋体" w:hAnsi="宋体" w:cs="黑体"/>
          <w:color w:val="auto"/>
          <w:sz w:val="28"/>
          <w:szCs w:val="28"/>
          <w:highlight w:val="none"/>
        </w:rPr>
        <w:t>附件7</w:t>
      </w:r>
    </w:p>
    <w:p w14:paraId="15B9A00E">
      <w:pPr>
        <w:pStyle w:val="84"/>
        <w:spacing w:line="360" w:lineRule="auto"/>
        <w:ind w:firstLine="643"/>
        <w:jc w:val="left"/>
        <w:rPr>
          <w:rFonts w:ascii="黑体" w:hAnsi="黑体" w:eastAsia="黑体" w:cs="黑体"/>
          <w:b/>
          <w:bCs/>
          <w:color w:val="auto"/>
          <w:sz w:val="32"/>
          <w:szCs w:val="32"/>
          <w:highlight w:val="none"/>
        </w:rPr>
      </w:pPr>
    </w:p>
    <w:p w14:paraId="2401EAAE">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55DE950A">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23194B5">
      <w:pPr>
        <w:pStyle w:val="84"/>
        <w:wordWrap w:val="0"/>
        <w:spacing w:line="360" w:lineRule="auto"/>
        <w:jc w:val="right"/>
        <w:rPr>
          <w:rFonts w:ascii="宋体" w:hAnsi="宋体"/>
          <w:color w:val="auto"/>
          <w:highlight w:val="none"/>
        </w:rPr>
      </w:pPr>
      <w:r>
        <w:rPr>
          <w:rFonts w:hint="eastAsia" w:ascii="宋体" w:hAnsi="宋体"/>
          <w:color w:val="auto"/>
          <w:highlight w:val="none"/>
        </w:rPr>
        <w:t xml:space="preserve">编号：           </w:t>
      </w:r>
    </w:p>
    <w:p w14:paraId="78E48A95">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申请人：</w:t>
      </w:r>
    </w:p>
    <w:p w14:paraId="44AA670C">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地址：</w:t>
      </w:r>
    </w:p>
    <w:p w14:paraId="788A796C">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受益人：</w:t>
      </w:r>
    </w:p>
    <w:p w14:paraId="26FB7DC2">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地址：</w:t>
      </w:r>
    </w:p>
    <w:p w14:paraId="6A7A8448">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开立人：</w:t>
      </w:r>
    </w:p>
    <w:p w14:paraId="5659B2CC">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地址：</w:t>
      </w:r>
    </w:p>
    <w:p w14:paraId="6D9CDE47">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w:t>
      </w:r>
    </w:p>
    <w:p w14:paraId="33853883">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（受益人名称）： </w:t>
      </w:r>
    </w:p>
    <w:p w14:paraId="076DD19F">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（以下简称“受益人”）与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（以下简称“申请人”）于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4104C97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394EC66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4B106D96">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三、本保函有效期自开立之日起至基础合同约定的缺陷责任期后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76A04A3F">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7760D62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7CCE15F7">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3155358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FC4022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6F93FAA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7295123">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34D202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五、本保函项下的权利不得转让，不得设定担保。贵方未经我方书面同意转 让本保函或其项下任何权利，对我方不发生法律效力。 </w:t>
      </w:r>
    </w:p>
    <w:p w14:paraId="503B1983">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六、与本保函有关的基础合同不成立、不生效、无效、被撤销、被解除，不影响本保函的独立有效。 </w:t>
      </w:r>
    </w:p>
    <w:p w14:paraId="30560713">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3C50E7FF">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八、本保函适用的法律为中华人民共和国法律，争议裁判管辖地为中华人民共和国</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5EB053D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九、本保函自我方法定代表人或授权代表签字并加盖公章之日起生效。 </w:t>
      </w:r>
    </w:p>
    <w:p w14:paraId="2172580D">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 立 人：                              （公章） </w:t>
      </w:r>
    </w:p>
    <w:p w14:paraId="0342B48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法定代表人（或授权代表）：               （签字） </w:t>
      </w:r>
    </w:p>
    <w:p w14:paraId="4F11D9A1">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w:t>
      </w:r>
    </w:p>
    <w:p w14:paraId="155719F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邮政编码：                 </w:t>
      </w:r>
    </w:p>
    <w:p w14:paraId="44B7291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w:t>
      </w:r>
    </w:p>
    <w:p w14:paraId="7B6F5BD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传    真：                 </w:t>
      </w:r>
    </w:p>
    <w:p w14:paraId="73B525F0">
      <w:pPr>
        <w:pStyle w:val="84"/>
        <w:spacing w:line="360" w:lineRule="auto"/>
        <w:ind w:firstLine="480" w:firstLineChars="200"/>
        <w:rPr>
          <w:color w:val="auto"/>
          <w:highlight w:val="none"/>
        </w:rPr>
      </w:pPr>
      <w:r>
        <w:rPr>
          <w:rFonts w:hint="eastAsia" w:ascii="宋体" w:hAnsi="宋体"/>
          <w:color w:val="auto"/>
          <w:sz w:val="24"/>
          <w:szCs w:val="24"/>
          <w:highlight w:val="none"/>
        </w:rPr>
        <w:t xml:space="preserve">开立时间：      年      月    </w:t>
      </w:r>
    </w:p>
    <w:p w14:paraId="31E230A1">
      <w:pPr>
        <w:pStyle w:val="84"/>
        <w:spacing w:line="360" w:lineRule="auto"/>
        <w:ind w:firstLine="600"/>
        <w:jc w:val="left"/>
        <w:rPr>
          <w:rFonts w:eastAsia="仿宋_GB2312"/>
          <w:color w:val="auto"/>
          <w:sz w:val="30"/>
          <w:szCs w:val="30"/>
          <w:highlight w:val="none"/>
        </w:rPr>
      </w:pPr>
    </w:p>
    <w:p w14:paraId="0DC0B3C1">
      <w:pPr>
        <w:pStyle w:val="84"/>
        <w:spacing w:line="360" w:lineRule="auto"/>
        <w:ind w:firstLine="600"/>
        <w:jc w:val="left"/>
        <w:rPr>
          <w:rFonts w:eastAsia="仿宋_GB2312" w:cs="仿宋_GB2312"/>
          <w:color w:val="auto"/>
          <w:sz w:val="30"/>
          <w:szCs w:val="30"/>
          <w:highlight w:val="none"/>
        </w:rPr>
      </w:pPr>
    </w:p>
    <w:p w14:paraId="05B82A99">
      <w:pPr>
        <w:pStyle w:val="84"/>
        <w:spacing w:line="360" w:lineRule="auto"/>
        <w:ind w:firstLine="600"/>
        <w:jc w:val="left"/>
        <w:rPr>
          <w:rFonts w:eastAsia="仿宋_GB2312" w:cs="仿宋_GB2312"/>
          <w:color w:val="auto"/>
          <w:sz w:val="30"/>
          <w:szCs w:val="30"/>
          <w:highlight w:val="none"/>
        </w:rPr>
      </w:pPr>
    </w:p>
    <w:p w14:paraId="2819ECBA">
      <w:pPr>
        <w:pStyle w:val="84"/>
        <w:spacing w:line="360" w:lineRule="auto"/>
        <w:ind w:firstLine="600"/>
        <w:jc w:val="left"/>
        <w:rPr>
          <w:rFonts w:eastAsia="仿宋_GB2312" w:cs="仿宋_GB2312"/>
          <w:color w:val="auto"/>
          <w:sz w:val="30"/>
          <w:szCs w:val="30"/>
          <w:highlight w:val="none"/>
        </w:rPr>
      </w:pPr>
    </w:p>
    <w:p w14:paraId="76DDBED5">
      <w:pPr>
        <w:pStyle w:val="84"/>
        <w:spacing w:line="360" w:lineRule="auto"/>
        <w:ind w:firstLine="600"/>
        <w:jc w:val="left"/>
        <w:rPr>
          <w:rFonts w:eastAsia="仿宋_GB2312" w:cs="仿宋_GB2312"/>
          <w:color w:val="auto"/>
          <w:sz w:val="30"/>
          <w:szCs w:val="30"/>
          <w:highlight w:val="none"/>
        </w:rPr>
      </w:pPr>
    </w:p>
    <w:p w14:paraId="4463408E">
      <w:pPr>
        <w:pStyle w:val="84"/>
        <w:spacing w:line="360" w:lineRule="auto"/>
        <w:ind w:firstLine="600"/>
        <w:jc w:val="left"/>
        <w:rPr>
          <w:rFonts w:eastAsia="仿宋_GB2312" w:cs="仿宋_GB2312"/>
          <w:color w:val="auto"/>
          <w:sz w:val="30"/>
          <w:szCs w:val="30"/>
          <w:highlight w:val="none"/>
        </w:rPr>
      </w:pPr>
    </w:p>
    <w:p w14:paraId="2C8BD3CC">
      <w:pPr>
        <w:pStyle w:val="84"/>
        <w:spacing w:line="360" w:lineRule="auto"/>
        <w:ind w:firstLine="600"/>
        <w:jc w:val="left"/>
        <w:rPr>
          <w:rFonts w:eastAsia="仿宋_GB2312" w:cs="仿宋_GB2312"/>
          <w:color w:val="auto"/>
          <w:sz w:val="30"/>
          <w:szCs w:val="30"/>
          <w:highlight w:val="none"/>
        </w:rPr>
      </w:pPr>
    </w:p>
    <w:p w14:paraId="4DD780D8">
      <w:pPr>
        <w:pStyle w:val="84"/>
        <w:spacing w:line="360" w:lineRule="auto"/>
        <w:ind w:firstLine="560"/>
        <w:jc w:val="left"/>
        <w:rPr>
          <w:rFonts w:ascii="宋体" w:hAnsi="宋体"/>
          <w:color w:val="auto"/>
          <w:sz w:val="28"/>
          <w:szCs w:val="28"/>
          <w:highlight w:val="none"/>
        </w:rPr>
      </w:pPr>
      <w:r>
        <w:rPr>
          <w:rFonts w:hint="eastAsia" w:eastAsia="仿宋_GB2312" w:cs="仿宋_GB2312"/>
          <w:color w:val="auto"/>
          <w:sz w:val="28"/>
          <w:szCs w:val="28"/>
          <w:highlight w:val="none"/>
        </w:rPr>
        <w:t>附</w:t>
      </w:r>
      <w:bookmarkStart w:id="1129" w:name="_Toc296891271"/>
      <w:bookmarkStart w:id="1130" w:name="_Toc296503231"/>
      <w:bookmarkStart w:id="1131" w:name="_Toc296891059"/>
      <w:bookmarkStart w:id="1132" w:name="_Toc296347230"/>
      <w:bookmarkStart w:id="1133" w:name="_Toc296944570"/>
      <w:bookmarkStart w:id="1134" w:name="_Toc296346732"/>
      <w:r>
        <w:rPr>
          <w:rFonts w:hint="eastAsia" w:eastAsia="仿宋_GB2312" w:cs="仿宋_GB2312"/>
          <w:color w:val="auto"/>
          <w:sz w:val="28"/>
          <w:szCs w:val="28"/>
          <w:highlight w:val="none"/>
        </w:rPr>
        <w:t>件</w:t>
      </w:r>
      <w:r>
        <w:rPr>
          <w:rFonts w:eastAsia="仿宋_GB2312"/>
          <w:color w:val="auto"/>
          <w:sz w:val="28"/>
          <w:szCs w:val="28"/>
          <w:highlight w:val="none"/>
        </w:rPr>
        <w:t>7</w:t>
      </w:r>
      <w:r>
        <w:rPr>
          <w:rFonts w:hint="eastAsia" w:eastAsia="仿宋_GB2312" w:cs="仿宋_GB2312"/>
          <w:color w:val="auto"/>
          <w:sz w:val="28"/>
          <w:szCs w:val="28"/>
          <w:highlight w:val="none"/>
        </w:rPr>
        <w:t>：</w:t>
      </w:r>
    </w:p>
    <w:p w14:paraId="1DF797A3">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63CC6B67">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7F4C45F2">
      <w:pPr>
        <w:pStyle w:val="84"/>
        <w:wordWrap w:val="0"/>
        <w:spacing w:line="360" w:lineRule="auto"/>
        <w:jc w:val="right"/>
        <w:rPr>
          <w:rFonts w:ascii="宋体" w:hAnsi="宋体"/>
          <w:color w:val="auto"/>
          <w:highlight w:val="none"/>
        </w:rPr>
      </w:pPr>
      <w:r>
        <w:rPr>
          <w:rFonts w:hint="eastAsia" w:ascii="宋体" w:hAnsi="宋体"/>
          <w:color w:val="auto"/>
          <w:highlight w:val="none"/>
        </w:rPr>
        <w:t xml:space="preserve">编号：           </w:t>
      </w:r>
    </w:p>
    <w:p w14:paraId="4628B093">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承包人：</w:t>
      </w:r>
    </w:p>
    <w:p w14:paraId="7E853E5C">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2CC33990">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担保权人/发包人： </w:t>
      </w:r>
    </w:p>
    <w:p w14:paraId="53635496">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2D748B65">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保证人：</w:t>
      </w:r>
    </w:p>
    <w:p w14:paraId="2560C80B">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0E796006">
      <w:pPr>
        <w:pStyle w:val="84"/>
        <w:spacing w:line="360" w:lineRule="auto"/>
        <w:ind w:firstLine="480"/>
        <w:rPr>
          <w:rFonts w:ascii="宋体" w:hAnsi="宋体"/>
          <w:color w:val="auto"/>
          <w:sz w:val="24"/>
          <w:szCs w:val="24"/>
          <w:highlight w:val="none"/>
        </w:rPr>
      </w:pPr>
    </w:p>
    <w:p w14:paraId="4AA9D938">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（发包人名称）： </w:t>
      </w:r>
    </w:p>
    <w:p w14:paraId="4289BDB0">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（以下简称“发包人”）与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（以下简称“承包人”）于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 xml:space="preserve">（以下简称“主合同”），我方即保证人基于承包人的请求，同意就承包人履行与贵方签订的主合同项下的义务，向贵方提供如下保证担保（以下简称“本保证担保”）。 </w:t>
      </w:r>
    </w:p>
    <w:p w14:paraId="524AEB0A">
      <w:pPr>
        <w:pStyle w:val="84"/>
        <w:spacing w:line="360" w:lineRule="auto"/>
        <w:ind w:firstLine="480"/>
        <w:rPr>
          <w:rFonts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一、保证担保的范围及保证担保金额</w:t>
      </w:r>
    </w:p>
    <w:p w14:paraId="2524FD5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1.保证担保范围：承包人未按照主合同的约定履行义务，应当向贵方承担的违约责任和赔偿因此造成的损失、利息、律师费、诉讼费用等实现债权的费用。</w:t>
      </w:r>
    </w:p>
    <w:p w14:paraId="4E84B4AA">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2.保证担保金额最高不超过人民币（大写）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1633F6F4">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二、保证担保的方式及保证期间 </w:t>
      </w:r>
    </w:p>
    <w:p w14:paraId="55374C7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5428D02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2.保证期间：自出具之日起至主合同约定的缺陷责任期后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07782CF7">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3CDE5BA1">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我方按照贵方的要求以下列方式之一承担保证担保责任： </w:t>
      </w:r>
    </w:p>
    <w:p w14:paraId="52708193">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14:paraId="7AB27CB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14:paraId="4A3EB02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14:paraId="5851DC79">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四、代偿的安排 </w:t>
      </w:r>
    </w:p>
    <w:p w14:paraId="2987289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582310E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14:paraId="29DBEA2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77A8E429">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五、保证担保责任的解除 </w:t>
      </w:r>
    </w:p>
    <w:p w14:paraId="2448886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1.保证期间届满贵方未向我方书面主张保证责任的，自保证期间届满次日起，我方解除保证责任。 </w:t>
      </w:r>
    </w:p>
    <w:p w14:paraId="5CFC298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2.我方按照本保证担保向贵方履行了保证担保责任后，自我方向贵方支付的金额达到最高保证担保金额之日起，保证担保责任解除。 </w:t>
      </w:r>
    </w:p>
    <w:p w14:paraId="711DE29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3.按照法律法规的规定应解除我方保证担保责任的其它情形的，我方在本保证担保项下的保证担保责任亦解除。 </w:t>
      </w:r>
    </w:p>
    <w:p w14:paraId="6B307B9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C6F8C28">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六、免责条款 </w:t>
      </w:r>
    </w:p>
    <w:p w14:paraId="081F6B6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1.因贵方原因致使承包人未按照主合同约定履行义务的，我方不承担保证担保责任。 </w:t>
      </w:r>
    </w:p>
    <w:p w14:paraId="79EDC25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2.依照法律规定或贵方与发包人的另行约定，免除承包人部分或全部义务的，我方亦免除其相应的保证担保责任。 </w:t>
      </w:r>
    </w:p>
    <w:p w14:paraId="44859ED2">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3.因不可抗力造成承包人未按照主合同约定履行义务的，我方不承担保证担保责任。</w:t>
      </w:r>
    </w:p>
    <w:p w14:paraId="181A9F6E">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4A3D8A4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1.本保证担保项下的权利不得转让，不得设定担保。贵方未经我方书面同意转让本保证担保或其项下任何权利，对我方不发生法律效力。 </w:t>
      </w:r>
    </w:p>
    <w:p w14:paraId="067472CF">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4CD0E58D">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3.本保证担保自我方法定代表人或授权代表签字并加盖公章之日起生效。 </w:t>
      </w:r>
    </w:p>
    <w:p w14:paraId="49E04865">
      <w:pPr>
        <w:pStyle w:val="84"/>
        <w:spacing w:line="360" w:lineRule="auto"/>
        <w:ind w:firstLine="480" w:firstLineChars="200"/>
        <w:rPr>
          <w:rFonts w:ascii="宋体" w:hAnsi="宋体"/>
          <w:color w:val="auto"/>
          <w:sz w:val="24"/>
          <w:szCs w:val="24"/>
          <w:highlight w:val="none"/>
        </w:rPr>
      </w:pPr>
    </w:p>
    <w:p w14:paraId="106120E6">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保 证 人：                              （公章） </w:t>
      </w:r>
    </w:p>
    <w:p w14:paraId="29FA4A3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法定代表人（或授权代表）：               （签字） </w:t>
      </w:r>
    </w:p>
    <w:p w14:paraId="69A6E9A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w:t>
      </w:r>
    </w:p>
    <w:p w14:paraId="0A57518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邮政编码：                 </w:t>
      </w:r>
    </w:p>
    <w:p w14:paraId="1D15D8E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w:t>
      </w:r>
    </w:p>
    <w:p w14:paraId="3EC33C2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传    真：                 </w:t>
      </w:r>
    </w:p>
    <w:p w14:paraId="05DDB36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时    间：      年      月        日</w:t>
      </w:r>
    </w:p>
    <w:p w14:paraId="1AC8DDED">
      <w:pPr>
        <w:pStyle w:val="84"/>
        <w:rPr>
          <w:color w:val="auto"/>
          <w:highlight w:val="none"/>
        </w:rPr>
      </w:pPr>
    </w:p>
    <w:p w14:paraId="50DAA4CA">
      <w:pPr>
        <w:pStyle w:val="84"/>
        <w:rPr>
          <w:color w:val="auto"/>
          <w:highlight w:val="none"/>
        </w:rPr>
      </w:pPr>
    </w:p>
    <w:bookmarkEnd w:id="1128"/>
    <w:bookmarkEnd w:id="1129"/>
    <w:bookmarkEnd w:id="1130"/>
    <w:bookmarkEnd w:id="1131"/>
    <w:bookmarkEnd w:id="1132"/>
    <w:bookmarkEnd w:id="1133"/>
    <w:bookmarkEnd w:id="1134"/>
    <w:p w14:paraId="643AD7D6">
      <w:pPr>
        <w:pStyle w:val="84"/>
        <w:spacing w:line="360" w:lineRule="auto"/>
        <w:ind w:firstLine="600"/>
        <w:jc w:val="left"/>
        <w:rPr>
          <w:rFonts w:eastAsia="仿宋_GB2312" w:cs="仿宋_GB2312"/>
          <w:color w:val="auto"/>
          <w:sz w:val="30"/>
          <w:szCs w:val="30"/>
          <w:highlight w:val="none"/>
        </w:rPr>
      </w:pPr>
    </w:p>
    <w:p w14:paraId="40B6C1D9">
      <w:pPr>
        <w:pStyle w:val="84"/>
        <w:spacing w:line="360" w:lineRule="auto"/>
        <w:ind w:firstLine="600"/>
        <w:jc w:val="left"/>
        <w:rPr>
          <w:rFonts w:eastAsia="仿宋_GB2312" w:cs="仿宋_GB2312"/>
          <w:color w:val="auto"/>
          <w:sz w:val="30"/>
          <w:szCs w:val="30"/>
          <w:highlight w:val="none"/>
        </w:rPr>
      </w:pPr>
    </w:p>
    <w:p w14:paraId="3E61233D">
      <w:pPr>
        <w:pStyle w:val="84"/>
        <w:spacing w:line="360" w:lineRule="auto"/>
        <w:ind w:firstLine="600"/>
        <w:jc w:val="left"/>
        <w:rPr>
          <w:rFonts w:eastAsia="仿宋_GB2312" w:cs="仿宋_GB2312"/>
          <w:color w:val="auto"/>
          <w:sz w:val="30"/>
          <w:szCs w:val="30"/>
          <w:highlight w:val="none"/>
        </w:rPr>
      </w:pPr>
    </w:p>
    <w:p w14:paraId="48B273AE">
      <w:pPr>
        <w:pStyle w:val="84"/>
        <w:spacing w:line="360" w:lineRule="auto"/>
        <w:ind w:firstLine="600"/>
        <w:jc w:val="left"/>
        <w:rPr>
          <w:rFonts w:eastAsia="仿宋_GB2312" w:cs="仿宋_GB2312"/>
          <w:color w:val="auto"/>
          <w:sz w:val="30"/>
          <w:szCs w:val="30"/>
          <w:highlight w:val="none"/>
        </w:rPr>
      </w:pPr>
    </w:p>
    <w:p w14:paraId="483C9373">
      <w:pPr>
        <w:pStyle w:val="84"/>
        <w:spacing w:line="360" w:lineRule="auto"/>
        <w:ind w:firstLine="600"/>
        <w:jc w:val="left"/>
        <w:rPr>
          <w:rFonts w:eastAsia="仿宋_GB2312" w:cs="仿宋_GB2312"/>
          <w:color w:val="auto"/>
          <w:sz w:val="30"/>
          <w:szCs w:val="30"/>
          <w:highlight w:val="none"/>
        </w:rPr>
      </w:pPr>
    </w:p>
    <w:p w14:paraId="5EB63959">
      <w:pPr>
        <w:pStyle w:val="84"/>
        <w:spacing w:line="360" w:lineRule="auto"/>
        <w:ind w:firstLine="600"/>
        <w:jc w:val="left"/>
        <w:rPr>
          <w:rFonts w:eastAsia="仿宋_GB2312" w:cs="仿宋_GB2312"/>
          <w:color w:val="auto"/>
          <w:sz w:val="30"/>
          <w:szCs w:val="30"/>
          <w:highlight w:val="none"/>
        </w:rPr>
      </w:pPr>
    </w:p>
    <w:p w14:paraId="7B2DAAC2">
      <w:pPr>
        <w:pStyle w:val="84"/>
        <w:spacing w:line="360" w:lineRule="auto"/>
        <w:ind w:firstLine="600"/>
        <w:jc w:val="left"/>
        <w:rPr>
          <w:rFonts w:eastAsia="仿宋_GB2312" w:cs="仿宋_GB2312"/>
          <w:color w:val="auto"/>
          <w:sz w:val="30"/>
          <w:szCs w:val="30"/>
          <w:highlight w:val="none"/>
        </w:rPr>
      </w:pPr>
    </w:p>
    <w:p w14:paraId="6655EC93">
      <w:pPr>
        <w:pStyle w:val="84"/>
        <w:spacing w:line="360" w:lineRule="auto"/>
        <w:ind w:firstLine="600"/>
        <w:jc w:val="left"/>
        <w:rPr>
          <w:rFonts w:eastAsia="仿宋_GB2312" w:cs="仿宋_GB2312"/>
          <w:color w:val="auto"/>
          <w:sz w:val="30"/>
          <w:szCs w:val="30"/>
          <w:highlight w:val="none"/>
        </w:rPr>
      </w:pPr>
    </w:p>
    <w:p w14:paraId="3DC6970F">
      <w:pPr>
        <w:pStyle w:val="84"/>
        <w:spacing w:line="360" w:lineRule="auto"/>
        <w:ind w:firstLine="600"/>
        <w:jc w:val="left"/>
        <w:rPr>
          <w:rFonts w:eastAsia="仿宋_GB2312" w:cs="仿宋_GB2312"/>
          <w:color w:val="auto"/>
          <w:sz w:val="30"/>
          <w:szCs w:val="30"/>
          <w:highlight w:val="none"/>
        </w:rPr>
      </w:pPr>
    </w:p>
    <w:p w14:paraId="306BFAC8">
      <w:pPr>
        <w:pStyle w:val="84"/>
        <w:spacing w:line="360" w:lineRule="auto"/>
        <w:ind w:firstLine="600"/>
        <w:jc w:val="left"/>
        <w:rPr>
          <w:rFonts w:eastAsia="仿宋_GB2312" w:cs="仿宋_GB2312"/>
          <w:color w:val="auto"/>
          <w:sz w:val="30"/>
          <w:szCs w:val="30"/>
          <w:highlight w:val="none"/>
        </w:rPr>
      </w:pPr>
    </w:p>
    <w:p w14:paraId="0E495854">
      <w:pPr>
        <w:pStyle w:val="84"/>
        <w:spacing w:line="360" w:lineRule="auto"/>
        <w:ind w:firstLine="600"/>
        <w:jc w:val="left"/>
        <w:rPr>
          <w:rFonts w:eastAsia="仿宋_GB2312" w:cs="仿宋_GB2312"/>
          <w:color w:val="auto"/>
          <w:sz w:val="30"/>
          <w:szCs w:val="30"/>
          <w:highlight w:val="none"/>
        </w:rPr>
      </w:pPr>
    </w:p>
    <w:p w14:paraId="5C202C47">
      <w:pPr>
        <w:pStyle w:val="84"/>
        <w:spacing w:line="360" w:lineRule="auto"/>
        <w:ind w:firstLine="600"/>
        <w:jc w:val="left"/>
        <w:rPr>
          <w:rFonts w:ascii="黑体" w:hAnsi="黑体" w:eastAsia="黑体" w:cs="黑体"/>
          <w:color w:val="auto"/>
          <w:sz w:val="32"/>
          <w:szCs w:val="32"/>
          <w:highlight w:val="none"/>
        </w:rPr>
      </w:pPr>
      <w:r>
        <w:rPr>
          <w:rFonts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eastAsia="仿宋_GB2312"/>
          <w:color w:val="auto"/>
          <w:sz w:val="30"/>
          <w:szCs w:val="30"/>
          <w:highlight w:val="none"/>
        </w:rPr>
        <w:t>8</w:t>
      </w:r>
      <w:r>
        <w:rPr>
          <w:rFonts w:hint="eastAsia" w:eastAsia="仿宋_GB2312" w:cs="仿宋_GB2312"/>
          <w:color w:val="auto"/>
          <w:sz w:val="30"/>
          <w:szCs w:val="30"/>
          <w:highlight w:val="none"/>
        </w:rPr>
        <w:t>：</w:t>
      </w:r>
    </w:p>
    <w:p w14:paraId="08BAAF5F">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54E697C9">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68AB3D63">
      <w:pPr>
        <w:pStyle w:val="84"/>
        <w:wordWrap w:val="0"/>
        <w:spacing w:line="360" w:lineRule="auto"/>
        <w:jc w:val="right"/>
        <w:rPr>
          <w:rFonts w:ascii="宋体" w:hAnsi="宋体"/>
          <w:color w:val="auto"/>
          <w:highlight w:val="none"/>
        </w:rPr>
      </w:pPr>
      <w:r>
        <w:rPr>
          <w:rFonts w:hint="eastAsia" w:ascii="宋体" w:hAnsi="宋体"/>
          <w:color w:val="auto"/>
          <w:highlight w:val="none"/>
        </w:rPr>
        <w:t xml:space="preserve">编号：           </w:t>
      </w:r>
    </w:p>
    <w:p w14:paraId="15B02C0B">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申请人：</w:t>
      </w:r>
    </w:p>
    <w:p w14:paraId="3C5883C5">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2142AFF9">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受益人：</w:t>
      </w:r>
    </w:p>
    <w:p w14:paraId="1DAF7379">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734CFBE1">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开立人：</w:t>
      </w:r>
    </w:p>
    <w:p w14:paraId="21725782">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78CF8A49">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w:t>
      </w:r>
    </w:p>
    <w:p w14:paraId="59B821D6">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（受益人名称）： </w:t>
      </w:r>
    </w:p>
    <w:p w14:paraId="4372B84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（以下简称“受益人”）与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（以下简称“申请人”）于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335BEFC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5F8D97C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36E44917">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三、本保函有效期自开立之日起至发包人全额扣回预付款后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C78F33D">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055D4FE7">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448090B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0EBF61B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747459C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0E834E7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2CB51E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7785D66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五、本保函项下的权利不得转让，不得设定担保。贵方未经我方书面同意转 让本保函或其项下任何权利，对我方不发生法律效力。 </w:t>
      </w:r>
    </w:p>
    <w:p w14:paraId="1E3C1C5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六、与本保函有关的基础合同不成立、不生效、无效、被撤销、被解除，不影响本保函的独立有效。 </w:t>
      </w:r>
    </w:p>
    <w:p w14:paraId="10672BF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37937C1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八、本保函适用的法律为中华人民共和国法律，争议裁判管辖地为中华人民共和国</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2A690F4A">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九、本保函自我方法定代表人或授权代表签字并加盖公章之日起生效。 </w:t>
      </w:r>
    </w:p>
    <w:p w14:paraId="59D4B9FA">
      <w:pPr>
        <w:pStyle w:val="84"/>
        <w:spacing w:line="360" w:lineRule="auto"/>
        <w:ind w:firstLine="480" w:firstLineChars="200"/>
        <w:rPr>
          <w:rFonts w:ascii="宋体" w:hAnsi="宋体"/>
          <w:color w:val="auto"/>
          <w:sz w:val="24"/>
          <w:szCs w:val="24"/>
          <w:highlight w:val="none"/>
        </w:rPr>
      </w:pPr>
    </w:p>
    <w:p w14:paraId="23DE92D8">
      <w:pPr>
        <w:pStyle w:val="84"/>
        <w:spacing w:line="360" w:lineRule="auto"/>
        <w:ind w:firstLine="480" w:firstLineChars="200"/>
        <w:rPr>
          <w:rFonts w:ascii="宋体" w:hAnsi="宋体"/>
          <w:color w:val="auto"/>
          <w:sz w:val="24"/>
          <w:szCs w:val="24"/>
          <w:highlight w:val="none"/>
        </w:rPr>
      </w:pPr>
    </w:p>
    <w:p w14:paraId="42003A42">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 立 人：                              （公章） </w:t>
      </w:r>
    </w:p>
    <w:p w14:paraId="4827AF72">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法定代表人（或授权代表）：               （签字） </w:t>
      </w:r>
    </w:p>
    <w:p w14:paraId="3E6E729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w:t>
      </w:r>
    </w:p>
    <w:p w14:paraId="718B161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邮政编码：                 </w:t>
      </w:r>
    </w:p>
    <w:p w14:paraId="0B777F07">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w:t>
      </w:r>
    </w:p>
    <w:p w14:paraId="5A7D428D">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传    真：                 </w:t>
      </w:r>
    </w:p>
    <w:p w14:paraId="2C46623F">
      <w:pPr>
        <w:pStyle w:val="84"/>
        <w:ind w:firstLine="480"/>
        <w:rPr>
          <w:color w:val="auto"/>
          <w:highlight w:val="none"/>
        </w:rPr>
      </w:pPr>
      <w:r>
        <w:rPr>
          <w:rFonts w:hint="eastAsia" w:ascii="宋体" w:hAnsi="宋体"/>
          <w:color w:val="auto"/>
          <w:sz w:val="24"/>
          <w:szCs w:val="24"/>
          <w:highlight w:val="none"/>
        </w:rPr>
        <w:t xml:space="preserve">    开立时间：      年      月        日</w:t>
      </w:r>
    </w:p>
    <w:p w14:paraId="3D8165EF">
      <w:pPr>
        <w:pStyle w:val="84"/>
        <w:spacing w:line="360" w:lineRule="auto"/>
        <w:ind w:firstLine="643"/>
        <w:jc w:val="center"/>
        <w:rPr>
          <w:rFonts w:ascii="宋体" w:hAnsi="宋体"/>
          <w:b/>
          <w:bCs/>
          <w:color w:val="auto"/>
          <w:sz w:val="32"/>
          <w:szCs w:val="32"/>
          <w:highlight w:val="none"/>
        </w:rPr>
      </w:pPr>
    </w:p>
    <w:p w14:paraId="6F7DDC5E">
      <w:pPr>
        <w:pStyle w:val="84"/>
        <w:spacing w:line="360" w:lineRule="auto"/>
        <w:ind w:firstLine="640"/>
        <w:jc w:val="left"/>
        <w:rPr>
          <w:rFonts w:ascii="黑体" w:hAnsi="黑体" w:eastAsia="黑体" w:cs="黑体"/>
          <w:color w:val="auto"/>
          <w:sz w:val="32"/>
          <w:szCs w:val="32"/>
          <w:highlight w:val="none"/>
        </w:rPr>
      </w:pPr>
    </w:p>
    <w:p w14:paraId="75C8C3FB">
      <w:pPr>
        <w:pStyle w:val="84"/>
        <w:spacing w:line="360" w:lineRule="auto"/>
        <w:ind w:firstLine="640"/>
        <w:jc w:val="left"/>
        <w:rPr>
          <w:rFonts w:ascii="黑体" w:hAnsi="黑体" w:eastAsia="黑体" w:cs="黑体"/>
          <w:color w:val="auto"/>
          <w:sz w:val="32"/>
          <w:szCs w:val="32"/>
          <w:highlight w:val="none"/>
        </w:rPr>
      </w:pPr>
    </w:p>
    <w:p w14:paraId="2303D195">
      <w:pPr>
        <w:widowControl/>
        <w:spacing w:line="360" w:lineRule="auto"/>
        <w:jc w:val="left"/>
        <w:rPr>
          <w:rFonts w:ascii="黑体" w:hAnsi="黑体" w:eastAsia="黑体" w:cs="黑体"/>
          <w:color w:val="auto"/>
          <w:sz w:val="32"/>
          <w:szCs w:val="32"/>
          <w:highlight w:val="none"/>
        </w:rPr>
        <w:sectPr>
          <w:pgSz w:w="11907" w:h="16840"/>
          <w:pgMar w:top="1440" w:right="1440" w:bottom="1440" w:left="1797" w:header="851" w:footer="851" w:gutter="0"/>
          <w:cols w:space="720" w:num="1"/>
        </w:sectPr>
      </w:pPr>
    </w:p>
    <w:p w14:paraId="11CAFE35">
      <w:pPr>
        <w:pStyle w:val="84"/>
        <w:spacing w:line="360" w:lineRule="auto"/>
        <w:ind w:firstLine="560"/>
        <w:jc w:val="left"/>
        <w:rPr>
          <w:rFonts w:ascii="宋体" w:hAnsi="宋体" w:cs="黑体"/>
          <w:b/>
          <w:bCs/>
          <w:color w:val="auto"/>
          <w:sz w:val="28"/>
          <w:szCs w:val="28"/>
          <w:highlight w:val="none"/>
        </w:rPr>
      </w:pPr>
      <w:r>
        <w:rPr>
          <w:rFonts w:hint="eastAsia" w:ascii="宋体" w:hAnsi="宋体" w:cs="黑体"/>
          <w:color w:val="auto"/>
          <w:sz w:val="28"/>
          <w:szCs w:val="28"/>
          <w:highlight w:val="none"/>
        </w:rPr>
        <w:t>附件8</w:t>
      </w:r>
    </w:p>
    <w:p w14:paraId="769DEC89">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202DBBAC">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3940AB76">
      <w:pPr>
        <w:pStyle w:val="84"/>
        <w:wordWrap w:val="0"/>
        <w:spacing w:line="360" w:lineRule="auto"/>
        <w:jc w:val="right"/>
        <w:rPr>
          <w:rFonts w:ascii="宋体" w:hAnsi="宋体"/>
          <w:color w:val="auto"/>
          <w:highlight w:val="none"/>
        </w:rPr>
      </w:pPr>
      <w:r>
        <w:rPr>
          <w:rFonts w:hint="eastAsia" w:ascii="宋体" w:hAnsi="宋体"/>
          <w:color w:val="auto"/>
          <w:highlight w:val="none"/>
        </w:rPr>
        <w:t xml:space="preserve">编号：           </w:t>
      </w:r>
    </w:p>
    <w:p w14:paraId="5519B644">
      <w:pPr>
        <w:pStyle w:val="84"/>
        <w:spacing w:line="360" w:lineRule="auto"/>
        <w:ind w:firstLine="480"/>
        <w:rPr>
          <w:rFonts w:ascii="宋体" w:hAnsi="宋体"/>
          <w:color w:val="auto"/>
          <w:sz w:val="24"/>
          <w:szCs w:val="24"/>
          <w:highlight w:val="none"/>
        </w:rPr>
      </w:pPr>
    </w:p>
    <w:p w14:paraId="35C9D593">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担保权人/发包人：</w:t>
      </w:r>
    </w:p>
    <w:p w14:paraId="533EA234">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30D502E4">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承包人： </w:t>
      </w:r>
    </w:p>
    <w:p w14:paraId="4F1FE247">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2DB6BC83">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保证人：</w:t>
      </w:r>
    </w:p>
    <w:p w14:paraId="2426B977">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232B78B8">
      <w:pPr>
        <w:pStyle w:val="84"/>
        <w:spacing w:line="360" w:lineRule="auto"/>
        <w:ind w:firstLine="480"/>
        <w:rPr>
          <w:rFonts w:ascii="宋体" w:hAnsi="宋体"/>
          <w:color w:val="auto"/>
          <w:sz w:val="24"/>
          <w:szCs w:val="24"/>
          <w:highlight w:val="none"/>
        </w:rPr>
      </w:pPr>
    </w:p>
    <w:p w14:paraId="53C7C29E">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（发包人名称）： </w:t>
      </w:r>
    </w:p>
    <w:p w14:paraId="5B9B44BF">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（以下简称“发包人”）与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（以下简称“承包人”）于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0747DB17">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0A83797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1.保证担保范围：申请人未按照合同约定正确和合理地为合同目的使用预付款，应当向贵方承担的违约责任和赔偿因此造成的损失、利息、律师费、诉讼费用等实现债权的费用。</w:t>
      </w:r>
    </w:p>
    <w:p w14:paraId="7F52AD1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2.保证担保金额最高不超过人民币（大写）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EF81055">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二、保证担保的方式及保证期间 </w:t>
      </w:r>
    </w:p>
    <w:p w14:paraId="333D070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21B42D21">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2.保证期间：自出具之日起至发包人全额扣回预付款后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24952C63">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0D312CC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4A9B3033">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四、代偿的安排 </w:t>
      </w:r>
    </w:p>
    <w:p w14:paraId="333A638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47374BF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240343F5">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五、保证担保责任的解除 </w:t>
      </w:r>
    </w:p>
    <w:p w14:paraId="7A75CC6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1.保证期间届满贵方未向我方书面主张保证责任的，自保证期间届满次日起，我方解除保证责任。 </w:t>
      </w:r>
    </w:p>
    <w:p w14:paraId="695E9F8F">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2.我方按照本保证担保向贵方履行了保证担保责任后，自我方向贵方支付的金额达到最高保证担保金额之日起，保证担保责任解除。 </w:t>
      </w:r>
    </w:p>
    <w:p w14:paraId="349CFEB1">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3.按照法律法规的规定应解除我方保证担保责任的其它情形的，我方在本保证担保项下的保证担保责任亦解除。 </w:t>
      </w:r>
    </w:p>
    <w:p w14:paraId="30C9A092">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E87490A">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六、免责条款 </w:t>
      </w:r>
    </w:p>
    <w:p w14:paraId="012060B3">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1.因贵方原因致使发生应承担保证责任情形的，我方不承担保证担保责任。 </w:t>
      </w:r>
    </w:p>
    <w:p w14:paraId="7DDF351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2.依照法律规定或贵方与承包人的另行约定，免除承包人部分或全部义务的，我方亦免除其相应的保证担保责任。 </w:t>
      </w:r>
    </w:p>
    <w:p w14:paraId="3CD05720">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3.因不可抗力造成发生应承担保证责任情形的，我方不承担保证担保责任。</w:t>
      </w:r>
    </w:p>
    <w:p w14:paraId="3DDF6871">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6077A2C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1.本保证担保项下的权利不得转让，不得设定担保。贵方未经我方书面同意转让本保证担保或其项下任何权利，对我方不发生法律效力。 </w:t>
      </w:r>
    </w:p>
    <w:p w14:paraId="5CB700C7">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163CB16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3.本保证担保自我方法定代表人或授权代表签字并加盖公章之日起生效。 </w:t>
      </w:r>
    </w:p>
    <w:p w14:paraId="31652917">
      <w:pPr>
        <w:pStyle w:val="84"/>
        <w:spacing w:line="360" w:lineRule="auto"/>
        <w:ind w:firstLine="480" w:firstLineChars="200"/>
        <w:rPr>
          <w:rFonts w:ascii="宋体" w:hAnsi="宋体"/>
          <w:color w:val="auto"/>
          <w:sz w:val="24"/>
          <w:szCs w:val="24"/>
          <w:highlight w:val="none"/>
        </w:rPr>
      </w:pPr>
    </w:p>
    <w:p w14:paraId="4346DC5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保 证 人：                              （公章） </w:t>
      </w:r>
    </w:p>
    <w:p w14:paraId="44ACDB03">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法定代表人（或授权代表）：               （签字） </w:t>
      </w:r>
    </w:p>
    <w:p w14:paraId="1660608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w:t>
      </w:r>
    </w:p>
    <w:p w14:paraId="4AC19B5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邮政编码：                 </w:t>
      </w:r>
    </w:p>
    <w:p w14:paraId="758961A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w:t>
      </w:r>
    </w:p>
    <w:p w14:paraId="488F102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传    真：                 </w:t>
      </w:r>
    </w:p>
    <w:p w14:paraId="1410FF0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时    间：      年      月        日</w:t>
      </w:r>
    </w:p>
    <w:p w14:paraId="37935516">
      <w:pPr>
        <w:pStyle w:val="84"/>
        <w:rPr>
          <w:color w:val="auto"/>
          <w:highlight w:val="none"/>
        </w:rPr>
      </w:pPr>
    </w:p>
    <w:p w14:paraId="715684CD">
      <w:pPr>
        <w:pStyle w:val="84"/>
        <w:spacing w:line="360" w:lineRule="auto"/>
        <w:ind w:firstLine="643"/>
        <w:jc w:val="center"/>
        <w:rPr>
          <w:rFonts w:ascii="宋体" w:hAnsi="宋体"/>
          <w:b/>
          <w:bCs/>
          <w:color w:val="auto"/>
          <w:sz w:val="32"/>
          <w:szCs w:val="32"/>
          <w:highlight w:val="none"/>
        </w:rPr>
      </w:pPr>
    </w:p>
    <w:p w14:paraId="73427857">
      <w:pPr>
        <w:pStyle w:val="84"/>
        <w:spacing w:line="440" w:lineRule="exact"/>
        <w:ind w:firstLine="600"/>
        <w:rPr>
          <w:rFonts w:eastAsia="仿宋_GB2312" w:cs="仿宋_GB2312"/>
          <w:color w:val="auto"/>
          <w:sz w:val="30"/>
          <w:szCs w:val="30"/>
          <w:highlight w:val="none"/>
        </w:rPr>
      </w:pPr>
    </w:p>
    <w:p w14:paraId="6E836845">
      <w:pPr>
        <w:pStyle w:val="84"/>
        <w:spacing w:line="440" w:lineRule="exact"/>
        <w:ind w:firstLine="600"/>
        <w:rPr>
          <w:rFonts w:eastAsia="仿宋_GB2312" w:cs="仿宋_GB2312"/>
          <w:color w:val="auto"/>
          <w:sz w:val="30"/>
          <w:szCs w:val="30"/>
          <w:highlight w:val="none"/>
        </w:rPr>
      </w:pPr>
    </w:p>
    <w:p w14:paraId="2588CE81">
      <w:pPr>
        <w:pStyle w:val="84"/>
        <w:spacing w:line="440" w:lineRule="exact"/>
        <w:ind w:firstLine="600"/>
        <w:rPr>
          <w:rFonts w:eastAsia="仿宋_GB2312" w:cs="仿宋_GB2312"/>
          <w:color w:val="auto"/>
          <w:sz w:val="30"/>
          <w:szCs w:val="30"/>
          <w:highlight w:val="none"/>
        </w:rPr>
      </w:pPr>
    </w:p>
    <w:p w14:paraId="1AA6A419">
      <w:pPr>
        <w:pStyle w:val="84"/>
        <w:spacing w:line="440" w:lineRule="exact"/>
        <w:ind w:firstLine="600"/>
        <w:rPr>
          <w:rFonts w:eastAsia="仿宋_GB2312" w:cs="仿宋_GB2312"/>
          <w:color w:val="auto"/>
          <w:sz w:val="30"/>
          <w:szCs w:val="30"/>
          <w:highlight w:val="none"/>
        </w:rPr>
      </w:pPr>
    </w:p>
    <w:p w14:paraId="23A17A59">
      <w:pPr>
        <w:pStyle w:val="84"/>
        <w:spacing w:line="440" w:lineRule="exact"/>
        <w:ind w:firstLine="600"/>
        <w:rPr>
          <w:rFonts w:eastAsia="仿宋_GB2312" w:cs="仿宋_GB2312"/>
          <w:color w:val="auto"/>
          <w:sz w:val="30"/>
          <w:szCs w:val="30"/>
          <w:highlight w:val="none"/>
        </w:rPr>
      </w:pPr>
    </w:p>
    <w:p w14:paraId="2C174E04">
      <w:pPr>
        <w:pStyle w:val="84"/>
        <w:spacing w:line="440" w:lineRule="exact"/>
        <w:ind w:firstLine="600"/>
        <w:rPr>
          <w:rFonts w:eastAsia="仿宋_GB2312" w:cs="仿宋_GB2312"/>
          <w:color w:val="auto"/>
          <w:sz w:val="30"/>
          <w:szCs w:val="30"/>
          <w:highlight w:val="none"/>
        </w:rPr>
      </w:pPr>
    </w:p>
    <w:p w14:paraId="2479C4A1">
      <w:pPr>
        <w:pStyle w:val="84"/>
        <w:spacing w:line="440" w:lineRule="exact"/>
        <w:ind w:firstLine="600"/>
        <w:rPr>
          <w:rFonts w:eastAsia="仿宋_GB2312" w:cs="仿宋_GB2312"/>
          <w:color w:val="auto"/>
          <w:sz w:val="30"/>
          <w:szCs w:val="30"/>
          <w:highlight w:val="none"/>
        </w:rPr>
      </w:pPr>
    </w:p>
    <w:p w14:paraId="6D447C25">
      <w:pPr>
        <w:pStyle w:val="84"/>
        <w:spacing w:line="440" w:lineRule="exact"/>
        <w:ind w:firstLine="600"/>
        <w:rPr>
          <w:rFonts w:eastAsia="仿宋_GB2312" w:cs="仿宋_GB2312"/>
          <w:color w:val="auto"/>
          <w:sz w:val="30"/>
          <w:szCs w:val="30"/>
          <w:highlight w:val="none"/>
        </w:rPr>
      </w:pPr>
    </w:p>
    <w:p w14:paraId="1C0B294E">
      <w:pPr>
        <w:pStyle w:val="84"/>
        <w:spacing w:line="440" w:lineRule="exact"/>
        <w:ind w:firstLine="600"/>
        <w:rPr>
          <w:rFonts w:eastAsia="仿宋_GB2312" w:cs="仿宋_GB2312"/>
          <w:color w:val="auto"/>
          <w:sz w:val="30"/>
          <w:szCs w:val="30"/>
          <w:highlight w:val="none"/>
        </w:rPr>
      </w:pPr>
    </w:p>
    <w:p w14:paraId="363BAFC6">
      <w:pPr>
        <w:pStyle w:val="84"/>
        <w:spacing w:line="440" w:lineRule="exact"/>
        <w:ind w:firstLine="600"/>
        <w:rPr>
          <w:rFonts w:eastAsia="仿宋_GB2312" w:cs="仿宋_GB2312"/>
          <w:color w:val="auto"/>
          <w:sz w:val="30"/>
          <w:szCs w:val="30"/>
          <w:highlight w:val="none"/>
        </w:rPr>
      </w:pPr>
    </w:p>
    <w:p w14:paraId="2B9924D5">
      <w:pPr>
        <w:pStyle w:val="84"/>
        <w:spacing w:line="440" w:lineRule="exact"/>
        <w:ind w:firstLine="600"/>
        <w:rPr>
          <w:rFonts w:eastAsia="仿宋_GB2312" w:cs="仿宋_GB2312"/>
          <w:color w:val="auto"/>
          <w:sz w:val="30"/>
          <w:szCs w:val="30"/>
          <w:highlight w:val="none"/>
        </w:rPr>
      </w:pPr>
    </w:p>
    <w:p w14:paraId="463F803A">
      <w:pPr>
        <w:pStyle w:val="84"/>
        <w:spacing w:line="440" w:lineRule="exact"/>
        <w:ind w:firstLine="600"/>
        <w:rPr>
          <w:rFonts w:eastAsia="仿宋_GB2312" w:cs="仿宋_GB2312"/>
          <w:color w:val="auto"/>
          <w:sz w:val="30"/>
          <w:szCs w:val="30"/>
          <w:highlight w:val="none"/>
        </w:rPr>
      </w:pPr>
    </w:p>
    <w:p w14:paraId="7B9FAAA0">
      <w:pPr>
        <w:pStyle w:val="84"/>
        <w:spacing w:line="440" w:lineRule="exact"/>
        <w:ind w:firstLine="600"/>
        <w:rPr>
          <w:rFonts w:eastAsia="仿宋_GB2312" w:cs="仿宋_GB2312"/>
          <w:color w:val="auto"/>
          <w:sz w:val="30"/>
          <w:szCs w:val="30"/>
          <w:highlight w:val="none"/>
        </w:rPr>
      </w:pPr>
    </w:p>
    <w:p w14:paraId="06E534C2">
      <w:pPr>
        <w:pStyle w:val="84"/>
        <w:spacing w:line="440" w:lineRule="exact"/>
        <w:ind w:firstLine="600"/>
        <w:rPr>
          <w:rFonts w:eastAsia="仿宋_GB2312" w:cs="仿宋_GB2312"/>
          <w:color w:val="auto"/>
          <w:sz w:val="30"/>
          <w:szCs w:val="30"/>
          <w:highlight w:val="none"/>
        </w:rPr>
      </w:pPr>
    </w:p>
    <w:p w14:paraId="11394FF6">
      <w:pPr>
        <w:pStyle w:val="84"/>
        <w:spacing w:line="440" w:lineRule="exact"/>
        <w:ind w:firstLine="600"/>
        <w:rPr>
          <w:rFonts w:eastAsia="仿宋_GB2312" w:cs="仿宋_GB2312"/>
          <w:color w:val="auto"/>
          <w:sz w:val="30"/>
          <w:szCs w:val="30"/>
          <w:highlight w:val="none"/>
        </w:rPr>
      </w:pPr>
    </w:p>
    <w:p w14:paraId="4A3EA283">
      <w:pPr>
        <w:pStyle w:val="84"/>
        <w:spacing w:line="440" w:lineRule="exact"/>
        <w:ind w:firstLine="600"/>
        <w:rPr>
          <w:rFonts w:eastAsia="仿宋_GB2312" w:cs="仿宋_GB2312"/>
          <w:color w:val="auto"/>
          <w:sz w:val="30"/>
          <w:szCs w:val="30"/>
          <w:highlight w:val="none"/>
        </w:rPr>
      </w:pPr>
    </w:p>
    <w:p w14:paraId="53E93165">
      <w:pPr>
        <w:pStyle w:val="84"/>
        <w:spacing w:line="440" w:lineRule="exact"/>
        <w:ind w:firstLine="600"/>
        <w:rPr>
          <w:rFonts w:eastAsia="仿宋_GB2312" w:cs="仿宋_GB2312"/>
          <w:color w:val="auto"/>
          <w:sz w:val="30"/>
          <w:szCs w:val="30"/>
          <w:highlight w:val="none"/>
        </w:rPr>
      </w:pPr>
    </w:p>
    <w:p w14:paraId="01FEC0D7">
      <w:pPr>
        <w:pStyle w:val="84"/>
        <w:spacing w:line="440" w:lineRule="exact"/>
        <w:ind w:firstLine="600"/>
        <w:rPr>
          <w:rFonts w:eastAsia="仿宋_GB2312" w:cs="仿宋_GB2312"/>
          <w:color w:val="auto"/>
          <w:sz w:val="30"/>
          <w:szCs w:val="30"/>
          <w:highlight w:val="none"/>
        </w:rPr>
      </w:pPr>
    </w:p>
    <w:p w14:paraId="26C0037F">
      <w:pPr>
        <w:pStyle w:val="84"/>
        <w:spacing w:line="440" w:lineRule="exact"/>
        <w:ind w:firstLine="600"/>
        <w:rPr>
          <w:rFonts w:eastAsia="仿宋_GB2312" w:cs="仿宋_GB2312"/>
          <w:color w:val="auto"/>
          <w:sz w:val="30"/>
          <w:szCs w:val="30"/>
          <w:highlight w:val="none"/>
        </w:rPr>
      </w:pPr>
    </w:p>
    <w:p w14:paraId="640386CF">
      <w:pPr>
        <w:pStyle w:val="84"/>
        <w:spacing w:line="440" w:lineRule="exact"/>
        <w:ind w:firstLine="600"/>
        <w:rPr>
          <w:rFonts w:eastAsia="仿宋_GB2312" w:cs="仿宋_GB2312"/>
          <w:color w:val="auto"/>
          <w:sz w:val="30"/>
          <w:szCs w:val="30"/>
          <w:highlight w:val="none"/>
        </w:rPr>
      </w:pPr>
    </w:p>
    <w:p w14:paraId="050B8FD3">
      <w:pPr>
        <w:pStyle w:val="84"/>
        <w:spacing w:line="440" w:lineRule="exact"/>
        <w:ind w:firstLine="600"/>
        <w:rPr>
          <w:rFonts w:eastAsia="仿宋_GB2312" w:cs="仿宋_GB2312"/>
          <w:color w:val="auto"/>
          <w:sz w:val="30"/>
          <w:szCs w:val="30"/>
          <w:highlight w:val="none"/>
        </w:rPr>
      </w:pPr>
    </w:p>
    <w:p w14:paraId="04F20166">
      <w:pPr>
        <w:widowControl/>
        <w:jc w:val="left"/>
        <w:rPr>
          <w:rFonts w:eastAsia="仿宋_GB2312" w:cs="仿宋_GB2312"/>
          <w:color w:val="auto"/>
          <w:sz w:val="30"/>
          <w:szCs w:val="30"/>
          <w:highlight w:val="none"/>
        </w:rPr>
        <w:sectPr>
          <w:pgSz w:w="11907" w:h="16840"/>
          <w:pgMar w:top="1440" w:right="1440" w:bottom="1440" w:left="1797" w:header="851" w:footer="851" w:gutter="0"/>
          <w:cols w:space="720" w:num="1"/>
        </w:sectPr>
      </w:pPr>
    </w:p>
    <w:p w14:paraId="43656F24">
      <w:pPr>
        <w:pStyle w:val="84"/>
        <w:spacing w:line="440" w:lineRule="exact"/>
        <w:ind w:firstLine="560"/>
        <w:rPr>
          <w:rFonts w:eastAsia="黑体"/>
          <w:color w:val="auto"/>
          <w:sz w:val="28"/>
          <w:szCs w:val="28"/>
          <w:highlight w:val="none"/>
        </w:rPr>
      </w:pPr>
      <w:r>
        <w:rPr>
          <w:rFonts w:hint="eastAsia" w:eastAsia="仿宋_GB2312" w:cs="仿宋_GB2312"/>
          <w:color w:val="auto"/>
          <w:sz w:val="28"/>
          <w:szCs w:val="28"/>
          <w:highlight w:val="none"/>
        </w:rPr>
        <w:t>附件</w:t>
      </w:r>
      <w:r>
        <w:rPr>
          <w:rFonts w:eastAsia="仿宋_GB2312"/>
          <w:color w:val="auto"/>
          <w:sz w:val="28"/>
          <w:szCs w:val="28"/>
          <w:highlight w:val="none"/>
        </w:rPr>
        <w:t>9</w:t>
      </w:r>
      <w:r>
        <w:rPr>
          <w:rFonts w:hint="eastAsia" w:eastAsia="仿宋_GB2312" w:cs="仿宋_GB2312"/>
          <w:color w:val="auto"/>
          <w:sz w:val="28"/>
          <w:szCs w:val="28"/>
          <w:highlight w:val="none"/>
        </w:rPr>
        <w:t>：</w:t>
      </w:r>
    </w:p>
    <w:p w14:paraId="4B018103">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75635A0B">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409D65F5">
      <w:pPr>
        <w:pStyle w:val="84"/>
        <w:wordWrap w:val="0"/>
        <w:spacing w:line="360" w:lineRule="auto"/>
        <w:jc w:val="right"/>
        <w:rPr>
          <w:rFonts w:ascii="宋体" w:hAnsi="宋体"/>
          <w:color w:val="auto"/>
          <w:highlight w:val="none"/>
        </w:rPr>
      </w:pPr>
      <w:r>
        <w:rPr>
          <w:rFonts w:hint="eastAsia" w:ascii="宋体" w:hAnsi="宋体"/>
          <w:color w:val="auto"/>
          <w:highlight w:val="none"/>
        </w:rPr>
        <w:t xml:space="preserve">编号：           </w:t>
      </w:r>
    </w:p>
    <w:p w14:paraId="45E90D9A">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申请人：</w:t>
      </w:r>
    </w:p>
    <w:p w14:paraId="09E38A1B">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地址：</w:t>
      </w:r>
    </w:p>
    <w:p w14:paraId="24FE205E">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受益人：</w:t>
      </w:r>
    </w:p>
    <w:p w14:paraId="1CFAB248">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地址：</w:t>
      </w:r>
    </w:p>
    <w:p w14:paraId="0B9C2F1A">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开立人：</w:t>
      </w:r>
    </w:p>
    <w:p w14:paraId="05FBFCFC">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地址：</w:t>
      </w:r>
    </w:p>
    <w:p w14:paraId="26842ECD">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 </w:t>
      </w:r>
    </w:p>
    <w:p w14:paraId="0D3C921A">
      <w:pPr>
        <w:pStyle w:val="84"/>
        <w:spacing w:line="360" w:lineRule="auto"/>
        <w:ind w:firstLine="480"/>
        <w:rPr>
          <w:rFonts w:ascii="宋体" w:hAnsi="宋体"/>
          <w:color w:val="auto"/>
          <w:sz w:val="24"/>
          <w:szCs w:val="24"/>
          <w:highlight w:val="none"/>
        </w:rPr>
      </w:pPr>
      <w:bookmarkStart w:id="1135" w:name="_Hlk40355074"/>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（受益人名称）： </w:t>
      </w:r>
    </w:p>
    <w:bookmarkEnd w:id="1135"/>
    <w:p w14:paraId="65D3848D">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（以下简称“受益人”）与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（以下简称“申请人”）于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08F6B1E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60D6FB22">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548ED3C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三、本保函有效期自开立之日起至基础合同约定的除工程质量保修金以外的全部工程结算款项支付之日后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706CDA7C">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570DC1C6">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0A04F0B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4482AFDA">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38C9F06F">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CB5DF5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CF94EAA">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71AD84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五、本保函项下的权利不得转让，不得设定担保。贵方未经我方书面同意转 让本保函或其项下任何权利，对我方不发生法律效力。 </w:t>
      </w:r>
    </w:p>
    <w:p w14:paraId="06FAE31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六、与本保函有关的基础合同不成立、不生效、无效、被撤销、被解除，不影响本保函的独立有效。 </w:t>
      </w:r>
    </w:p>
    <w:p w14:paraId="0462863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3DCC381">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八、本保函适用的法律为中华人民共和国法律，争议裁判管辖地为中华人民共和国</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045CBA90">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九、本保函自我方法定代表人</w:t>
      </w:r>
      <w:bookmarkStart w:id="1136" w:name="_Hlk58487855"/>
      <w:r>
        <w:rPr>
          <w:rFonts w:hint="eastAsia" w:ascii="宋体" w:hAnsi="宋体"/>
          <w:color w:val="auto"/>
          <w:sz w:val="24"/>
          <w:szCs w:val="24"/>
          <w:highlight w:val="none"/>
        </w:rPr>
        <w:t>或授权代表</w:t>
      </w:r>
      <w:bookmarkEnd w:id="1136"/>
      <w:r>
        <w:rPr>
          <w:rFonts w:hint="eastAsia" w:ascii="宋体" w:hAnsi="宋体"/>
          <w:color w:val="auto"/>
          <w:sz w:val="24"/>
          <w:szCs w:val="24"/>
          <w:highlight w:val="none"/>
        </w:rPr>
        <w:t xml:space="preserve">签字并加盖公章之日起生效。 </w:t>
      </w:r>
    </w:p>
    <w:p w14:paraId="07101338">
      <w:pPr>
        <w:pStyle w:val="84"/>
        <w:spacing w:line="360" w:lineRule="auto"/>
        <w:ind w:firstLine="480" w:firstLineChars="200"/>
        <w:rPr>
          <w:rFonts w:ascii="宋体" w:hAnsi="宋体"/>
          <w:color w:val="auto"/>
          <w:sz w:val="24"/>
          <w:szCs w:val="24"/>
          <w:highlight w:val="none"/>
        </w:rPr>
      </w:pPr>
    </w:p>
    <w:p w14:paraId="1122CF81">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 立 人：                              （公章） </w:t>
      </w:r>
    </w:p>
    <w:p w14:paraId="44C58D72">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法定代表人（或授权代表）：               （签字） </w:t>
      </w:r>
    </w:p>
    <w:p w14:paraId="309900F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w:t>
      </w:r>
    </w:p>
    <w:p w14:paraId="6B8703B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邮政编码：                 </w:t>
      </w:r>
    </w:p>
    <w:p w14:paraId="7693C96A">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w:t>
      </w:r>
    </w:p>
    <w:p w14:paraId="0AAF53D3">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传    真：                 </w:t>
      </w:r>
    </w:p>
    <w:p w14:paraId="796DA346">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开立时间：      年      月        日</w:t>
      </w:r>
    </w:p>
    <w:p w14:paraId="73F5C7C5">
      <w:pPr>
        <w:pStyle w:val="84"/>
        <w:spacing w:line="360" w:lineRule="auto"/>
        <w:ind w:firstLine="480" w:firstLineChars="200"/>
        <w:rPr>
          <w:rFonts w:ascii="宋体" w:hAnsi="宋体"/>
          <w:color w:val="auto"/>
          <w:sz w:val="24"/>
          <w:szCs w:val="24"/>
          <w:highlight w:val="none"/>
        </w:rPr>
      </w:pPr>
    </w:p>
    <w:p w14:paraId="14867840">
      <w:pPr>
        <w:pStyle w:val="84"/>
        <w:spacing w:line="360" w:lineRule="auto"/>
        <w:ind w:firstLine="640"/>
        <w:jc w:val="left"/>
        <w:rPr>
          <w:rFonts w:ascii="黑体" w:hAnsi="黑体" w:eastAsia="黑体" w:cs="黑体"/>
          <w:color w:val="auto"/>
          <w:sz w:val="32"/>
          <w:szCs w:val="32"/>
          <w:highlight w:val="none"/>
        </w:rPr>
      </w:pPr>
    </w:p>
    <w:p w14:paraId="3E4D0778">
      <w:pPr>
        <w:pStyle w:val="84"/>
        <w:spacing w:line="360" w:lineRule="auto"/>
        <w:ind w:firstLine="640"/>
        <w:jc w:val="left"/>
        <w:rPr>
          <w:rFonts w:ascii="黑体" w:hAnsi="黑体" w:eastAsia="黑体" w:cs="黑体"/>
          <w:color w:val="auto"/>
          <w:sz w:val="32"/>
          <w:szCs w:val="32"/>
          <w:highlight w:val="none"/>
        </w:rPr>
      </w:pPr>
    </w:p>
    <w:p w14:paraId="53BF7C12">
      <w:pPr>
        <w:widowControl/>
        <w:spacing w:line="360" w:lineRule="auto"/>
        <w:jc w:val="left"/>
        <w:rPr>
          <w:rFonts w:ascii="黑体" w:hAnsi="黑体" w:eastAsia="黑体" w:cs="黑体"/>
          <w:color w:val="auto"/>
          <w:sz w:val="32"/>
          <w:szCs w:val="32"/>
          <w:highlight w:val="none"/>
        </w:rPr>
        <w:sectPr>
          <w:pgSz w:w="11907" w:h="16840"/>
          <w:pgMar w:top="1440" w:right="1440" w:bottom="1440" w:left="1797" w:header="851" w:footer="851" w:gutter="0"/>
          <w:cols w:space="720" w:num="1"/>
        </w:sectPr>
      </w:pPr>
    </w:p>
    <w:p w14:paraId="2C7481BC">
      <w:pPr>
        <w:pStyle w:val="84"/>
        <w:spacing w:line="360" w:lineRule="auto"/>
        <w:ind w:firstLine="560"/>
        <w:jc w:val="left"/>
        <w:rPr>
          <w:rFonts w:ascii="宋体" w:hAnsi="宋体" w:cs="黑体"/>
          <w:b/>
          <w:bCs/>
          <w:color w:val="auto"/>
          <w:sz w:val="28"/>
          <w:szCs w:val="28"/>
          <w:highlight w:val="none"/>
        </w:rPr>
      </w:pPr>
      <w:r>
        <w:rPr>
          <w:rFonts w:hint="eastAsia" w:ascii="宋体" w:hAnsi="宋体" w:cs="黑体"/>
          <w:color w:val="auto"/>
          <w:sz w:val="28"/>
          <w:szCs w:val="28"/>
          <w:highlight w:val="none"/>
        </w:rPr>
        <w:t>附件9：</w:t>
      </w:r>
    </w:p>
    <w:p w14:paraId="1FDC5411">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4BC2E189">
      <w:pPr>
        <w:pStyle w:val="84"/>
        <w:spacing w:line="360" w:lineRule="auto"/>
        <w:ind w:firstLine="643"/>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52AEA8DC">
      <w:pPr>
        <w:pStyle w:val="84"/>
        <w:wordWrap w:val="0"/>
        <w:spacing w:line="360" w:lineRule="auto"/>
        <w:jc w:val="right"/>
        <w:rPr>
          <w:rFonts w:ascii="宋体" w:hAnsi="宋体"/>
          <w:color w:val="auto"/>
          <w:highlight w:val="none"/>
        </w:rPr>
      </w:pPr>
      <w:r>
        <w:rPr>
          <w:rFonts w:hint="eastAsia" w:ascii="宋体" w:hAnsi="宋体"/>
          <w:color w:val="auto"/>
          <w:highlight w:val="none"/>
        </w:rPr>
        <w:t xml:space="preserve">编号：      </w:t>
      </w:r>
    </w:p>
    <w:p w14:paraId="20FD853D">
      <w:pPr>
        <w:pStyle w:val="84"/>
        <w:wordWrap w:val="0"/>
        <w:spacing w:line="360" w:lineRule="auto"/>
        <w:jc w:val="right"/>
        <w:rPr>
          <w:rFonts w:ascii="宋体" w:hAnsi="宋体"/>
          <w:color w:val="auto"/>
          <w:highlight w:val="none"/>
        </w:rPr>
      </w:pPr>
      <w:r>
        <w:rPr>
          <w:rFonts w:hint="eastAsia" w:ascii="宋体" w:hAnsi="宋体"/>
          <w:color w:val="auto"/>
          <w:highlight w:val="none"/>
        </w:rPr>
        <w:t xml:space="preserve">     </w:t>
      </w:r>
    </w:p>
    <w:p w14:paraId="6D162698">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发包人：</w:t>
      </w:r>
    </w:p>
    <w:p w14:paraId="2FDA6682">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278355F4">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担保权人/承包人： </w:t>
      </w:r>
    </w:p>
    <w:p w14:paraId="10A4B9D0">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65774C79">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保证人：</w:t>
      </w:r>
    </w:p>
    <w:p w14:paraId="46E529B2">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地址：</w:t>
      </w:r>
    </w:p>
    <w:p w14:paraId="410E8979">
      <w:pPr>
        <w:pStyle w:val="84"/>
        <w:spacing w:line="360" w:lineRule="auto"/>
        <w:ind w:firstLine="480"/>
        <w:rPr>
          <w:rFonts w:ascii="宋体" w:hAnsi="宋体"/>
          <w:color w:val="auto"/>
          <w:sz w:val="24"/>
          <w:szCs w:val="24"/>
          <w:highlight w:val="none"/>
        </w:rPr>
      </w:pPr>
    </w:p>
    <w:p w14:paraId="56BE96A0">
      <w:pPr>
        <w:pStyle w:val="84"/>
        <w:spacing w:line="360" w:lineRule="auto"/>
        <w:ind w:firstLine="48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（承包人名称）： </w:t>
      </w:r>
    </w:p>
    <w:p w14:paraId="5EDF56EA">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（以下简称“发包人”）与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（以下简称“承包人”）于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w:t>
      </w:r>
      <w:r>
        <w:rPr>
          <w:rFonts w:hint="eastAsia" w:ascii="宋体" w:hAnsi="宋体"/>
          <w:color w:val="auto"/>
          <w:sz w:val="24"/>
          <w:szCs w:val="24"/>
          <w:highlight w:val="none"/>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74931CB9">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64BBCE10">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1.保证担保范围：申请人未履行主合同约定的工程款支付义务，应当向贵方承担的违约责任和赔偿因此造成的损失、利息、律师费、诉讼费用等实现债权的费用。</w:t>
      </w:r>
    </w:p>
    <w:p w14:paraId="02286EA2">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2.保证担保金额最高不超过人民币（大写）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6460C93">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二、保证担保的方式及保证期间 </w:t>
      </w:r>
    </w:p>
    <w:p w14:paraId="676827B7">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09678A3D">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2.保证期间：自出具之日起至主合同约定的除工程质量保修金以外的工程款支付之日后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7A3B8934">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62DF2690">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760E679E">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四、代偿的安排 </w:t>
      </w:r>
    </w:p>
    <w:p w14:paraId="2AB39945">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1.贵方要求我方承担保证责任的，应向我方发出书面索赔通知及发包人未支付主合同约定工程款的证明材料。索赔通知应写明要求索赔的金额，支付款项应到达的帐号。</w:t>
      </w:r>
    </w:p>
    <w:p w14:paraId="5A9C6F9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1CAC43A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781AC09F">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五、保证担保责任的解除 </w:t>
      </w:r>
    </w:p>
    <w:p w14:paraId="5A9D6C6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1.保证期间届满贵方未向我方书面主张保证责任的，自保证期间届满次日起，我方解除保证责任。 </w:t>
      </w:r>
    </w:p>
    <w:p w14:paraId="7EDBFCE0">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2.我方按照本保证担保向贵方履行了保证担保责任后，自我方向贵方支付的金额达到最高保证担保金额之日起，保证担保责任解除。 </w:t>
      </w:r>
    </w:p>
    <w:p w14:paraId="4E33CB03">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3.按照法律法规的规定应解除我方保证担保责任的其它情形的，我方在本保证担保项下的保证担保责任亦解除。 </w:t>
      </w:r>
    </w:p>
    <w:p w14:paraId="79070814">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C893215">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六、免责条款 </w:t>
      </w:r>
    </w:p>
    <w:p w14:paraId="2597D9B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1.因贵方原因致使发包人未履行主合同项下工程款付款义务的，我方不承担保证担保责任。 </w:t>
      </w:r>
    </w:p>
    <w:p w14:paraId="0A9D14BD">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2.依照法律规定或贵方与发包人的另行约定，免除发包人部分或全部义务的，我方亦免除其相应的保证担保责任。 </w:t>
      </w:r>
    </w:p>
    <w:p w14:paraId="6467515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3.因不可抗力造成发包人未履行主合同项下工程款付款义务的，我方不承担保证担保责任。</w:t>
      </w:r>
    </w:p>
    <w:p w14:paraId="46EB7C9A">
      <w:pPr>
        <w:pStyle w:val="84"/>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62F43C87">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1.本保证担保项下的权利不得转让，不得设定担保。贵方未经我方书面同意转让本保证担保或其项下任何权利，对我方不发生法律效力。 </w:t>
      </w:r>
    </w:p>
    <w:p w14:paraId="44F815F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0A07A54F">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3.本保证担保自我方法定代表人或授权代表签字并加盖公章之日起生效。 </w:t>
      </w:r>
    </w:p>
    <w:p w14:paraId="78FF7A45">
      <w:pPr>
        <w:pStyle w:val="84"/>
        <w:spacing w:line="360" w:lineRule="auto"/>
        <w:ind w:firstLine="480" w:firstLineChars="200"/>
        <w:rPr>
          <w:rFonts w:ascii="宋体" w:hAnsi="宋体"/>
          <w:color w:val="auto"/>
          <w:sz w:val="24"/>
          <w:szCs w:val="24"/>
          <w:highlight w:val="none"/>
        </w:rPr>
      </w:pPr>
    </w:p>
    <w:p w14:paraId="589042DB">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保 证 人：                              （公章） </w:t>
      </w:r>
    </w:p>
    <w:p w14:paraId="08C655FF">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法定代表人（或授权代表）：               （签字） </w:t>
      </w:r>
    </w:p>
    <w:p w14:paraId="5718AA69">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w:t>
      </w:r>
    </w:p>
    <w:p w14:paraId="737D1678">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邮政编码：                 </w:t>
      </w:r>
    </w:p>
    <w:p w14:paraId="59B51C7E">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w:t>
      </w:r>
    </w:p>
    <w:p w14:paraId="40946DDC">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传    真：                 </w:t>
      </w:r>
    </w:p>
    <w:p w14:paraId="0BFD949A">
      <w:pPr>
        <w:pStyle w:val="8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时    间：      年      月        日</w:t>
      </w:r>
    </w:p>
    <w:p w14:paraId="6046764C">
      <w:pPr>
        <w:pStyle w:val="84"/>
        <w:rPr>
          <w:color w:val="auto"/>
          <w:highlight w:val="none"/>
        </w:rPr>
      </w:pPr>
    </w:p>
    <w:p w14:paraId="2AE2350C">
      <w:pPr>
        <w:pStyle w:val="84"/>
        <w:spacing w:line="360" w:lineRule="auto"/>
        <w:ind w:firstLine="480" w:firstLineChars="200"/>
        <w:rPr>
          <w:rFonts w:ascii="宋体" w:hAnsi="宋体"/>
          <w:color w:val="auto"/>
          <w:sz w:val="24"/>
          <w:szCs w:val="24"/>
          <w:highlight w:val="none"/>
        </w:rPr>
      </w:pPr>
    </w:p>
    <w:p w14:paraId="70D8AC77">
      <w:pPr>
        <w:pStyle w:val="84"/>
        <w:spacing w:line="360" w:lineRule="auto"/>
        <w:ind w:firstLine="420" w:firstLineChars="200"/>
        <w:rPr>
          <w:color w:val="auto"/>
          <w:highlight w:val="none"/>
        </w:rPr>
      </w:pPr>
    </w:p>
    <w:p w14:paraId="4DEA4D7F">
      <w:pPr>
        <w:pStyle w:val="84"/>
        <w:ind w:firstLine="600"/>
        <w:jc w:val="left"/>
        <w:rPr>
          <w:rFonts w:eastAsia="仿宋_GB2312"/>
          <w:color w:val="auto"/>
          <w:sz w:val="30"/>
          <w:szCs w:val="30"/>
          <w:highlight w:val="none"/>
        </w:rPr>
      </w:pPr>
      <w:r>
        <w:rPr>
          <w:rFonts w:eastAsia="仿宋_GB2312"/>
          <w:color w:val="auto"/>
          <w:sz w:val="30"/>
          <w:szCs w:val="30"/>
          <w:highlight w:val="none"/>
        </w:rPr>
        <w:t xml:space="preserve"> </w:t>
      </w:r>
    </w:p>
    <w:p w14:paraId="5B00A5CF">
      <w:pPr>
        <w:pStyle w:val="84"/>
        <w:ind w:firstLine="600"/>
        <w:jc w:val="left"/>
        <w:rPr>
          <w:rFonts w:eastAsia="仿宋_GB2312"/>
          <w:color w:val="auto"/>
          <w:sz w:val="30"/>
          <w:szCs w:val="30"/>
          <w:highlight w:val="none"/>
        </w:rPr>
      </w:pPr>
    </w:p>
    <w:p w14:paraId="6FCAB52F">
      <w:pPr>
        <w:pStyle w:val="84"/>
        <w:ind w:firstLine="600"/>
        <w:jc w:val="left"/>
        <w:rPr>
          <w:rFonts w:eastAsia="仿宋_GB2312"/>
          <w:color w:val="auto"/>
          <w:sz w:val="30"/>
          <w:szCs w:val="30"/>
          <w:highlight w:val="none"/>
        </w:rPr>
      </w:pPr>
    </w:p>
    <w:p w14:paraId="0C6900F3">
      <w:pPr>
        <w:pStyle w:val="84"/>
        <w:ind w:firstLine="600"/>
        <w:jc w:val="left"/>
        <w:rPr>
          <w:rFonts w:eastAsia="仿宋_GB2312"/>
          <w:color w:val="auto"/>
          <w:sz w:val="30"/>
          <w:szCs w:val="30"/>
          <w:highlight w:val="none"/>
        </w:rPr>
      </w:pPr>
    </w:p>
    <w:p w14:paraId="4E277FAB">
      <w:pPr>
        <w:pStyle w:val="84"/>
        <w:ind w:firstLine="600"/>
        <w:jc w:val="left"/>
        <w:rPr>
          <w:rFonts w:eastAsia="仿宋_GB2312"/>
          <w:color w:val="auto"/>
          <w:sz w:val="30"/>
          <w:szCs w:val="30"/>
          <w:highlight w:val="none"/>
        </w:rPr>
      </w:pPr>
    </w:p>
    <w:p w14:paraId="29C2B696">
      <w:pPr>
        <w:pStyle w:val="84"/>
        <w:ind w:firstLine="600"/>
        <w:jc w:val="left"/>
        <w:rPr>
          <w:rFonts w:eastAsia="仿宋_GB2312"/>
          <w:color w:val="auto"/>
          <w:sz w:val="30"/>
          <w:szCs w:val="30"/>
          <w:highlight w:val="none"/>
        </w:rPr>
      </w:pPr>
    </w:p>
    <w:p w14:paraId="1CC12826">
      <w:pPr>
        <w:pStyle w:val="84"/>
        <w:ind w:firstLine="600"/>
        <w:jc w:val="left"/>
        <w:rPr>
          <w:rFonts w:eastAsia="仿宋_GB2312"/>
          <w:color w:val="auto"/>
          <w:sz w:val="30"/>
          <w:szCs w:val="30"/>
          <w:highlight w:val="none"/>
        </w:rPr>
      </w:pPr>
    </w:p>
    <w:p w14:paraId="221CCAE8">
      <w:pPr>
        <w:pStyle w:val="84"/>
        <w:ind w:firstLine="600"/>
        <w:jc w:val="left"/>
        <w:rPr>
          <w:rFonts w:eastAsia="仿宋_GB2312"/>
          <w:color w:val="auto"/>
          <w:sz w:val="30"/>
          <w:szCs w:val="30"/>
          <w:highlight w:val="none"/>
        </w:rPr>
      </w:pPr>
    </w:p>
    <w:p w14:paraId="2052C04D">
      <w:pPr>
        <w:pStyle w:val="84"/>
        <w:ind w:firstLine="600"/>
        <w:jc w:val="left"/>
        <w:rPr>
          <w:rFonts w:eastAsia="仿宋_GB2312"/>
          <w:color w:val="auto"/>
          <w:sz w:val="30"/>
          <w:szCs w:val="30"/>
          <w:highlight w:val="none"/>
        </w:rPr>
      </w:pPr>
    </w:p>
    <w:p w14:paraId="2314D590">
      <w:pPr>
        <w:pStyle w:val="84"/>
        <w:ind w:firstLine="600"/>
        <w:jc w:val="left"/>
        <w:rPr>
          <w:rFonts w:eastAsia="仿宋_GB2312"/>
          <w:color w:val="auto"/>
          <w:sz w:val="30"/>
          <w:szCs w:val="30"/>
          <w:highlight w:val="none"/>
        </w:rPr>
      </w:pPr>
    </w:p>
    <w:p w14:paraId="1145994A">
      <w:pPr>
        <w:pStyle w:val="84"/>
        <w:ind w:firstLine="600"/>
        <w:jc w:val="left"/>
        <w:rPr>
          <w:rFonts w:eastAsia="仿宋_GB2312"/>
          <w:color w:val="auto"/>
          <w:sz w:val="30"/>
          <w:szCs w:val="30"/>
          <w:highlight w:val="none"/>
        </w:rPr>
      </w:pPr>
    </w:p>
    <w:p w14:paraId="37038E51">
      <w:pPr>
        <w:pStyle w:val="84"/>
        <w:ind w:firstLine="600"/>
        <w:jc w:val="left"/>
        <w:rPr>
          <w:rFonts w:hAnsi="宋体" w:cs="宋体"/>
          <w:color w:val="auto"/>
          <w:sz w:val="30"/>
          <w:szCs w:val="30"/>
          <w:highlight w:val="none"/>
        </w:rPr>
      </w:pPr>
    </w:p>
    <w:p w14:paraId="7666469B">
      <w:pPr>
        <w:pStyle w:val="84"/>
        <w:ind w:firstLine="600"/>
        <w:jc w:val="left"/>
        <w:rPr>
          <w:rFonts w:hAnsi="宋体" w:cs="宋体"/>
          <w:color w:val="auto"/>
          <w:sz w:val="30"/>
          <w:szCs w:val="30"/>
          <w:highlight w:val="none"/>
        </w:rPr>
      </w:pPr>
    </w:p>
    <w:p w14:paraId="1A3D6D1B">
      <w:pPr>
        <w:pStyle w:val="84"/>
        <w:ind w:firstLine="600"/>
        <w:jc w:val="left"/>
        <w:rPr>
          <w:rFonts w:hAnsi="宋体" w:cs="宋体"/>
          <w:color w:val="auto"/>
          <w:sz w:val="30"/>
          <w:szCs w:val="30"/>
          <w:highlight w:val="none"/>
        </w:rPr>
      </w:pPr>
    </w:p>
    <w:p w14:paraId="7C80D5EF">
      <w:pPr>
        <w:pStyle w:val="84"/>
        <w:ind w:firstLine="600"/>
        <w:jc w:val="left"/>
        <w:rPr>
          <w:rFonts w:hAnsi="宋体" w:cs="宋体"/>
          <w:color w:val="auto"/>
          <w:sz w:val="30"/>
          <w:szCs w:val="30"/>
          <w:highlight w:val="none"/>
        </w:rPr>
      </w:pPr>
    </w:p>
    <w:p w14:paraId="1761C069">
      <w:pPr>
        <w:pStyle w:val="84"/>
        <w:ind w:firstLine="600"/>
        <w:jc w:val="left"/>
        <w:rPr>
          <w:rFonts w:hAnsi="宋体" w:cs="宋体"/>
          <w:color w:val="auto"/>
          <w:sz w:val="30"/>
          <w:szCs w:val="30"/>
          <w:highlight w:val="none"/>
        </w:rPr>
      </w:pPr>
    </w:p>
    <w:p w14:paraId="0E03FEB0">
      <w:pPr>
        <w:pStyle w:val="84"/>
        <w:ind w:firstLine="600"/>
        <w:jc w:val="left"/>
        <w:rPr>
          <w:rFonts w:hAnsi="宋体" w:cs="宋体"/>
          <w:color w:val="auto"/>
          <w:sz w:val="30"/>
          <w:szCs w:val="30"/>
          <w:highlight w:val="none"/>
        </w:rPr>
      </w:pPr>
    </w:p>
    <w:p w14:paraId="7D6BF158">
      <w:pPr>
        <w:widowControl/>
        <w:jc w:val="left"/>
        <w:rPr>
          <w:rFonts w:hAnsi="宋体" w:cs="宋体"/>
          <w:color w:val="auto"/>
          <w:sz w:val="30"/>
          <w:szCs w:val="30"/>
          <w:highlight w:val="none"/>
        </w:rPr>
        <w:sectPr>
          <w:pgSz w:w="11907" w:h="16840"/>
          <w:pgMar w:top="1440" w:right="1440" w:bottom="1440" w:left="1797" w:header="851" w:footer="851" w:gutter="0"/>
          <w:cols w:space="720" w:num="1"/>
        </w:sectPr>
      </w:pPr>
    </w:p>
    <w:p w14:paraId="6AC2B2A5">
      <w:pPr>
        <w:pStyle w:val="84"/>
        <w:ind w:firstLine="600"/>
        <w:jc w:val="left"/>
        <w:rPr>
          <w:rFonts w:hAnsi="宋体" w:cs="宋体"/>
          <w:color w:val="auto"/>
          <w:sz w:val="30"/>
          <w:szCs w:val="30"/>
          <w:highlight w:val="none"/>
        </w:rPr>
      </w:pPr>
      <w:r>
        <w:rPr>
          <w:rFonts w:hint="eastAsia" w:hAnsi="宋体" w:cs="宋体"/>
          <w:color w:val="auto"/>
          <w:sz w:val="30"/>
          <w:szCs w:val="30"/>
          <w:highlight w:val="none"/>
        </w:rPr>
        <w:t>附件</w:t>
      </w:r>
      <w:r>
        <w:rPr>
          <w:rFonts w:hAnsi="宋体" w:cs="宋体"/>
          <w:color w:val="auto"/>
          <w:sz w:val="30"/>
          <w:szCs w:val="30"/>
          <w:highlight w:val="none"/>
        </w:rPr>
        <w:t>10</w:t>
      </w:r>
      <w:r>
        <w:rPr>
          <w:rFonts w:hint="eastAsia" w:hAnsi="宋体" w:cs="宋体"/>
          <w:color w:val="auto"/>
          <w:sz w:val="30"/>
          <w:szCs w:val="30"/>
          <w:highlight w:val="none"/>
        </w:rPr>
        <w:t>：</w:t>
      </w:r>
    </w:p>
    <w:p w14:paraId="2D2C4B92">
      <w:pPr>
        <w:pStyle w:val="84"/>
        <w:ind w:firstLine="723"/>
        <w:jc w:val="center"/>
        <w:rPr>
          <w:b/>
          <w:color w:val="auto"/>
          <w:sz w:val="36"/>
          <w:szCs w:val="36"/>
          <w:highlight w:val="none"/>
        </w:rPr>
      </w:pPr>
      <w:r>
        <w:rPr>
          <w:rFonts w:hint="eastAsia"/>
          <w:b/>
          <w:color w:val="auto"/>
          <w:sz w:val="36"/>
          <w:szCs w:val="36"/>
          <w:highlight w:val="none"/>
        </w:rPr>
        <w:t>预付款支付申请（核准）表</w:t>
      </w:r>
    </w:p>
    <w:p w14:paraId="1F20CD83">
      <w:pPr>
        <w:pStyle w:val="84"/>
        <w:ind w:firstLine="480"/>
        <w:rPr>
          <w:color w:val="auto"/>
          <w:sz w:val="24"/>
          <w:szCs w:val="24"/>
          <w:highlight w:val="none"/>
        </w:rPr>
      </w:pPr>
      <w:r>
        <w:rPr>
          <w:rFonts w:hint="eastAsia"/>
          <w:color w:val="auto"/>
          <w:sz w:val="24"/>
          <w:szCs w:val="24"/>
          <w:highlight w:val="none"/>
        </w:rPr>
        <w:t>工程名称：</w:t>
      </w:r>
      <w:r>
        <w:rPr>
          <w:color w:val="auto"/>
          <w:sz w:val="24"/>
          <w:szCs w:val="24"/>
          <w:highlight w:val="none"/>
        </w:rPr>
        <w:t xml:space="preserve">                                             </w:t>
      </w:r>
      <w:r>
        <w:rPr>
          <w:rFonts w:hint="eastAsia"/>
          <w:color w:val="auto"/>
          <w:sz w:val="24"/>
          <w:szCs w:val="24"/>
          <w:highlight w:val="none"/>
        </w:rPr>
        <w:t>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0E03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tcBorders>
              <w:top w:val="single" w:color="auto" w:sz="4" w:space="0"/>
              <w:left w:val="single" w:color="auto" w:sz="4" w:space="0"/>
              <w:bottom w:val="single" w:color="auto" w:sz="4" w:space="0"/>
              <w:right w:val="single" w:color="auto" w:sz="4" w:space="0"/>
            </w:tcBorders>
          </w:tcPr>
          <w:p w14:paraId="5E5C4EEB">
            <w:pPr>
              <w:pStyle w:val="84"/>
              <w:spacing w:line="480" w:lineRule="exact"/>
              <w:ind w:left="525" w:leftChars="149" w:hanging="212" w:hangingChars="101"/>
              <w:rPr>
                <w:color w:val="auto"/>
                <w:highlight w:val="none"/>
                <w:u w:val="single"/>
              </w:rPr>
            </w:pPr>
            <w:r>
              <w:rPr>
                <w:rFonts w:hint="eastAsia"/>
                <w:color w:val="auto"/>
                <w:highlight w:val="none"/>
              </w:rPr>
              <w:t>致：</w:t>
            </w:r>
            <w:r>
              <w:rPr>
                <w:color w:val="auto"/>
                <w:highlight w:val="none"/>
                <w:u w:val="single"/>
              </w:rPr>
              <w:t xml:space="preserve">                                   </w:t>
            </w:r>
            <w:r>
              <w:rPr>
                <w:rFonts w:hint="eastAsia"/>
                <w:color w:val="auto"/>
                <w:highlight w:val="none"/>
                <w:u w:val="single"/>
              </w:rPr>
              <w:t>（发包人全称）</w:t>
            </w:r>
          </w:p>
          <w:p w14:paraId="56C587CE">
            <w:pPr>
              <w:pStyle w:val="84"/>
              <w:spacing w:line="400" w:lineRule="exact"/>
              <w:ind w:left="-4" w:leftChars="-2" w:firstLine="315" w:firstLineChars="150"/>
              <w:rPr>
                <w:color w:val="auto"/>
                <w:highlight w:val="none"/>
              </w:rPr>
            </w:pPr>
            <w:r>
              <w:rPr>
                <w:rFonts w:hint="eastAsia"/>
                <w:color w:val="auto"/>
                <w:highlight w:val="none"/>
              </w:rPr>
              <w:t>我方根据施工合同的约定，现申请支付工程预付款额为</w:t>
            </w:r>
            <w:r>
              <w:rPr>
                <w:color w:val="auto"/>
                <w:highlight w:val="none"/>
              </w:rPr>
              <w:t>(</w:t>
            </w:r>
            <w:r>
              <w:rPr>
                <w:rFonts w:hint="eastAsia"/>
                <w:color w:val="auto"/>
                <w:highlight w:val="none"/>
              </w:rPr>
              <w:t>大写</w:t>
            </w:r>
            <w:r>
              <w:rPr>
                <w:color w:val="auto"/>
                <w:highlight w:val="none"/>
              </w:rPr>
              <w:t>)</w:t>
            </w:r>
            <w:r>
              <w:rPr>
                <w:color w:val="auto"/>
                <w:highlight w:val="none"/>
                <w:u w:val="single"/>
              </w:rPr>
              <w:t xml:space="preserve">            </w:t>
            </w:r>
            <w:r>
              <w:rPr>
                <w:rFonts w:hint="eastAsia"/>
                <w:color w:val="auto"/>
                <w:highlight w:val="none"/>
              </w:rPr>
              <w:t>元，</w:t>
            </w:r>
            <w:r>
              <w:rPr>
                <w:color w:val="auto"/>
                <w:highlight w:val="none"/>
              </w:rPr>
              <w:t>(</w:t>
            </w:r>
            <w:r>
              <w:rPr>
                <w:rFonts w:hint="eastAsia"/>
                <w:color w:val="auto"/>
                <w:highlight w:val="none"/>
              </w:rPr>
              <w:t>小写</w:t>
            </w:r>
            <w:r>
              <w:rPr>
                <w:color w:val="auto"/>
                <w:highlight w:val="none"/>
              </w:rPr>
              <w:t>)</w:t>
            </w:r>
          </w:p>
          <w:p w14:paraId="099694CB">
            <w:pPr>
              <w:pStyle w:val="84"/>
              <w:spacing w:line="400" w:lineRule="exact"/>
              <w:rPr>
                <w:color w:val="auto"/>
                <w:highlight w:val="none"/>
              </w:rPr>
            </w:pPr>
            <w:r>
              <w:rPr>
                <w:color w:val="auto"/>
                <w:highlight w:val="none"/>
                <w:u w:val="single"/>
              </w:rPr>
              <w:t xml:space="preserve">         </w:t>
            </w:r>
            <w:r>
              <w:rPr>
                <w:rFonts w:hint="eastAsia"/>
                <w:color w:val="auto"/>
                <w:highlight w:val="none"/>
              </w:rPr>
              <w:t>元，请予核准。</w:t>
            </w:r>
          </w:p>
          <w:tbl>
            <w:tblPr>
              <w:tblStyle w:val="2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220A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3DC3FC38">
                  <w:pPr>
                    <w:pStyle w:val="84"/>
                    <w:spacing w:line="280" w:lineRule="exact"/>
                    <w:jc w:val="center"/>
                    <w:rPr>
                      <w:color w:val="auto"/>
                      <w:highlight w:val="none"/>
                    </w:rPr>
                  </w:pPr>
                  <w:r>
                    <w:rPr>
                      <w:rFonts w:hint="eastAsia"/>
                      <w:color w:val="auto"/>
                      <w:highlight w:val="none"/>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1450496E">
                  <w:pPr>
                    <w:pStyle w:val="84"/>
                    <w:spacing w:line="280" w:lineRule="exact"/>
                    <w:jc w:val="center"/>
                    <w:rPr>
                      <w:color w:val="auto"/>
                      <w:highlight w:val="none"/>
                    </w:rPr>
                  </w:pPr>
                  <w:r>
                    <w:rPr>
                      <w:rFonts w:hint="eastAsia"/>
                      <w:color w:val="auto"/>
                      <w:highlight w:val="none"/>
                    </w:rPr>
                    <w:t>名</w:t>
                  </w:r>
                  <w:r>
                    <w:rPr>
                      <w:color w:val="auto"/>
                      <w:highlight w:val="none"/>
                    </w:rPr>
                    <w:t xml:space="preserve">      </w:t>
                  </w:r>
                  <w:r>
                    <w:rPr>
                      <w:rFonts w:hint="eastAsia"/>
                      <w:color w:val="auto"/>
                      <w:highlight w:val="none"/>
                    </w:rPr>
                    <w:t>称</w:t>
                  </w:r>
                </w:p>
              </w:tc>
              <w:tc>
                <w:tcPr>
                  <w:tcW w:w="1764" w:type="dxa"/>
                  <w:tcBorders>
                    <w:top w:val="single" w:color="auto" w:sz="4" w:space="0"/>
                    <w:left w:val="single" w:color="auto" w:sz="4" w:space="0"/>
                    <w:bottom w:val="single" w:color="auto" w:sz="4" w:space="0"/>
                    <w:right w:val="single" w:color="auto" w:sz="4" w:space="0"/>
                  </w:tcBorders>
                  <w:vAlign w:val="center"/>
                </w:tcPr>
                <w:p w14:paraId="17D8731E">
                  <w:pPr>
                    <w:pStyle w:val="84"/>
                    <w:spacing w:line="280" w:lineRule="exact"/>
                    <w:jc w:val="center"/>
                    <w:rPr>
                      <w:color w:val="auto"/>
                      <w:highlight w:val="none"/>
                    </w:rPr>
                  </w:pPr>
                  <w:r>
                    <w:rPr>
                      <w:rFonts w:hint="eastAsia"/>
                      <w:color w:val="auto"/>
                      <w:highlight w:val="none"/>
                    </w:rPr>
                    <w:t>申请金额（元）</w:t>
                  </w:r>
                </w:p>
              </w:tc>
              <w:tc>
                <w:tcPr>
                  <w:tcW w:w="2240" w:type="dxa"/>
                  <w:tcBorders>
                    <w:top w:val="single" w:color="auto" w:sz="4" w:space="0"/>
                    <w:left w:val="single" w:color="auto" w:sz="4" w:space="0"/>
                    <w:bottom w:val="single" w:color="auto" w:sz="4" w:space="0"/>
                    <w:right w:val="single" w:color="auto" w:sz="4" w:space="0"/>
                  </w:tcBorders>
                  <w:vAlign w:val="center"/>
                </w:tcPr>
                <w:p w14:paraId="72D3DD5B">
                  <w:pPr>
                    <w:pStyle w:val="84"/>
                    <w:spacing w:line="280" w:lineRule="exact"/>
                    <w:jc w:val="center"/>
                    <w:rPr>
                      <w:color w:val="auto"/>
                      <w:highlight w:val="none"/>
                    </w:rPr>
                  </w:pPr>
                  <w:r>
                    <w:rPr>
                      <w:rFonts w:hint="eastAsia"/>
                      <w:color w:val="auto"/>
                      <w:highlight w:val="none"/>
                    </w:rPr>
                    <w:t>复核金额（元）</w:t>
                  </w:r>
                </w:p>
              </w:tc>
              <w:tc>
                <w:tcPr>
                  <w:tcW w:w="1080" w:type="dxa"/>
                  <w:tcBorders>
                    <w:top w:val="single" w:color="auto" w:sz="4" w:space="0"/>
                    <w:left w:val="single" w:color="auto" w:sz="4" w:space="0"/>
                    <w:bottom w:val="single" w:color="auto" w:sz="4" w:space="0"/>
                    <w:right w:val="single" w:color="auto" w:sz="4" w:space="0"/>
                  </w:tcBorders>
                  <w:vAlign w:val="center"/>
                </w:tcPr>
                <w:p w14:paraId="4E37F381">
                  <w:pPr>
                    <w:pStyle w:val="84"/>
                    <w:spacing w:line="280" w:lineRule="exact"/>
                    <w:jc w:val="center"/>
                    <w:rPr>
                      <w:color w:val="auto"/>
                      <w:highlight w:val="none"/>
                    </w:rPr>
                  </w:pPr>
                  <w:r>
                    <w:rPr>
                      <w:rFonts w:hint="eastAsia"/>
                      <w:color w:val="auto"/>
                      <w:highlight w:val="none"/>
                    </w:rPr>
                    <w:t>备注</w:t>
                  </w:r>
                </w:p>
              </w:tc>
            </w:tr>
            <w:tr w14:paraId="20C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429BD93">
                  <w:pPr>
                    <w:pStyle w:val="84"/>
                    <w:spacing w:line="280" w:lineRule="exact"/>
                    <w:jc w:val="center"/>
                    <w:rPr>
                      <w:color w:val="auto"/>
                      <w:highlight w:val="none"/>
                    </w:rPr>
                  </w:pPr>
                  <w:r>
                    <w:rPr>
                      <w:color w:val="auto"/>
                      <w:highlight w:val="none"/>
                    </w:rPr>
                    <w:t>1</w:t>
                  </w:r>
                </w:p>
              </w:tc>
              <w:tc>
                <w:tcPr>
                  <w:tcW w:w="3340" w:type="dxa"/>
                  <w:tcBorders>
                    <w:top w:val="single" w:color="auto" w:sz="4" w:space="0"/>
                    <w:left w:val="single" w:color="auto" w:sz="4" w:space="0"/>
                    <w:bottom w:val="single" w:color="auto" w:sz="4" w:space="0"/>
                    <w:right w:val="single" w:color="auto" w:sz="4" w:space="0"/>
                  </w:tcBorders>
                </w:tcPr>
                <w:p w14:paraId="2415D4FF">
                  <w:pPr>
                    <w:pStyle w:val="84"/>
                    <w:spacing w:line="280" w:lineRule="exact"/>
                    <w:rPr>
                      <w:color w:val="auto"/>
                      <w:highlight w:val="none"/>
                    </w:rPr>
                  </w:pPr>
                  <w:r>
                    <w:rPr>
                      <w:rFonts w:hint="eastAsia"/>
                      <w:color w:val="auto"/>
                      <w:highlight w:val="none"/>
                    </w:rPr>
                    <w:t>已签约合同价款金额</w:t>
                  </w:r>
                </w:p>
              </w:tc>
              <w:tc>
                <w:tcPr>
                  <w:tcW w:w="1764" w:type="dxa"/>
                  <w:tcBorders>
                    <w:top w:val="single" w:color="auto" w:sz="4" w:space="0"/>
                    <w:left w:val="single" w:color="auto" w:sz="4" w:space="0"/>
                    <w:bottom w:val="single" w:color="auto" w:sz="4" w:space="0"/>
                    <w:right w:val="single" w:color="auto" w:sz="4" w:space="0"/>
                  </w:tcBorders>
                </w:tcPr>
                <w:p w14:paraId="486A32F8">
                  <w:pPr>
                    <w:pStyle w:val="84"/>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tcPr>
                <w:p w14:paraId="5A5BBEE7">
                  <w:pPr>
                    <w:pStyle w:val="84"/>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tcPr>
                <w:p w14:paraId="3893AB88">
                  <w:pPr>
                    <w:pStyle w:val="84"/>
                    <w:spacing w:line="280" w:lineRule="exact"/>
                    <w:rPr>
                      <w:color w:val="auto"/>
                      <w:highlight w:val="none"/>
                    </w:rPr>
                  </w:pPr>
                </w:p>
              </w:tc>
            </w:tr>
            <w:tr w14:paraId="6832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4895690">
                  <w:pPr>
                    <w:pStyle w:val="84"/>
                    <w:spacing w:line="280" w:lineRule="exact"/>
                    <w:jc w:val="center"/>
                    <w:rPr>
                      <w:color w:val="auto"/>
                      <w:highlight w:val="none"/>
                    </w:rPr>
                  </w:pPr>
                  <w:r>
                    <w:rPr>
                      <w:color w:val="auto"/>
                      <w:highlight w:val="none"/>
                    </w:rPr>
                    <w:t>2</w:t>
                  </w:r>
                </w:p>
              </w:tc>
              <w:tc>
                <w:tcPr>
                  <w:tcW w:w="3340" w:type="dxa"/>
                  <w:tcBorders>
                    <w:top w:val="single" w:color="auto" w:sz="4" w:space="0"/>
                    <w:left w:val="single" w:color="auto" w:sz="4" w:space="0"/>
                    <w:bottom w:val="single" w:color="auto" w:sz="4" w:space="0"/>
                    <w:right w:val="single" w:color="auto" w:sz="4" w:space="0"/>
                  </w:tcBorders>
                </w:tcPr>
                <w:p w14:paraId="4AA28F06">
                  <w:pPr>
                    <w:pStyle w:val="84"/>
                    <w:spacing w:line="280" w:lineRule="exact"/>
                    <w:rPr>
                      <w:color w:val="auto"/>
                      <w:highlight w:val="none"/>
                    </w:rPr>
                  </w:pPr>
                  <w:r>
                    <w:rPr>
                      <w:rFonts w:hint="eastAsia"/>
                      <w:color w:val="auto"/>
                      <w:highlight w:val="none"/>
                    </w:rPr>
                    <w:t>其中：安全文明施工费</w:t>
                  </w:r>
                </w:p>
              </w:tc>
              <w:tc>
                <w:tcPr>
                  <w:tcW w:w="1764" w:type="dxa"/>
                  <w:tcBorders>
                    <w:top w:val="single" w:color="auto" w:sz="4" w:space="0"/>
                    <w:left w:val="single" w:color="auto" w:sz="4" w:space="0"/>
                    <w:bottom w:val="single" w:color="auto" w:sz="4" w:space="0"/>
                    <w:right w:val="single" w:color="auto" w:sz="4" w:space="0"/>
                  </w:tcBorders>
                </w:tcPr>
                <w:p w14:paraId="3A8902A5">
                  <w:pPr>
                    <w:pStyle w:val="84"/>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tcPr>
                <w:p w14:paraId="3E21C20D">
                  <w:pPr>
                    <w:pStyle w:val="84"/>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tcPr>
                <w:p w14:paraId="074E5D02">
                  <w:pPr>
                    <w:pStyle w:val="84"/>
                    <w:spacing w:line="280" w:lineRule="exact"/>
                    <w:rPr>
                      <w:color w:val="auto"/>
                      <w:highlight w:val="none"/>
                    </w:rPr>
                  </w:pPr>
                </w:p>
              </w:tc>
            </w:tr>
            <w:tr w14:paraId="6591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1C3C5A7">
                  <w:pPr>
                    <w:pStyle w:val="84"/>
                    <w:spacing w:line="280" w:lineRule="exact"/>
                    <w:jc w:val="center"/>
                    <w:rPr>
                      <w:color w:val="auto"/>
                      <w:highlight w:val="none"/>
                    </w:rPr>
                  </w:pPr>
                  <w:r>
                    <w:rPr>
                      <w:color w:val="auto"/>
                      <w:highlight w:val="none"/>
                    </w:rPr>
                    <w:t>3</w:t>
                  </w:r>
                </w:p>
              </w:tc>
              <w:tc>
                <w:tcPr>
                  <w:tcW w:w="3340" w:type="dxa"/>
                  <w:tcBorders>
                    <w:top w:val="single" w:color="auto" w:sz="4" w:space="0"/>
                    <w:left w:val="single" w:color="auto" w:sz="4" w:space="0"/>
                    <w:bottom w:val="single" w:color="auto" w:sz="4" w:space="0"/>
                    <w:right w:val="single" w:color="auto" w:sz="4" w:space="0"/>
                  </w:tcBorders>
                </w:tcPr>
                <w:p w14:paraId="2E757F20">
                  <w:pPr>
                    <w:pStyle w:val="84"/>
                    <w:spacing w:line="280" w:lineRule="exact"/>
                    <w:rPr>
                      <w:color w:val="auto"/>
                      <w:highlight w:val="none"/>
                    </w:rPr>
                  </w:pPr>
                  <w:r>
                    <w:rPr>
                      <w:rFonts w:hint="eastAsia"/>
                      <w:color w:val="auto"/>
                      <w:highlight w:val="none"/>
                    </w:rPr>
                    <w:t>应支付的预付款</w:t>
                  </w:r>
                </w:p>
              </w:tc>
              <w:tc>
                <w:tcPr>
                  <w:tcW w:w="1764" w:type="dxa"/>
                  <w:tcBorders>
                    <w:top w:val="single" w:color="auto" w:sz="4" w:space="0"/>
                    <w:left w:val="single" w:color="auto" w:sz="4" w:space="0"/>
                    <w:bottom w:val="single" w:color="auto" w:sz="4" w:space="0"/>
                    <w:right w:val="single" w:color="auto" w:sz="4" w:space="0"/>
                  </w:tcBorders>
                </w:tcPr>
                <w:p w14:paraId="3ACC9BC9">
                  <w:pPr>
                    <w:pStyle w:val="84"/>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tcPr>
                <w:p w14:paraId="7840A256">
                  <w:pPr>
                    <w:pStyle w:val="84"/>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tcPr>
                <w:p w14:paraId="438D31AB">
                  <w:pPr>
                    <w:pStyle w:val="84"/>
                    <w:spacing w:line="280" w:lineRule="exact"/>
                    <w:rPr>
                      <w:color w:val="auto"/>
                      <w:highlight w:val="none"/>
                    </w:rPr>
                  </w:pPr>
                </w:p>
              </w:tc>
            </w:tr>
            <w:tr w14:paraId="1091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1367786">
                  <w:pPr>
                    <w:pStyle w:val="84"/>
                    <w:spacing w:line="280" w:lineRule="exact"/>
                    <w:jc w:val="center"/>
                    <w:rPr>
                      <w:color w:val="auto"/>
                      <w:highlight w:val="none"/>
                    </w:rPr>
                  </w:pPr>
                  <w:r>
                    <w:rPr>
                      <w:color w:val="auto"/>
                      <w:highlight w:val="none"/>
                    </w:rPr>
                    <w:t>4</w:t>
                  </w:r>
                </w:p>
              </w:tc>
              <w:tc>
                <w:tcPr>
                  <w:tcW w:w="3340" w:type="dxa"/>
                  <w:tcBorders>
                    <w:top w:val="single" w:color="auto" w:sz="4" w:space="0"/>
                    <w:left w:val="single" w:color="auto" w:sz="4" w:space="0"/>
                    <w:bottom w:val="single" w:color="auto" w:sz="4" w:space="0"/>
                    <w:right w:val="single" w:color="auto" w:sz="4" w:space="0"/>
                  </w:tcBorders>
                </w:tcPr>
                <w:p w14:paraId="1281AC68">
                  <w:pPr>
                    <w:pStyle w:val="84"/>
                    <w:spacing w:line="280" w:lineRule="exact"/>
                    <w:rPr>
                      <w:color w:val="auto"/>
                      <w:highlight w:val="none"/>
                    </w:rPr>
                  </w:pPr>
                  <w:r>
                    <w:rPr>
                      <w:rFonts w:hint="eastAsia"/>
                      <w:color w:val="auto"/>
                      <w:highlight w:val="none"/>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tcPr>
                <w:p w14:paraId="4C3DEF0A">
                  <w:pPr>
                    <w:pStyle w:val="84"/>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tcPr>
                <w:p w14:paraId="2F405704">
                  <w:pPr>
                    <w:pStyle w:val="84"/>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tcPr>
                <w:p w14:paraId="027876DA">
                  <w:pPr>
                    <w:pStyle w:val="84"/>
                    <w:spacing w:line="280" w:lineRule="exact"/>
                    <w:rPr>
                      <w:color w:val="auto"/>
                      <w:highlight w:val="none"/>
                    </w:rPr>
                  </w:pPr>
                </w:p>
              </w:tc>
            </w:tr>
            <w:tr w14:paraId="4EC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9F3984D">
                  <w:pPr>
                    <w:pStyle w:val="84"/>
                    <w:spacing w:line="280" w:lineRule="exact"/>
                    <w:jc w:val="center"/>
                    <w:rPr>
                      <w:color w:val="auto"/>
                      <w:highlight w:val="none"/>
                    </w:rPr>
                  </w:pPr>
                  <w:r>
                    <w:rPr>
                      <w:color w:val="auto"/>
                      <w:highlight w:val="none"/>
                    </w:rPr>
                    <w:t>5</w:t>
                  </w:r>
                </w:p>
              </w:tc>
              <w:tc>
                <w:tcPr>
                  <w:tcW w:w="3340" w:type="dxa"/>
                  <w:tcBorders>
                    <w:top w:val="single" w:color="auto" w:sz="4" w:space="0"/>
                    <w:left w:val="single" w:color="auto" w:sz="4" w:space="0"/>
                    <w:bottom w:val="single" w:color="auto" w:sz="4" w:space="0"/>
                    <w:right w:val="single" w:color="auto" w:sz="4" w:space="0"/>
                  </w:tcBorders>
                </w:tcPr>
                <w:p w14:paraId="1A11A3FF">
                  <w:pPr>
                    <w:pStyle w:val="84"/>
                    <w:spacing w:line="280" w:lineRule="exact"/>
                    <w:rPr>
                      <w:color w:val="auto"/>
                      <w:highlight w:val="none"/>
                    </w:rPr>
                  </w:pPr>
                  <w:r>
                    <w:rPr>
                      <w:rFonts w:hint="eastAsia"/>
                      <w:color w:val="auto"/>
                      <w:highlight w:val="none"/>
                    </w:rPr>
                    <w:t>合计应支付的预付款</w:t>
                  </w:r>
                </w:p>
              </w:tc>
              <w:tc>
                <w:tcPr>
                  <w:tcW w:w="1764" w:type="dxa"/>
                  <w:tcBorders>
                    <w:top w:val="single" w:color="auto" w:sz="4" w:space="0"/>
                    <w:left w:val="single" w:color="auto" w:sz="4" w:space="0"/>
                    <w:bottom w:val="single" w:color="auto" w:sz="4" w:space="0"/>
                    <w:right w:val="single" w:color="auto" w:sz="4" w:space="0"/>
                  </w:tcBorders>
                </w:tcPr>
                <w:p w14:paraId="04BC1C52">
                  <w:pPr>
                    <w:pStyle w:val="84"/>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tcPr>
                <w:p w14:paraId="686B60C8">
                  <w:pPr>
                    <w:pStyle w:val="84"/>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tcPr>
                <w:p w14:paraId="7BD1D040">
                  <w:pPr>
                    <w:pStyle w:val="84"/>
                    <w:spacing w:line="280" w:lineRule="exact"/>
                    <w:rPr>
                      <w:color w:val="auto"/>
                      <w:highlight w:val="none"/>
                    </w:rPr>
                  </w:pPr>
                </w:p>
              </w:tc>
            </w:tr>
            <w:tr w14:paraId="14B8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E5170BF">
                  <w:pPr>
                    <w:pStyle w:val="84"/>
                    <w:spacing w:line="280" w:lineRule="exact"/>
                    <w:jc w:val="center"/>
                    <w:rPr>
                      <w:color w:val="auto"/>
                      <w:highlight w:val="none"/>
                    </w:rPr>
                  </w:pPr>
                </w:p>
              </w:tc>
              <w:tc>
                <w:tcPr>
                  <w:tcW w:w="3340" w:type="dxa"/>
                  <w:tcBorders>
                    <w:top w:val="single" w:color="auto" w:sz="4" w:space="0"/>
                    <w:left w:val="single" w:color="auto" w:sz="4" w:space="0"/>
                    <w:bottom w:val="single" w:color="auto" w:sz="4" w:space="0"/>
                    <w:right w:val="single" w:color="auto" w:sz="4" w:space="0"/>
                  </w:tcBorders>
                </w:tcPr>
                <w:p w14:paraId="719CB686">
                  <w:pPr>
                    <w:pStyle w:val="84"/>
                    <w:spacing w:line="280" w:lineRule="exact"/>
                    <w:rPr>
                      <w:color w:val="auto"/>
                      <w:highlight w:val="none"/>
                    </w:rPr>
                  </w:pPr>
                </w:p>
              </w:tc>
              <w:tc>
                <w:tcPr>
                  <w:tcW w:w="1764" w:type="dxa"/>
                  <w:tcBorders>
                    <w:top w:val="single" w:color="auto" w:sz="4" w:space="0"/>
                    <w:left w:val="single" w:color="auto" w:sz="4" w:space="0"/>
                    <w:bottom w:val="single" w:color="auto" w:sz="4" w:space="0"/>
                    <w:right w:val="single" w:color="auto" w:sz="4" w:space="0"/>
                  </w:tcBorders>
                </w:tcPr>
                <w:p w14:paraId="47B72BDE">
                  <w:pPr>
                    <w:pStyle w:val="84"/>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tcPr>
                <w:p w14:paraId="41B9579C">
                  <w:pPr>
                    <w:pStyle w:val="84"/>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tcPr>
                <w:p w14:paraId="75B5331C">
                  <w:pPr>
                    <w:pStyle w:val="84"/>
                    <w:spacing w:line="280" w:lineRule="exact"/>
                    <w:rPr>
                      <w:color w:val="auto"/>
                      <w:highlight w:val="none"/>
                    </w:rPr>
                  </w:pPr>
                </w:p>
              </w:tc>
            </w:tr>
          </w:tbl>
          <w:p w14:paraId="18398CAC">
            <w:pPr>
              <w:pStyle w:val="84"/>
              <w:wordWrap w:val="0"/>
              <w:spacing w:line="400" w:lineRule="exact"/>
              <w:ind w:right="420"/>
              <w:rPr>
                <w:color w:val="auto"/>
                <w:highlight w:val="none"/>
              </w:rPr>
            </w:pPr>
          </w:p>
          <w:p w14:paraId="7C817C3D">
            <w:pPr>
              <w:pStyle w:val="84"/>
              <w:wordWrap w:val="0"/>
              <w:spacing w:line="400" w:lineRule="exact"/>
              <w:ind w:right="420"/>
              <w:rPr>
                <w:color w:val="auto"/>
                <w:highlight w:val="none"/>
              </w:rPr>
            </w:pPr>
            <w:r>
              <w:rPr>
                <w:color w:val="auto"/>
                <w:highlight w:val="none"/>
              </w:rPr>
              <w:t xml:space="preserve">                                            </w:t>
            </w:r>
            <w:r>
              <w:rPr>
                <w:rFonts w:hint="eastAsia"/>
                <w:color w:val="auto"/>
                <w:highlight w:val="none"/>
              </w:rPr>
              <w:t>承包人（章）</w:t>
            </w:r>
            <w:r>
              <w:rPr>
                <w:color w:val="auto"/>
                <w:highlight w:val="none"/>
              </w:rPr>
              <w:t xml:space="preserve">             </w:t>
            </w:r>
          </w:p>
          <w:p w14:paraId="209B61D9">
            <w:pPr>
              <w:pStyle w:val="84"/>
              <w:spacing w:line="400" w:lineRule="exact"/>
              <w:ind w:right="420" w:firstLine="420"/>
              <w:rPr>
                <w:color w:val="auto"/>
                <w:highlight w:val="none"/>
              </w:rPr>
            </w:pPr>
            <w:r>
              <w:rPr>
                <w:rFonts w:hint="eastAsia"/>
                <w:color w:val="auto"/>
                <w:highlight w:val="none"/>
              </w:rPr>
              <w:t>造价人员</w:t>
            </w:r>
            <w:r>
              <w:rPr>
                <w:color w:val="auto"/>
                <w:highlight w:val="none"/>
                <w:u w:val="single"/>
              </w:rPr>
              <w:t xml:space="preserve">               </w:t>
            </w:r>
            <w:r>
              <w:rPr>
                <w:rFonts w:hint="eastAsia"/>
                <w:color w:val="auto"/>
                <w:highlight w:val="none"/>
              </w:rPr>
              <w:t>承包人代表</w:t>
            </w:r>
            <w:r>
              <w:rPr>
                <w:color w:val="auto"/>
                <w:highlight w:val="none"/>
                <w:u w:val="singl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r w14:paraId="0708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tcBorders>
              <w:top w:val="single" w:color="auto" w:sz="4" w:space="0"/>
              <w:left w:val="single" w:color="auto" w:sz="4" w:space="0"/>
              <w:bottom w:val="single" w:color="auto" w:sz="4" w:space="0"/>
              <w:right w:val="single" w:color="auto" w:sz="4" w:space="0"/>
            </w:tcBorders>
          </w:tcPr>
          <w:p w14:paraId="4EE8EA6B">
            <w:pPr>
              <w:pStyle w:val="84"/>
              <w:spacing w:line="360" w:lineRule="exact"/>
              <w:rPr>
                <w:color w:val="auto"/>
                <w:highlight w:val="none"/>
              </w:rPr>
            </w:pPr>
            <w:r>
              <w:rPr>
                <w:rFonts w:hint="eastAsia"/>
                <w:color w:val="auto"/>
                <w:highlight w:val="none"/>
              </w:rPr>
              <w:t>复核意见：</w:t>
            </w:r>
          </w:p>
          <w:p w14:paraId="5E821C5B">
            <w:pPr>
              <w:pStyle w:val="84"/>
              <w:spacing w:line="360" w:lineRule="exact"/>
              <w:ind w:firstLine="420"/>
              <w:rPr>
                <w:color w:val="auto"/>
                <w:highlight w:val="none"/>
              </w:rPr>
            </w:pPr>
            <w:r>
              <w:rPr>
                <w:rFonts w:hint="eastAsia"/>
                <w:color w:val="auto"/>
                <w:highlight w:val="none"/>
              </w:rPr>
              <w:t>□与合同约定不相符，修改意见见附件。</w:t>
            </w:r>
          </w:p>
          <w:p w14:paraId="03BE6125">
            <w:pPr>
              <w:pStyle w:val="84"/>
              <w:spacing w:line="360" w:lineRule="exact"/>
              <w:ind w:firstLine="420"/>
              <w:rPr>
                <w:color w:val="auto"/>
                <w:highlight w:val="none"/>
              </w:rPr>
            </w:pPr>
            <w:r>
              <w:rPr>
                <w:rFonts w:hint="eastAsia"/>
                <w:color w:val="auto"/>
                <w:highlight w:val="none"/>
              </w:rPr>
              <w:t>□与合同约定相符，具体金额由造价工程师复核。</w:t>
            </w:r>
          </w:p>
          <w:p w14:paraId="592CEE09">
            <w:pPr>
              <w:pStyle w:val="84"/>
              <w:spacing w:line="360" w:lineRule="exact"/>
              <w:ind w:firstLine="420"/>
              <w:jc w:val="right"/>
              <w:rPr>
                <w:color w:val="auto"/>
                <w:highlight w:val="none"/>
              </w:rPr>
            </w:pPr>
          </w:p>
          <w:p w14:paraId="4F5363A1">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监理工程师</w:t>
            </w:r>
            <w:r>
              <w:rPr>
                <w:color w:val="auto"/>
                <w:highlight w:val="none"/>
                <w:u w:val="single"/>
              </w:rPr>
              <w:t xml:space="preserve">           </w:t>
            </w:r>
          </w:p>
          <w:p w14:paraId="3EDF6D4D">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c>
          <w:tcPr>
            <w:tcW w:w="4697" w:type="dxa"/>
            <w:tcBorders>
              <w:top w:val="single" w:color="auto" w:sz="4" w:space="0"/>
              <w:left w:val="single" w:color="auto" w:sz="4" w:space="0"/>
              <w:bottom w:val="single" w:color="auto" w:sz="4" w:space="0"/>
              <w:right w:val="single" w:color="auto" w:sz="4" w:space="0"/>
            </w:tcBorders>
          </w:tcPr>
          <w:p w14:paraId="45F360B0">
            <w:pPr>
              <w:pStyle w:val="84"/>
              <w:spacing w:line="360" w:lineRule="exact"/>
              <w:rPr>
                <w:color w:val="auto"/>
                <w:highlight w:val="none"/>
              </w:rPr>
            </w:pPr>
            <w:r>
              <w:rPr>
                <w:rFonts w:hint="eastAsia"/>
                <w:color w:val="auto"/>
                <w:highlight w:val="none"/>
              </w:rPr>
              <w:t>复核意见：</w:t>
            </w:r>
          </w:p>
          <w:p w14:paraId="45D41F09">
            <w:pPr>
              <w:pStyle w:val="84"/>
              <w:spacing w:line="360" w:lineRule="exact"/>
              <w:ind w:firstLine="420"/>
              <w:rPr>
                <w:color w:val="auto"/>
                <w:highlight w:val="none"/>
              </w:rPr>
            </w:pPr>
            <w:r>
              <w:rPr>
                <w:rFonts w:hint="eastAsia"/>
                <w:color w:val="auto"/>
                <w:highlight w:val="none"/>
              </w:rPr>
              <w:t>你方提出的支付申请经复核，应支付预付款金额为</w:t>
            </w:r>
            <w:r>
              <w:rPr>
                <w:color w:val="auto"/>
                <w:highlight w:val="none"/>
              </w:rPr>
              <w:t>(</w:t>
            </w:r>
            <w:r>
              <w:rPr>
                <w:rFonts w:hint="eastAsia"/>
                <w:color w:val="auto"/>
                <w:highlight w:val="none"/>
              </w:rPr>
              <w:t>大写</w:t>
            </w:r>
            <w:r>
              <w:rPr>
                <w:color w:val="auto"/>
                <w:highlight w:val="none"/>
              </w:rPr>
              <w:t>)</w:t>
            </w:r>
            <w:r>
              <w:rPr>
                <w:color w:val="auto"/>
                <w:highlight w:val="none"/>
                <w:u w:val="single"/>
              </w:rPr>
              <w:t xml:space="preserve">                </w:t>
            </w:r>
            <w:r>
              <w:rPr>
                <w:rFonts w:hint="eastAsia"/>
                <w:color w:val="auto"/>
                <w:highlight w:val="none"/>
              </w:rPr>
              <w:t>元，（小写）</w:t>
            </w:r>
          </w:p>
          <w:p w14:paraId="6CB02A3B">
            <w:pPr>
              <w:pStyle w:val="84"/>
              <w:spacing w:line="360" w:lineRule="exact"/>
              <w:rPr>
                <w:color w:val="auto"/>
                <w:highlight w:val="none"/>
              </w:rPr>
            </w:pPr>
            <w:r>
              <w:rPr>
                <w:color w:val="auto"/>
                <w:highlight w:val="none"/>
                <w:u w:val="single"/>
              </w:rPr>
              <w:t xml:space="preserve">          </w:t>
            </w:r>
            <w:r>
              <w:rPr>
                <w:color w:val="auto"/>
                <w:highlight w:val="none"/>
              </w:rPr>
              <w:t xml:space="preserve"> </w:t>
            </w:r>
            <w:r>
              <w:rPr>
                <w:rFonts w:hint="eastAsia"/>
                <w:color w:val="auto"/>
                <w:highlight w:val="none"/>
              </w:rPr>
              <w:t>元。</w:t>
            </w:r>
          </w:p>
          <w:p w14:paraId="0A2A469B">
            <w:pPr>
              <w:pStyle w:val="84"/>
              <w:spacing w:line="360" w:lineRule="exact"/>
              <w:rPr>
                <w:color w:val="auto"/>
                <w:highlight w:val="none"/>
                <w:u w:val="single"/>
              </w:rPr>
            </w:pPr>
          </w:p>
          <w:p w14:paraId="396BBC9C">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造价工程师</w:t>
            </w:r>
            <w:r>
              <w:rPr>
                <w:color w:val="auto"/>
                <w:highlight w:val="none"/>
                <w:u w:val="single"/>
              </w:rPr>
              <w:t xml:space="preserve">           </w:t>
            </w:r>
          </w:p>
          <w:p w14:paraId="25ED604A">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r w14:paraId="4730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Borders>
              <w:top w:val="single" w:color="auto" w:sz="4" w:space="0"/>
              <w:left w:val="single" w:color="auto" w:sz="4" w:space="0"/>
              <w:bottom w:val="single" w:color="auto" w:sz="4" w:space="0"/>
              <w:right w:val="single" w:color="auto" w:sz="4" w:space="0"/>
            </w:tcBorders>
          </w:tcPr>
          <w:p w14:paraId="2C0F265B">
            <w:pPr>
              <w:pStyle w:val="84"/>
              <w:spacing w:line="400" w:lineRule="exact"/>
              <w:rPr>
                <w:color w:val="auto"/>
                <w:highlight w:val="none"/>
              </w:rPr>
            </w:pPr>
            <w:r>
              <w:rPr>
                <w:rFonts w:hint="eastAsia"/>
                <w:color w:val="auto"/>
                <w:highlight w:val="none"/>
              </w:rPr>
              <w:t>审核意见：</w:t>
            </w:r>
          </w:p>
          <w:p w14:paraId="2F7FA341">
            <w:pPr>
              <w:pStyle w:val="84"/>
              <w:spacing w:line="400" w:lineRule="exact"/>
              <w:ind w:firstLine="420"/>
              <w:rPr>
                <w:color w:val="auto"/>
                <w:highlight w:val="none"/>
              </w:rPr>
            </w:pPr>
            <w:r>
              <w:rPr>
                <w:rFonts w:hint="eastAsia"/>
                <w:color w:val="auto"/>
                <w:highlight w:val="none"/>
              </w:rPr>
              <w:t>□不同意。</w:t>
            </w:r>
          </w:p>
          <w:p w14:paraId="16DFCCF3">
            <w:pPr>
              <w:pStyle w:val="84"/>
              <w:spacing w:line="400" w:lineRule="exact"/>
              <w:ind w:firstLine="420" w:firstLineChars="200"/>
              <w:rPr>
                <w:color w:val="auto"/>
                <w:highlight w:val="none"/>
              </w:rPr>
            </w:pPr>
            <w:r>
              <w:rPr>
                <w:rFonts w:hint="eastAsia"/>
                <w:color w:val="auto"/>
                <w:highlight w:val="none"/>
              </w:rPr>
              <w:t>□同意，支付时间为本表签发后的</w:t>
            </w:r>
            <w:r>
              <w:rPr>
                <w:color w:val="auto"/>
                <w:highlight w:val="none"/>
              </w:rPr>
              <w:t>15</w:t>
            </w:r>
            <w:r>
              <w:rPr>
                <w:rFonts w:hint="eastAsia"/>
                <w:color w:val="auto"/>
                <w:highlight w:val="none"/>
              </w:rPr>
              <w:t>天内。</w:t>
            </w:r>
          </w:p>
          <w:p w14:paraId="07D887A5">
            <w:pPr>
              <w:pStyle w:val="84"/>
              <w:wordWrap w:val="0"/>
              <w:spacing w:line="400" w:lineRule="exact"/>
              <w:ind w:firstLine="420" w:firstLineChars="200"/>
              <w:jc w:val="right"/>
              <w:rPr>
                <w:color w:val="auto"/>
                <w:highlight w:val="none"/>
              </w:rPr>
            </w:pPr>
            <w:r>
              <w:rPr>
                <w:rFonts w:hint="eastAsia"/>
                <w:color w:val="auto"/>
                <w:highlight w:val="none"/>
              </w:rPr>
              <w:t>发包人（章）</w:t>
            </w:r>
            <w:r>
              <w:rPr>
                <w:color w:val="auto"/>
                <w:highlight w:val="none"/>
              </w:rPr>
              <w:t xml:space="preserve">           </w:t>
            </w:r>
          </w:p>
          <w:p w14:paraId="7079AB72">
            <w:pPr>
              <w:pStyle w:val="84"/>
              <w:wordWrap w:val="0"/>
              <w:spacing w:line="400" w:lineRule="exact"/>
              <w:ind w:firstLine="420" w:firstLineChars="200"/>
              <w:jc w:val="right"/>
              <w:rPr>
                <w:color w:val="auto"/>
                <w:highlight w:val="none"/>
                <w:u w:val="single"/>
              </w:rPr>
            </w:pPr>
            <w:r>
              <w:rPr>
                <w:rFonts w:hint="eastAsia"/>
                <w:color w:val="auto"/>
                <w:highlight w:val="none"/>
              </w:rPr>
              <w:t>发包人代表</w:t>
            </w:r>
            <w:r>
              <w:rPr>
                <w:color w:val="auto"/>
                <w:highlight w:val="none"/>
                <w:u w:val="single"/>
              </w:rPr>
              <w:t xml:space="preserve">             </w:t>
            </w:r>
          </w:p>
          <w:p w14:paraId="1EA0AF8F">
            <w:pPr>
              <w:pStyle w:val="84"/>
              <w:wordWrap w:val="0"/>
              <w:spacing w:line="400" w:lineRule="exact"/>
              <w:ind w:firstLine="420" w:firstLineChars="200"/>
              <w:jc w:val="right"/>
              <w:rPr>
                <w:color w:val="auto"/>
                <w:highlight w:val="none"/>
                <w:u w:val="singl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bl>
    <w:p w14:paraId="19CBD906">
      <w:pPr>
        <w:pStyle w:val="84"/>
        <w:spacing w:before="120" w:beforeLines="50"/>
        <w:ind w:firstLine="360" w:firstLineChars="200"/>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在选择栏中的“□”内作标识“√”。</w:t>
      </w:r>
      <w:r>
        <w:rPr>
          <w:color w:val="auto"/>
          <w:sz w:val="18"/>
          <w:szCs w:val="18"/>
          <w:highlight w:val="none"/>
        </w:rPr>
        <w:t xml:space="preserve"> </w:t>
      </w:r>
    </w:p>
    <w:p w14:paraId="58C288CD">
      <w:pPr>
        <w:pStyle w:val="84"/>
        <w:spacing w:before="120" w:beforeLines="50"/>
        <w:ind w:left="720" w:hanging="720" w:hangingChars="400"/>
        <w:rPr>
          <w:rFonts w:eastAsia="仿宋_GB2312"/>
          <w:color w:val="auto"/>
          <w:sz w:val="30"/>
          <w:szCs w:val="30"/>
          <w:highlight w:val="none"/>
        </w:rPr>
      </w:pPr>
      <w:r>
        <w:rPr>
          <w:color w:val="auto"/>
          <w:sz w:val="18"/>
          <w:szCs w:val="18"/>
          <w:highlight w:val="none"/>
        </w:rPr>
        <w:t xml:space="preserve">        2.</w:t>
      </w:r>
      <w:r>
        <w:rPr>
          <w:rFonts w:hint="eastAsia"/>
          <w:color w:val="auto"/>
          <w:sz w:val="18"/>
          <w:szCs w:val="18"/>
          <w:highlight w:val="none"/>
        </w:rPr>
        <w:t>本表一式四份，由承包人填报，发包人、监理人、造价咨询人、承包人各存一份。</w:t>
      </w:r>
    </w:p>
    <w:p w14:paraId="79489BF1">
      <w:pPr>
        <w:pStyle w:val="84"/>
        <w:spacing w:before="120" w:beforeLines="50"/>
        <w:ind w:left="1200" w:hanging="1200" w:hangingChars="400"/>
        <w:rPr>
          <w:rFonts w:eastAsia="仿宋_GB2312"/>
          <w:color w:val="auto"/>
          <w:sz w:val="30"/>
          <w:szCs w:val="30"/>
          <w:highlight w:val="none"/>
        </w:rPr>
      </w:pPr>
    </w:p>
    <w:p w14:paraId="0BF4B2FF">
      <w:pPr>
        <w:pStyle w:val="84"/>
        <w:spacing w:before="120" w:beforeLines="50"/>
        <w:ind w:left="1200" w:hanging="1200" w:hangingChars="400"/>
        <w:rPr>
          <w:rFonts w:eastAsia="仿宋_GB2312"/>
          <w:color w:val="auto"/>
          <w:sz w:val="30"/>
          <w:szCs w:val="30"/>
          <w:highlight w:val="none"/>
        </w:rPr>
      </w:pPr>
    </w:p>
    <w:p w14:paraId="2C644D33">
      <w:pPr>
        <w:pStyle w:val="84"/>
        <w:spacing w:before="120" w:beforeLines="50"/>
        <w:ind w:left="1200" w:hanging="1200" w:hangingChars="400"/>
        <w:rPr>
          <w:rFonts w:eastAsia="仿宋_GB2312"/>
          <w:color w:val="auto"/>
          <w:sz w:val="30"/>
          <w:szCs w:val="30"/>
          <w:highlight w:val="none"/>
        </w:rPr>
      </w:pPr>
      <w:r>
        <w:rPr>
          <w:rFonts w:hint="eastAsia" w:eastAsia="仿宋_GB2312"/>
          <w:color w:val="auto"/>
          <w:sz w:val="30"/>
          <w:szCs w:val="30"/>
          <w:highlight w:val="none"/>
        </w:rPr>
        <w:t>附件</w:t>
      </w:r>
      <w:r>
        <w:rPr>
          <w:rFonts w:eastAsia="仿宋_GB2312"/>
          <w:color w:val="auto"/>
          <w:sz w:val="30"/>
          <w:szCs w:val="30"/>
          <w:highlight w:val="none"/>
        </w:rPr>
        <w:t>11</w:t>
      </w:r>
      <w:r>
        <w:rPr>
          <w:rFonts w:hint="eastAsia" w:eastAsia="仿宋_GB2312"/>
          <w:color w:val="auto"/>
          <w:sz w:val="30"/>
          <w:szCs w:val="30"/>
          <w:highlight w:val="none"/>
        </w:rPr>
        <w:t>：</w:t>
      </w:r>
    </w:p>
    <w:p w14:paraId="760252E3">
      <w:pPr>
        <w:pStyle w:val="84"/>
        <w:ind w:firstLine="723"/>
        <w:jc w:val="center"/>
        <w:rPr>
          <w:b/>
          <w:color w:val="auto"/>
          <w:sz w:val="36"/>
          <w:szCs w:val="36"/>
          <w:highlight w:val="none"/>
        </w:rPr>
      </w:pPr>
      <w:r>
        <w:rPr>
          <w:rFonts w:hint="eastAsia"/>
          <w:b/>
          <w:color w:val="auto"/>
          <w:sz w:val="36"/>
          <w:szCs w:val="36"/>
          <w:highlight w:val="none"/>
        </w:rPr>
        <w:t>进度款支付申请（核准）表</w:t>
      </w:r>
    </w:p>
    <w:p w14:paraId="42D2348D">
      <w:pPr>
        <w:pStyle w:val="84"/>
        <w:ind w:firstLine="480"/>
        <w:rPr>
          <w:color w:val="auto"/>
          <w:sz w:val="24"/>
          <w:szCs w:val="24"/>
          <w:highlight w:val="none"/>
        </w:rPr>
      </w:pPr>
      <w:r>
        <w:rPr>
          <w:rFonts w:hint="eastAsia"/>
          <w:color w:val="auto"/>
          <w:sz w:val="24"/>
          <w:szCs w:val="24"/>
          <w:highlight w:val="none"/>
        </w:rPr>
        <w:t>工程名称：</w:t>
      </w:r>
      <w:r>
        <w:rPr>
          <w:color w:val="auto"/>
          <w:sz w:val="24"/>
          <w:szCs w:val="24"/>
          <w:highlight w:val="none"/>
        </w:rPr>
        <w:t xml:space="preserve">                                             </w:t>
      </w:r>
      <w:r>
        <w:rPr>
          <w:rFonts w:hint="eastAsia"/>
          <w:color w:val="auto"/>
          <w:sz w:val="24"/>
          <w:szCs w:val="24"/>
          <w:highlight w:val="none"/>
        </w:rPr>
        <w:t>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FD3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79A7016A">
            <w:pPr>
              <w:pStyle w:val="84"/>
              <w:spacing w:line="480" w:lineRule="exact"/>
              <w:ind w:left="525" w:leftChars="149" w:hanging="212" w:hangingChars="101"/>
              <w:rPr>
                <w:color w:val="auto"/>
                <w:highlight w:val="none"/>
                <w:u w:val="single"/>
              </w:rPr>
            </w:pPr>
            <w:r>
              <w:rPr>
                <w:rFonts w:hint="eastAsia"/>
                <w:color w:val="auto"/>
                <w:highlight w:val="none"/>
              </w:rPr>
              <w:t>致：</w:t>
            </w:r>
            <w:r>
              <w:rPr>
                <w:color w:val="auto"/>
                <w:highlight w:val="none"/>
                <w:u w:val="single"/>
              </w:rPr>
              <w:t xml:space="preserve">                                   </w:t>
            </w:r>
            <w:r>
              <w:rPr>
                <w:rFonts w:hint="eastAsia"/>
                <w:color w:val="auto"/>
                <w:highlight w:val="none"/>
                <w:u w:val="single"/>
              </w:rPr>
              <w:t>（发包人全称）</w:t>
            </w:r>
          </w:p>
          <w:p w14:paraId="7C1F1319">
            <w:pPr>
              <w:pStyle w:val="84"/>
              <w:spacing w:line="400" w:lineRule="exact"/>
              <w:ind w:left="-4" w:leftChars="-2" w:firstLine="315" w:firstLineChars="150"/>
              <w:rPr>
                <w:color w:val="auto"/>
                <w:highlight w:val="none"/>
              </w:rPr>
            </w:pPr>
            <w:r>
              <w:rPr>
                <w:rFonts w:hint="eastAsia"/>
                <w:color w:val="auto"/>
                <w:highlight w:val="none"/>
              </w:rPr>
              <w:t>我方于</w:t>
            </w:r>
            <w:r>
              <w:rPr>
                <w:color w:val="auto"/>
                <w:highlight w:val="none"/>
                <w:u w:val="single"/>
              </w:rPr>
              <w:t xml:space="preserve">         </w:t>
            </w:r>
            <w:r>
              <w:rPr>
                <w:rFonts w:hint="eastAsia"/>
                <w:color w:val="auto"/>
                <w:highlight w:val="none"/>
              </w:rPr>
              <w:t>至</w:t>
            </w:r>
            <w:r>
              <w:rPr>
                <w:color w:val="auto"/>
                <w:highlight w:val="none"/>
                <w:u w:val="single"/>
              </w:rPr>
              <w:t xml:space="preserve">          </w:t>
            </w:r>
            <w:r>
              <w:rPr>
                <w:rFonts w:hint="eastAsia"/>
                <w:color w:val="auto"/>
                <w:highlight w:val="none"/>
              </w:rPr>
              <w:t>期间已完成了</w:t>
            </w:r>
            <w:r>
              <w:rPr>
                <w:color w:val="auto"/>
                <w:highlight w:val="none"/>
                <w:u w:val="single"/>
              </w:rPr>
              <w:t xml:space="preserve">               </w:t>
            </w:r>
            <w:r>
              <w:rPr>
                <w:rFonts w:hint="eastAsia"/>
                <w:color w:val="auto"/>
                <w:highlight w:val="none"/>
              </w:rPr>
              <w:t>工作，根据施工合同的约定，现申请支付本期的合同款额为</w:t>
            </w:r>
            <w:r>
              <w:rPr>
                <w:color w:val="auto"/>
                <w:highlight w:val="none"/>
              </w:rPr>
              <w:t>(</w:t>
            </w:r>
            <w:r>
              <w:rPr>
                <w:rFonts w:hint="eastAsia"/>
                <w:color w:val="auto"/>
                <w:highlight w:val="none"/>
              </w:rPr>
              <w:t>大写</w:t>
            </w:r>
            <w:r>
              <w:rPr>
                <w:color w:val="auto"/>
                <w:highlight w:val="none"/>
              </w:rPr>
              <w:t>)</w:t>
            </w:r>
            <w:r>
              <w:rPr>
                <w:color w:val="auto"/>
                <w:highlight w:val="none"/>
                <w:u w:val="single"/>
              </w:rPr>
              <w:t xml:space="preserve">            </w:t>
            </w:r>
            <w:r>
              <w:rPr>
                <w:rFonts w:hint="eastAsia"/>
                <w:color w:val="auto"/>
                <w:highlight w:val="none"/>
              </w:rPr>
              <w:t>元，</w:t>
            </w:r>
            <w:r>
              <w:rPr>
                <w:color w:val="auto"/>
                <w:highlight w:val="none"/>
              </w:rPr>
              <w:t>(</w:t>
            </w:r>
            <w:r>
              <w:rPr>
                <w:rFonts w:hint="eastAsia"/>
                <w:color w:val="auto"/>
                <w:highlight w:val="none"/>
              </w:rPr>
              <w:t>小写</w:t>
            </w:r>
            <w:r>
              <w:rPr>
                <w:color w:val="auto"/>
                <w:highlight w:val="none"/>
              </w:rPr>
              <w:t>)</w:t>
            </w:r>
            <w:r>
              <w:rPr>
                <w:color w:val="auto"/>
                <w:highlight w:val="none"/>
                <w:u w:val="single"/>
              </w:rPr>
              <w:t xml:space="preserve">         </w:t>
            </w:r>
            <w:r>
              <w:rPr>
                <w:rFonts w:hint="eastAsia"/>
                <w:color w:val="auto"/>
                <w:highlight w:val="none"/>
              </w:rPr>
              <w:t>元，请予核准。</w:t>
            </w:r>
          </w:p>
          <w:tbl>
            <w:tblPr>
              <w:tblStyle w:val="2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27E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57AAABA9">
                  <w:pPr>
                    <w:pStyle w:val="84"/>
                    <w:spacing w:line="280" w:lineRule="exact"/>
                    <w:jc w:val="center"/>
                    <w:rPr>
                      <w:color w:val="auto"/>
                      <w:highlight w:val="none"/>
                    </w:rPr>
                  </w:pPr>
                  <w:r>
                    <w:rPr>
                      <w:rFonts w:hint="eastAsia"/>
                      <w:color w:val="auto"/>
                      <w:highlight w:val="none"/>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597871C8">
                  <w:pPr>
                    <w:pStyle w:val="84"/>
                    <w:spacing w:line="280" w:lineRule="exact"/>
                    <w:jc w:val="center"/>
                    <w:rPr>
                      <w:color w:val="auto"/>
                      <w:highlight w:val="none"/>
                    </w:rPr>
                  </w:pPr>
                  <w:r>
                    <w:rPr>
                      <w:rFonts w:hint="eastAsia"/>
                      <w:color w:val="auto"/>
                      <w:highlight w:val="none"/>
                    </w:rPr>
                    <w:t>名</w:t>
                  </w:r>
                  <w:r>
                    <w:rPr>
                      <w:color w:val="auto"/>
                      <w:highlight w:val="none"/>
                    </w:rPr>
                    <w:t xml:space="preserve">      </w:t>
                  </w:r>
                  <w:r>
                    <w:rPr>
                      <w:rFonts w:hint="eastAsia"/>
                      <w:color w:val="auto"/>
                      <w:highlight w:val="none"/>
                    </w:rPr>
                    <w:t>称</w:t>
                  </w:r>
                </w:p>
              </w:tc>
              <w:tc>
                <w:tcPr>
                  <w:tcW w:w="1340" w:type="dxa"/>
                  <w:tcBorders>
                    <w:top w:val="single" w:color="auto" w:sz="4" w:space="0"/>
                    <w:left w:val="single" w:color="auto" w:sz="4" w:space="0"/>
                    <w:bottom w:val="single" w:color="auto" w:sz="4" w:space="0"/>
                    <w:right w:val="single" w:color="auto" w:sz="4" w:space="0"/>
                  </w:tcBorders>
                  <w:vAlign w:val="center"/>
                </w:tcPr>
                <w:p w14:paraId="212C5DA3">
                  <w:pPr>
                    <w:pStyle w:val="84"/>
                    <w:spacing w:line="280" w:lineRule="exact"/>
                    <w:jc w:val="center"/>
                    <w:rPr>
                      <w:color w:val="auto"/>
                      <w:highlight w:val="none"/>
                    </w:rPr>
                  </w:pPr>
                  <w:r>
                    <w:rPr>
                      <w:rFonts w:hint="eastAsia"/>
                      <w:color w:val="auto"/>
                      <w:highlight w:val="none"/>
                    </w:rPr>
                    <w:t>实际金额（元）</w:t>
                  </w:r>
                </w:p>
              </w:tc>
              <w:tc>
                <w:tcPr>
                  <w:tcW w:w="1440" w:type="dxa"/>
                  <w:tcBorders>
                    <w:top w:val="single" w:color="auto" w:sz="4" w:space="0"/>
                    <w:left w:val="single" w:color="auto" w:sz="4" w:space="0"/>
                    <w:bottom w:val="single" w:color="auto" w:sz="4" w:space="0"/>
                    <w:right w:val="single" w:color="auto" w:sz="4" w:space="0"/>
                  </w:tcBorders>
                  <w:vAlign w:val="center"/>
                </w:tcPr>
                <w:p w14:paraId="3D11BD29">
                  <w:pPr>
                    <w:pStyle w:val="84"/>
                    <w:spacing w:line="280" w:lineRule="exact"/>
                    <w:jc w:val="center"/>
                    <w:rPr>
                      <w:color w:val="auto"/>
                      <w:highlight w:val="none"/>
                    </w:rPr>
                  </w:pPr>
                  <w:r>
                    <w:rPr>
                      <w:rFonts w:hint="eastAsia"/>
                      <w:color w:val="auto"/>
                      <w:highlight w:val="none"/>
                    </w:rPr>
                    <w:t>申请金额（元）</w:t>
                  </w:r>
                </w:p>
              </w:tc>
              <w:tc>
                <w:tcPr>
                  <w:tcW w:w="1260" w:type="dxa"/>
                  <w:tcBorders>
                    <w:top w:val="single" w:color="auto" w:sz="4" w:space="0"/>
                    <w:left w:val="single" w:color="auto" w:sz="4" w:space="0"/>
                    <w:bottom w:val="single" w:color="auto" w:sz="4" w:space="0"/>
                    <w:right w:val="single" w:color="auto" w:sz="4" w:space="0"/>
                  </w:tcBorders>
                  <w:vAlign w:val="center"/>
                </w:tcPr>
                <w:p w14:paraId="4C168DCF">
                  <w:pPr>
                    <w:pStyle w:val="84"/>
                    <w:spacing w:line="280" w:lineRule="exact"/>
                    <w:jc w:val="center"/>
                    <w:rPr>
                      <w:color w:val="auto"/>
                      <w:highlight w:val="none"/>
                    </w:rPr>
                  </w:pPr>
                  <w:r>
                    <w:rPr>
                      <w:rFonts w:hint="eastAsia"/>
                      <w:color w:val="auto"/>
                      <w:highlight w:val="none"/>
                    </w:rPr>
                    <w:t>复核金额（元）</w:t>
                  </w:r>
                </w:p>
              </w:tc>
              <w:tc>
                <w:tcPr>
                  <w:tcW w:w="931" w:type="dxa"/>
                  <w:tcBorders>
                    <w:top w:val="single" w:color="auto" w:sz="4" w:space="0"/>
                    <w:left w:val="single" w:color="auto" w:sz="4" w:space="0"/>
                    <w:bottom w:val="single" w:color="auto" w:sz="4" w:space="0"/>
                    <w:right w:val="single" w:color="auto" w:sz="4" w:space="0"/>
                  </w:tcBorders>
                  <w:vAlign w:val="center"/>
                </w:tcPr>
                <w:p w14:paraId="1994730F">
                  <w:pPr>
                    <w:pStyle w:val="84"/>
                    <w:spacing w:line="280" w:lineRule="exact"/>
                    <w:jc w:val="center"/>
                    <w:rPr>
                      <w:color w:val="auto"/>
                      <w:highlight w:val="none"/>
                    </w:rPr>
                  </w:pPr>
                  <w:r>
                    <w:rPr>
                      <w:rFonts w:hint="eastAsia"/>
                      <w:color w:val="auto"/>
                      <w:highlight w:val="none"/>
                    </w:rPr>
                    <w:t>备注</w:t>
                  </w:r>
                </w:p>
              </w:tc>
            </w:tr>
            <w:tr w14:paraId="6240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E4C8C76">
                  <w:pPr>
                    <w:pStyle w:val="84"/>
                    <w:spacing w:line="280" w:lineRule="exact"/>
                    <w:jc w:val="center"/>
                    <w:rPr>
                      <w:color w:val="auto"/>
                      <w:highlight w:val="none"/>
                    </w:rPr>
                  </w:pPr>
                  <w:r>
                    <w:rPr>
                      <w:color w:val="auto"/>
                      <w:highlight w:val="none"/>
                    </w:rPr>
                    <w:t>1</w:t>
                  </w:r>
                </w:p>
              </w:tc>
              <w:tc>
                <w:tcPr>
                  <w:tcW w:w="3340" w:type="dxa"/>
                  <w:tcBorders>
                    <w:top w:val="single" w:color="auto" w:sz="4" w:space="0"/>
                    <w:left w:val="single" w:color="auto" w:sz="4" w:space="0"/>
                    <w:bottom w:val="single" w:color="auto" w:sz="4" w:space="0"/>
                    <w:right w:val="single" w:color="auto" w:sz="4" w:space="0"/>
                  </w:tcBorders>
                </w:tcPr>
                <w:p w14:paraId="7055AED2">
                  <w:pPr>
                    <w:pStyle w:val="84"/>
                    <w:spacing w:line="280" w:lineRule="exact"/>
                    <w:rPr>
                      <w:color w:val="auto"/>
                      <w:highlight w:val="none"/>
                    </w:rPr>
                  </w:pPr>
                  <w:r>
                    <w:rPr>
                      <w:rFonts w:hint="eastAsia"/>
                      <w:color w:val="auto"/>
                      <w:highlight w:val="none"/>
                    </w:rPr>
                    <w:t>累计已完成的工程价款</w:t>
                  </w:r>
                </w:p>
              </w:tc>
              <w:tc>
                <w:tcPr>
                  <w:tcW w:w="1340" w:type="dxa"/>
                  <w:tcBorders>
                    <w:top w:val="single" w:color="auto" w:sz="4" w:space="0"/>
                    <w:left w:val="single" w:color="auto" w:sz="4" w:space="0"/>
                    <w:bottom w:val="single" w:color="auto" w:sz="4" w:space="0"/>
                    <w:right w:val="single" w:color="auto" w:sz="4" w:space="0"/>
                  </w:tcBorders>
                </w:tcPr>
                <w:p w14:paraId="682E98F5">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69194F24">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648AF38F">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63EDE44B">
                  <w:pPr>
                    <w:pStyle w:val="84"/>
                    <w:spacing w:line="280" w:lineRule="exact"/>
                    <w:rPr>
                      <w:color w:val="auto"/>
                      <w:highlight w:val="none"/>
                    </w:rPr>
                  </w:pPr>
                </w:p>
              </w:tc>
            </w:tr>
            <w:tr w14:paraId="47C6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BDB0E74">
                  <w:pPr>
                    <w:pStyle w:val="84"/>
                    <w:spacing w:line="280" w:lineRule="exact"/>
                    <w:jc w:val="center"/>
                    <w:rPr>
                      <w:color w:val="auto"/>
                      <w:highlight w:val="none"/>
                    </w:rPr>
                  </w:pPr>
                </w:p>
              </w:tc>
              <w:tc>
                <w:tcPr>
                  <w:tcW w:w="3340" w:type="dxa"/>
                  <w:tcBorders>
                    <w:top w:val="single" w:color="auto" w:sz="4" w:space="0"/>
                    <w:left w:val="single" w:color="auto" w:sz="4" w:space="0"/>
                    <w:bottom w:val="single" w:color="auto" w:sz="4" w:space="0"/>
                    <w:right w:val="single" w:color="auto" w:sz="4" w:space="0"/>
                  </w:tcBorders>
                </w:tcPr>
                <w:p w14:paraId="177FEED4">
                  <w:pPr>
                    <w:pStyle w:val="84"/>
                    <w:spacing w:line="280" w:lineRule="exact"/>
                    <w:rPr>
                      <w:color w:val="auto"/>
                      <w:highlight w:val="none"/>
                    </w:rPr>
                  </w:pPr>
                  <w:r>
                    <w:rPr>
                      <w:rFonts w:hint="eastAsia"/>
                      <w:color w:val="auto"/>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10E2A871">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7715763B">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5A94FAAA">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329A0363">
                  <w:pPr>
                    <w:pStyle w:val="84"/>
                    <w:spacing w:line="280" w:lineRule="exact"/>
                    <w:rPr>
                      <w:color w:val="auto"/>
                      <w:highlight w:val="none"/>
                    </w:rPr>
                  </w:pPr>
                </w:p>
              </w:tc>
            </w:tr>
            <w:tr w14:paraId="1186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45F3151">
                  <w:pPr>
                    <w:pStyle w:val="84"/>
                    <w:spacing w:line="280" w:lineRule="exact"/>
                    <w:jc w:val="center"/>
                    <w:rPr>
                      <w:color w:val="auto"/>
                      <w:highlight w:val="none"/>
                    </w:rPr>
                  </w:pPr>
                  <w:r>
                    <w:rPr>
                      <w:color w:val="auto"/>
                      <w:highlight w:val="none"/>
                    </w:rPr>
                    <w:t>2</w:t>
                  </w:r>
                </w:p>
              </w:tc>
              <w:tc>
                <w:tcPr>
                  <w:tcW w:w="3340" w:type="dxa"/>
                  <w:tcBorders>
                    <w:top w:val="single" w:color="auto" w:sz="4" w:space="0"/>
                    <w:left w:val="single" w:color="auto" w:sz="4" w:space="0"/>
                    <w:bottom w:val="single" w:color="auto" w:sz="4" w:space="0"/>
                    <w:right w:val="single" w:color="auto" w:sz="4" w:space="0"/>
                  </w:tcBorders>
                </w:tcPr>
                <w:p w14:paraId="31560866">
                  <w:pPr>
                    <w:pStyle w:val="84"/>
                    <w:spacing w:line="280" w:lineRule="exact"/>
                    <w:rPr>
                      <w:color w:val="auto"/>
                      <w:highlight w:val="none"/>
                    </w:rPr>
                  </w:pPr>
                  <w:r>
                    <w:rPr>
                      <w:rFonts w:hint="eastAsia"/>
                      <w:color w:val="auto"/>
                      <w:highlight w:val="none"/>
                    </w:rPr>
                    <w:t>累计已实际支付的工程价款</w:t>
                  </w:r>
                </w:p>
              </w:tc>
              <w:tc>
                <w:tcPr>
                  <w:tcW w:w="1340" w:type="dxa"/>
                  <w:tcBorders>
                    <w:top w:val="single" w:color="auto" w:sz="4" w:space="0"/>
                    <w:left w:val="single" w:color="auto" w:sz="4" w:space="0"/>
                    <w:bottom w:val="single" w:color="auto" w:sz="4" w:space="0"/>
                    <w:right w:val="single" w:color="auto" w:sz="4" w:space="0"/>
                  </w:tcBorders>
                </w:tcPr>
                <w:p w14:paraId="424722B7">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4F9A7064">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4742B4D1">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1F424078">
                  <w:pPr>
                    <w:pStyle w:val="84"/>
                    <w:spacing w:line="280" w:lineRule="exact"/>
                    <w:rPr>
                      <w:color w:val="auto"/>
                      <w:highlight w:val="none"/>
                    </w:rPr>
                  </w:pPr>
                </w:p>
              </w:tc>
            </w:tr>
            <w:tr w14:paraId="5FF7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A1930B9">
                  <w:pPr>
                    <w:pStyle w:val="84"/>
                    <w:spacing w:line="280" w:lineRule="exact"/>
                    <w:jc w:val="center"/>
                    <w:rPr>
                      <w:color w:val="auto"/>
                      <w:highlight w:val="none"/>
                    </w:rPr>
                  </w:pPr>
                </w:p>
              </w:tc>
              <w:tc>
                <w:tcPr>
                  <w:tcW w:w="3340" w:type="dxa"/>
                  <w:tcBorders>
                    <w:top w:val="single" w:color="auto" w:sz="4" w:space="0"/>
                    <w:left w:val="single" w:color="auto" w:sz="4" w:space="0"/>
                    <w:bottom w:val="single" w:color="auto" w:sz="4" w:space="0"/>
                    <w:right w:val="single" w:color="auto" w:sz="4" w:space="0"/>
                  </w:tcBorders>
                </w:tcPr>
                <w:p w14:paraId="7C6684A4">
                  <w:pPr>
                    <w:pStyle w:val="84"/>
                    <w:spacing w:line="280" w:lineRule="exact"/>
                    <w:rPr>
                      <w:color w:val="auto"/>
                      <w:highlight w:val="none"/>
                    </w:rPr>
                  </w:pPr>
                  <w:r>
                    <w:rPr>
                      <w:rFonts w:hint="eastAsia"/>
                      <w:color w:val="auto"/>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5931FDC5">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6187B255">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3CD24DA3">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79070745">
                  <w:pPr>
                    <w:pStyle w:val="84"/>
                    <w:spacing w:line="280" w:lineRule="exact"/>
                    <w:rPr>
                      <w:color w:val="auto"/>
                      <w:highlight w:val="none"/>
                    </w:rPr>
                  </w:pPr>
                </w:p>
              </w:tc>
            </w:tr>
            <w:tr w14:paraId="62C8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566B450">
                  <w:pPr>
                    <w:pStyle w:val="84"/>
                    <w:spacing w:line="280" w:lineRule="exact"/>
                    <w:jc w:val="center"/>
                    <w:rPr>
                      <w:color w:val="auto"/>
                      <w:highlight w:val="none"/>
                    </w:rPr>
                  </w:pPr>
                  <w:r>
                    <w:rPr>
                      <w:color w:val="auto"/>
                      <w:highlight w:val="none"/>
                    </w:rPr>
                    <w:t>3</w:t>
                  </w:r>
                </w:p>
              </w:tc>
              <w:tc>
                <w:tcPr>
                  <w:tcW w:w="3340" w:type="dxa"/>
                  <w:tcBorders>
                    <w:top w:val="single" w:color="auto" w:sz="4" w:space="0"/>
                    <w:left w:val="single" w:color="auto" w:sz="4" w:space="0"/>
                    <w:bottom w:val="single" w:color="auto" w:sz="4" w:space="0"/>
                    <w:right w:val="single" w:color="auto" w:sz="4" w:space="0"/>
                  </w:tcBorders>
                </w:tcPr>
                <w:p w14:paraId="66B9EEE1">
                  <w:pPr>
                    <w:pStyle w:val="84"/>
                    <w:spacing w:line="280" w:lineRule="exact"/>
                    <w:rPr>
                      <w:color w:val="auto"/>
                      <w:highlight w:val="none"/>
                    </w:rPr>
                  </w:pPr>
                  <w:r>
                    <w:rPr>
                      <w:rFonts w:hint="eastAsia"/>
                      <w:color w:val="auto"/>
                      <w:highlight w:val="none"/>
                    </w:rPr>
                    <w:t>本周期已完成的工程价款</w:t>
                  </w:r>
                </w:p>
              </w:tc>
              <w:tc>
                <w:tcPr>
                  <w:tcW w:w="1340" w:type="dxa"/>
                  <w:tcBorders>
                    <w:top w:val="single" w:color="auto" w:sz="4" w:space="0"/>
                    <w:left w:val="single" w:color="auto" w:sz="4" w:space="0"/>
                    <w:bottom w:val="single" w:color="auto" w:sz="4" w:space="0"/>
                    <w:right w:val="single" w:color="auto" w:sz="4" w:space="0"/>
                  </w:tcBorders>
                </w:tcPr>
                <w:p w14:paraId="69D1D055">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2CF2D85D">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0C6AD5D8">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5C93A73C">
                  <w:pPr>
                    <w:pStyle w:val="84"/>
                    <w:spacing w:line="280" w:lineRule="exact"/>
                    <w:rPr>
                      <w:color w:val="auto"/>
                      <w:highlight w:val="none"/>
                    </w:rPr>
                  </w:pPr>
                </w:p>
              </w:tc>
            </w:tr>
            <w:tr w14:paraId="3F20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1D89A22">
                  <w:pPr>
                    <w:pStyle w:val="84"/>
                    <w:spacing w:line="280" w:lineRule="exact"/>
                    <w:jc w:val="center"/>
                    <w:rPr>
                      <w:color w:val="auto"/>
                      <w:highlight w:val="none"/>
                    </w:rPr>
                  </w:pPr>
                </w:p>
              </w:tc>
              <w:tc>
                <w:tcPr>
                  <w:tcW w:w="3340" w:type="dxa"/>
                  <w:tcBorders>
                    <w:top w:val="single" w:color="auto" w:sz="4" w:space="0"/>
                    <w:left w:val="single" w:color="auto" w:sz="4" w:space="0"/>
                    <w:bottom w:val="single" w:color="auto" w:sz="4" w:space="0"/>
                    <w:right w:val="single" w:color="auto" w:sz="4" w:space="0"/>
                  </w:tcBorders>
                </w:tcPr>
                <w:p w14:paraId="6EB69D94">
                  <w:pPr>
                    <w:pStyle w:val="84"/>
                    <w:spacing w:line="280" w:lineRule="exact"/>
                    <w:rPr>
                      <w:color w:val="auto"/>
                      <w:highlight w:val="none"/>
                    </w:rPr>
                  </w:pPr>
                  <w:r>
                    <w:rPr>
                      <w:rFonts w:hint="eastAsia"/>
                      <w:color w:val="auto"/>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5464CB6C">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7A856784">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1BB5BB9F">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08D7B76B">
                  <w:pPr>
                    <w:pStyle w:val="84"/>
                    <w:spacing w:line="280" w:lineRule="exact"/>
                    <w:rPr>
                      <w:color w:val="auto"/>
                      <w:highlight w:val="none"/>
                    </w:rPr>
                  </w:pPr>
                </w:p>
              </w:tc>
            </w:tr>
            <w:tr w14:paraId="5C25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E4BC985">
                  <w:pPr>
                    <w:pStyle w:val="84"/>
                    <w:spacing w:line="280" w:lineRule="exact"/>
                    <w:jc w:val="center"/>
                    <w:rPr>
                      <w:color w:val="auto"/>
                      <w:highlight w:val="none"/>
                    </w:rPr>
                  </w:pPr>
                  <w:r>
                    <w:rPr>
                      <w:color w:val="auto"/>
                      <w:highlight w:val="none"/>
                    </w:rPr>
                    <w:t>4</w:t>
                  </w:r>
                </w:p>
              </w:tc>
              <w:tc>
                <w:tcPr>
                  <w:tcW w:w="3340" w:type="dxa"/>
                  <w:tcBorders>
                    <w:top w:val="single" w:color="auto" w:sz="4" w:space="0"/>
                    <w:left w:val="single" w:color="auto" w:sz="4" w:space="0"/>
                    <w:bottom w:val="single" w:color="auto" w:sz="4" w:space="0"/>
                    <w:right w:val="single" w:color="auto" w:sz="4" w:space="0"/>
                  </w:tcBorders>
                </w:tcPr>
                <w:p w14:paraId="2FCCFE87">
                  <w:pPr>
                    <w:pStyle w:val="84"/>
                    <w:spacing w:line="280" w:lineRule="exact"/>
                    <w:rPr>
                      <w:color w:val="auto"/>
                      <w:highlight w:val="none"/>
                    </w:rPr>
                  </w:pPr>
                  <w:r>
                    <w:rPr>
                      <w:rFonts w:hint="eastAsia"/>
                      <w:color w:val="auto"/>
                      <w:highlight w:val="none"/>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36221C05">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096F2234">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784B9630">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0E6F2904">
                  <w:pPr>
                    <w:pStyle w:val="84"/>
                    <w:spacing w:line="280" w:lineRule="exact"/>
                    <w:rPr>
                      <w:color w:val="auto"/>
                      <w:highlight w:val="none"/>
                    </w:rPr>
                  </w:pPr>
                </w:p>
              </w:tc>
            </w:tr>
            <w:tr w14:paraId="5179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6BB5399">
                  <w:pPr>
                    <w:pStyle w:val="84"/>
                    <w:spacing w:line="280" w:lineRule="exact"/>
                    <w:jc w:val="center"/>
                    <w:rPr>
                      <w:color w:val="auto"/>
                      <w:highlight w:val="none"/>
                    </w:rPr>
                  </w:pPr>
                  <w:r>
                    <w:rPr>
                      <w:color w:val="auto"/>
                      <w:highlight w:val="none"/>
                    </w:rPr>
                    <w:t>4.1</w:t>
                  </w:r>
                </w:p>
              </w:tc>
              <w:tc>
                <w:tcPr>
                  <w:tcW w:w="3340" w:type="dxa"/>
                  <w:tcBorders>
                    <w:top w:val="single" w:color="auto" w:sz="4" w:space="0"/>
                    <w:left w:val="single" w:color="auto" w:sz="4" w:space="0"/>
                    <w:bottom w:val="single" w:color="auto" w:sz="4" w:space="0"/>
                    <w:right w:val="single" w:color="auto" w:sz="4" w:space="0"/>
                  </w:tcBorders>
                </w:tcPr>
                <w:p w14:paraId="57B905D2">
                  <w:pPr>
                    <w:pStyle w:val="84"/>
                    <w:spacing w:line="280" w:lineRule="exact"/>
                    <w:rPr>
                      <w:color w:val="auto"/>
                      <w:highlight w:val="none"/>
                    </w:rPr>
                  </w:pPr>
                  <w:r>
                    <w:rPr>
                      <w:rFonts w:hint="eastAsia"/>
                      <w:color w:val="auto"/>
                      <w:highlight w:val="none"/>
                    </w:rPr>
                    <w:t>本周期实际应抵扣的预付款</w:t>
                  </w:r>
                </w:p>
              </w:tc>
              <w:tc>
                <w:tcPr>
                  <w:tcW w:w="1340" w:type="dxa"/>
                  <w:tcBorders>
                    <w:top w:val="single" w:color="auto" w:sz="4" w:space="0"/>
                    <w:left w:val="single" w:color="auto" w:sz="4" w:space="0"/>
                    <w:bottom w:val="single" w:color="auto" w:sz="4" w:space="0"/>
                    <w:right w:val="single" w:color="auto" w:sz="4" w:space="0"/>
                  </w:tcBorders>
                </w:tcPr>
                <w:p w14:paraId="0175BE98">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77A041CA">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7B238F48">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60081629">
                  <w:pPr>
                    <w:pStyle w:val="84"/>
                    <w:spacing w:line="280" w:lineRule="exact"/>
                    <w:rPr>
                      <w:color w:val="auto"/>
                      <w:highlight w:val="none"/>
                    </w:rPr>
                  </w:pPr>
                </w:p>
              </w:tc>
            </w:tr>
            <w:tr w14:paraId="62B8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F9995B8">
                  <w:pPr>
                    <w:pStyle w:val="84"/>
                    <w:spacing w:line="280" w:lineRule="exact"/>
                    <w:jc w:val="center"/>
                    <w:rPr>
                      <w:color w:val="auto"/>
                      <w:highlight w:val="none"/>
                    </w:rPr>
                  </w:pPr>
                  <w:r>
                    <w:rPr>
                      <w:color w:val="auto"/>
                      <w:highlight w:val="none"/>
                    </w:rPr>
                    <w:t>4.2</w:t>
                  </w:r>
                </w:p>
              </w:tc>
              <w:tc>
                <w:tcPr>
                  <w:tcW w:w="3340" w:type="dxa"/>
                  <w:tcBorders>
                    <w:top w:val="single" w:color="auto" w:sz="4" w:space="0"/>
                    <w:left w:val="single" w:color="auto" w:sz="4" w:space="0"/>
                    <w:bottom w:val="single" w:color="auto" w:sz="4" w:space="0"/>
                    <w:right w:val="single" w:color="auto" w:sz="4" w:space="0"/>
                  </w:tcBorders>
                </w:tcPr>
                <w:p w14:paraId="2065547E">
                  <w:pPr>
                    <w:pStyle w:val="84"/>
                    <w:spacing w:line="280" w:lineRule="exact"/>
                    <w:rPr>
                      <w:color w:val="auto"/>
                      <w:highlight w:val="none"/>
                    </w:rPr>
                  </w:pPr>
                  <w:r>
                    <w:rPr>
                      <w:rFonts w:hint="eastAsia"/>
                      <w:color w:val="auto"/>
                      <w:highlight w:val="none"/>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17A4B429">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62EAEC48">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4A42AB09">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5A6F3B0F">
                  <w:pPr>
                    <w:pStyle w:val="84"/>
                    <w:spacing w:line="280" w:lineRule="exact"/>
                    <w:rPr>
                      <w:color w:val="auto"/>
                      <w:highlight w:val="none"/>
                    </w:rPr>
                  </w:pPr>
                </w:p>
              </w:tc>
            </w:tr>
            <w:tr w14:paraId="196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0B55718">
                  <w:pPr>
                    <w:pStyle w:val="84"/>
                    <w:spacing w:line="280" w:lineRule="exact"/>
                    <w:jc w:val="center"/>
                    <w:rPr>
                      <w:color w:val="auto"/>
                      <w:highlight w:val="none"/>
                    </w:rPr>
                  </w:pPr>
                  <w:r>
                    <w:rPr>
                      <w:color w:val="auto"/>
                      <w:highlight w:val="none"/>
                    </w:rPr>
                    <w:t>5</w:t>
                  </w:r>
                </w:p>
              </w:tc>
              <w:tc>
                <w:tcPr>
                  <w:tcW w:w="3340" w:type="dxa"/>
                  <w:tcBorders>
                    <w:top w:val="single" w:color="auto" w:sz="4" w:space="0"/>
                    <w:left w:val="single" w:color="auto" w:sz="4" w:space="0"/>
                    <w:bottom w:val="single" w:color="auto" w:sz="4" w:space="0"/>
                    <w:right w:val="single" w:color="auto" w:sz="4" w:space="0"/>
                  </w:tcBorders>
                </w:tcPr>
                <w:p w14:paraId="1B4E7036">
                  <w:pPr>
                    <w:pStyle w:val="84"/>
                    <w:spacing w:line="280" w:lineRule="exact"/>
                    <w:rPr>
                      <w:color w:val="auto"/>
                      <w:highlight w:val="none"/>
                    </w:rPr>
                  </w:pPr>
                  <w:r>
                    <w:rPr>
                      <w:rFonts w:hint="eastAsia"/>
                      <w:color w:val="auto"/>
                      <w:highlight w:val="none"/>
                    </w:rPr>
                    <w:t>本周期应支付的合同价款</w:t>
                  </w:r>
                </w:p>
              </w:tc>
              <w:tc>
                <w:tcPr>
                  <w:tcW w:w="1340" w:type="dxa"/>
                  <w:tcBorders>
                    <w:top w:val="single" w:color="auto" w:sz="4" w:space="0"/>
                    <w:left w:val="single" w:color="auto" w:sz="4" w:space="0"/>
                    <w:bottom w:val="single" w:color="auto" w:sz="4" w:space="0"/>
                    <w:right w:val="single" w:color="auto" w:sz="4" w:space="0"/>
                  </w:tcBorders>
                </w:tcPr>
                <w:p w14:paraId="62A23D71">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5B2B22CA">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3F059BEC">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09D79C20">
                  <w:pPr>
                    <w:pStyle w:val="84"/>
                    <w:spacing w:line="280" w:lineRule="exact"/>
                    <w:rPr>
                      <w:color w:val="auto"/>
                      <w:highlight w:val="none"/>
                    </w:rPr>
                  </w:pPr>
                </w:p>
              </w:tc>
            </w:tr>
            <w:tr w14:paraId="1B06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D6E899D">
                  <w:pPr>
                    <w:pStyle w:val="84"/>
                    <w:spacing w:line="280" w:lineRule="exact"/>
                    <w:jc w:val="center"/>
                    <w:rPr>
                      <w:color w:val="auto"/>
                      <w:highlight w:val="none"/>
                    </w:rPr>
                  </w:pPr>
                </w:p>
              </w:tc>
              <w:tc>
                <w:tcPr>
                  <w:tcW w:w="3340" w:type="dxa"/>
                  <w:tcBorders>
                    <w:top w:val="single" w:color="auto" w:sz="4" w:space="0"/>
                    <w:left w:val="single" w:color="auto" w:sz="4" w:space="0"/>
                    <w:bottom w:val="single" w:color="auto" w:sz="4" w:space="0"/>
                    <w:right w:val="single" w:color="auto" w:sz="4" w:space="0"/>
                  </w:tcBorders>
                </w:tcPr>
                <w:p w14:paraId="1E416E1A">
                  <w:pPr>
                    <w:pStyle w:val="84"/>
                    <w:spacing w:line="280" w:lineRule="exact"/>
                    <w:rPr>
                      <w:color w:val="auto"/>
                      <w:highlight w:val="none"/>
                    </w:rPr>
                  </w:pPr>
                  <w:r>
                    <w:rPr>
                      <w:rFonts w:hint="eastAsia"/>
                      <w:color w:val="auto"/>
                      <w:highlight w:val="none"/>
                    </w:rPr>
                    <w:t>其中：人工费</w:t>
                  </w:r>
                </w:p>
              </w:tc>
              <w:tc>
                <w:tcPr>
                  <w:tcW w:w="1340" w:type="dxa"/>
                  <w:tcBorders>
                    <w:top w:val="single" w:color="auto" w:sz="4" w:space="0"/>
                    <w:left w:val="single" w:color="auto" w:sz="4" w:space="0"/>
                    <w:bottom w:val="single" w:color="auto" w:sz="4" w:space="0"/>
                    <w:right w:val="single" w:color="auto" w:sz="4" w:space="0"/>
                  </w:tcBorders>
                </w:tcPr>
                <w:p w14:paraId="1E6EC010">
                  <w:pPr>
                    <w:pStyle w:val="84"/>
                    <w:spacing w:line="280" w:lineRule="exact"/>
                    <w:rPr>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2ECB08AD">
                  <w:pPr>
                    <w:pStyle w:val="84"/>
                    <w:spacing w:line="280" w:lineRule="exact"/>
                    <w:rPr>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43DBA01C">
                  <w:pPr>
                    <w:pStyle w:val="84"/>
                    <w:spacing w:line="280" w:lineRule="exact"/>
                    <w:rPr>
                      <w:color w:val="auto"/>
                      <w:highlight w:val="none"/>
                    </w:rPr>
                  </w:pPr>
                </w:p>
              </w:tc>
              <w:tc>
                <w:tcPr>
                  <w:tcW w:w="931" w:type="dxa"/>
                  <w:tcBorders>
                    <w:top w:val="single" w:color="auto" w:sz="4" w:space="0"/>
                    <w:left w:val="single" w:color="auto" w:sz="4" w:space="0"/>
                    <w:bottom w:val="single" w:color="auto" w:sz="4" w:space="0"/>
                    <w:right w:val="single" w:color="auto" w:sz="4" w:space="0"/>
                  </w:tcBorders>
                </w:tcPr>
                <w:p w14:paraId="65D255B6">
                  <w:pPr>
                    <w:pStyle w:val="84"/>
                    <w:spacing w:line="280" w:lineRule="exact"/>
                    <w:rPr>
                      <w:color w:val="auto"/>
                      <w:highlight w:val="none"/>
                    </w:rPr>
                  </w:pPr>
                </w:p>
              </w:tc>
            </w:tr>
          </w:tbl>
          <w:p w14:paraId="70D66E35">
            <w:pPr>
              <w:pStyle w:val="84"/>
              <w:wordWrap w:val="0"/>
              <w:spacing w:line="400" w:lineRule="exact"/>
              <w:ind w:right="420"/>
              <w:rPr>
                <w:color w:val="auto"/>
                <w:highlight w:val="none"/>
              </w:rPr>
            </w:pPr>
            <w:r>
              <w:rPr>
                <w:rFonts w:hint="eastAsia"/>
                <w:color w:val="auto"/>
                <w:highlight w:val="none"/>
              </w:rPr>
              <w:t>附：上述</w:t>
            </w:r>
            <w:r>
              <w:rPr>
                <w:color w:val="auto"/>
                <w:highlight w:val="none"/>
              </w:rPr>
              <w:t>3</w:t>
            </w:r>
            <w:r>
              <w:rPr>
                <w:rFonts w:hint="eastAsia"/>
                <w:color w:val="auto"/>
                <w:highlight w:val="none"/>
              </w:rPr>
              <w:t>、</w:t>
            </w:r>
            <w:r>
              <w:rPr>
                <w:color w:val="auto"/>
                <w:highlight w:val="none"/>
              </w:rPr>
              <w:t>4</w:t>
            </w:r>
            <w:r>
              <w:rPr>
                <w:rFonts w:hint="eastAsia"/>
                <w:color w:val="auto"/>
                <w:highlight w:val="none"/>
              </w:rPr>
              <w:t>详见附件清单。</w:t>
            </w:r>
          </w:p>
          <w:p w14:paraId="766680FF">
            <w:pPr>
              <w:pStyle w:val="84"/>
              <w:wordWrap w:val="0"/>
              <w:spacing w:line="400" w:lineRule="exact"/>
              <w:ind w:right="420"/>
              <w:rPr>
                <w:color w:val="auto"/>
                <w:highlight w:val="none"/>
              </w:rPr>
            </w:pPr>
            <w:r>
              <w:rPr>
                <w:color w:val="auto"/>
                <w:highlight w:val="none"/>
              </w:rPr>
              <w:t xml:space="preserve">                                            </w:t>
            </w:r>
            <w:r>
              <w:rPr>
                <w:rFonts w:hint="eastAsia"/>
                <w:color w:val="auto"/>
                <w:highlight w:val="none"/>
              </w:rPr>
              <w:t>承包人（章）</w:t>
            </w:r>
            <w:r>
              <w:rPr>
                <w:color w:val="auto"/>
                <w:highlight w:val="none"/>
              </w:rPr>
              <w:t xml:space="preserve">             </w:t>
            </w:r>
          </w:p>
          <w:p w14:paraId="72572C72">
            <w:pPr>
              <w:pStyle w:val="84"/>
              <w:spacing w:line="400" w:lineRule="exact"/>
              <w:ind w:right="420" w:firstLine="420"/>
              <w:rPr>
                <w:color w:val="auto"/>
                <w:highlight w:val="none"/>
              </w:rPr>
            </w:pPr>
            <w:r>
              <w:rPr>
                <w:rFonts w:hint="eastAsia"/>
                <w:color w:val="auto"/>
                <w:highlight w:val="none"/>
              </w:rPr>
              <w:t>造价人员</w:t>
            </w:r>
            <w:r>
              <w:rPr>
                <w:color w:val="auto"/>
                <w:highlight w:val="none"/>
                <w:u w:val="single"/>
              </w:rPr>
              <w:t xml:space="preserve">               </w:t>
            </w:r>
            <w:r>
              <w:rPr>
                <w:rFonts w:hint="eastAsia"/>
                <w:color w:val="auto"/>
                <w:highlight w:val="none"/>
              </w:rPr>
              <w:t>承包人代表</w:t>
            </w:r>
            <w:r>
              <w:rPr>
                <w:color w:val="auto"/>
                <w:highlight w:val="none"/>
                <w:u w:val="singl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r w14:paraId="5299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tcPr>
          <w:p w14:paraId="18479C42">
            <w:pPr>
              <w:pStyle w:val="84"/>
              <w:spacing w:line="360" w:lineRule="exact"/>
              <w:rPr>
                <w:color w:val="auto"/>
                <w:highlight w:val="none"/>
              </w:rPr>
            </w:pPr>
            <w:r>
              <w:rPr>
                <w:rFonts w:hint="eastAsia"/>
                <w:color w:val="auto"/>
                <w:highlight w:val="none"/>
              </w:rPr>
              <w:t>复核意见：</w:t>
            </w:r>
          </w:p>
          <w:p w14:paraId="3F55F595">
            <w:pPr>
              <w:pStyle w:val="84"/>
              <w:spacing w:line="360" w:lineRule="exact"/>
              <w:ind w:firstLine="420"/>
              <w:rPr>
                <w:color w:val="auto"/>
                <w:highlight w:val="none"/>
              </w:rPr>
            </w:pPr>
            <w:r>
              <w:rPr>
                <w:rFonts w:hint="eastAsia"/>
                <w:color w:val="auto"/>
                <w:highlight w:val="none"/>
              </w:rPr>
              <w:t>□与实际施工情况不相符，修改意见见附件。</w:t>
            </w:r>
          </w:p>
          <w:p w14:paraId="2C8607DF">
            <w:pPr>
              <w:pStyle w:val="84"/>
              <w:spacing w:line="360" w:lineRule="exact"/>
              <w:ind w:firstLine="420"/>
              <w:rPr>
                <w:color w:val="auto"/>
                <w:highlight w:val="none"/>
              </w:rPr>
            </w:pPr>
            <w:r>
              <w:rPr>
                <w:rFonts w:hint="eastAsia"/>
                <w:color w:val="auto"/>
                <w:highlight w:val="none"/>
              </w:rPr>
              <w:t>□与实际施工情况相符，具体金额由造价工程师复核。</w:t>
            </w:r>
          </w:p>
          <w:p w14:paraId="2AA14F8F">
            <w:pPr>
              <w:pStyle w:val="84"/>
              <w:spacing w:line="360" w:lineRule="exact"/>
              <w:ind w:firstLine="420"/>
              <w:jc w:val="right"/>
              <w:rPr>
                <w:color w:val="auto"/>
                <w:highlight w:val="none"/>
              </w:rPr>
            </w:pPr>
          </w:p>
          <w:p w14:paraId="6DB726CA">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监理工程师</w:t>
            </w:r>
            <w:r>
              <w:rPr>
                <w:color w:val="auto"/>
                <w:highlight w:val="none"/>
                <w:u w:val="single"/>
              </w:rPr>
              <w:t xml:space="preserve">           </w:t>
            </w:r>
          </w:p>
          <w:p w14:paraId="5D6626A9">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c>
          <w:tcPr>
            <w:tcW w:w="4552" w:type="dxa"/>
            <w:tcBorders>
              <w:top w:val="single" w:color="auto" w:sz="4" w:space="0"/>
              <w:left w:val="single" w:color="auto" w:sz="4" w:space="0"/>
              <w:bottom w:val="single" w:color="auto" w:sz="4" w:space="0"/>
              <w:right w:val="single" w:color="auto" w:sz="4" w:space="0"/>
            </w:tcBorders>
          </w:tcPr>
          <w:p w14:paraId="28A0EA90">
            <w:pPr>
              <w:pStyle w:val="84"/>
              <w:spacing w:line="360" w:lineRule="exact"/>
              <w:rPr>
                <w:color w:val="auto"/>
                <w:highlight w:val="none"/>
              </w:rPr>
            </w:pPr>
            <w:r>
              <w:rPr>
                <w:rFonts w:hint="eastAsia"/>
                <w:color w:val="auto"/>
                <w:highlight w:val="none"/>
              </w:rPr>
              <w:t>复核意见：</w:t>
            </w:r>
          </w:p>
          <w:p w14:paraId="22EE39D1">
            <w:pPr>
              <w:pStyle w:val="84"/>
              <w:spacing w:line="360" w:lineRule="exact"/>
              <w:ind w:firstLine="420"/>
              <w:rPr>
                <w:color w:val="auto"/>
                <w:highlight w:val="none"/>
              </w:rPr>
            </w:pPr>
            <w:r>
              <w:rPr>
                <w:rFonts w:hint="eastAsia"/>
                <w:color w:val="auto"/>
                <w:highlight w:val="none"/>
              </w:rPr>
              <w:t>你方提出的支付申请经复核，本周期已完成工程价款为</w:t>
            </w:r>
            <w:r>
              <w:rPr>
                <w:color w:val="auto"/>
                <w:highlight w:val="none"/>
              </w:rPr>
              <w:t>(</w:t>
            </w:r>
            <w:r>
              <w:rPr>
                <w:rFonts w:hint="eastAsia"/>
                <w:color w:val="auto"/>
                <w:highlight w:val="none"/>
              </w:rPr>
              <w:t>大写</w:t>
            </w:r>
            <w:r>
              <w:rPr>
                <w:color w:val="auto"/>
                <w:highlight w:val="none"/>
              </w:rPr>
              <w:t>)</w:t>
            </w:r>
            <w:r>
              <w:rPr>
                <w:color w:val="auto"/>
                <w:highlight w:val="none"/>
                <w:u w:val="single"/>
              </w:rPr>
              <w:t xml:space="preserve">                </w:t>
            </w:r>
            <w:r>
              <w:rPr>
                <w:rFonts w:hint="eastAsia"/>
                <w:color w:val="auto"/>
                <w:highlight w:val="none"/>
              </w:rPr>
              <w:t>元，（小写）</w:t>
            </w:r>
          </w:p>
          <w:p w14:paraId="126C8636">
            <w:pPr>
              <w:pStyle w:val="84"/>
              <w:spacing w:line="360" w:lineRule="exact"/>
              <w:rPr>
                <w:color w:val="auto"/>
                <w:highlight w:val="none"/>
              </w:rPr>
            </w:pPr>
            <w:r>
              <w:rPr>
                <w:color w:val="auto"/>
                <w:highlight w:val="none"/>
                <w:u w:val="single"/>
              </w:rPr>
              <w:t xml:space="preserve">          </w:t>
            </w:r>
            <w:r>
              <w:rPr>
                <w:color w:val="auto"/>
                <w:highlight w:val="none"/>
              </w:rPr>
              <w:t xml:space="preserve"> </w:t>
            </w:r>
            <w:r>
              <w:rPr>
                <w:rFonts w:hint="eastAsia"/>
                <w:color w:val="auto"/>
                <w:highlight w:val="none"/>
              </w:rPr>
              <w:t>元，本期间应支付金额为（大写）</w:t>
            </w:r>
          </w:p>
          <w:p w14:paraId="53B29FB6">
            <w:pPr>
              <w:pStyle w:val="84"/>
              <w:spacing w:line="360" w:lineRule="exact"/>
              <w:rPr>
                <w:color w:val="auto"/>
                <w:highlight w:val="none"/>
                <w:u w:val="single"/>
              </w:rPr>
            </w:pPr>
            <w:r>
              <w:rPr>
                <w:color w:val="auto"/>
                <w:highlight w:val="none"/>
                <w:u w:val="single"/>
              </w:rPr>
              <w:t xml:space="preserve">                 </w:t>
            </w:r>
            <w:r>
              <w:rPr>
                <w:rFonts w:hint="eastAsia"/>
                <w:color w:val="auto"/>
                <w:highlight w:val="none"/>
              </w:rPr>
              <w:t>元，（小写）</w:t>
            </w:r>
            <w:r>
              <w:rPr>
                <w:color w:val="auto"/>
                <w:highlight w:val="none"/>
                <w:u w:val="single"/>
              </w:rPr>
              <w:t xml:space="preserve">         </w:t>
            </w:r>
            <w:r>
              <w:rPr>
                <w:rFonts w:hint="eastAsia"/>
                <w:color w:val="auto"/>
                <w:highlight w:val="none"/>
              </w:rPr>
              <w:t>元。</w:t>
            </w:r>
          </w:p>
          <w:p w14:paraId="62C2D37F">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造价工程师</w:t>
            </w:r>
            <w:r>
              <w:rPr>
                <w:color w:val="auto"/>
                <w:highlight w:val="none"/>
                <w:u w:val="single"/>
              </w:rPr>
              <w:t xml:space="preserve">           </w:t>
            </w:r>
          </w:p>
          <w:p w14:paraId="1EC4CE6D">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r w14:paraId="6A19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15A47F1C">
            <w:pPr>
              <w:pStyle w:val="84"/>
              <w:spacing w:line="400" w:lineRule="exact"/>
              <w:rPr>
                <w:color w:val="auto"/>
                <w:highlight w:val="none"/>
              </w:rPr>
            </w:pPr>
            <w:r>
              <w:rPr>
                <w:rFonts w:hint="eastAsia"/>
                <w:color w:val="auto"/>
                <w:highlight w:val="none"/>
              </w:rPr>
              <w:t>审核意见：</w:t>
            </w:r>
          </w:p>
          <w:p w14:paraId="2708147F">
            <w:pPr>
              <w:pStyle w:val="84"/>
              <w:spacing w:line="400" w:lineRule="exact"/>
              <w:ind w:firstLine="420"/>
              <w:rPr>
                <w:color w:val="auto"/>
                <w:highlight w:val="none"/>
              </w:rPr>
            </w:pPr>
            <w:r>
              <w:rPr>
                <w:rFonts w:hint="eastAsia"/>
                <w:color w:val="auto"/>
                <w:highlight w:val="none"/>
              </w:rPr>
              <w:t>□不同意。</w:t>
            </w:r>
          </w:p>
          <w:p w14:paraId="2F4DC518">
            <w:pPr>
              <w:pStyle w:val="84"/>
              <w:spacing w:line="400" w:lineRule="exact"/>
              <w:ind w:firstLine="420" w:firstLineChars="200"/>
              <w:rPr>
                <w:color w:val="auto"/>
                <w:highlight w:val="none"/>
              </w:rPr>
            </w:pPr>
            <w:r>
              <w:rPr>
                <w:rFonts w:hint="eastAsia"/>
                <w:color w:val="auto"/>
                <w:highlight w:val="none"/>
              </w:rPr>
              <w:t>□同意，支付时间为本表签发后的</w:t>
            </w:r>
            <w:r>
              <w:rPr>
                <w:color w:val="auto"/>
                <w:highlight w:val="none"/>
              </w:rPr>
              <w:t>15</w:t>
            </w:r>
            <w:r>
              <w:rPr>
                <w:rFonts w:hint="eastAsia"/>
                <w:color w:val="auto"/>
                <w:highlight w:val="none"/>
              </w:rPr>
              <w:t>天内。</w:t>
            </w:r>
          </w:p>
          <w:p w14:paraId="4BDA23C1">
            <w:pPr>
              <w:pStyle w:val="84"/>
              <w:wordWrap w:val="0"/>
              <w:spacing w:line="400" w:lineRule="exact"/>
              <w:ind w:firstLine="420" w:firstLineChars="200"/>
              <w:jc w:val="right"/>
              <w:rPr>
                <w:color w:val="auto"/>
                <w:highlight w:val="none"/>
              </w:rPr>
            </w:pPr>
            <w:r>
              <w:rPr>
                <w:rFonts w:hint="eastAsia"/>
                <w:color w:val="auto"/>
                <w:highlight w:val="none"/>
              </w:rPr>
              <w:t>发包人（章）</w:t>
            </w:r>
            <w:r>
              <w:rPr>
                <w:color w:val="auto"/>
                <w:highlight w:val="none"/>
              </w:rPr>
              <w:t xml:space="preserve">           </w:t>
            </w:r>
          </w:p>
          <w:p w14:paraId="292CECEB">
            <w:pPr>
              <w:pStyle w:val="84"/>
              <w:wordWrap w:val="0"/>
              <w:spacing w:line="400" w:lineRule="exact"/>
              <w:ind w:firstLine="420" w:firstLineChars="200"/>
              <w:jc w:val="right"/>
              <w:rPr>
                <w:color w:val="auto"/>
                <w:highlight w:val="none"/>
                <w:u w:val="single"/>
              </w:rPr>
            </w:pPr>
            <w:r>
              <w:rPr>
                <w:rFonts w:hint="eastAsia"/>
                <w:color w:val="auto"/>
                <w:highlight w:val="none"/>
              </w:rPr>
              <w:t>发包人代表</w:t>
            </w:r>
            <w:r>
              <w:rPr>
                <w:color w:val="auto"/>
                <w:highlight w:val="none"/>
                <w:u w:val="single"/>
              </w:rPr>
              <w:t xml:space="preserve">             </w:t>
            </w:r>
          </w:p>
          <w:p w14:paraId="267925C5">
            <w:pPr>
              <w:pStyle w:val="84"/>
              <w:wordWrap w:val="0"/>
              <w:spacing w:line="400" w:lineRule="exact"/>
              <w:ind w:firstLine="420" w:firstLineChars="200"/>
              <w:jc w:val="right"/>
              <w:rPr>
                <w:color w:val="auto"/>
                <w:highlight w:val="none"/>
                <w:u w:val="singl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bl>
    <w:p w14:paraId="162C630D">
      <w:pPr>
        <w:pStyle w:val="84"/>
        <w:spacing w:before="120" w:beforeLines="50"/>
        <w:ind w:firstLine="360" w:firstLineChars="200"/>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在选择栏中的“□”内作标识“√”。</w:t>
      </w:r>
      <w:r>
        <w:rPr>
          <w:color w:val="auto"/>
          <w:sz w:val="18"/>
          <w:szCs w:val="18"/>
          <w:highlight w:val="none"/>
        </w:rPr>
        <w:t xml:space="preserve"> </w:t>
      </w:r>
    </w:p>
    <w:p w14:paraId="488891D3">
      <w:pPr>
        <w:pStyle w:val="84"/>
        <w:spacing w:before="120" w:beforeLines="50"/>
        <w:ind w:left="720" w:hanging="720" w:hangingChars="400"/>
        <w:rPr>
          <w:color w:val="auto"/>
          <w:sz w:val="18"/>
          <w:szCs w:val="18"/>
          <w:highlight w:val="none"/>
        </w:rPr>
      </w:pPr>
      <w:r>
        <w:rPr>
          <w:color w:val="auto"/>
          <w:sz w:val="18"/>
          <w:szCs w:val="18"/>
          <w:highlight w:val="none"/>
        </w:rPr>
        <w:t xml:space="preserve">        2.</w:t>
      </w:r>
      <w:r>
        <w:rPr>
          <w:rFonts w:hint="eastAsia"/>
          <w:color w:val="auto"/>
          <w:sz w:val="18"/>
          <w:szCs w:val="18"/>
          <w:highlight w:val="none"/>
        </w:rPr>
        <w:t>本表一式四份，由承包人填报，发包人、监理人、造价咨询人、承包人各存一份。</w:t>
      </w:r>
    </w:p>
    <w:p w14:paraId="0138FC7A">
      <w:pPr>
        <w:pStyle w:val="84"/>
        <w:ind w:firstLine="600"/>
        <w:jc w:val="left"/>
        <w:rPr>
          <w:color w:val="auto"/>
          <w:sz w:val="30"/>
          <w:szCs w:val="30"/>
          <w:highlight w:val="none"/>
        </w:rPr>
      </w:pPr>
    </w:p>
    <w:p w14:paraId="450CF176">
      <w:pPr>
        <w:pStyle w:val="84"/>
        <w:ind w:firstLine="600"/>
        <w:jc w:val="left"/>
        <w:rPr>
          <w:color w:val="auto"/>
          <w:sz w:val="30"/>
          <w:szCs w:val="30"/>
          <w:highlight w:val="none"/>
        </w:rPr>
      </w:pPr>
    </w:p>
    <w:p w14:paraId="4F053BD9">
      <w:pPr>
        <w:pStyle w:val="84"/>
        <w:ind w:firstLine="600"/>
        <w:jc w:val="left"/>
        <w:rPr>
          <w:color w:val="auto"/>
          <w:sz w:val="30"/>
          <w:szCs w:val="30"/>
          <w:highlight w:val="none"/>
        </w:rPr>
      </w:pPr>
    </w:p>
    <w:p w14:paraId="3DFE8554">
      <w:pPr>
        <w:pStyle w:val="84"/>
        <w:ind w:firstLine="600"/>
        <w:jc w:val="left"/>
        <w:rPr>
          <w:color w:val="auto"/>
          <w:sz w:val="30"/>
          <w:szCs w:val="30"/>
          <w:highlight w:val="none"/>
        </w:rPr>
      </w:pPr>
      <w:r>
        <w:rPr>
          <w:rFonts w:hint="eastAsia"/>
          <w:color w:val="auto"/>
          <w:sz w:val="30"/>
          <w:szCs w:val="30"/>
          <w:highlight w:val="none"/>
        </w:rPr>
        <w:t>附件</w:t>
      </w:r>
      <w:r>
        <w:rPr>
          <w:color w:val="auto"/>
          <w:sz w:val="30"/>
          <w:szCs w:val="30"/>
          <w:highlight w:val="none"/>
        </w:rPr>
        <w:t>12</w:t>
      </w:r>
    </w:p>
    <w:p w14:paraId="651CB25F">
      <w:pPr>
        <w:pStyle w:val="84"/>
        <w:ind w:firstLine="723"/>
        <w:jc w:val="center"/>
        <w:rPr>
          <w:b/>
          <w:color w:val="auto"/>
          <w:sz w:val="36"/>
          <w:szCs w:val="36"/>
          <w:highlight w:val="none"/>
        </w:rPr>
      </w:pPr>
      <w:r>
        <w:rPr>
          <w:rFonts w:hint="eastAsia"/>
          <w:b/>
          <w:color w:val="auto"/>
          <w:sz w:val="36"/>
          <w:szCs w:val="36"/>
          <w:highlight w:val="none"/>
        </w:rPr>
        <w:t>竣工结算款支付申请（核准）表</w:t>
      </w:r>
    </w:p>
    <w:p w14:paraId="04817036">
      <w:pPr>
        <w:pStyle w:val="84"/>
        <w:ind w:firstLine="480"/>
        <w:rPr>
          <w:color w:val="auto"/>
          <w:sz w:val="24"/>
          <w:szCs w:val="24"/>
          <w:highlight w:val="none"/>
        </w:rPr>
      </w:pPr>
      <w:r>
        <w:rPr>
          <w:rFonts w:hint="eastAsia"/>
          <w:color w:val="auto"/>
          <w:sz w:val="24"/>
          <w:szCs w:val="24"/>
          <w:highlight w:val="none"/>
        </w:rPr>
        <w:t>工程名称：</w:t>
      </w:r>
      <w:r>
        <w:rPr>
          <w:color w:val="auto"/>
          <w:sz w:val="24"/>
          <w:szCs w:val="24"/>
          <w:highlight w:val="none"/>
        </w:rPr>
        <w:t xml:space="preserve">                                              </w:t>
      </w:r>
      <w:r>
        <w:rPr>
          <w:rFonts w:hint="eastAsia"/>
          <w:color w:val="auto"/>
          <w:sz w:val="24"/>
          <w:szCs w:val="24"/>
          <w:highlight w:val="none"/>
        </w:rPr>
        <w:t>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5388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7E794B88">
            <w:pPr>
              <w:pStyle w:val="84"/>
              <w:spacing w:line="480" w:lineRule="exact"/>
              <w:ind w:left="525" w:leftChars="149" w:hanging="212" w:hangingChars="101"/>
              <w:rPr>
                <w:color w:val="auto"/>
                <w:highlight w:val="none"/>
                <w:u w:val="single"/>
              </w:rPr>
            </w:pPr>
            <w:r>
              <w:rPr>
                <w:rFonts w:hint="eastAsia"/>
                <w:color w:val="auto"/>
                <w:highlight w:val="none"/>
              </w:rPr>
              <w:t>致：</w:t>
            </w:r>
            <w:r>
              <w:rPr>
                <w:color w:val="auto"/>
                <w:highlight w:val="none"/>
                <w:u w:val="single"/>
              </w:rPr>
              <w:t xml:space="preserve">                                   </w:t>
            </w:r>
            <w:r>
              <w:rPr>
                <w:rFonts w:hint="eastAsia"/>
                <w:color w:val="auto"/>
                <w:highlight w:val="none"/>
                <w:u w:val="single"/>
              </w:rPr>
              <w:t>（发包人全称）</w:t>
            </w:r>
          </w:p>
          <w:p w14:paraId="32E03978">
            <w:pPr>
              <w:pStyle w:val="84"/>
              <w:spacing w:line="400" w:lineRule="exact"/>
              <w:ind w:left="-4" w:leftChars="-2" w:firstLine="315" w:firstLineChars="150"/>
              <w:rPr>
                <w:color w:val="auto"/>
                <w:highlight w:val="none"/>
              </w:rPr>
            </w:pPr>
            <w:r>
              <w:rPr>
                <w:rFonts w:hint="eastAsia"/>
                <w:color w:val="auto"/>
                <w:highlight w:val="none"/>
              </w:rPr>
              <w:t>我方于</w:t>
            </w:r>
            <w:r>
              <w:rPr>
                <w:color w:val="auto"/>
                <w:highlight w:val="none"/>
                <w:u w:val="single"/>
              </w:rPr>
              <w:t xml:space="preserve">         </w:t>
            </w:r>
            <w:r>
              <w:rPr>
                <w:rFonts w:hint="eastAsia"/>
                <w:color w:val="auto"/>
                <w:highlight w:val="none"/>
              </w:rPr>
              <w:t>至</w:t>
            </w:r>
            <w:r>
              <w:rPr>
                <w:color w:val="auto"/>
                <w:highlight w:val="none"/>
                <w:u w:val="single"/>
              </w:rPr>
              <w:t xml:space="preserve">          </w:t>
            </w:r>
            <w:r>
              <w:rPr>
                <w:rFonts w:hint="eastAsia"/>
                <w:color w:val="auto"/>
                <w:highlight w:val="none"/>
              </w:rPr>
              <w:t>期间已完成了合同约定的工作，根据施工合同的约定，现申请支付竣工结算的工程款额为</w:t>
            </w:r>
            <w:r>
              <w:rPr>
                <w:color w:val="auto"/>
                <w:highlight w:val="none"/>
              </w:rPr>
              <w:t>(</w:t>
            </w:r>
            <w:r>
              <w:rPr>
                <w:rFonts w:hint="eastAsia"/>
                <w:color w:val="auto"/>
                <w:highlight w:val="none"/>
              </w:rPr>
              <w:t>大写</w:t>
            </w:r>
            <w:r>
              <w:rPr>
                <w:color w:val="auto"/>
                <w:highlight w:val="none"/>
              </w:rPr>
              <w:t>)</w:t>
            </w:r>
            <w:r>
              <w:rPr>
                <w:color w:val="auto"/>
                <w:highlight w:val="none"/>
                <w:u w:val="single"/>
              </w:rPr>
              <w:t xml:space="preserve">            </w:t>
            </w:r>
            <w:r>
              <w:rPr>
                <w:rFonts w:hint="eastAsia"/>
                <w:color w:val="auto"/>
                <w:highlight w:val="none"/>
              </w:rPr>
              <w:t>元，</w:t>
            </w:r>
            <w:r>
              <w:rPr>
                <w:color w:val="auto"/>
                <w:highlight w:val="none"/>
              </w:rPr>
              <w:t>(</w:t>
            </w:r>
            <w:r>
              <w:rPr>
                <w:rFonts w:hint="eastAsia"/>
                <w:color w:val="auto"/>
                <w:highlight w:val="none"/>
              </w:rPr>
              <w:t>小写</w:t>
            </w:r>
            <w:r>
              <w:rPr>
                <w:color w:val="auto"/>
                <w:highlight w:val="none"/>
              </w:rPr>
              <w:t>)</w:t>
            </w:r>
            <w:r>
              <w:rPr>
                <w:color w:val="auto"/>
                <w:highlight w:val="none"/>
                <w:u w:val="single"/>
              </w:rPr>
              <w:t xml:space="preserve">         </w:t>
            </w:r>
            <w:r>
              <w:rPr>
                <w:rFonts w:hint="eastAsia"/>
                <w:color w:val="auto"/>
                <w:highlight w:val="none"/>
              </w:rPr>
              <w:t>元，请予核准。</w:t>
            </w:r>
          </w:p>
          <w:tbl>
            <w:tblPr>
              <w:tblStyle w:val="2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29CF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16079339">
                  <w:pPr>
                    <w:pStyle w:val="84"/>
                    <w:spacing w:line="280" w:lineRule="exact"/>
                    <w:jc w:val="center"/>
                    <w:rPr>
                      <w:color w:val="auto"/>
                      <w:highlight w:val="none"/>
                    </w:rPr>
                  </w:pPr>
                  <w:r>
                    <w:rPr>
                      <w:rFonts w:hint="eastAsia"/>
                      <w:color w:val="auto"/>
                      <w:highlight w:val="none"/>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3E10AC88">
                  <w:pPr>
                    <w:pStyle w:val="84"/>
                    <w:spacing w:line="280" w:lineRule="exact"/>
                    <w:jc w:val="center"/>
                    <w:rPr>
                      <w:color w:val="auto"/>
                      <w:highlight w:val="none"/>
                    </w:rPr>
                  </w:pPr>
                  <w:r>
                    <w:rPr>
                      <w:rFonts w:hint="eastAsia"/>
                      <w:color w:val="auto"/>
                      <w:highlight w:val="none"/>
                    </w:rPr>
                    <w:t>名</w:t>
                  </w:r>
                  <w:r>
                    <w:rPr>
                      <w:color w:val="auto"/>
                      <w:highlight w:val="none"/>
                    </w:rPr>
                    <w:t xml:space="preserve">      </w:t>
                  </w:r>
                  <w:r>
                    <w:rPr>
                      <w:rFonts w:hint="eastAsia"/>
                      <w:color w:val="auto"/>
                      <w:highlight w:val="none"/>
                    </w:rPr>
                    <w:t>称</w:t>
                  </w:r>
                </w:p>
              </w:tc>
              <w:tc>
                <w:tcPr>
                  <w:tcW w:w="1620" w:type="dxa"/>
                  <w:tcBorders>
                    <w:top w:val="single" w:color="auto" w:sz="4" w:space="0"/>
                    <w:left w:val="single" w:color="auto" w:sz="4" w:space="0"/>
                    <w:bottom w:val="single" w:color="auto" w:sz="4" w:space="0"/>
                    <w:right w:val="single" w:color="auto" w:sz="4" w:space="0"/>
                  </w:tcBorders>
                  <w:vAlign w:val="center"/>
                </w:tcPr>
                <w:p w14:paraId="1B9048B5">
                  <w:pPr>
                    <w:pStyle w:val="84"/>
                    <w:spacing w:line="280" w:lineRule="exact"/>
                    <w:jc w:val="center"/>
                    <w:rPr>
                      <w:color w:val="auto"/>
                      <w:highlight w:val="none"/>
                    </w:rPr>
                  </w:pPr>
                  <w:r>
                    <w:rPr>
                      <w:rFonts w:hint="eastAsia"/>
                      <w:color w:val="auto"/>
                      <w:highlight w:val="none"/>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20C1A518">
                  <w:pPr>
                    <w:pStyle w:val="84"/>
                    <w:spacing w:line="280" w:lineRule="exact"/>
                    <w:jc w:val="center"/>
                    <w:rPr>
                      <w:color w:val="auto"/>
                      <w:highlight w:val="none"/>
                    </w:rPr>
                  </w:pPr>
                  <w:r>
                    <w:rPr>
                      <w:rFonts w:hint="eastAsia"/>
                      <w:color w:val="auto"/>
                      <w:highlight w:val="none"/>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07CF5613">
                  <w:pPr>
                    <w:pStyle w:val="84"/>
                    <w:spacing w:line="280" w:lineRule="exact"/>
                    <w:jc w:val="center"/>
                    <w:rPr>
                      <w:color w:val="auto"/>
                      <w:highlight w:val="none"/>
                    </w:rPr>
                  </w:pPr>
                  <w:r>
                    <w:rPr>
                      <w:rFonts w:hint="eastAsia"/>
                      <w:color w:val="auto"/>
                      <w:highlight w:val="none"/>
                    </w:rPr>
                    <w:t>备注</w:t>
                  </w:r>
                </w:p>
              </w:tc>
            </w:tr>
            <w:tr w14:paraId="3ED4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4B6FBA8">
                  <w:pPr>
                    <w:pStyle w:val="84"/>
                    <w:spacing w:line="280" w:lineRule="exact"/>
                    <w:jc w:val="center"/>
                    <w:rPr>
                      <w:color w:val="auto"/>
                      <w:highlight w:val="none"/>
                    </w:rPr>
                  </w:pPr>
                  <w:r>
                    <w:rPr>
                      <w:color w:val="auto"/>
                      <w:highlight w:val="none"/>
                    </w:rPr>
                    <w:t>1</w:t>
                  </w:r>
                </w:p>
              </w:tc>
              <w:tc>
                <w:tcPr>
                  <w:tcW w:w="3420" w:type="dxa"/>
                  <w:tcBorders>
                    <w:top w:val="single" w:color="auto" w:sz="4" w:space="0"/>
                    <w:left w:val="single" w:color="auto" w:sz="4" w:space="0"/>
                    <w:bottom w:val="single" w:color="auto" w:sz="4" w:space="0"/>
                    <w:right w:val="single" w:color="auto" w:sz="4" w:space="0"/>
                  </w:tcBorders>
                </w:tcPr>
                <w:p w14:paraId="3AF8989F">
                  <w:pPr>
                    <w:pStyle w:val="84"/>
                    <w:spacing w:line="280" w:lineRule="exact"/>
                    <w:rPr>
                      <w:color w:val="auto"/>
                      <w:highlight w:val="none"/>
                    </w:rPr>
                  </w:pPr>
                  <w:r>
                    <w:rPr>
                      <w:rFonts w:hint="eastAsia"/>
                      <w:color w:val="auto"/>
                      <w:highlight w:val="none"/>
                    </w:rPr>
                    <w:t>竣工结算合同价款总额</w:t>
                  </w:r>
                </w:p>
              </w:tc>
              <w:tc>
                <w:tcPr>
                  <w:tcW w:w="1620" w:type="dxa"/>
                  <w:tcBorders>
                    <w:top w:val="single" w:color="auto" w:sz="4" w:space="0"/>
                    <w:left w:val="single" w:color="auto" w:sz="4" w:space="0"/>
                    <w:bottom w:val="single" w:color="auto" w:sz="4" w:space="0"/>
                    <w:right w:val="single" w:color="auto" w:sz="4" w:space="0"/>
                  </w:tcBorders>
                </w:tcPr>
                <w:p w14:paraId="404B92D9">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59A06D55">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1F303188">
                  <w:pPr>
                    <w:pStyle w:val="84"/>
                    <w:spacing w:line="280" w:lineRule="exact"/>
                    <w:rPr>
                      <w:color w:val="auto"/>
                      <w:highlight w:val="none"/>
                    </w:rPr>
                  </w:pPr>
                </w:p>
              </w:tc>
            </w:tr>
            <w:tr w14:paraId="2AF1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B2395DD">
                  <w:pPr>
                    <w:pStyle w:val="84"/>
                    <w:spacing w:line="280" w:lineRule="exact"/>
                    <w:jc w:val="center"/>
                    <w:rPr>
                      <w:color w:val="auto"/>
                      <w:highlight w:val="none"/>
                    </w:rPr>
                  </w:pPr>
                  <w:r>
                    <w:rPr>
                      <w:color w:val="auto"/>
                      <w:highlight w:val="none"/>
                    </w:rPr>
                    <w:t>2</w:t>
                  </w:r>
                </w:p>
              </w:tc>
              <w:tc>
                <w:tcPr>
                  <w:tcW w:w="3420" w:type="dxa"/>
                  <w:tcBorders>
                    <w:top w:val="single" w:color="auto" w:sz="4" w:space="0"/>
                    <w:left w:val="single" w:color="auto" w:sz="4" w:space="0"/>
                    <w:bottom w:val="single" w:color="auto" w:sz="4" w:space="0"/>
                    <w:right w:val="single" w:color="auto" w:sz="4" w:space="0"/>
                  </w:tcBorders>
                </w:tcPr>
                <w:p w14:paraId="05C5B9AB">
                  <w:pPr>
                    <w:pStyle w:val="84"/>
                    <w:spacing w:line="280" w:lineRule="exact"/>
                    <w:rPr>
                      <w:color w:val="auto"/>
                      <w:highlight w:val="none"/>
                    </w:rPr>
                  </w:pPr>
                  <w:r>
                    <w:rPr>
                      <w:rFonts w:hint="eastAsia"/>
                      <w:color w:val="auto"/>
                      <w:highlight w:val="none"/>
                    </w:rPr>
                    <w:t>累计已实际支付的合同价款</w:t>
                  </w:r>
                </w:p>
              </w:tc>
              <w:tc>
                <w:tcPr>
                  <w:tcW w:w="1620" w:type="dxa"/>
                  <w:tcBorders>
                    <w:top w:val="single" w:color="auto" w:sz="4" w:space="0"/>
                    <w:left w:val="single" w:color="auto" w:sz="4" w:space="0"/>
                    <w:bottom w:val="single" w:color="auto" w:sz="4" w:space="0"/>
                    <w:right w:val="single" w:color="auto" w:sz="4" w:space="0"/>
                  </w:tcBorders>
                </w:tcPr>
                <w:p w14:paraId="4745E60C">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6B0E9CAB">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75037E4">
                  <w:pPr>
                    <w:pStyle w:val="84"/>
                    <w:spacing w:line="280" w:lineRule="exact"/>
                    <w:rPr>
                      <w:color w:val="auto"/>
                      <w:highlight w:val="none"/>
                    </w:rPr>
                  </w:pPr>
                </w:p>
              </w:tc>
            </w:tr>
            <w:tr w14:paraId="186C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CAB2F57">
                  <w:pPr>
                    <w:pStyle w:val="84"/>
                    <w:spacing w:line="280" w:lineRule="exact"/>
                    <w:jc w:val="center"/>
                    <w:rPr>
                      <w:color w:val="auto"/>
                      <w:highlight w:val="none"/>
                    </w:rPr>
                  </w:pPr>
                  <w:r>
                    <w:rPr>
                      <w:color w:val="auto"/>
                      <w:highlight w:val="none"/>
                    </w:rPr>
                    <w:t>3</w:t>
                  </w:r>
                </w:p>
              </w:tc>
              <w:tc>
                <w:tcPr>
                  <w:tcW w:w="3420" w:type="dxa"/>
                  <w:tcBorders>
                    <w:top w:val="single" w:color="auto" w:sz="4" w:space="0"/>
                    <w:left w:val="single" w:color="auto" w:sz="4" w:space="0"/>
                    <w:bottom w:val="single" w:color="auto" w:sz="4" w:space="0"/>
                    <w:right w:val="single" w:color="auto" w:sz="4" w:space="0"/>
                  </w:tcBorders>
                </w:tcPr>
                <w:p w14:paraId="1496DA69">
                  <w:pPr>
                    <w:pStyle w:val="84"/>
                    <w:spacing w:line="280" w:lineRule="exact"/>
                    <w:rPr>
                      <w:color w:val="auto"/>
                      <w:highlight w:val="none"/>
                    </w:rPr>
                  </w:pPr>
                  <w:r>
                    <w:rPr>
                      <w:rFonts w:hint="eastAsia"/>
                      <w:color w:val="auto"/>
                      <w:highlight w:val="none"/>
                    </w:rPr>
                    <w:t>应预留的质量保证金</w:t>
                  </w:r>
                </w:p>
              </w:tc>
              <w:tc>
                <w:tcPr>
                  <w:tcW w:w="1620" w:type="dxa"/>
                  <w:tcBorders>
                    <w:top w:val="single" w:color="auto" w:sz="4" w:space="0"/>
                    <w:left w:val="single" w:color="auto" w:sz="4" w:space="0"/>
                    <w:bottom w:val="single" w:color="auto" w:sz="4" w:space="0"/>
                    <w:right w:val="single" w:color="auto" w:sz="4" w:space="0"/>
                  </w:tcBorders>
                </w:tcPr>
                <w:p w14:paraId="7E3815F6">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476FC588">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6A06B580">
                  <w:pPr>
                    <w:pStyle w:val="84"/>
                    <w:spacing w:line="280" w:lineRule="exact"/>
                    <w:rPr>
                      <w:color w:val="auto"/>
                      <w:highlight w:val="none"/>
                    </w:rPr>
                  </w:pPr>
                </w:p>
              </w:tc>
            </w:tr>
            <w:tr w14:paraId="5A1D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4FF698A">
                  <w:pPr>
                    <w:pStyle w:val="84"/>
                    <w:spacing w:line="280" w:lineRule="exact"/>
                    <w:jc w:val="center"/>
                    <w:rPr>
                      <w:color w:val="auto"/>
                      <w:highlight w:val="none"/>
                    </w:rPr>
                  </w:pPr>
                  <w:r>
                    <w:rPr>
                      <w:color w:val="auto"/>
                      <w:highlight w:val="none"/>
                    </w:rPr>
                    <w:t>4</w:t>
                  </w:r>
                </w:p>
              </w:tc>
              <w:tc>
                <w:tcPr>
                  <w:tcW w:w="3420" w:type="dxa"/>
                  <w:tcBorders>
                    <w:top w:val="single" w:color="auto" w:sz="4" w:space="0"/>
                    <w:left w:val="single" w:color="auto" w:sz="4" w:space="0"/>
                    <w:bottom w:val="single" w:color="auto" w:sz="4" w:space="0"/>
                    <w:right w:val="single" w:color="auto" w:sz="4" w:space="0"/>
                  </w:tcBorders>
                </w:tcPr>
                <w:p w14:paraId="5AC57AB8">
                  <w:pPr>
                    <w:pStyle w:val="84"/>
                    <w:spacing w:line="280" w:lineRule="exact"/>
                    <w:rPr>
                      <w:color w:val="auto"/>
                      <w:highlight w:val="none"/>
                    </w:rPr>
                  </w:pPr>
                  <w:r>
                    <w:rPr>
                      <w:rFonts w:hint="eastAsia"/>
                      <w:color w:val="auto"/>
                      <w:highlight w:val="none"/>
                    </w:rPr>
                    <w:t>应支付的竣工结算款金额</w:t>
                  </w:r>
                </w:p>
              </w:tc>
              <w:tc>
                <w:tcPr>
                  <w:tcW w:w="1620" w:type="dxa"/>
                  <w:tcBorders>
                    <w:top w:val="single" w:color="auto" w:sz="4" w:space="0"/>
                    <w:left w:val="single" w:color="auto" w:sz="4" w:space="0"/>
                    <w:bottom w:val="single" w:color="auto" w:sz="4" w:space="0"/>
                    <w:right w:val="single" w:color="auto" w:sz="4" w:space="0"/>
                  </w:tcBorders>
                </w:tcPr>
                <w:p w14:paraId="1B2B4581">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1E2DC973">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68B65B8E">
                  <w:pPr>
                    <w:pStyle w:val="84"/>
                    <w:spacing w:line="280" w:lineRule="exact"/>
                    <w:rPr>
                      <w:color w:val="auto"/>
                      <w:highlight w:val="none"/>
                    </w:rPr>
                  </w:pPr>
                </w:p>
              </w:tc>
            </w:tr>
            <w:tr w14:paraId="0065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E7C8532">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5829482B">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0C6E2E13">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05636D0C">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D4A887F">
                  <w:pPr>
                    <w:pStyle w:val="84"/>
                    <w:spacing w:line="280" w:lineRule="exact"/>
                    <w:rPr>
                      <w:color w:val="auto"/>
                      <w:highlight w:val="none"/>
                    </w:rPr>
                  </w:pPr>
                </w:p>
              </w:tc>
            </w:tr>
            <w:tr w14:paraId="29DC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BA6A34E">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34F8E42B">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58C22CB8">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3880B185">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67B2D0FA">
                  <w:pPr>
                    <w:pStyle w:val="84"/>
                    <w:spacing w:line="280" w:lineRule="exact"/>
                    <w:rPr>
                      <w:color w:val="auto"/>
                      <w:highlight w:val="none"/>
                    </w:rPr>
                  </w:pPr>
                </w:p>
              </w:tc>
            </w:tr>
            <w:tr w14:paraId="6AEA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9BF5E39">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6FF61BBE">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2F65C0F0">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4CDD6B25">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3822015B">
                  <w:pPr>
                    <w:pStyle w:val="84"/>
                    <w:spacing w:line="280" w:lineRule="exact"/>
                    <w:rPr>
                      <w:color w:val="auto"/>
                      <w:highlight w:val="none"/>
                    </w:rPr>
                  </w:pPr>
                </w:p>
              </w:tc>
            </w:tr>
            <w:tr w14:paraId="4EEF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908EBA3">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3335E465">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04FD2CD5">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66B99060">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27A6DFDE">
                  <w:pPr>
                    <w:pStyle w:val="84"/>
                    <w:spacing w:line="280" w:lineRule="exact"/>
                    <w:rPr>
                      <w:color w:val="auto"/>
                      <w:highlight w:val="none"/>
                    </w:rPr>
                  </w:pPr>
                </w:p>
              </w:tc>
            </w:tr>
            <w:tr w14:paraId="549E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F2A16E6">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3B821341">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4F347FC3">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0597EB5E">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6A87AC57">
                  <w:pPr>
                    <w:pStyle w:val="84"/>
                    <w:spacing w:line="280" w:lineRule="exact"/>
                    <w:rPr>
                      <w:color w:val="auto"/>
                      <w:highlight w:val="none"/>
                    </w:rPr>
                  </w:pPr>
                </w:p>
              </w:tc>
            </w:tr>
          </w:tbl>
          <w:p w14:paraId="4C9DC492">
            <w:pPr>
              <w:pStyle w:val="84"/>
              <w:spacing w:line="400" w:lineRule="exact"/>
              <w:ind w:right="420" w:firstLine="420"/>
              <w:jc w:val="center"/>
              <w:rPr>
                <w:color w:val="auto"/>
                <w:highlight w:val="none"/>
              </w:rPr>
            </w:pPr>
          </w:p>
          <w:p w14:paraId="24E94458">
            <w:pPr>
              <w:pStyle w:val="84"/>
              <w:spacing w:line="400" w:lineRule="exact"/>
              <w:ind w:right="420" w:firstLine="420"/>
              <w:jc w:val="center"/>
              <w:rPr>
                <w:color w:val="auto"/>
                <w:highlight w:val="none"/>
              </w:rPr>
            </w:pPr>
            <w:r>
              <w:rPr>
                <w:color w:val="auto"/>
                <w:highlight w:val="none"/>
              </w:rPr>
              <w:t xml:space="preserve">                                            </w:t>
            </w:r>
            <w:r>
              <w:rPr>
                <w:rFonts w:hint="eastAsia"/>
                <w:color w:val="auto"/>
                <w:highlight w:val="none"/>
              </w:rPr>
              <w:t>承包人（章）</w:t>
            </w:r>
            <w:r>
              <w:rPr>
                <w:color w:val="auto"/>
                <w:highlight w:val="none"/>
              </w:rPr>
              <w:t xml:space="preserve">             </w:t>
            </w:r>
          </w:p>
          <w:p w14:paraId="0B8B5CCB">
            <w:pPr>
              <w:pStyle w:val="84"/>
              <w:spacing w:line="400" w:lineRule="exact"/>
              <w:ind w:right="420" w:firstLine="420"/>
              <w:rPr>
                <w:color w:val="auto"/>
                <w:highlight w:val="none"/>
              </w:rPr>
            </w:pPr>
            <w:r>
              <w:rPr>
                <w:rFonts w:hint="eastAsia"/>
                <w:color w:val="auto"/>
                <w:highlight w:val="none"/>
              </w:rPr>
              <w:t>造价人员</w:t>
            </w:r>
            <w:r>
              <w:rPr>
                <w:color w:val="auto"/>
                <w:highlight w:val="none"/>
                <w:u w:val="single"/>
              </w:rPr>
              <w:t xml:space="preserve">               </w:t>
            </w:r>
            <w:r>
              <w:rPr>
                <w:rFonts w:hint="eastAsia"/>
                <w:color w:val="auto"/>
                <w:highlight w:val="none"/>
              </w:rPr>
              <w:t>承包人代表</w:t>
            </w:r>
            <w:r>
              <w:rPr>
                <w:color w:val="auto"/>
                <w:highlight w:val="none"/>
                <w:u w:val="singl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r w14:paraId="5AE2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tcBorders>
              <w:top w:val="single" w:color="auto" w:sz="4" w:space="0"/>
              <w:left w:val="single" w:color="auto" w:sz="4" w:space="0"/>
              <w:bottom w:val="single" w:color="auto" w:sz="4" w:space="0"/>
              <w:right w:val="single" w:color="auto" w:sz="4" w:space="0"/>
            </w:tcBorders>
          </w:tcPr>
          <w:p w14:paraId="066C1655">
            <w:pPr>
              <w:pStyle w:val="84"/>
              <w:spacing w:line="360" w:lineRule="exact"/>
              <w:rPr>
                <w:color w:val="auto"/>
                <w:highlight w:val="none"/>
              </w:rPr>
            </w:pPr>
            <w:r>
              <w:rPr>
                <w:rFonts w:hint="eastAsia"/>
                <w:color w:val="auto"/>
                <w:highlight w:val="none"/>
              </w:rPr>
              <w:t>复核意见：</w:t>
            </w:r>
          </w:p>
          <w:p w14:paraId="4024DF7E">
            <w:pPr>
              <w:pStyle w:val="84"/>
              <w:spacing w:line="360" w:lineRule="exact"/>
              <w:ind w:firstLine="420"/>
              <w:rPr>
                <w:color w:val="auto"/>
                <w:highlight w:val="none"/>
              </w:rPr>
            </w:pPr>
            <w:r>
              <w:rPr>
                <w:rFonts w:hint="eastAsia"/>
                <w:color w:val="auto"/>
                <w:highlight w:val="none"/>
              </w:rPr>
              <w:t>□与实际施工情况不相符，修改意见见附件。</w:t>
            </w:r>
          </w:p>
          <w:p w14:paraId="60047FCD">
            <w:pPr>
              <w:pStyle w:val="84"/>
              <w:spacing w:line="360" w:lineRule="exact"/>
              <w:ind w:firstLine="420"/>
              <w:rPr>
                <w:color w:val="auto"/>
                <w:highlight w:val="none"/>
              </w:rPr>
            </w:pPr>
            <w:r>
              <w:rPr>
                <w:rFonts w:hint="eastAsia"/>
                <w:color w:val="auto"/>
                <w:highlight w:val="none"/>
              </w:rPr>
              <w:t>□与实际施工情况相符，具体金额由造价工程师复核。</w:t>
            </w:r>
          </w:p>
          <w:p w14:paraId="032B0535">
            <w:pPr>
              <w:pStyle w:val="84"/>
              <w:spacing w:line="360" w:lineRule="exact"/>
              <w:ind w:firstLine="420"/>
              <w:jc w:val="right"/>
              <w:rPr>
                <w:color w:val="auto"/>
                <w:highlight w:val="none"/>
              </w:rPr>
            </w:pPr>
          </w:p>
          <w:p w14:paraId="798E155A">
            <w:pPr>
              <w:pStyle w:val="84"/>
              <w:spacing w:line="360" w:lineRule="exact"/>
              <w:ind w:firstLine="420"/>
              <w:jc w:val="right"/>
              <w:rPr>
                <w:color w:val="auto"/>
                <w:highlight w:val="none"/>
              </w:rPr>
            </w:pPr>
          </w:p>
          <w:p w14:paraId="493CD51E">
            <w:pPr>
              <w:pStyle w:val="84"/>
              <w:spacing w:line="360" w:lineRule="exact"/>
              <w:ind w:firstLine="420"/>
              <w:jc w:val="center"/>
              <w:rPr>
                <w:color w:val="auto"/>
                <w:highlight w:val="none"/>
              </w:rPr>
            </w:pPr>
            <w:r>
              <w:rPr>
                <w:color w:val="auto"/>
                <w:highlight w:val="none"/>
              </w:rPr>
              <w:t xml:space="preserve">         </w:t>
            </w:r>
          </w:p>
          <w:p w14:paraId="5AB457B9">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监理工程师</w:t>
            </w:r>
            <w:r>
              <w:rPr>
                <w:color w:val="auto"/>
                <w:highlight w:val="none"/>
                <w:u w:val="single"/>
              </w:rPr>
              <w:t xml:space="preserve">           </w:t>
            </w:r>
          </w:p>
          <w:p w14:paraId="5CB9DB48">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c>
          <w:tcPr>
            <w:tcW w:w="4533" w:type="dxa"/>
            <w:tcBorders>
              <w:top w:val="single" w:color="auto" w:sz="4" w:space="0"/>
              <w:left w:val="single" w:color="auto" w:sz="4" w:space="0"/>
              <w:bottom w:val="single" w:color="auto" w:sz="4" w:space="0"/>
              <w:right w:val="single" w:color="auto" w:sz="4" w:space="0"/>
            </w:tcBorders>
          </w:tcPr>
          <w:p w14:paraId="5175B136">
            <w:pPr>
              <w:pStyle w:val="84"/>
              <w:spacing w:line="360" w:lineRule="exact"/>
              <w:rPr>
                <w:color w:val="auto"/>
                <w:highlight w:val="none"/>
              </w:rPr>
            </w:pPr>
            <w:r>
              <w:rPr>
                <w:rFonts w:hint="eastAsia"/>
                <w:color w:val="auto"/>
                <w:highlight w:val="none"/>
              </w:rPr>
              <w:t>复核意见：</w:t>
            </w:r>
          </w:p>
          <w:p w14:paraId="45A5CDAB">
            <w:pPr>
              <w:pStyle w:val="84"/>
              <w:spacing w:line="360" w:lineRule="exact"/>
              <w:ind w:firstLine="420"/>
              <w:rPr>
                <w:color w:val="auto"/>
                <w:highlight w:val="none"/>
                <w:u w:val="single"/>
              </w:rPr>
            </w:pPr>
            <w:r>
              <w:rPr>
                <w:rFonts w:hint="eastAsia"/>
                <w:color w:val="auto"/>
                <w:highlight w:val="none"/>
              </w:rPr>
              <w:t>你方提出的竣工结算支付申请经复核，竣工结算款总额为</w:t>
            </w:r>
            <w:r>
              <w:rPr>
                <w:color w:val="auto"/>
                <w:highlight w:val="none"/>
              </w:rPr>
              <w:t>(</w:t>
            </w:r>
            <w:r>
              <w:rPr>
                <w:rFonts w:hint="eastAsia"/>
                <w:color w:val="auto"/>
                <w:highlight w:val="none"/>
              </w:rPr>
              <w:t>大写</w:t>
            </w:r>
            <w:r>
              <w:rPr>
                <w:color w:val="auto"/>
                <w:highlight w:val="none"/>
              </w:rPr>
              <w:t>)</w:t>
            </w:r>
            <w:r>
              <w:rPr>
                <w:color w:val="auto"/>
                <w:highlight w:val="none"/>
                <w:u w:val="single"/>
              </w:rPr>
              <w:t xml:space="preserve">                </w:t>
            </w:r>
            <w:r>
              <w:rPr>
                <w:rFonts w:hint="eastAsia"/>
                <w:color w:val="auto"/>
                <w:highlight w:val="none"/>
              </w:rPr>
              <w:t>元，（小写）</w:t>
            </w:r>
            <w:r>
              <w:rPr>
                <w:color w:val="auto"/>
                <w:highlight w:val="none"/>
                <w:u w:val="single"/>
              </w:rPr>
              <w:t xml:space="preserve">          </w:t>
            </w:r>
            <w:r>
              <w:rPr>
                <w:color w:val="auto"/>
                <w:highlight w:val="none"/>
              </w:rPr>
              <w:t xml:space="preserve"> </w:t>
            </w:r>
            <w:r>
              <w:rPr>
                <w:rFonts w:hint="eastAsia"/>
                <w:color w:val="auto"/>
                <w:highlight w:val="none"/>
              </w:rPr>
              <w:t>元，扣除前期支付以及质量保证金后应支付金额为（大写）</w:t>
            </w:r>
            <w:r>
              <w:rPr>
                <w:color w:val="auto"/>
                <w:highlight w:val="none"/>
                <w:u w:val="single"/>
              </w:rPr>
              <w:t xml:space="preserve">              </w:t>
            </w:r>
            <w:r>
              <w:rPr>
                <w:rFonts w:hint="eastAsia"/>
                <w:color w:val="auto"/>
                <w:highlight w:val="none"/>
              </w:rPr>
              <w:t>元，（小写）</w:t>
            </w:r>
            <w:r>
              <w:rPr>
                <w:color w:val="auto"/>
                <w:highlight w:val="none"/>
                <w:u w:val="single"/>
              </w:rPr>
              <w:t xml:space="preserve">         </w:t>
            </w:r>
            <w:r>
              <w:rPr>
                <w:rFonts w:hint="eastAsia"/>
                <w:color w:val="auto"/>
                <w:highlight w:val="none"/>
              </w:rPr>
              <w:t>元。</w:t>
            </w:r>
          </w:p>
          <w:p w14:paraId="1CDCC649">
            <w:pPr>
              <w:pStyle w:val="84"/>
              <w:spacing w:line="360" w:lineRule="exact"/>
              <w:ind w:firstLine="420"/>
              <w:jc w:val="center"/>
              <w:rPr>
                <w:color w:val="auto"/>
                <w:highlight w:val="none"/>
              </w:rPr>
            </w:pPr>
            <w:r>
              <w:rPr>
                <w:color w:val="auto"/>
                <w:highlight w:val="none"/>
              </w:rPr>
              <w:t xml:space="preserve">    </w:t>
            </w:r>
          </w:p>
          <w:p w14:paraId="13C9BF88">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造价工程师</w:t>
            </w:r>
            <w:r>
              <w:rPr>
                <w:color w:val="auto"/>
                <w:highlight w:val="none"/>
                <w:u w:val="single"/>
              </w:rPr>
              <w:t xml:space="preserve">           </w:t>
            </w:r>
          </w:p>
          <w:p w14:paraId="7A946C99">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r w14:paraId="780A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5DF3294D">
            <w:pPr>
              <w:pStyle w:val="84"/>
              <w:spacing w:line="400" w:lineRule="exact"/>
              <w:rPr>
                <w:color w:val="auto"/>
                <w:highlight w:val="none"/>
              </w:rPr>
            </w:pPr>
            <w:r>
              <w:rPr>
                <w:rFonts w:hint="eastAsia"/>
                <w:color w:val="auto"/>
                <w:highlight w:val="none"/>
              </w:rPr>
              <w:t>审核意见：</w:t>
            </w:r>
          </w:p>
          <w:p w14:paraId="64B8339F">
            <w:pPr>
              <w:pStyle w:val="84"/>
              <w:spacing w:line="400" w:lineRule="exact"/>
              <w:ind w:firstLine="420"/>
              <w:rPr>
                <w:color w:val="auto"/>
                <w:highlight w:val="none"/>
              </w:rPr>
            </w:pPr>
            <w:r>
              <w:rPr>
                <w:rFonts w:hint="eastAsia"/>
                <w:color w:val="auto"/>
                <w:highlight w:val="none"/>
              </w:rPr>
              <w:t>□不同意。</w:t>
            </w:r>
          </w:p>
          <w:p w14:paraId="4BE24BDC">
            <w:pPr>
              <w:pStyle w:val="84"/>
              <w:spacing w:line="400" w:lineRule="exact"/>
              <w:ind w:firstLine="420" w:firstLineChars="200"/>
              <w:rPr>
                <w:color w:val="auto"/>
                <w:highlight w:val="none"/>
              </w:rPr>
            </w:pPr>
            <w:r>
              <w:rPr>
                <w:rFonts w:hint="eastAsia"/>
                <w:color w:val="auto"/>
                <w:highlight w:val="none"/>
              </w:rPr>
              <w:t>□同意，支付时间为本表签发后的</w:t>
            </w:r>
            <w:r>
              <w:rPr>
                <w:color w:val="auto"/>
                <w:highlight w:val="none"/>
              </w:rPr>
              <w:t>15</w:t>
            </w:r>
            <w:r>
              <w:rPr>
                <w:rFonts w:hint="eastAsia"/>
                <w:color w:val="auto"/>
                <w:highlight w:val="none"/>
              </w:rPr>
              <w:t>天内。</w:t>
            </w:r>
          </w:p>
          <w:p w14:paraId="0376B65A">
            <w:pPr>
              <w:pStyle w:val="84"/>
              <w:wordWrap w:val="0"/>
              <w:spacing w:line="400" w:lineRule="exact"/>
              <w:ind w:firstLine="420" w:firstLineChars="200"/>
              <w:jc w:val="right"/>
              <w:rPr>
                <w:color w:val="auto"/>
                <w:highlight w:val="none"/>
              </w:rPr>
            </w:pPr>
            <w:r>
              <w:rPr>
                <w:rFonts w:hint="eastAsia"/>
                <w:color w:val="auto"/>
                <w:highlight w:val="none"/>
              </w:rPr>
              <w:t>发包人（章）</w:t>
            </w:r>
            <w:r>
              <w:rPr>
                <w:color w:val="auto"/>
                <w:highlight w:val="none"/>
              </w:rPr>
              <w:t xml:space="preserve">           </w:t>
            </w:r>
          </w:p>
          <w:p w14:paraId="3F54B08A">
            <w:pPr>
              <w:pStyle w:val="84"/>
              <w:wordWrap w:val="0"/>
              <w:spacing w:line="400" w:lineRule="exact"/>
              <w:ind w:firstLine="420" w:firstLineChars="200"/>
              <w:jc w:val="right"/>
              <w:rPr>
                <w:color w:val="auto"/>
                <w:highlight w:val="none"/>
                <w:u w:val="single"/>
              </w:rPr>
            </w:pPr>
            <w:r>
              <w:rPr>
                <w:rFonts w:hint="eastAsia"/>
                <w:color w:val="auto"/>
                <w:highlight w:val="none"/>
              </w:rPr>
              <w:t>发包人代表</w:t>
            </w:r>
            <w:r>
              <w:rPr>
                <w:color w:val="auto"/>
                <w:highlight w:val="none"/>
                <w:u w:val="single"/>
              </w:rPr>
              <w:t xml:space="preserve">             </w:t>
            </w:r>
          </w:p>
          <w:p w14:paraId="2499134C">
            <w:pPr>
              <w:pStyle w:val="84"/>
              <w:wordWrap w:val="0"/>
              <w:spacing w:line="400" w:lineRule="exact"/>
              <w:ind w:firstLine="420" w:firstLineChars="200"/>
              <w:jc w:val="right"/>
              <w:rPr>
                <w:color w:val="auto"/>
                <w:highlight w:val="none"/>
                <w:u w:val="singl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bl>
    <w:p w14:paraId="7FBC4EF1">
      <w:pPr>
        <w:pStyle w:val="84"/>
        <w:spacing w:before="120" w:beforeLines="50"/>
        <w:ind w:firstLine="360" w:firstLineChars="200"/>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在选择栏中的“□”内作标识“√”。</w:t>
      </w:r>
      <w:r>
        <w:rPr>
          <w:color w:val="auto"/>
          <w:sz w:val="18"/>
          <w:szCs w:val="18"/>
          <w:highlight w:val="none"/>
        </w:rPr>
        <w:t xml:space="preserve"> </w:t>
      </w:r>
    </w:p>
    <w:p w14:paraId="37308560">
      <w:pPr>
        <w:pStyle w:val="84"/>
        <w:spacing w:before="120" w:beforeLines="50"/>
        <w:ind w:left="720" w:hanging="720" w:hangingChars="400"/>
        <w:rPr>
          <w:color w:val="auto"/>
          <w:sz w:val="18"/>
          <w:szCs w:val="18"/>
          <w:highlight w:val="none"/>
        </w:rPr>
      </w:pPr>
      <w:r>
        <w:rPr>
          <w:color w:val="auto"/>
          <w:sz w:val="18"/>
          <w:szCs w:val="18"/>
          <w:highlight w:val="none"/>
        </w:rPr>
        <w:t xml:space="preserve">        2.</w:t>
      </w:r>
      <w:r>
        <w:rPr>
          <w:rFonts w:hint="eastAsia"/>
          <w:color w:val="auto"/>
          <w:sz w:val="18"/>
          <w:szCs w:val="18"/>
          <w:highlight w:val="none"/>
        </w:rPr>
        <w:t>本表一式四份，由承包人填报，发包人、监理人、造价咨询人、承包人各存一份。</w:t>
      </w:r>
    </w:p>
    <w:p w14:paraId="0FFFE42F">
      <w:pPr>
        <w:pStyle w:val="84"/>
        <w:ind w:firstLine="600"/>
        <w:jc w:val="left"/>
        <w:rPr>
          <w:rFonts w:hAnsi="宋体" w:cs="宋体"/>
          <w:color w:val="auto"/>
          <w:sz w:val="30"/>
          <w:szCs w:val="30"/>
          <w:highlight w:val="none"/>
        </w:rPr>
      </w:pPr>
    </w:p>
    <w:p w14:paraId="353801F2">
      <w:pPr>
        <w:pStyle w:val="84"/>
        <w:ind w:firstLine="600"/>
        <w:jc w:val="left"/>
        <w:rPr>
          <w:rFonts w:hAnsi="宋体" w:cs="宋体"/>
          <w:color w:val="auto"/>
          <w:sz w:val="30"/>
          <w:szCs w:val="30"/>
          <w:highlight w:val="none"/>
        </w:rPr>
      </w:pPr>
    </w:p>
    <w:p w14:paraId="304C0546">
      <w:pPr>
        <w:pStyle w:val="84"/>
        <w:ind w:firstLine="600"/>
        <w:jc w:val="left"/>
        <w:rPr>
          <w:rFonts w:hAnsi="宋体" w:cs="宋体"/>
          <w:color w:val="auto"/>
          <w:sz w:val="30"/>
          <w:szCs w:val="30"/>
          <w:highlight w:val="none"/>
        </w:rPr>
      </w:pPr>
    </w:p>
    <w:p w14:paraId="6CC60818">
      <w:pPr>
        <w:pStyle w:val="84"/>
        <w:ind w:firstLine="600"/>
        <w:jc w:val="left"/>
        <w:rPr>
          <w:b/>
          <w:color w:val="auto"/>
          <w:sz w:val="30"/>
          <w:szCs w:val="30"/>
          <w:highlight w:val="none"/>
        </w:rPr>
      </w:pPr>
      <w:r>
        <w:rPr>
          <w:rFonts w:hint="eastAsia" w:hAnsi="宋体" w:cs="宋体"/>
          <w:color w:val="auto"/>
          <w:sz w:val="30"/>
          <w:szCs w:val="30"/>
          <w:highlight w:val="none"/>
        </w:rPr>
        <w:t>附件</w:t>
      </w:r>
      <w:r>
        <w:rPr>
          <w:rFonts w:hAnsi="宋体" w:cs="宋体"/>
          <w:color w:val="auto"/>
          <w:sz w:val="30"/>
          <w:szCs w:val="30"/>
          <w:highlight w:val="none"/>
        </w:rPr>
        <w:t>13</w:t>
      </w:r>
      <w:r>
        <w:rPr>
          <w:rFonts w:hint="eastAsia" w:hAnsi="宋体" w:cs="宋体"/>
          <w:color w:val="auto"/>
          <w:sz w:val="30"/>
          <w:szCs w:val="30"/>
          <w:highlight w:val="none"/>
        </w:rPr>
        <w:t>：</w:t>
      </w:r>
    </w:p>
    <w:p w14:paraId="32F4F108">
      <w:pPr>
        <w:pStyle w:val="84"/>
        <w:ind w:firstLine="723"/>
        <w:jc w:val="center"/>
        <w:rPr>
          <w:b/>
          <w:color w:val="auto"/>
          <w:sz w:val="36"/>
          <w:szCs w:val="36"/>
          <w:highlight w:val="none"/>
        </w:rPr>
      </w:pPr>
      <w:r>
        <w:rPr>
          <w:rFonts w:hint="eastAsia"/>
          <w:b/>
          <w:color w:val="auto"/>
          <w:sz w:val="36"/>
          <w:szCs w:val="36"/>
          <w:highlight w:val="none"/>
        </w:rPr>
        <w:t>最终结算款支付申请（核准）表</w:t>
      </w:r>
    </w:p>
    <w:p w14:paraId="5A3C8152">
      <w:pPr>
        <w:pStyle w:val="84"/>
        <w:ind w:firstLine="480"/>
        <w:rPr>
          <w:color w:val="auto"/>
          <w:sz w:val="24"/>
          <w:szCs w:val="24"/>
          <w:highlight w:val="none"/>
        </w:rPr>
      </w:pPr>
      <w:r>
        <w:rPr>
          <w:rFonts w:hint="eastAsia"/>
          <w:color w:val="auto"/>
          <w:sz w:val="24"/>
          <w:szCs w:val="24"/>
          <w:highlight w:val="none"/>
        </w:rPr>
        <w:t>工程名称：</w:t>
      </w:r>
      <w:r>
        <w:rPr>
          <w:color w:val="auto"/>
          <w:sz w:val="24"/>
          <w:szCs w:val="24"/>
          <w:highlight w:val="none"/>
        </w:rPr>
        <w:t xml:space="preserve">                                             </w:t>
      </w:r>
      <w:r>
        <w:rPr>
          <w:rFonts w:hint="eastAsia"/>
          <w:color w:val="auto"/>
          <w:sz w:val="24"/>
          <w:szCs w:val="24"/>
          <w:highlight w:val="none"/>
        </w:rPr>
        <w:t>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3992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3A1A9A0B">
            <w:pPr>
              <w:pStyle w:val="84"/>
              <w:spacing w:line="480" w:lineRule="exact"/>
              <w:ind w:left="525" w:leftChars="149" w:hanging="212" w:hangingChars="101"/>
              <w:rPr>
                <w:color w:val="auto"/>
                <w:highlight w:val="none"/>
                <w:u w:val="single"/>
              </w:rPr>
            </w:pPr>
            <w:r>
              <w:rPr>
                <w:rFonts w:hint="eastAsia"/>
                <w:color w:val="auto"/>
                <w:highlight w:val="none"/>
              </w:rPr>
              <w:t>致：</w:t>
            </w:r>
            <w:r>
              <w:rPr>
                <w:color w:val="auto"/>
                <w:highlight w:val="none"/>
                <w:u w:val="single"/>
              </w:rPr>
              <w:t xml:space="preserve">                                   </w:t>
            </w:r>
            <w:r>
              <w:rPr>
                <w:rFonts w:hint="eastAsia"/>
                <w:color w:val="auto"/>
                <w:highlight w:val="none"/>
                <w:u w:val="single"/>
              </w:rPr>
              <w:t>（发包人全称）</w:t>
            </w:r>
          </w:p>
          <w:p w14:paraId="0E60D4AA">
            <w:pPr>
              <w:pStyle w:val="84"/>
              <w:spacing w:line="400" w:lineRule="exact"/>
              <w:ind w:left="-4" w:leftChars="-2" w:firstLine="315" w:firstLineChars="150"/>
              <w:rPr>
                <w:color w:val="auto"/>
                <w:highlight w:val="none"/>
              </w:rPr>
            </w:pPr>
            <w:r>
              <w:rPr>
                <w:rFonts w:hint="eastAsia"/>
                <w:color w:val="auto"/>
                <w:highlight w:val="none"/>
              </w:rPr>
              <w:t>我方于</w:t>
            </w:r>
            <w:r>
              <w:rPr>
                <w:color w:val="auto"/>
                <w:highlight w:val="none"/>
                <w:u w:val="single"/>
              </w:rPr>
              <w:t xml:space="preserve">         </w:t>
            </w:r>
            <w:r>
              <w:rPr>
                <w:rFonts w:hint="eastAsia"/>
                <w:color w:val="auto"/>
                <w:highlight w:val="none"/>
              </w:rPr>
              <w:t>至</w:t>
            </w:r>
            <w:r>
              <w:rPr>
                <w:color w:val="auto"/>
                <w:highlight w:val="none"/>
                <w:u w:val="single"/>
              </w:rPr>
              <w:t xml:space="preserve">          </w:t>
            </w:r>
            <w:r>
              <w:rPr>
                <w:rFonts w:hint="eastAsia"/>
                <w:color w:val="auto"/>
                <w:highlight w:val="none"/>
              </w:rPr>
              <w:t>期间已完成了缺陷修复工作，根据施工合同的约定，现申请支付最终结清合同款额为</w:t>
            </w:r>
            <w:r>
              <w:rPr>
                <w:color w:val="auto"/>
                <w:highlight w:val="none"/>
              </w:rPr>
              <w:t>(</w:t>
            </w:r>
            <w:r>
              <w:rPr>
                <w:rFonts w:hint="eastAsia"/>
                <w:color w:val="auto"/>
                <w:highlight w:val="none"/>
              </w:rPr>
              <w:t>大写</w:t>
            </w:r>
            <w:r>
              <w:rPr>
                <w:color w:val="auto"/>
                <w:highlight w:val="none"/>
              </w:rPr>
              <w:t>)</w:t>
            </w:r>
            <w:r>
              <w:rPr>
                <w:color w:val="auto"/>
                <w:highlight w:val="none"/>
                <w:u w:val="single"/>
              </w:rPr>
              <w:t xml:space="preserve">            </w:t>
            </w:r>
            <w:r>
              <w:rPr>
                <w:rFonts w:hint="eastAsia"/>
                <w:color w:val="auto"/>
                <w:highlight w:val="none"/>
              </w:rPr>
              <w:t>元，</w:t>
            </w:r>
            <w:r>
              <w:rPr>
                <w:color w:val="auto"/>
                <w:highlight w:val="none"/>
              </w:rPr>
              <w:t>(</w:t>
            </w:r>
            <w:r>
              <w:rPr>
                <w:rFonts w:hint="eastAsia"/>
                <w:color w:val="auto"/>
                <w:highlight w:val="none"/>
              </w:rPr>
              <w:t>小写</w:t>
            </w:r>
            <w:r>
              <w:rPr>
                <w:color w:val="auto"/>
                <w:highlight w:val="none"/>
              </w:rPr>
              <w:t>)</w:t>
            </w:r>
            <w:r>
              <w:rPr>
                <w:color w:val="auto"/>
                <w:highlight w:val="none"/>
                <w:u w:val="single"/>
              </w:rPr>
              <w:t xml:space="preserve">         </w:t>
            </w:r>
            <w:r>
              <w:rPr>
                <w:rFonts w:hint="eastAsia"/>
                <w:color w:val="auto"/>
                <w:highlight w:val="none"/>
              </w:rPr>
              <w:t>元，请予核准。</w:t>
            </w:r>
          </w:p>
          <w:tbl>
            <w:tblPr>
              <w:tblStyle w:val="2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EEA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7A079D6A">
                  <w:pPr>
                    <w:pStyle w:val="84"/>
                    <w:spacing w:line="280" w:lineRule="exact"/>
                    <w:jc w:val="center"/>
                    <w:rPr>
                      <w:color w:val="auto"/>
                      <w:highlight w:val="none"/>
                    </w:rPr>
                  </w:pPr>
                  <w:r>
                    <w:rPr>
                      <w:rFonts w:hint="eastAsia"/>
                      <w:color w:val="auto"/>
                      <w:highlight w:val="none"/>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0DA3608D">
                  <w:pPr>
                    <w:pStyle w:val="84"/>
                    <w:spacing w:line="280" w:lineRule="exact"/>
                    <w:jc w:val="center"/>
                    <w:rPr>
                      <w:color w:val="auto"/>
                      <w:highlight w:val="none"/>
                    </w:rPr>
                  </w:pPr>
                  <w:r>
                    <w:rPr>
                      <w:rFonts w:hint="eastAsia"/>
                      <w:color w:val="auto"/>
                      <w:highlight w:val="none"/>
                    </w:rPr>
                    <w:t>名</w:t>
                  </w:r>
                  <w:r>
                    <w:rPr>
                      <w:color w:val="auto"/>
                      <w:highlight w:val="none"/>
                    </w:rPr>
                    <w:t xml:space="preserve">      </w:t>
                  </w:r>
                  <w:r>
                    <w:rPr>
                      <w:rFonts w:hint="eastAsia"/>
                      <w:color w:val="auto"/>
                      <w:highlight w:val="none"/>
                    </w:rPr>
                    <w:t>称</w:t>
                  </w:r>
                </w:p>
              </w:tc>
              <w:tc>
                <w:tcPr>
                  <w:tcW w:w="1620" w:type="dxa"/>
                  <w:tcBorders>
                    <w:top w:val="single" w:color="auto" w:sz="4" w:space="0"/>
                    <w:left w:val="single" w:color="auto" w:sz="4" w:space="0"/>
                    <w:bottom w:val="single" w:color="auto" w:sz="4" w:space="0"/>
                    <w:right w:val="single" w:color="auto" w:sz="4" w:space="0"/>
                  </w:tcBorders>
                  <w:vAlign w:val="center"/>
                </w:tcPr>
                <w:p w14:paraId="5D4F5236">
                  <w:pPr>
                    <w:pStyle w:val="84"/>
                    <w:spacing w:line="280" w:lineRule="exact"/>
                    <w:jc w:val="center"/>
                    <w:rPr>
                      <w:color w:val="auto"/>
                      <w:highlight w:val="none"/>
                    </w:rPr>
                  </w:pPr>
                  <w:r>
                    <w:rPr>
                      <w:rFonts w:hint="eastAsia"/>
                      <w:color w:val="auto"/>
                      <w:highlight w:val="none"/>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07FD96C1">
                  <w:pPr>
                    <w:pStyle w:val="84"/>
                    <w:spacing w:line="280" w:lineRule="exact"/>
                    <w:jc w:val="center"/>
                    <w:rPr>
                      <w:color w:val="auto"/>
                      <w:highlight w:val="none"/>
                    </w:rPr>
                  </w:pPr>
                  <w:r>
                    <w:rPr>
                      <w:rFonts w:hint="eastAsia"/>
                      <w:color w:val="auto"/>
                      <w:highlight w:val="none"/>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1716633D">
                  <w:pPr>
                    <w:pStyle w:val="84"/>
                    <w:spacing w:line="280" w:lineRule="exact"/>
                    <w:jc w:val="center"/>
                    <w:rPr>
                      <w:color w:val="auto"/>
                      <w:highlight w:val="none"/>
                    </w:rPr>
                  </w:pPr>
                  <w:r>
                    <w:rPr>
                      <w:rFonts w:hint="eastAsia"/>
                      <w:color w:val="auto"/>
                      <w:highlight w:val="none"/>
                    </w:rPr>
                    <w:t>备注</w:t>
                  </w:r>
                </w:p>
              </w:tc>
            </w:tr>
            <w:tr w14:paraId="6E8A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C9B82CC">
                  <w:pPr>
                    <w:pStyle w:val="84"/>
                    <w:spacing w:line="280" w:lineRule="exact"/>
                    <w:jc w:val="center"/>
                    <w:rPr>
                      <w:color w:val="auto"/>
                      <w:highlight w:val="none"/>
                    </w:rPr>
                  </w:pPr>
                  <w:r>
                    <w:rPr>
                      <w:color w:val="auto"/>
                      <w:highlight w:val="none"/>
                    </w:rPr>
                    <w:t>1</w:t>
                  </w:r>
                </w:p>
              </w:tc>
              <w:tc>
                <w:tcPr>
                  <w:tcW w:w="3420" w:type="dxa"/>
                  <w:tcBorders>
                    <w:top w:val="single" w:color="auto" w:sz="4" w:space="0"/>
                    <w:left w:val="single" w:color="auto" w:sz="4" w:space="0"/>
                    <w:bottom w:val="single" w:color="auto" w:sz="4" w:space="0"/>
                    <w:right w:val="single" w:color="auto" w:sz="4" w:space="0"/>
                  </w:tcBorders>
                </w:tcPr>
                <w:p w14:paraId="2DA116D8">
                  <w:pPr>
                    <w:pStyle w:val="84"/>
                    <w:spacing w:line="280" w:lineRule="exact"/>
                    <w:rPr>
                      <w:color w:val="auto"/>
                      <w:highlight w:val="none"/>
                    </w:rPr>
                  </w:pPr>
                  <w:r>
                    <w:rPr>
                      <w:rFonts w:hint="eastAsia"/>
                      <w:color w:val="auto"/>
                      <w:highlight w:val="none"/>
                    </w:rPr>
                    <w:t>已预留的质量保证金</w:t>
                  </w:r>
                </w:p>
              </w:tc>
              <w:tc>
                <w:tcPr>
                  <w:tcW w:w="1620" w:type="dxa"/>
                  <w:tcBorders>
                    <w:top w:val="single" w:color="auto" w:sz="4" w:space="0"/>
                    <w:left w:val="single" w:color="auto" w:sz="4" w:space="0"/>
                    <w:bottom w:val="single" w:color="auto" w:sz="4" w:space="0"/>
                    <w:right w:val="single" w:color="auto" w:sz="4" w:space="0"/>
                  </w:tcBorders>
                </w:tcPr>
                <w:p w14:paraId="31E5A6A3">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2B98C0B1">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5D1B02EC">
                  <w:pPr>
                    <w:pStyle w:val="84"/>
                    <w:spacing w:line="280" w:lineRule="exact"/>
                    <w:rPr>
                      <w:color w:val="auto"/>
                      <w:highlight w:val="none"/>
                    </w:rPr>
                  </w:pPr>
                </w:p>
              </w:tc>
            </w:tr>
            <w:tr w14:paraId="1932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CA290E1">
                  <w:pPr>
                    <w:pStyle w:val="84"/>
                    <w:spacing w:line="280" w:lineRule="exact"/>
                    <w:jc w:val="center"/>
                    <w:rPr>
                      <w:color w:val="auto"/>
                      <w:highlight w:val="none"/>
                    </w:rPr>
                  </w:pPr>
                  <w:r>
                    <w:rPr>
                      <w:color w:val="auto"/>
                      <w:highlight w:val="none"/>
                    </w:rPr>
                    <w:t>2</w:t>
                  </w:r>
                </w:p>
              </w:tc>
              <w:tc>
                <w:tcPr>
                  <w:tcW w:w="3420" w:type="dxa"/>
                  <w:tcBorders>
                    <w:top w:val="single" w:color="auto" w:sz="4" w:space="0"/>
                    <w:left w:val="single" w:color="auto" w:sz="4" w:space="0"/>
                    <w:bottom w:val="single" w:color="auto" w:sz="4" w:space="0"/>
                    <w:right w:val="single" w:color="auto" w:sz="4" w:space="0"/>
                  </w:tcBorders>
                </w:tcPr>
                <w:p w14:paraId="71DF0A58">
                  <w:pPr>
                    <w:pStyle w:val="84"/>
                    <w:spacing w:line="280" w:lineRule="exact"/>
                    <w:rPr>
                      <w:color w:val="auto"/>
                      <w:highlight w:val="none"/>
                    </w:rPr>
                  </w:pPr>
                  <w:r>
                    <w:rPr>
                      <w:rFonts w:hint="eastAsia"/>
                      <w:color w:val="auto"/>
                      <w:highlight w:val="none"/>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tcPr>
                <w:p w14:paraId="202888F1">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053539A2">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64798468">
                  <w:pPr>
                    <w:pStyle w:val="84"/>
                    <w:spacing w:line="280" w:lineRule="exact"/>
                    <w:rPr>
                      <w:color w:val="auto"/>
                      <w:highlight w:val="none"/>
                    </w:rPr>
                  </w:pPr>
                </w:p>
              </w:tc>
            </w:tr>
            <w:tr w14:paraId="2C1C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30C05E5">
                  <w:pPr>
                    <w:pStyle w:val="84"/>
                    <w:spacing w:line="280" w:lineRule="exact"/>
                    <w:jc w:val="center"/>
                    <w:rPr>
                      <w:color w:val="auto"/>
                      <w:highlight w:val="none"/>
                    </w:rPr>
                  </w:pPr>
                  <w:r>
                    <w:rPr>
                      <w:color w:val="auto"/>
                      <w:highlight w:val="none"/>
                    </w:rPr>
                    <w:t>3</w:t>
                  </w:r>
                </w:p>
              </w:tc>
              <w:tc>
                <w:tcPr>
                  <w:tcW w:w="3420" w:type="dxa"/>
                  <w:tcBorders>
                    <w:top w:val="single" w:color="auto" w:sz="4" w:space="0"/>
                    <w:left w:val="single" w:color="auto" w:sz="4" w:space="0"/>
                    <w:bottom w:val="single" w:color="auto" w:sz="4" w:space="0"/>
                    <w:right w:val="single" w:color="auto" w:sz="4" w:space="0"/>
                  </w:tcBorders>
                </w:tcPr>
                <w:p w14:paraId="27728216">
                  <w:pPr>
                    <w:pStyle w:val="84"/>
                    <w:spacing w:line="280" w:lineRule="exact"/>
                    <w:rPr>
                      <w:color w:val="auto"/>
                      <w:highlight w:val="none"/>
                    </w:rPr>
                  </w:pPr>
                  <w:r>
                    <w:rPr>
                      <w:rFonts w:hint="eastAsia"/>
                      <w:color w:val="auto"/>
                      <w:highlight w:val="none"/>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tcPr>
                <w:p w14:paraId="2AC8B65A">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679ACACA">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4A8E68E7">
                  <w:pPr>
                    <w:pStyle w:val="84"/>
                    <w:spacing w:line="280" w:lineRule="exact"/>
                    <w:rPr>
                      <w:color w:val="auto"/>
                      <w:highlight w:val="none"/>
                    </w:rPr>
                  </w:pPr>
                </w:p>
              </w:tc>
            </w:tr>
            <w:tr w14:paraId="6AF6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E4B713A">
                  <w:pPr>
                    <w:pStyle w:val="84"/>
                    <w:spacing w:line="280" w:lineRule="exact"/>
                    <w:jc w:val="center"/>
                    <w:rPr>
                      <w:color w:val="auto"/>
                      <w:highlight w:val="none"/>
                    </w:rPr>
                  </w:pPr>
                  <w:r>
                    <w:rPr>
                      <w:color w:val="auto"/>
                      <w:highlight w:val="none"/>
                    </w:rPr>
                    <w:t>4</w:t>
                  </w:r>
                </w:p>
              </w:tc>
              <w:tc>
                <w:tcPr>
                  <w:tcW w:w="3420" w:type="dxa"/>
                  <w:tcBorders>
                    <w:top w:val="single" w:color="auto" w:sz="4" w:space="0"/>
                    <w:left w:val="single" w:color="auto" w:sz="4" w:space="0"/>
                    <w:bottom w:val="single" w:color="auto" w:sz="4" w:space="0"/>
                    <w:right w:val="single" w:color="auto" w:sz="4" w:space="0"/>
                  </w:tcBorders>
                </w:tcPr>
                <w:p w14:paraId="3A097852">
                  <w:pPr>
                    <w:pStyle w:val="84"/>
                    <w:spacing w:line="280" w:lineRule="exact"/>
                    <w:rPr>
                      <w:color w:val="auto"/>
                      <w:highlight w:val="none"/>
                    </w:rPr>
                  </w:pPr>
                  <w:r>
                    <w:rPr>
                      <w:rFonts w:hint="eastAsia"/>
                      <w:color w:val="auto"/>
                      <w:highlight w:val="none"/>
                    </w:rPr>
                    <w:t>最终应支付的合同价款</w:t>
                  </w:r>
                </w:p>
              </w:tc>
              <w:tc>
                <w:tcPr>
                  <w:tcW w:w="1620" w:type="dxa"/>
                  <w:tcBorders>
                    <w:top w:val="single" w:color="auto" w:sz="4" w:space="0"/>
                    <w:left w:val="single" w:color="auto" w:sz="4" w:space="0"/>
                    <w:bottom w:val="single" w:color="auto" w:sz="4" w:space="0"/>
                    <w:right w:val="single" w:color="auto" w:sz="4" w:space="0"/>
                  </w:tcBorders>
                </w:tcPr>
                <w:p w14:paraId="6CC19498">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2F835F67">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3076F688">
                  <w:pPr>
                    <w:pStyle w:val="84"/>
                    <w:spacing w:line="280" w:lineRule="exact"/>
                    <w:rPr>
                      <w:color w:val="auto"/>
                      <w:highlight w:val="none"/>
                    </w:rPr>
                  </w:pPr>
                </w:p>
              </w:tc>
            </w:tr>
            <w:tr w14:paraId="0021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E9890B8">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551890BA">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14CE17F7">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14FAC8FC">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168682CE">
                  <w:pPr>
                    <w:pStyle w:val="84"/>
                    <w:spacing w:line="280" w:lineRule="exact"/>
                    <w:rPr>
                      <w:color w:val="auto"/>
                      <w:highlight w:val="none"/>
                    </w:rPr>
                  </w:pPr>
                </w:p>
              </w:tc>
            </w:tr>
            <w:tr w14:paraId="5104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3AB4E04">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49745037">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0C4F0438">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65ACFDE9">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ECB7BDC">
                  <w:pPr>
                    <w:pStyle w:val="84"/>
                    <w:spacing w:line="280" w:lineRule="exact"/>
                    <w:rPr>
                      <w:color w:val="auto"/>
                      <w:highlight w:val="none"/>
                    </w:rPr>
                  </w:pPr>
                </w:p>
              </w:tc>
            </w:tr>
            <w:tr w14:paraId="0CFA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B69BECE">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27EE6839">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73254663">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502BBA25">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744FE964">
                  <w:pPr>
                    <w:pStyle w:val="84"/>
                    <w:spacing w:line="280" w:lineRule="exact"/>
                    <w:rPr>
                      <w:color w:val="auto"/>
                      <w:highlight w:val="none"/>
                    </w:rPr>
                  </w:pPr>
                </w:p>
              </w:tc>
            </w:tr>
            <w:tr w14:paraId="71AA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4753797">
                  <w:pPr>
                    <w:pStyle w:val="84"/>
                    <w:spacing w:line="280" w:lineRule="exact"/>
                    <w:jc w:val="center"/>
                    <w:rPr>
                      <w:color w:val="auto"/>
                      <w:highlight w:val="none"/>
                    </w:rPr>
                  </w:pPr>
                </w:p>
              </w:tc>
              <w:tc>
                <w:tcPr>
                  <w:tcW w:w="3420" w:type="dxa"/>
                  <w:tcBorders>
                    <w:top w:val="single" w:color="auto" w:sz="4" w:space="0"/>
                    <w:left w:val="single" w:color="auto" w:sz="4" w:space="0"/>
                    <w:bottom w:val="single" w:color="auto" w:sz="4" w:space="0"/>
                    <w:right w:val="single" w:color="auto" w:sz="4" w:space="0"/>
                  </w:tcBorders>
                </w:tcPr>
                <w:p w14:paraId="468C1FE4">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74DBF2D8">
                  <w:pPr>
                    <w:pStyle w:val="84"/>
                    <w:spacing w:line="280" w:lineRule="exact"/>
                    <w:rPr>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4CB33103">
                  <w:pPr>
                    <w:pStyle w:val="84"/>
                    <w:spacing w:line="280" w:lineRule="exact"/>
                    <w:rPr>
                      <w:color w:val="auto"/>
                      <w:highlight w:val="none"/>
                    </w:rPr>
                  </w:pPr>
                </w:p>
              </w:tc>
              <w:tc>
                <w:tcPr>
                  <w:tcW w:w="1651" w:type="dxa"/>
                  <w:tcBorders>
                    <w:top w:val="single" w:color="auto" w:sz="4" w:space="0"/>
                    <w:left w:val="single" w:color="auto" w:sz="4" w:space="0"/>
                    <w:bottom w:val="single" w:color="auto" w:sz="4" w:space="0"/>
                    <w:right w:val="single" w:color="auto" w:sz="4" w:space="0"/>
                  </w:tcBorders>
                </w:tcPr>
                <w:p w14:paraId="1D8AE6A5">
                  <w:pPr>
                    <w:pStyle w:val="84"/>
                    <w:spacing w:line="280" w:lineRule="exact"/>
                    <w:rPr>
                      <w:color w:val="auto"/>
                      <w:highlight w:val="none"/>
                    </w:rPr>
                  </w:pPr>
                </w:p>
              </w:tc>
            </w:tr>
          </w:tbl>
          <w:p w14:paraId="66E56BF2">
            <w:pPr>
              <w:pStyle w:val="84"/>
              <w:spacing w:line="400" w:lineRule="exact"/>
              <w:ind w:right="420" w:firstLine="420"/>
              <w:jc w:val="center"/>
              <w:rPr>
                <w:color w:val="auto"/>
                <w:highlight w:val="none"/>
              </w:rPr>
            </w:pPr>
            <w:r>
              <w:rPr>
                <w:color w:val="auto"/>
                <w:highlight w:val="none"/>
              </w:rPr>
              <w:t xml:space="preserve">                                            </w:t>
            </w:r>
            <w:r>
              <w:rPr>
                <w:rFonts w:hint="eastAsia"/>
                <w:color w:val="auto"/>
                <w:highlight w:val="none"/>
              </w:rPr>
              <w:t>承包人（章）</w:t>
            </w:r>
            <w:r>
              <w:rPr>
                <w:color w:val="auto"/>
                <w:highlight w:val="none"/>
              </w:rPr>
              <w:t xml:space="preserve">             </w:t>
            </w:r>
          </w:p>
          <w:p w14:paraId="4D428A4B">
            <w:pPr>
              <w:pStyle w:val="84"/>
              <w:spacing w:line="400" w:lineRule="exact"/>
              <w:ind w:right="420" w:firstLine="420"/>
              <w:rPr>
                <w:color w:val="auto"/>
                <w:highlight w:val="none"/>
              </w:rPr>
            </w:pPr>
            <w:r>
              <w:rPr>
                <w:rFonts w:hint="eastAsia"/>
                <w:color w:val="auto"/>
                <w:highlight w:val="none"/>
              </w:rPr>
              <w:t>造价人员</w:t>
            </w:r>
            <w:r>
              <w:rPr>
                <w:color w:val="auto"/>
                <w:highlight w:val="none"/>
                <w:u w:val="single"/>
              </w:rPr>
              <w:t xml:space="preserve">               </w:t>
            </w:r>
            <w:r>
              <w:rPr>
                <w:rFonts w:hint="eastAsia"/>
                <w:color w:val="auto"/>
                <w:highlight w:val="none"/>
              </w:rPr>
              <w:t>承包人代表</w:t>
            </w:r>
            <w:r>
              <w:rPr>
                <w:color w:val="auto"/>
                <w:highlight w:val="none"/>
                <w:u w:val="singl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r w14:paraId="0200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tcBorders>
              <w:top w:val="single" w:color="auto" w:sz="4" w:space="0"/>
              <w:left w:val="single" w:color="auto" w:sz="4" w:space="0"/>
              <w:bottom w:val="single" w:color="auto" w:sz="4" w:space="0"/>
              <w:right w:val="single" w:color="auto" w:sz="4" w:space="0"/>
            </w:tcBorders>
          </w:tcPr>
          <w:p w14:paraId="72C50C90">
            <w:pPr>
              <w:pStyle w:val="84"/>
              <w:spacing w:line="360" w:lineRule="exact"/>
              <w:rPr>
                <w:color w:val="auto"/>
                <w:highlight w:val="none"/>
              </w:rPr>
            </w:pPr>
            <w:r>
              <w:rPr>
                <w:rFonts w:hint="eastAsia"/>
                <w:color w:val="auto"/>
                <w:highlight w:val="none"/>
              </w:rPr>
              <w:t>复核意见：</w:t>
            </w:r>
          </w:p>
          <w:p w14:paraId="44FAAFF3">
            <w:pPr>
              <w:pStyle w:val="84"/>
              <w:spacing w:line="360" w:lineRule="exact"/>
              <w:ind w:firstLine="420"/>
              <w:rPr>
                <w:color w:val="auto"/>
                <w:highlight w:val="none"/>
              </w:rPr>
            </w:pPr>
            <w:r>
              <w:rPr>
                <w:rFonts w:hint="eastAsia"/>
                <w:color w:val="auto"/>
                <w:highlight w:val="none"/>
              </w:rPr>
              <w:t>□与实际施工情况不相符，修改意见见附件。</w:t>
            </w:r>
          </w:p>
          <w:p w14:paraId="20A64A73">
            <w:pPr>
              <w:pStyle w:val="84"/>
              <w:spacing w:line="360" w:lineRule="exact"/>
              <w:ind w:firstLine="420"/>
              <w:rPr>
                <w:color w:val="auto"/>
                <w:highlight w:val="none"/>
              </w:rPr>
            </w:pPr>
            <w:r>
              <w:rPr>
                <w:rFonts w:hint="eastAsia"/>
                <w:color w:val="auto"/>
                <w:highlight w:val="none"/>
              </w:rPr>
              <w:t>□与实际施工情况相符，具体金额由造价工程师复核</w:t>
            </w:r>
          </w:p>
          <w:p w14:paraId="75B8B367">
            <w:pPr>
              <w:pStyle w:val="84"/>
              <w:spacing w:line="360" w:lineRule="exact"/>
              <w:ind w:firstLine="420"/>
              <w:jc w:val="center"/>
              <w:rPr>
                <w:color w:val="auto"/>
                <w:highlight w:val="none"/>
              </w:rPr>
            </w:pPr>
            <w:r>
              <w:rPr>
                <w:color w:val="auto"/>
                <w:highlight w:val="none"/>
              </w:rPr>
              <w:t xml:space="preserve">         </w:t>
            </w:r>
          </w:p>
          <w:p w14:paraId="30E9B456">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监理工程师</w:t>
            </w:r>
            <w:r>
              <w:rPr>
                <w:color w:val="auto"/>
                <w:highlight w:val="none"/>
                <w:u w:val="single"/>
              </w:rPr>
              <w:t xml:space="preserve">           </w:t>
            </w:r>
          </w:p>
          <w:p w14:paraId="7EBE1035">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c>
          <w:tcPr>
            <w:tcW w:w="4533" w:type="dxa"/>
            <w:tcBorders>
              <w:top w:val="single" w:color="auto" w:sz="4" w:space="0"/>
              <w:left w:val="single" w:color="auto" w:sz="4" w:space="0"/>
              <w:bottom w:val="single" w:color="auto" w:sz="4" w:space="0"/>
              <w:right w:val="single" w:color="auto" w:sz="4" w:space="0"/>
            </w:tcBorders>
          </w:tcPr>
          <w:p w14:paraId="43E87AAB">
            <w:pPr>
              <w:pStyle w:val="84"/>
              <w:spacing w:line="360" w:lineRule="exact"/>
              <w:rPr>
                <w:color w:val="auto"/>
                <w:highlight w:val="none"/>
              </w:rPr>
            </w:pPr>
            <w:r>
              <w:rPr>
                <w:rFonts w:hint="eastAsia"/>
                <w:color w:val="auto"/>
                <w:highlight w:val="none"/>
              </w:rPr>
              <w:t>复核意见：</w:t>
            </w:r>
          </w:p>
          <w:p w14:paraId="74E171C7">
            <w:pPr>
              <w:pStyle w:val="84"/>
              <w:spacing w:line="360" w:lineRule="exact"/>
              <w:ind w:firstLine="420"/>
              <w:rPr>
                <w:color w:val="auto"/>
                <w:highlight w:val="none"/>
                <w:u w:val="single"/>
              </w:rPr>
            </w:pPr>
            <w:r>
              <w:rPr>
                <w:rFonts w:hint="eastAsia"/>
                <w:color w:val="auto"/>
                <w:highlight w:val="none"/>
              </w:rPr>
              <w:t>你方提出的支付申请经复核，最终应支付金额为（大写）</w:t>
            </w:r>
            <w:r>
              <w:rPr>
                <w:color w:val="auto"/>
                <w:highlight w:val="none"/>
                <w:u w:val="single"/>
              </w:rPr>
              <w:t xml:space="preserve">          </w:t>
            </w:r>
            <w:r>
              <w:rPr>
                <w:rFonts w:hint="eastAsia"/>
                <w:color w:val="auto"/>
                <w:highlight w:val="none"/>
              </w:rPr>
              <w:t>元，（小写）</w:t>
            </w:r>
            <w:r>
              <w:rPr>
                <w:color w:val="auto"/>
                <w:highlight w:val="none"/>
              </w:rPr>
              <w:t xml:space="preserve">  </w:t>
            </w:r>
            <w:r>
              <w:rPr>
                <w:color w:val="auto"/>
                <w:highlight w:val="none"/>
                <w:u w:val="single"/>
              </w:rPr>
              <w:t xml:space="preserve">       </w:t>
            </w:r>
            <w:r>
              <w:rPr>
                <w:rFonts w:hint="eastAsia"/>
                <w:color w:val="auto"/>
                <w:highlight w:val="none"/>
              </w:rPr>
              <w:t>元。</w:t>
            </w:r>
          </w:p>
          <w:p w14:paraId="020B5B8D">
            <w:pPr>
              <w:pStyle w:val="84"/>
              <w:spacing w:line="360" w:lineRule="exact"/>
              <w:ind w:firstLine="420"/>
              <w:jc w:val="center"/>
              <w:rPr>
                <w:color w:val="auto"/>
                <w:highlight w:val="none"/>
              </w:rPr>
            </w:pPr>
            <w:r>
              <w:rPr>
                <w:color w:val="auto"/>
                <w:highlight w:val="none"/>
              </w:rPr>
              <w:t xml:space="preserve">    </w:t>
            </w:r>
          </w:p>
          <w:p w14:paraId="4D9381EA">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造价工程师</w:t>
            </w:r>
            <w:r>
              <w:rPr>
                <w:color w:val="auto"/>
                <w:highlight w:val="none"/>
                <w:u w:val="single"/>
              </w:rPr>
              <w:t xml:space="preserve">           </w:t>
            </w:r>
          </w:p>
          <w:p w14:paraId="425E6C5B">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r w14:paraId="391A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5F128306">
            <w:pPr>
              <w:pStyle w:val="84"/>
              <w:spacing w:line="400" w:lineRule="exact"/>
              <w:rPr>
                <w:color w:val="auto"/>
                <w:highlight w:val="none"/>
              </w:rPr>
            </w:pPr>
            <w:r>
              <w:rPr>
                <w:rFonts w:hint="eastAsia"/>
                <w:color w:val="auto"/>
                <w:highlight w:val="none"/>
              </w:rPr>
              <w:t>审核意见：</w:t>
            </w:r>
          </w:p>
          <w:p w14:paraId="60DE538B">
            <w:pPr>
              <w:pStyle w:val="84"/>
              <w:spacing w:line="400" w:lineRule="exact"/>
              <w:ind w:firstLine="420"/>
              <w:rPr>
                <w:color w:val="auto"/>
                <w:highlight w:val="none"/>
              </w:rPr>
            </w:pPr>
            <w:r>
              <w:rPr>
                <w:rFonts w:hint="eastAsia"/>
                <w:color w:val="auto"/>
                <w:highlight w:val="none"/>
              </w:rPr>
              <w:t>□不同意。</w:t>
            </w:r>
          </w:p>
          <w:p w14:paraId="7CE29273">
            <w:pPr>
              <w:pStyle w:val="84"/>
              <w:spacing w:line="400" w:lineRule="exact"/>
              <w:ind w:firstLine="420" w:firstLineChars="200"/>
              <w:rPr>
                <w:color w:val="auto"/>
                <w:highlight w:val="none"/>
              </w:rPr>
            </w:pPr>
            <w:r>
              <w:rPr>
                <w:rFonts w:hint="eastAsia"/>
                <w:color w:val="auto"/>
                <w:highlight w:val="none"/>
              </w:rPr>
              <w:t>□同意，支付时间为本表签发后的</w:t>
            </w:r>
            <w:r>
              <w:rPr>
                <w:color w:val="auto"/>
                <w:highlight w:val="none"/>
              </w:rPr>
              <w:t>15</w:t>
            </w:r>
            <w:r>
              <w:rPr>
                <w:rFonts w:hint="eastAsia"/>
                <w:color w:val="auto"/>
                <w:highlight w:val="none"/>
              </w:rPr>
              <w:t>天内。</w:t>
            </w:r>
          </w:p>
          <w:p w14:paraId="1974AA05">
            <w:pPr>
              <w:pStyle w:val="84"/>
              <w:wordWrap w:val="0"/>
              <w:spacing w:line="400" w:lineRule="exact"/>
              <w:ind w:firstLine="420" w:firstLineChars="200"/>
              <w:jc w:val="right"/>
              <w:rPr>
                <w:color w:val="auto"/>
                <w:highlight w:val="none"/>
              </w:rPr>
            </w:pPr>
            <w:r>
              <w:rPr>
                <w:rFonts w:hint="eastAsia"/>
                <w:color w:val="auto"/>
                <w:highlight w:val="none"/>
              </w:rPr>
              <w:t>发包人（章）</w:t>
            </w:r>
            <w:r>
              <w:rPr>
                <w:color w:val="auto"/>
                <w:highlight w:val="none"/>
              </w:rPr>
              <w:t xml:space="preserve">           </w:t>
            </w:r>
          </w:p>
          <w:p w14:paraId="4CDF388A">
            <w:pPr>
              <w:pStyle w:val="84"/>
              <w:wordWrap w:val="0"/>
              <w:spacing w:line="400" w:lineRule="exact"/>
              <w:ind w:firstLine="420" w:firstLineChars="200"/>
              <w:jc w:val="right"/>
              <w:rPr>
                <w:color w:val="auto"/>
                <w:highlight w:val="none"/>
                <w:u w:val="single"/>
              </w:rPr>
            </w:pPr>
            <w:r>
              <w:rPr>
                <w:rFonts w:hint="eastAsia"/>
                <w:color w:val="auto"/>
                <w:highlight w:val="none"/>
              </w:rPr>
              <w:t>发包人代表</w:t>
            </w:r>
            <w:r>
              <w:rPr>
                <w:color w:val="auto"/>
                <w:highlight w:val="none"/>
                <w:u w:val="single"/>
              </w:rPr>
              <w:t xml:space="preserve">             </w:t>
            </w:r>
          </w:p>
          <w:p w14:paraId="2CDBD6B6">
            <w:pPr>
              <w:pStyle w:val="84"/>
              <w:wordWrap w:val="0"/>
              <w:spacing w:line="400" w:lineRule="exact"/>
              <w:ind w:firstLine="420" w:firstLineChars="200"/>
              <w:jc w:val="right"/>
              <w:rPr>
                <w:color w:val="auto"/>
                <w:highlight w:val="none"/>
                <w:u w:val="singl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bl>
    <w:p w14:paraId="441525E5">
      <w:pPr>
        <w:pStyle w:val="84"/>
        <w:spacing w:before="120" w:beforeLines="50"/>
        <w:ind w:firstLine="360" w:firstLineChars="200"/>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在选择栏中的“□”内作标识“√”。</w:t>
      </w:r>
      <w:r>
        <w:rPr>
          <w:color w:val="auto"/>
          <w:sz w:val="18"/>
          <w:szCs w:val="18"/>
          <w:highlight w:val="none"/>
        </w:rPr>
        <w:t xml:space="preserve"> </w:t>
      </w:r>
      <w:r>
        <w:rPr>
          <w:rFonts w:hint="eastAsia"/>
          <w:color w:val="auto"/>
          <w:sz w:val="18"/>
          <w:szCs w:val="18"/>
          <w:highlight w:val="none"/>
        </w:rPr>
        <w:t>如监理人已退场，监理工程师栏可空缺。</w:t>
      </w:r>
    </w:p>
    <w:p w14:paraId="63AEB33B">
      <w:pPr>
        <w:pStyle w:val="84"/>
        <w:spacing w:before="120" w:beforeLines="50"/>
        <w:ind w:left="720" w:hanging="720" w:hangingChars="400"/>
        <w:rPr>
          <w:color w:val="auto"/>
          <w:sz w:val="18"/>
          <w:szCs w:val="18"/>
          <w:highlight w:val="none"/>
        </w:rPr>
      </w:pPr>
      <w:r>
        <w:rPr>
          <w:color w:val="auto"/>
          <w:sz w:val="18"/>
          <w:szCs w:val="18"/>
          <w:highlight w:val="none"/>
        </w:rPr>
        <w:t xml:space="preserve">        2.</w:t>
      </w:r>
      <w:r>
        <w:rPr>
          <w:rFonts w:hint="eastAsia"/>
          <w:color w:val="auto"/>
          <w:sz w:val="18"/>
          <w:szCs w:val="18"/>
          <w:highlight w:val="none"/>
        </w:rPr>
        <w:t>本表一式四份，由承包人填报，发包人、监理人、造价咨询人、承包人各存一份。</w:t>
      </w:r>
    </w:p>
    <w:p w14:paraId="59CDBA00">
      <w:pPr>
        <w:pStyle w:val="84"/>
        <w:spacing w:line="360" w:lineRule="auto"/>
        <w:ind w:firstLine="560"/>
        <w:jc w:val="left"/>
        <w:rPr>
          <w:rFonts w:ascii="宋体" w:hAnsi="宋体"/>
          <w:color w:val="auto"/>
          <w:sz w:val="28"/>
          <w:szCs w:val="28"/>
          <w:highlight w:val="none"/>
        </w:rPr>
      </w:pPr>
    </w:p>
    <w:p w14:paraId="62F7B6CA">
      <w:pPr>
        <w:pStyle w:val="84"/>
        <w:spacing w:line="360" w:lineRule="auto"/>
        <w:ind w:firstLine="560"/>
        <w:jc w:val="left"/>
        <w:rPr>
          <w:rFonts w:ascii="宋体" w:hAnsi="宋体"/>
          <w:color w:val="auto"/>
          <w:sz w:val="28"/>
          <w:szCs w:val="28"/>
          <w:highlight w:val="none"/>
        </w:rPr>
      </w:pPr>
    </w:p>
    <w:p w14:paraId="39EACA2C">
      <w:pPr>
        <w:pStyle w:val="84"/>
        <w:spacing w:line="360" w:lineRule="auto"/>
        <w:ind w:firstLine="560"/>
        <w:jc w:val="left"/>
        <w:rPr>
          <w:rFonts w:ascii="宋体" w:hAnsi="宋体"/>
          <w:color w:val="auto"/>
          <w:sz w:val="28"/>
          <w:szCs w:val="28"/>
          <w:highlight w:val="none"/>
        </w:rPr>
      </w:pPr>
    </w:p>
    <w:p w14:paraId="526D8C69">
      <w:pPr>
        <w:pStyle w:val="84"/>
        <w:spacing w:line="360" w:lineRule="auto"/>
        <w:ind w:firstLine="560"/>
        <w:jc w:val="left"/>
        <w:rPr>
          <w:rFonts w:ascii="宋体" w:hAnsi="宋体" w:cs="宋体"/>
          <w:color w:val="auto"/>
          <w:sz w:val="28"/>
          <w:szCs w:val="28"/>
          <w:highlight w:val="none"/>
        </w:rPr>
      </w:pPr>
      <w:r>
        <w:rPr>
          <w:rFonts w:hint="eastAsia" w:ascii="宋体" w:hAnsi="宋体"/>
          <w:color w:val="auto"/>
          <w:sz w:val="28"/>
          <w:szCs w:val="28"/>
          <w:highlight w:val="none"/>
        </w:rPr>
        <w:t>附件</w:t>
      </w:r>
      <w:r>
        <w:rPr>
          <w:rFonts w:ascii="宋体" w:hAnsi="宋体"/>
          <w:color w:val="auto"/>
          <w:sz w:val="28"/>
          <w:szCs w:val="28"/>
          <w:highlight w:val="none"/>
        </w:rPr>
        <w:t>14</w:t>
      </w:r>
      <w:r>
        <w:rPr>
          <w:rFonts w:hint="eastAsia" w:ascii="宋体" w:hAnsi="宋体"/>
          <w:color w:val="auto"/>
          <w:sz w:val="28"/>
          <w:szCs w:val="28"/>
          <w:highlight w:val="none"/>
        </w:rPr>
        <w:t>：</w:t>
      </w:r>
    </w:p>
    <w:p w14:paraId="48790072">
      <w:pPr>
        <w:pStyle w:val="84"/>
        <w:spacing w:line="360" w:lineRule="auto"/>
        <w:ind w:firstLine="720" w:firstLineChars="200"/>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5D854725">
      <w:pPr>
        <w:pStyle w:val="84"/>
        <w:spacing w:line="360" w:lineRule="auto"/>
        <w:rPr>
          <w:rFonts w:ascii="宋体" w:hAnsi="宋体" w:cs="宋体"/>
          <w:color w:val="auto"/>
          <w:kern w:val="0"/>
          <w:highlight w:val="none"/>
        </w:rPr>
      </w:pPr>
      <w:r>
        <w:rPr>
          <w:rFonts w:hint="eastAsia" w:ascii="宋体" w:hAnsi="宋体" w:cs="宋体"/>
          <w:color w:val="auto"/>
          <w:kern w:val="0"/>
          <w:highlight w:val="none"/>
        </w:rPr>
        <w:t>工程名称：</w:t>
      </w:r>
    </w:p>
    <w:tbl>
      <w:tblPr>
        <w:tblStyle w:val="2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007"/>
        <w:gridCol w:w="787"/>
        <w:gridCol w:w="2268"/>
        <w:gridCol w:w="1276"/>
      </w:tblGrid>
      <w:tr w14:paraId="5949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14:paraId="247067BB">
            <w:pPr>
              <w:pStyle w:val="84"/>
              <w:spacing w:line="360" w:lineRule="auto"/>
              <w:jc w:val="center"/>
              <w:rPr>
                <w:rFonts w:ascii="宋体" w:hAnsi="宋体" w:cs="宋体"/>
                <w:color w:val="auto"/>
                <w:kern w:val="0"/>
                <w:highlight w:val="none"/>
              </w:rPr>
            </w:pPr>
            <w:r>
              <w:rPr>
                <w:rFonts w:hint="eastAsia" w:ascii="宋体" w:hAnsi="宋体" w:cs="宋体"/>
                <w:color w:val="auto"/>
                <w:kern w:val="0"/>
                <w:highlight w:val="none"/>
              </w:rPr>
              <w:t>进度款期次</w:t>
            </w:r>
          </w:p>
        </w:tc>
        <w:tc>
          <w:tcPr>
            <w:tcW w:w="3794" w:type="dxa"/>
            <w:gridSpan w:val="2"/>
            <w:tcBorders>
              <w:top w:val="single" w:color="auto" w:sz="4" w:space="0"/>
              <w:left w:val="single" w:color="auto" w:sz="4" w:space="0"/>
              <w:bottom w:val="single" w:color="auto" w:sz="4" w:space="0"/>
              <w:right w:val="single" w:color="auto" w:sz="4" w:space="0"/>
            </w:tcBorders>
          </w:tcPr>
          <w:p w14:paraId="11A09760">
            <w:pPr>
              <w:pStyle w:val="84"/>
              <w:spacing w:line="360" w:lineRule="auto"/>
              <w:jc w:val="center"/>
              <w:rPr>
                <w:rFonts w:ascii="宋体" w:hAnsi="宋体" w:cs="宋体"/>
                <w:color w:val="auto"/>
                <w:kern w:val="0"/>
                <w:highlight w:val="none"/>
              </w:rPr>
            </w:pPr>
            <w:r>
              <w:rPr>
                <w:rFonts w:hint="eastAsia" w:ascii="宋体" w:hAnsi="宋体" w:cs="宋体"/>
                <w:color w:val="auto"/>
                <w:kern w:val="0"/>
                <w:highlight w:val="none"/>
              </w:rPr>
              <w:t>形象进度</w:t>
            </w:r>
          </w:p>
        </w:tc>
        <w:tc>
          <w:tcPr>
            <w:tcW w:w="2268" w:type="dxa"/>
            <w:tcBorders>
              <w:top w:val="single" w:color="auto" w:sz="4" w:space="0"/>
              <w:left w:val="single" w:color="auto" w:sz="4" w:space="0"/>
              <w:bottom w:val="single" w:color="auto" w:sz="4" w:space="0"/>
              <w:right w:val="single" w:color="auto" w:sz="4" w:space="0"/>
            </w:tcBorders>
          </w:tcPr>
          <w:p w14:paraId="489F857D">
            <w:pPr>
              <w:pStyle w:val="84"/>
              <w:spacing w:line="360" w:lineRule="auto"/>
              <w:jc w:val="center"/>
              <w:rPr>
                <w:rFonts w:ascii="宋体" w:hAnsi="宋体" w:cs="宋体"/>
                <w:color w:val="auto"/>
                <w:kern w:val="0"/>
                <w:highlight w:val="none"/>
              </w:rPr>
            </w:pPr>
            <w:r>
              <w:rPr>
                <w:rFonts w:hint="eastAsia" w:ascii="宋体" w:hAnsi="宋体" w:cs="宋体"/>
                <w:color w:val="auto"/>
                <w:kern w:val="0"/>
                <w:highlight w:val="none"/>
              </w:rPr>
              <w:t>进度款付款金额（元）</w:t>
            </w:r>
          </w:p>
        </w:tc>
        <w:tc>
          <w:tcPr>
            <w:tcW w:w="1276" w:type="dxa"/>
            <w:tcBorders>
              <w:top w:val="single" w:color="auto" w:sz="4" w:space="0"/>
              <w:left w:val="single" w:color="auto" w:sz="4" w:space="0"/>
              <w:bottom w:val="single" w:color="auto" w:sz="4" w:space="0"/>
              <w:right w:val="single" w:color="auto" w:sz="4" w:space="0"/>
            </w:tcBorders>
          </w:tcPr>
          <w:p w14:paraId="18787A7B">
            <w:pPr>
              <w:pStyle w:val="84"/>
              <w:spacing w:line="360" w:lineRule="auto"/>
              <w:jc w:val="center"/>
              <w:rPr>
                <w:rFonts w:ascii="宋体" w:hAnsi="宋体" w:cs="宋体"/>
                <w:color w:val="auto"/>
                <w:kern w:val="0"/>
                <w:highlight w:val="none"/>
              </w:rPr>
            </w:pPr>
            <w:r>
              <w:rPr>
                <w:rFonts w:hint="eastAsia" w:ascii="宋体" w:hAnsi="宋体" w:cs="宋体"/>
                <w:color w:val="auto"/>
                <w:kern w:val="0"/>
                <w:highlight w:val="none"/>
              </w:rPr>
              <w:t>备注</w:t>
            </w:r>
          </w:p>
        </w:tc>
      </w:tr>
      <w:tr w14:paraId="0F9E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14:paraId="540E442A">
            <w:pPr>
              <w:pStyle w:val="84"/>
              <w:spacing w:line="360" w:lineRule="auto"/>
              <w:jc w:val="center"/>
              <w:rPr>
                <w:rFonts w:ascii="宋体" w:hAnsi="宋体" w:cs="宋体"/>
                <w:color w:val="auto"/>
                <w:kern w:val="0"/>
                <w:highlight w:val="none"/>
              </w:rPr>
            </w:pPr>
            <w:r>
              <w:rPr>
                <w:rFonts w:hint="eastAsia" w:ascii="宋体" w:hAnsi="宋体" w:cs="宋体"/>
                <w:color w:val="auto"/>
                <w:kern w:val="0"/>
                <w:highlight w:val="none"/>
              </w:rPr>
              <w:t>第一期</w:t>
            </w:r>
          </w:p>
        </w:tc>
        <w:tc>
          <w:tcPr>
            <w:tcW w:w="3794" w:type="dxa"/>
            <w:gridSpan w:val="2"/>
            <w:tcBorders>
              <w:top w:val="single" w:color="auto" w:sz="4" w:space="0"/>
              <w:left w:val="single" w:color="auto" w:sz="4" w:space="0"/>
              <w:bottom w:val="single" w:color="auto" w:sz="4" w:space="0"/>
              <w:right w:val="single" w:color="auto" w:sz="4" w:space="0"/>
            </w:tcBorders>
          </w:tcPr>
          <w:p w14:paraId="38C21B2D">
            <w:pPr>
              <w:pStyle w:val="84"/>
              <w:spacing w:line="360" w:lineRule="auto"/>
              <w:jc w:val="center"/>
              <w:rPr>
                <w:rFonts w:ascii="宋体" w:hAnsi="宋体" w:cs="宋体"/>
                <w:color w:val="auto"/>
                <w:kern w:val="0"/>
                <w:highlight w:val="none"/>
              </w:rPr>
            </w:pPr>
          </w:p>
        </w:tc>
        <w:tc>
          <w:tcPr>
            <w:tcW w:w="2268" w:type="dxa"/>
            <w:tcBorders>
              <w:top w:val="single" w:color="auto" w:sz="4" w:space="0"/>
              <w:left w:val="single" w:color="auto" w:sz="4" w:space="0"/>
              <w:bottom w:val="single" w:color="auto" w:sz="4" w:space="0"/>
              <w:right w:val="single" w:color="auto" w:sz="4" w:space="0"/>
            </w:tcBorders>
          </w:tcPr>
          <w:p w14:paraId="5F8963A2">
            <w:pPr>
              <w:pStyle w:val="84"/>
              <w:spacing w:line="360" w:lineRule="auto"/>
              <w:jc w:val="center"/>
              <w:rPr>
                <w:rFonts w:ascii="宋体" w:hAnsi="宋体" w:cs="宋体"/>
                <w:color w:val="auto"/>
                <w:kern w:val="0"/>
                <w:highlight w:val="none"/>
              </w:rPr>
            </w:pPr>
          </w:p>
        </w:tc>
        <w:tc>
          <w:tcPr>
            <w:tcW w:w="1276" w:type="dxa"/>
            <w:tcBorders>
              <w:top w:val="single" w:color="auto" w:sz="4" w:space="0"/>
              <w:left w:val="single" w:color="auto" w:sz="4" w:space="0"/>
              <w:bottom w:val="single" w:color="auto" w:sz="4" w:space="0"/>
              <w:right w:val="single" w:color="auto" w:sz="4" w:space="0"/>
            </w:tcBorders>
          </w:tcPr>
          <w:p w14:paraId="112DD3ED">
            <w:pPr>
              <w:pStyle w:val="84"/>
              <w:spacing w:line="360" w:lineRule="auto"/>
              <w:jc w:val="center"/>
              <w:rPr>
                <w:rFonts w:ascii="宋体" w:hAnsi="宋体" w:cs="宋体"/>
                <w:color w:val="auto"/>
                <w:kern w:val="0"/>
                <w:highlight w:val="none"/>
              </w:rPr>
            </w:pPr>
          </w:p>
        </w:tc>
      </w:tr>
      <w:tr w14:paraId="4280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14:paraId="13877FAF">
            <w:pPr>
              <w:pStyle w:val="84"/>
              <w:spacing w:line="360" w:lineRule="auto"/>
              <w:jc w:val="center"/>
              <w:rPr>
                <w:rFonts w:ascii="宋体" w:hAnsi="宋体" w:cs="宋体"/>
                <w:color w:val="auto"/>
                <w:kern w:val="0"/>
                <w:highlight w:val="none"/>
              </w:rPr>
            </w:pPr>
            <w:r>
              <w:rPr>
                <w:rFonts w:hint="eastAsia" w:ascii="宋体" w:hAnsi="宋体" w:cs="宋体"/>
                <w:color w:val="auto"/>
                <w:kern w:val="0"/>
                <w:highlight w:val="none"/>
              </w:rPr>
              <w:t>第二期</w:t>
            </w:r>
          </w:p>
        </w:tc>
        <w:tc>
          <w:tcPr>
            <w:tcW w:w="3794" w:type="dxa"/>
            <w:gridSpan w:val="2"/>
            <w:tcBorders>
              <w:top w:val="single" w:color="auto" w:sz="4" w:space="0"/>
              <w:left w:val="single" w:color="auto" w:sz="4" w:space="0"/>
              <w:bottom w:val="single" w:color="auto" w:sz="4" w:space="0"/>
              <w:right w:val="single" w:color="auto" w:sz="4" w:space="0"/>
            </w:tcBorders>
          </w:tcPr>
          <w:p w14:paraId="0DBE7108">
            <w:pPr>
              <w:pStyle w:val="84"/>
              <w:spacing w:line="360" w:lineRule="auto"/>
              <w:jc w:val="center"/>
              <w:rPr>
                <w:rFonts w:ascii="宋体" w:hAnsi="宋体" w:cs="宋体"/>
                <w:color w:val="auto"/>
                <w:kern w:val="0"/>
                <w:highlight w:val="none"/>
              </w:rPr>
            </w:pPr>
          </w:p>
        </w:tc>
        <w:tc>
          <w:tcPr>
            <w:tcW w:w="2268" w:type="dxa"/>
            <w:tcBorders>
              <w:top w:val="single" w:color="auto" w:sz="4" w:space="0"/>
              <w:left w:val="single" w:color="auto" w:sz="4" w:space="0"/>
              <w:bottom w:val="single" w:color="auto" w:sz="4" w:space="0"/>
              <w:right w:val="single" w:color="auto" w:sz="4" w:space="0"/>
            </w:tcBorders>
          </w:tcPr>
          <w:p w14:paraId="5E638A35">
            <w:pPr>
              <w:pStyle w:val="84"/>
              <w:spacing w:line="360" w:lineRule="auto"/>
              <w:jc w:val="center"/>
              <w:rPr>
                <w:rFonts w:ascii="宋体" w:hAnsi="宋体" w:cs="宋体"/>
                <w:color w:val="auto"/>
                <w:kern w:val="0"/>
                <w:highlight w:val="none"/>
              </w:rPr>
            </w:pPr>
          </w:p>
        </w:tc>
        <w:tc>
          <w:tcPr>
            <w:tcW w:w="1276" w:type="dxa"/>
            <w:tcBorders>
              <w:top w:val="single" w:color="auto" w:sz="4" w:space="0"/>
              <w:left w:val="single" w:color="auto" w:sz="4" w:space="0"/>
              <w:bottom w:val="single" w:color="auto" w:sz="4" w:space="0"/>
              <w:right w:val="single" w:color="auto" w:sz="4" w:space="0"/>
            </w:tcBorders>
          </w:tcPr>
          <w:p w14:paraId="31381E8B">
            <w:pPr>
              <w:pStyle w:val="84"/>
              <w:spacing w:line="360" w:lineRule="auto"/>
              <w:jc w:val="center"/>
              <w:rPr>
                <w:rFonts w:ascii="宋体" w:hAnsi="宋体" w:cs="宋体"/>
                <w:color w:val="auto"/>
                <w:kern w:val="0"/>
                <w:highlight w:val="none"/>
              </w:rPr>
            </w:pPr>
          </w:p>
        </w:tc>
      </w:tr>
      <w:tr w14:paraId="17BD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14:paraId="15A3F742">
            <w:pPr>
              <w:pStyle w:val="84"/>
              <w:spacing w:line="360" w:lineRule="auto"/>
              <w:jc w:val="center"/>
              <w:rPr>
                <w:rFonts w:ascii="宋体" w:hAnsi="宋体" w:cs="宋体"/>
                <w:color w:val="auto"/>
                <w:kern w:val="0"/>
                <w:highlight w:val="none"/>
              </w:rPr>
            </w:pPr>
            <w:r>
              <w:rPr>
                <w:rFonts w:hint="eastAsia" w:ascii="宋体" w:hAnsi="宋体" w:cs="宋体"/>
                <w:color w:val="auto"/>
                <w:kern w:val="0"/>
                <w:highlight w:val="none"/>
              </w:rPr>
              <w:t>第三期</w:t>
            </w:r>
          </w:p>
        </w:tc>
        <w:tc>
          <w:tcPr>
            <w:tcW w:w="3794" w:type="dxa"/>
            <w:gridSpan w:val="2"/>
            <w:tcBorders>
              <w:top w:val="single" w:color="auto" w:sz="4" w:space="0"/>
              <w:left w:val="single" w:color="auto" w:sz="4" w:space="0"/>
              <w:bottom w:val="single" w:color="auto" w:sz="4" w:space="0"/>
              <w:right w:val="single" w:color="auto" w:sz="4" w:space="0"/>
            </w:tcBorders>
          </w:tcPr>
          <w:p w14:paraId="33FA2D38">
            <w:pPr>
              <w:pStyle w:val="84"/>
              <w:spacing w:line="360" w:lineRule="auto"/>
              <w:jc w:val="center"/>
              <w:rPr>
                <w:rFonts w:ascii="宋体" w:hAnsi="宋体" w:cs="宋体"/>
                <w:color w:val="auto"/>
                <w:kern w:val="0"/>
                <w:highlight w:val="none"/>
              </w:rPr>
            </w:pPr>
          </w:p>
        </w:tc>
        <w:tc>
          <w:tcPr>
            <w:tcW w:w="2268" w:type="dxa"/>
            <w:tcBorders>
              <w:top w:val="single" w:color="auto" w:sz="4" w:space="0"/>
              <w:left w:val="single" w:color="auto" w:sz="4" w:space="0"/>
              <w:bottom w:val="single" w:color="auto" w:sz="4" w:space="0"/>
              <w:right w:val="single" w:color="auto" w:sz="4" w:space="0"/>
            </w:tcBorders>
          </w:tcPr>
          <w:p w14:paraId="32C630C4">
            <w:pPr>
              <w:pStyle w:val="84"/>
              <w:spacing w:line="360" w:lineRule="auto"/>
              <w:jc w:val="center"/>
              <w:rPr>
                <w:rFonts w:ascii="宋体" w:hAnsi="宋体" w:cs="宋体"/>
                <w:color w:val="auto"/>
                <w:kern w:val="0"/>
                <w:highlight w:val="none"/>
              </w:rPr>
            </w:pPr>
          </w:p>
        </w:tc>
        <w:tc>
          <w:tcPr>
            <w:tcW w:w="1276" w:type="dxa"/>
            <w:tcBorders>
              <w:top w:val="single" w:color="auto" w:sz="4" w:space="0"/>
              <w:left w:val="single" w:color="auto" w:sz="4" w:space="0"/>
              <w:bottom w:val="single" w:color="auto" w:sz="4" w:space="0"/>
              <w:right w:val="single" w:color="auto" w:sz="4" w:space="0"/>
            </w:tcBorders>
          </w:tcPr>
          <w:p w14:paraId="395817AF">
            <w:pPr>
              <w:pStyle w:val="84"/>
              <w:spacing w:line="360" w:lineRule="auto"/>
              <w:jc w:val="center"/>
              <w:rPr>
                <w:rFonts w:ascii="宋体" w:hAnsi="宋体" w:cs="宋体"/>
                <w:color w:val="auto"/>
                <w:kern w:val="0"/>
                <w:highlight w:val="none"/>
              </w:rPr>
            </w:pPr>
          </w:p>
        </w:tc>
      </w:tr>
      <w:tr w14:paraId="6354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14:paraId="25DDBD3B">
            <w:pPr>
              <w:pStyle w:val="84"/>
              <w:spacing w:line="360" w:lineRule="auto"/>
              <w:jc w:val="center"/>
              <w:rPr>
                <w:rFonts w:ascii="宋体" w:hAnsi="宋体" w:cs="宋体"/>
                <w:color w:val="auto"/>
                <w:kern w:val="0"/>
                <w:highlight w:val="none"/>
              </w:rPr>
            </w:pPr>
            <w:r>
              <w:rPr>
                <w:rFonts w:hint="eastAsia" w:ascii="宋体" w:hAnsi="宋体" w:cs="宋体"/>
                <w:color w:val="auto"/>
                <w:kern w:val="0"/>
                <w:highlight w:val="none"/>
              </w:rPr>
              <w:t>……</w:t>
            </w:r>
          </w:p>
        </w:tc>
        <w:tc>
          <w:tcPr>
            <w:tcW w:w="3794" w:type="dxa"/>
            <w:gridSpan w:val="2"/>
            <w:tcBorders>
              <w:top w:val="single" w:color="auto" w:sz="4" w:space="0"/>
              <w:left w:val="single" w:color="auto" w:sz="4" w:space="0"/>
              <w:bottom w:val="single" w:color="auto" w:sz="4" w:space="0"/>
              <w:right w:val="single" w:color="auto" w:sz="4" w:space="0"/>
            </w:tcBorders>
          </w:tcPr>
          <w:p w14:paraId="122959AD">
            <w:pPr>
              <w:pStyle w:val="84"/>
              <w:spacing w:line="360" w:lineRule="auto"/>
              <w:jc w:val="center"/>
              <w:rPr>
                <w:rFonts w:ascii="宋体" w:hAnsi="宋体" w:cs="宋体"/>
                <w:color w:val="auto"/>
                <w:kern w:val="0"/>
                <w:highlight w:val="none"/>
              </w:rPr>
            </w:pPr>
          </w:p>
        </w:tc>
        <w:tc>
          <w:tcPr>
            <w:tcW w:w="2268" w:type="dxa"/>
            <w:tcBorders>
              <w:top w:val="single" w:color="auto" w:sz="4" w:space="0"/>
              <w:left w:val="single" w:color="auto" w:sz="4" w:space="0"/>
              <w:bottom w:val="single" w:color="auto" w:sz="4" w:space="0"/>
              <w:right w:val="single" w:color="auto" w:sz="4" w:space="0"/>
            </w:tcBorders>
          </w:tcPr>
          <w:p w14:paraId="10226156">
            <w:pPr>
              <w:pStyle w:val="84"/>
              <w:spacing w:line="360" w:lineRule="auto"/>
              <w:jc w:val="center"/>
              <w:rPr>
                <w:rFonts w:ascii="宋体" w:hAnsi="宋体" w:cs="宋体"/>
                <w:color w:val="auto"/>
                <w:kern w:val="0"/>
                <w:highlight w:val="none"/>
              </w:rPr>
            </w:pPr>
          </w:p>
        </w:tc>
        <w:tc>
          <w:tcPr>
            <w:tcW w:w="1276" w:type="dxa"/>
            <w:tcBorders>
              <w:top w:val="single" w:color="auto" w:sz="4" w:space="0"/>
              <w:left w:val="single" w:color="auto" w:sz="4" w:space="0"/>
              <w:bottom w:val="single" w:color="auto" w:sz="4" w:space="0"/>
              <w:right w:val="single" w:color="auto" w:sz="4" w:space="0"/>
            </w:tcBorders>
          </w:tcPr>
          <w:p w14:paraId="0CCCE2E2">
            <w:pPr>
              <w:pStyle w:val="84"/>
              <w:spacing w:line="360" w:lineRule="auto"/>
              <w:jc w:val="center"/>
              <w:rPr>
                <w:rFonts w:ascii="宋体" w:hAnsi="宋体" w:cs="宋体"/>
                <w:color w:val="auto"/>
                <w:kern w:val="0"/>
                <w:highlight w:val="none"/>
              </w:rPr>
            </w:pPr>
          </w:p>
        </w:tc>
      </w:tr>
      <w:tr w14:paraId="14CA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424" w:type="dxa"/>
            <w:gridSpan w:val="2"/>
            <w:tcBorders>
              <w:top w:val="single" w:color="auto" w:sz="4" w:space="0"/>
              <w:left w:val="single" w:color="auto" w:sz="4" w:space="0"/>
              <w:bottom w:val="single" w:color="auto" w:sz="4" w:space="0"/>
              <w:right w:val="single" w:color="auto" w:sz="4" w:space="0"/>
            </w:tcBorders>
          </w:tcPr>
          <w:p w14:paraId="601C21DA">
            <w:pPr>
              <w:pStyle w:val="84"/>
              <w:spacing w:line="360" w:lineRule="exact"/>
              <w:ind w:firstLine="420"/>
              <w:jc w:val="right"/>
              <w:rPr>
                <w:color w:val="auto"/>
                <w:highlight w:val="none"/>
              </w:rPr>
            </w:pPr>
          </w:p>
          <w:p w14:paraId="0885D346">
            <w:pPr>
              <w:pStyle w:val="84"/>
              <w:spacing w:line="360" w:lineRule="exact"/>
              <w:ind w:firstLine="420"/>
              <w:jc w:val="center"/>
              <w:rPr>
                <w:color w:val="auto"/>
                <w:highlight w:val="none"/>
              </w:rPr>
            </w:pPr>
          </w:p>
          <w:p w14:paraId="40E275D6">
            <w:pPr>
              <w:pStyle w:val="84"/>
              <w:spacing w:line="360" w:lineRule="exact"/>
              <w:ind w:firstLine="420"/>
              <w:jc w:val="center"/>
              <w:rPr>
                <w:color w:val="auto"/>
                <w:highlight w:val="none"/>
              </w:rPr>
            </w:pPr>
            <w:r>
              <w:rPr>
                <w:rFonts w:hint="eastAsia"/>
                <w:color w:val="auto"/>
                <w:highlight w:val="none"/>
              </w:rPr>
              <w:t>发包人代表签字：</w:t>
            </w:r>
          </w:p>
          <w:p w14:paraId="3F1FC1AF">
            <w:pPr>
              <w:pStyle w:val="84"/>
              <w:spacing w:line="360" w:lineRule="exact"/>
              <w:ind w:firstLine="420"/>
              <w:jc w:val="center"/>
              <w:rPr>
                <w:color w:val="auto"/>
                <w:highlight w:val="none"/>
              </w:rPr>
            </w:pPr>
          </w:p>
          <w:p w14:paraId="3DDEC11B">
            <w:pPr>
              <w:pStyle w:val="84"/>
              <w:spacing w:line="360" w:lineRule="exact"/>
              <w:ind w:firstLine="420"/>
              <w:jc w:val="center"/>
              <w:rPr>
                <w:color w:val="auto"/>
                <w:highlight w:val="none"/>
              </w:rPr>
            </w:pPr>
            <w:r>
              <w:rPr>
                <w:rFonts w:hint="eastAsia"/>
                <w:color w:val="auto"/>
                <w:highlight w:val="none"/>
              </w:rPr>
              <w:t>发包人（盖公章）</w:t>
            </w:r>
          </w:p>
          <w:p w14:paraId="27689091">
            <w:pPr>
              <w:pStyle w:val="84"/>
              <w:spacing w:line="360" w:lineRule="exact"/>
              <w:ind w:firstLine="420"/>
              <w:jc w:val="center"/>
              <w:rPr>
                <w:color w:val="auto"/>
                <w:highlight w:val="none"/>
              </w:rPr>
            </w:pPr>
          </w:p>
          <w:p w14:paraId="0856D924">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rPr>
              <w:t xml:space="preserve">        </w:t>
            </w:r>
            <w:r>
              <w:rPr>
                <w:color w:val="auto"/>
                <w:highlight w:val="none"/>
                <w:u w:val="single"/>
              </w:rPr>
              <w:t xml:space="preserve">   </w:t>
            </w:r>
          </w:p>
        </w:tc>
        <w:tc>
          <w:tcPr>
            <w:tcW w:w="4331" w:type="dxa"/>
            <w:gridSpan w:val="3"/>
            <w:tcBorders>
              <w:top w:val="single" w:color="auto" w:sz="4" w:space="0"/>
              <w:left w:val="single" w:color="auto" w:sz="4" w:space="0"/>
              <w:bottom w:val="single" w:color="auto" w:sz="4" w:space="0"/>
              <w:right w:val="single" w:color="auto" w:sz="4" w:space="0"/>
            </w:tcBorders>
          </w:tcPr>
          <w:p w14:paraId="42794A34">
            <w:pPr>
              <w:pStyle w:val="84"/>
              <w:spacing w:line="360" w:lineRule="exact"/>
              <w:ind w:firstLine="420"/>
              <w:jc w:val="center"/>
              <w:rPr>
                <w:color w:val="auto"/>
                <w:highlight w:val="none"/>
              </w:rPr>
            </w:pPr>
          </w:p>
          <w:p w14:paraId="6422B8E5">
            <w:pPr>
              <w:pStyle w:val="84"/>
              <w:spacing w:line="360" w:lineRule="exact"/>
              <w:ind w:firstLine="420"/>
              <w:jc w:val="center"/>
              <w:rPr>
                <w:color w:val="auto"/>
                <w:highlight w:val="none"/>
                <w:u w:val="single"/>
              </w:rPr>
            </w:pPr>
          </w:p>
          <w:p w14:paraId="48D75CA0">
            <w:pPr>
              <w:pStyle w:val="84"/>
              <w:spacing w:line="360" w:lineRule="exact"/>
              <w:ind w:firstLine="420"/>
              <w:jc w:val="center"/>
              <w:rPr>
                <w:color w:val="auto"/>
                <w:highlight w:val="none"/>
              </w:rPr>
            </w:pPr>
            <w:r>
              <w:rPr>
                <w:rFonts w:hint="eastAsia"/>
                <w:color w:val="auto"/>
                <w:highlight w:val="none"/>
              </w:rPr>
              <w:t>承包人代表签字：</w:t>
            </w:r>
          </w:p>
          <w:p w14:paraId="3CE8198C">
            <w:pPr>
              <w:pStyle w:val="84"/>
              <w:spacing w:line="360" w:lineRule="exact"/>
              <w:ind w:firstLine="420"/>
              <w:jc w:val="center"/>
              <w:rPr>
                <w:color w:val="auto"/>
                <w:highlight w:val="none"/>
              </w:rPr>
            </w:pPr>
          </w:p>
          <w:p w14:paraId="2B6AA0EA">
            <w:pPr>
              <w:pStyle w:val="84"/>
              <w:spacing w:line="360" w:lineRule="exact"/>
              <w:ind w:firstLine="420"/>
              <w:jc w:val="center"/>
              <w:rPr>
                <w:color w:val="auto"/>
                <w:highlight w:val="none"/>
              </w:rPr>
            </w:pPr>
            <w:r>
              <w:rPr>
                <w:rFonts w:hint="eastAsia"/>
                <w:color w:val="auto"/>
                <w:highlight w:val="none"/>
              </w:rPr>
              <w:t>承包人（盖公章）</w:t>
            </w:r>
          </w:p>
          <w:p w14:paraId="3FB9AC48">
            <w:pPr>
              <w:pStyle w:val="84"/>
              <w:spacing w:line="360" w:lineRule="exact"/>
              <w:ind w:firstLine="420"/>
              <w:jc w:val="center"/>
              <w:rPr>
                <w:color w:val="auto"/>
                <w:highlight w:val="none"/>
              </w:rPr>
            </w:pPr>
          </w:p>
          <w:p w14:paraId="16191039">
            <w:pPr>
              <w:pStyle w:val="84"/>
              <w:spacing w:line="360" w:lineRule="exact"/>
              <w:ind w:firstLine="420"/>
              <w:jc w:val="center"/>
              <w:rPr>
                <w:color w:val="auto"/>
                <w:highlight w:val="none"/>
                <w:u w:val="single"/>
              </w:rPr>
            </w:pPr>
            <w:r>
              <w:rPr>
                <w:color w:val="auto"/>
                <w:highlight w:val="none"/>
              </w:rPr>
              <w:t xml:space="preserve">        </w:t>
            </w: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p>
        </w:tc>
      </w:tr>
    </w:tbl>
    <w:p w14:paraId="1E988116">
      <w:pPr>
        <w:spacing w:line="360" w:lineRule="auto"/>
        <w:jc w:val="left"/>
        <w:rPr>
          <w:color w:val="auto"/>
          <w:highlight w:val="none"/>
        </w:rPr>
      </w:pPr>
    </w:p>
    <w:p w14:paraId="37046128">
      <w:pPr>
        <w:pStyle w:val="3"/>
        <w:spacing w:before="0" w:after="0" w:line="240" w:lineRule="auto"/>
        <w:jc w:val="center"/>
        <w:rPr>
          <w:rFonts w:cs="仿宋_GB2312"/>
          <w:b w:val="0"/>
          <w:bCs w:val="0"/>
          <w:color w:val="auto"/>
          <w:highlight w:val="none"/>
        </w:rPr>
      </w:pPr>
      <w:r>
        <w:rPr>
          <w:rFonts w:hint="eastAsia" w:cs="仿宋_GB2312"/>
          <w:b w:val="0"/>
          <w:bCs w:val="0"/>
          <w:color w:val="auto"/>
          <w:highlight w:val="none"/>
        </w:rPr>
        <w:br w:type="page"/>
      </w:r>
      <w:bookmarkStart w:id="1137" w:name="_Toc21822"/>
      <w:r>
        <w:rPr>
          <w:rFonts w:hint="eastAsia" w:cs="仿宋_GB2312"/>
          <w:b w:val="0"/>
          <w:bCs w:val="0"/>
          <w:color w:val="auto"/>
          <w:highlight w:val="none"/>
        </w:rPr>
        <w:t>第七章 工程量清单</w:t>
      </w:r>
      <w:bookmarkEnd w:id="189"/>
      <w:bookmarkEnd w:id="190"/>
      <w:r>
        <w:rPr>
          <w:rFonts w:hint="eastAsia" w:cs="仿宋_GB2312"/>
          <w:b w:val="0"/>
          <w:bCs w:val="0"/>
          <w:color w:val="auto"/>
          <w:highlight w:val="none"/>
        </w:rPr>
        <w:t>、图纸</w:t>
      </w:r>
      <w:bookmarkEnd w:id="191"/>
      <w:bookmarkEnd w:id="1137"/>
    </w:p>
    <w:p w14:paraId="1A77BE31">
      <w:pPr>
        <w:jc w:val="center"/>
        <w:rPr>
          <w:b/>
          <w:bCs/>
          <w:color w:val="auto"/>
          <w:kern w:val="44"/>
          <w:sz w:val="32"/>
          <w:szCs w:val="32"/>
          <w:highlight w:val="none"/>
        </w:rPr>
      </w:pPr>
    </w:p>
    <w:p w14:paraId="758729A7">
      <w:pPr>
        <w:pStyle w:val="4"/>
        <w:rPr>
          <w:color w:val="auto"/>
          <w:kern w:val="44"/>
          <w:sz w:val="21"/>
          <w:szCs w:val="21"/>
          <w:highlight w:val="none"/>
        </w:rPr>
      </w:pPr>
      <w:bookmarkStart w:id="1138" w:name="_Toc27256"/>
      <w:bookmarkStart w:id="1139" w:name="_Toc407135284"/>
      <w:r>
        <w:rPr>
          <w:color w:val="auto"/>
          <w:sz w:val="21"/>
          <w:szCs w:val="21"/>
          <w:highlight w:val="none"/>
        </w:rPr>
        <w:t xml:space="preserve">1 </w:t>
      </w:r>
      <w:r>
        <w:rPr>
          <w:rFonts w:hint="eastAsia" w:cs="黑体"/>
          <w:color w:val="auto"/>
          <w:sz w:val="21"/>
          <w:szCs w:val="21"/>
          <w:highlight w:val="none"/>
        </w:rPr>
        <w:t>工程量清单编制说明</w:t>
      </w:r>
      <w:bookmarkEnd w:id="1138"/>
      <w:bookmarkEnd w:id="1139"/>
    </w:p>
    <w:p w14:paraId="099D13FB">
      <w:pPr>
        <w:spacing w:line="360" w:lineRule="auto"/>
        <w:ind w:firstLine="420" w:firstLineChars="200"/>
        <w:rPr>
          <w:color w:val="auto"/>
          <w:highlight w:val="none"/>
        </w:rPr>
      </w:pPr>
      <w:r>
        <w:rPr>
          <w:color w:val="auto"/>
          <w:highlight w:val="none"/>
        </w:rPr>
        <w:t>1.1</w:t>
      </w:r>
      <w:r>
        <w:rPr>
          <w:rFonts w:hint="eastAsia" w:hAnsi="宋体" w:cs="宋体"/>
          <w:color w:val="auto"/>
          <w:highlight w:val="none"/>
        </w:rPr>
        <w:t>本工程量清单依据《建设工程工程量清单计价规范</w:t>
      </w:r>
      <w:r>
        <w:rPr>
          <w:rFonts w:hint="eastAsia" w:cs="宋体"/>
          <w:color w:val="auto"/>
          <w:highlight w:val="none"/>
        </w:rPr>
        <w:t>（</w:t>
      </w:r>
      <w:r>
        <w:rPr>
          <w:color w:val="auto"/>
          <w:highlight w:val="none"/>
        </w:rPr>
        <w:t>GB50500-2013</w:t>
      </w:r>
      <w:r>
        <w:rPr>
          <w:rFonts w:hint="eastAsia" w:cs="宋体"/>
          <w:color w:val="auto"/>
          <w:highlight w:val="none"/>
        </w:rPr>
        <w:t>）</w:t>
      </w:r>
      <w:r>
        <w:rPr>
          <w:rFonts w:hint="eastAsia" w:hAnsi="宋体" w:cs="宋体"/>
          <w:color w:val="auto"/>
          <w:highlight w:val="none"/>
        </w:rPr>
        <w:t>广西实施细则》（以下简称</w:t>
      </w:r>
      <w:r>
        <w:rPr>
          <w:color w:val="auto"/>
          <w:highlight w:val="none"/>
        </w:rPr>
        <w:t>“</w:t>
      </w:r>
      <w:r>
        <w:rPr>
          <w:rFonts w:hint="eastAsia" w:hAnsi="宋体" w:cs="宋体"/>
          <w:color w:val="auto"/>
          <w:highlight w:val="none"/>
        </w:rPr>
        <w:t>《计价规范》</w:t>
      </w:r>
      <w:r>
        <w:rPr>
          <w:color w:val="auto"/>
          <w:highlight w:val="none"/>
        </w:rPr>
        <w:t>”</w:t>
      </w:r>
      <w:r>
        <w:rPr>
          <w:rFonts w:hint="eastAsia" w:cs="宋体"/>
          <w:color w:val="auto"/>
          <w:highlight w:val="none"/>
        </w:rPr>
        <w:t>）</w:t>
      </w:r>
      <w:r>
        <w:rPr>
          <w:rFonts w:hint="eastAsia" w:hAnsi="宋体" w:cs="宋体"/>
          <w:color w:val="auto"/>
          <w:highlight w:val="none"/>
        </w:rPr>
        <w:t>、各专业《工程量清单计算规范（</w:t>
      </w:r>
      <w:r>
        <w:rPr>
          <w:color w:val="auto"/>
          <w:highlight w:val="none"/>
        </w:rPr>
        <w:t>GB50854~50862-2013</w:t>
      </w:r>
      <w:r>
        <w:rPr>
          <w:rFonts w:hint="eastAsia" w:hAnsi="宋体" w:cs="宋体"/>
          <w:color w:val="auto"/>
          <w:highlight w:val="none"/>
        </w:rPr>
        <w:t>）》及广西实施细则（修订本）（以下简称</w:t>
      </w:r>
      <w:r>
        <w:rPr>
          <w:color w:val="auto"/>
          <w:highlight w:val="none"/>
        </w:rPr>
        <w:t>“</w:t>
      </w:r>
      <w:r>
        <w:rPr>
          <w:rFonts w:hint="eastAsia" w:hAnsi="宋体" w:cs="宋体"/>
          <w:color w:val="auto"/>
          <w:highlight w:val="none"/>
        </w:rPr>
        <w:t>《计算规范》</w:t>
      </w:r>
      <w:r>
        <w:rPr>
          <w:color w:val="auto"/>
          <w:highlight w:val="none"/>
        </w:rPr>
        <w:t>”</w:t>
      </w:r>
      <w:r>
        <w:rPr>
          <w:rFonts w:hint="eastAsia" w:hAnsi="宋体" w:cs="宋体"/>
          <w:color w:val="auto"/>
          <w:highlight w:val="none"/>
        </w:rPr>
        <w:t>）、</w:t>
      </w:r>
      <w:r>
        <w:rPr>
          <w:rFonts w:hint="eastAsia" w:hAnsi="宋体" w:cs="宋体"/>
          <w:color w:val="auto"/>
          <w:kern w:val="0"/>
          <w:highlight w:val="none"/>
        </w:rPr>
        <w:t>《关于调整建设工程计价增值税税率的通知》( 桂建标[2019]12号)、</w:t>
      </w:r>
      <w:r>
        <w:rPr>
          <w:rFonts w:hint="eastAsia" w:hAnsi="宋体" w:cs="宋体"/>
          <w:color w:val="auto"/>
          <w:szCs w:val="21"/>
          <w:highlight w:val="none"/>
        </w:rPr>
        <w:t>竞争性磋商采购</w:t>
      </w:r>
      <w:r>
        <w:rPr>
          <w:rFonts w:hint="eastAsia" w:hAnsi="宋体" w:cs="宋体"/>
          <w:color w:val="auto"/>
          <w:highlight w:val="none"/>
        </w:rPr>
        <w:t>文件、施工图等编制。计算规范中没有的清单项目，应在本章第</w:t>
      </w:r>
      <w:r>
        <w:rPr>
          <w:color w:val="auto"/>
          <w:highlight w:val="none"/>
        </w:rPr>
        <w:t>1.4</w:t>
      </w:r>
      <w:r>
        <w:rPr>
          <w:rFonts w:hint="eastAsia" w:hAnsi="宋体" w:cs="宋体"/>
          <w:color w:val="auto"/>
          <w:highlight w:val="none"/>
        </w:rPr>
        <w:t>款约定。</w:t>
      </w:r>
    </w:p>
    <w:p w14:paraId="03944F80">
      <w:pPr>
        <w:spacing w:line="360" w:lineRule="auto"/>
        <w:ind w:firstLine="420" w:firstLineChars="200"/>
        <w:outlineLvl w:val="0"/>
        <w:rPr>
          <w:color w:val="auto"/>
          <w:highlight w:val="none"/>
        </w:rPr>
      </w:pPr>
      <w:bookmarkStart w:id="1140" w:name="_Toc29224"/>
      <w:bookmarkStart w:id="1141" w:name="_Toc13733"/>
      <w:bookmarkStart w:id="1142" w:name="_Toc1041"/>
      <w:r>
        <w:rPr>
          <w:color w:val="auto"/>
          <w:highlight w:val="none"/>
        </w:rPr>
        <w:t xml:space="preserve">1.2 </w:t>
      </w:r>
      <w:r>
        <w:rPr>
          <w:rFonts w:hint="eastAsia" w:cs="宋体"/>
          <w:color w:val="auto"/>
          <w:highlight w:val="none"/>
        </w:rPr>
        <w:t>工程量清单应与磋商须知、合同协议条款、合同的通用条款、合同专用条款、技术规范及图纸等文件一起结合使用。</w:t>
      </w:r>
      <w:bookmarkEnd w:id="1140"/>
      <w:bookmarkEnd w:id="1141"/>
      <w:bookmarkEnd w:id="1142"/>
    </w:p>
    <w:p w14:paraId="0E4E8D16">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w:t>
      </w:r>
      <w:r>
        <w:rPr>
          <w:rFonts w:hint="eastAsia" w:hAnsi="宋体" w:cs="宋体"/>
          <w:color w:val="auto"/>
          <w:szCs w:val="21"/>
          <w:highlight w:val="none"/>
        </w:rPr>
        <w:t>竞争性磋商采购</w:t>
      </w:r>
      <w:r>
        <w:rPr>
          <w:rFonts w:hint="eastAsia" w:cs="宋体"/>
          <w:color w:val="auto"/>
          <w:highlight w:val="none"/>
        </w:rPr>
        <w:t>文件的组成部分，是工程量清单计价的基础，作为编制招标控制价、</w:t>
      </w:r>
      <w:r>
        <w:rPr>
          <w:rFonts w:hint="eastAsia" w:hAnsi="宋体" w:cs="宋体"/>
          <w:color w:val="auto"/>
          <w:kern w:val="0"/>
          <w:szCs w:val="21"/>
          <w:highlight w:val="none"/>
        </w:rPr>
        <w:t>响应</w:t>
      </w:r>
      <w:r>
        <w:rPr>
          <w:rFonts w:hint="eastAsia" w:cs="宋体"/>
          <w:color w:val="auto"/>
          <w:highlight w:val="none"/>
        </w:rPr>
        <w:t>报价、计算或调整工程量、索赔等的依据之一。</w:t>
      </w:r>
    </w:p>
    <w:p w14:paraId="678CD66C">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p>
    <w:p w14:paraId="1485A1C7">
      <w:pPr>
        <w:spacing w:line="360" w:lineRule="auto"/>
        <w:ind w:left="2"/>
        <w:rPr>
          <w:color w:val="auto"/>
          <w:highlight w:val="none"/>
        </w:rPr>
      </w:pPr>
      <w:r>
        <w:rPr>
          <w:color w:val="auto"/>
          <w:highlight w:val="none"/>
        </w:rPr>
        <w:t xml:space="preserve">   </w:t>
      </w:r>
      <w:r>
        <w:rPr>
          <w:color w:val="auto"/>
          <w:highlight w:val="none"/>
          <w:u w:val="single"/>
        </w:rPr>
        <w:t xml:space="preserve">                                          </w:t>
      </w:r>
      <w:r>
        <w:rPr>
          <w:rFonts w:hint="eastAsia" w:hAnsi="宋体" w:cs="宋体"/>
          <w:color w:val="auto"/>
          <w:highlight w:val="none"/>
        </w:rPr>
        <w:t>。</w:t>
      </w:r>
    </w:p>
    <w:p w14:paraId="2E665CC9">
      <w:pPr>
        <w:pStyle w:val="18"/>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1.5 </w:t>
      </w:r>
      <w:r>
        <w:rPr>
          <w:rFonts w:hint="eastAsia" w:ascii="Times New Roman" w:hAnsi="Times New Roman"/>
          <w:color w:val="auto"/>
          <w:sz w:val="21"/>
          <w:highlight w:val="none"/>
        </w:rPr>
        <w:t>《承包人提供的主要材料和设备一览表》（表</w:t>
      </w:r>
      <w:r>
        <w:rPr>
          <w:rFonts w:ascii="Times New Roman" w:hAnsi="Times New Roman"/>
          <w:color w:val="auto"/>
          <w:sz w:val="21"/>
          <w:highlight w:val="none"/>
        </w:rPr>
        <w:t>-22</w:t>
      </w:r>
      <w:r>
        <w:rPr>
          <w:rFonts w:hint="eastAsia" w:ascii="Times New Roman" w:hAnsi="Times New Roman"/>
          <w:color w:val="auto"/>
          <w:sz w:val="21"/>
          <w:highlight w:val="none"/>
        </w:rPr>
        <w:t>，表格编号为计价规范相应表格编号，下同）作为项目实施过程中材料和设备价格风险调整依据。</w:t>
      </w:r>
    </w:p>
    <w:p w14:paraId="57F6CBC3">
      <w:pPr>
        <w:pStyle w:val="18"/>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1.6 </w:t>
      </w:r>
      <w:r>
        <w:rPr>
          <w:rFonts w:hint="eastAsia" w:ascii="Times New Roman" w:hAnsi="Times New Roman"/>
          <w:color w:val="auto"/>
          <w:sz w:val="21"/>
          <w:highlight w:val="none"/>
        </w:rPr>
        <w:t>本工程暂列金额，共</w:t>
      </w:r>
      <w:r>
        <w:rPr>
          <w:rFonts w:hint="eastAsia"/>
          <w:color w:val="auto"/>
          <w:highlight w:val="none"/>
        </w:rPr>
        <w:t xml:space="preserve">         </w:t>
      </w:r>
      <w:r>
        <w:rPr>
          <w:rFonts w:hint="eastAsia" w:ascii="Times New Roman" w:hAnsi="Times New Roman"/>
          <w:color w:val="auto"/>
          <w:sz w:val="21"/>
          <w:highlight w:val="none"/>
        </w:rPr>
        <w:t>元，作为合同签订时尚未确定或者不可预见但施工中可能发生的费用。</w:t>
      </w:r>
    </w:p>
    <w:p w14:paraId="4DB4D2C8">
      <w:pPr>
        <w:pStyle w:val="18"/>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1.7 </w:t>
      </w:r>
      <w:r>
        <w:rPr>
          <w:rFonts w:hint="eastAsia" w:ascii="Times New Roman" w:hAnsi="Times New Roman"/>
          <w:color w:val="auto"/>
          <w:sz w:val="21"/>
          <w:highlight w:val="none"/>
        </w:rPr>
        <w:t>本工程发包人提供的材料和设备详见《发包人提供的主要材料和工程设备一览表》（表</w:t>
      </w:r>
      <w:r>
        <w:rPr>
          <w:rFonts w:ascii="Times New Roman" w:hAnsi="Times New Roman"/>
          <w:color w:val="auto"/>
          <w:sz w:val="21"/>
          <w:highlight w:val="none"/>
        </w:rPr>
        <w:t>-21</w:t>
      </w:r>
      <w:r>
        <w:rPr>
          <w:rFonts w:hint="eastAsia" w:ascii="Times New Roman" w:hAnsi="Times New Roman"/>
          <w:color w:val="auto"/>
          <w:sz w:val="21"/>
          <w:highlight w:val="none"/>
        </w:rPr>
        <w:t>）。</w:t>
      </w:r>
    </w:p>
    <w:p w14:paraId="7DD7BC87">
      <w:pPr>
        <w:spacing w:line="360" w:lineRule="auto"/>
        <w:ind w:firstLine="420" w:firstLineChars="200"/>
        <w:rPr>
          <w:color w:val="auto"/>
          <w:highlight w:val="none"/>
        </w:rPr>
      </w:pPr>
      <w:r>
        <w:rPr>
          <w:color w:val="auto"/>
          <w:highlight w:val="none"/>
        </w:rPr>
        <w:t xml:space="preserve">1.8 </w:t>
      </w:r>
      <w:r>
        <w:rPr>
          <w:rFonts w:hint="eastAsia" w:cs="宋体"/>
          <w:color w:val="auto"/>
          <w:highlight w:val="none"/>
        </w:rPr>
        <w:t>本工程部分材料和设备在招标时作为暂估价计列，结算按实调整，具体内容详见《材料（工程设备）暂估单价及调整表》（表</w:t>
      </w:r>
      <w:r>
        <w:rPr>
          <w:color w:val="auto"/>
          <w:highlight w:val="none"/>
        </w:rPr>
        <w:t>12-2</w:t>
      </w:r>
      <w:r>
        <w:rPr>
          <w:rFonts w:hint="eastAsia" w:cs="宋体"/>
          <w:color w:val="auto"/>
          <w:highlight w:val="none"/>
        </w:rPr>
        <w:t>）。</w:t>
      </w:r>
    </w:p>
    <w:p w14:paraId="0A7BB2DD">
      <w:pPr>
        <w:spacing w:line="360" w:lineRule="auto"/>
        <w:ind w:firstLine="420" w:firstLineChars="200"/>
        <w:rPr>
          <w:color w:val="auto"/>
          <w:highlight w:val="none"/>
        </w:rPr>
      </w:pPr>
      <w:r>
        <w:rPr>
          <w:color w:val="auto"/>
          <w:highlight w:val="none"/>
        </w:rPr>
        <w:t xml:space="preserve">1.9 </w:t>
      </w:r>
      <w:r>
        <w:rPr>
          <w:rFonts w:hint="eastAsia" w:cs="宋体"/>
          <w:color w:val="auto"/>
          <w:highlight w:val="none"/>
        </w:rPr>
        <w:t>招标时暂估专业工程的价款属于暂估价，结算按实调整，具体内容详见《专业工程暂估价及结算价表》（表</w:t>
      </w:r>
      <w:r>
        <w:rPr>
          <w:color w:val="auto"/>
          <w:highlight w:val="none"/>
        </w:rPr>
        <w:t>12-3</w:t>
      </w:r>
      <w:r>
        <w:rPr>
          <w:rFonts w:hint="eastAsia" w:cs="宋体"/>
          <w:color w:val="auto"/>
          <w:highlight w:val="none"/>
        </w:rPr>
        <w:t>）。</w:t>
      </w:r>
    </w:p>
    <w:p w14:paraId="2CE9814A">
      <w:pPr>
        <w:spacing w:line="360" w:lineRule="auto"/>
        <w:ind w:firstLine="420" w:firstLineChars="200"/>
        <w:rPr>
          <w:color w:val="auto"/>
          <w:highlight w:val="none"/>
        </w:rPr>
      </w:pPr>
      <w:r>
        <w:rPr>
          <w:color w:val="auto"/>
          <w:highlight w:val="none"/>
        </w:rPr>
        <w:t xml:space="preserve">1.10 </w:t>
      </w:r>
      <w:r>
        <w:rPr>
          <w:rFonts w:hint="eastAsia" w:cs="宋体"/>
          <w:color w:val="auto"/>
          <w:highlight w:val="none"/>
        </w:rPr>
        <w:t>本工程量清单编码处标注</w:t>
      </w:r>
      <w:r>
        <w:rPr>
          <w:color w:val="auto"/>
          <w:highlight w:val="none"/>
        </w:rPr>
        <w:t>“*”</w:t>
      </w:r>
      <w:r>
        <w:rPr>
          <w:rFonts w:hint="eastAsia" w:cs="宋体"/>
          <w:color w:val="auto"/>
          <w:highlight w:val="none"/>
        </w:rPr>
        <w:t>号的清单项目作为主要清单项目，需要供应商提供</w:t>
      </w:r>
      <w:r>
        <w:rPr>
          <w:rFonts w:hint="eastAsia" w:hAnsi="宋体" w:cs="宋体"/>
          <w:color w:val="auto"/>
          <w:highlight w:val="none"/>
        </w:rPr>
        <w:t>《主要清单项目工料机分析表》（表</w:t>
      </w:r>
      <w:r>
        <w:rPr>
          <w:color w:val="auto"/>
          <w:highlight w:val="none"/>
        </w:rPr>
        <w:t>-10</w:t>
      </w:r>
      <w:r>
        <w:rPr>
          <w:rFonts w:hint="eastAsia" w:hAnsi="宋体" w:cs="宋体"/>
          <w:color w:val="auto"/>
          <w:highlight w:val="none"/>
        </w:rPr>
        <w:t>）</w:t>
      </w:r>
      <w:r>
        <w:rPr>
          <w:rFonts w:hint="eastAsia" w:cs="宋体"/>
          <w:color w:val="auto"/>
          <w:highlight w:val="none"/>
        </w:rPr>
        <w:t>。</w:t>
      </w:r>
    </w:p>
    <w:p w14:paraId="631787C3">
      <w:pPr>
        <w:spacing w:line="360" w:lineRule="auto"/>
        <w:rPr>
          <w:color w:val="auto"/>
          <w:highlight w:val="none"/>
        </w:rPr>
      </w:pPr>
      <w:r>
        <w:rPr>
          <w:color w:val="auto"/>
          <w:highlight w:val="none"/>
        </w:rPr>
        <w:t xml:space="preserve">1.11 </w:t>
      </w:r>
      <w:r>
        <w:rPr>
          <w:rFonts w:hint="eastAsia" w:cs="宋体"/>
          <w:color w:val="auto"/>
          <w:highlight w:val="none"/>
        </w:rPr>
        <w:t>其它需要说明的问题：</w:t>
      </w:r>
      <w:r>
        <w:rPr>
          <w:color w:val="auto"/>
          <w:highlight w:val="none"/>
          <w:u w:val="single"/>
        </w:rPr>
        <w:t xml:space="preserve">                                                  </w:t>
      </w:r>
      <w:r>
        <w:rPr>
          <w:rFonts w:hint="eastAsia" w:cs="宋体"/>
          <w:color w:val="auto"/>
          <w:highlight w:val="none"/>
        </w:rPr>
        <w:t>。</w:t>
      </w:r>
    </w:p>
    <w:p w14:paraId="1E7B356C">
      <w:pPr>
        <w:spacing w:line="360" w:lineRule="auto"/>
        <w:ind w:firstLine="420" w:firstLineChars="200"/>
        <w:jc w:val="left"/>
        <w:rPr>
          <w:color w:val="auto"/>
          <w:highlight w:val="none"/>
        </w:rPr>
      </w:pPr>
      <w:r>
        <w:rPr>
          <w:color w:val="auto"/>
          <w:highlight w:val="none"/>
        </w:rPr>
        <w:t xml:space="preserve">1.12 </w:t>
      </w:r>
      <w:r>
        <w:rPr>
          <w:color w:val="auto"/>
          <w:szCs w:val="21"/>
          <w:highlight w:val="none"/>
        </w:rPr>
        <w:t>工程量清单另册发放。</w:t>
      </w:r>
      <w:r>
        <w:rPr>
          <w:color w:val="auto"/>
          <w:highlight w:val="none"/>
        </w:rPr>
        <w:t xml:space="preserve"> </w:t>
      </w:r>
      <w:r>
        <w:rPr>
          <w:rFonts w:hint="eastAsia" w:cs="宋体"/>
          <w:color w:val="auto"/>
          <w:highlight w:val="none"/>
        </w:rPr>
        <w:t>一般计税法建设工程的工程量清单表格按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表格提供，但规费和税费要按照《关于建筑业实施营业税改征增值税后广西壮族自治区建设工程计价依据调整的通知》（桂建标〔</w:t>
      </w:r>
      <w:r>
        <w:rPr>
          <w:color w:val="auto"/>
          <w:highlight w:val="none"/>
        </w:rPr>
        <w:t>2016</w:t>
      </w:r>
      <w:r>
        <w:rPr>
          <w:rFonts w:hint="eastAsia" w:cs="宋体"/>
          <w:color w:val="auto"/>
          <w:highlight w:val="none"/>
        </w:rPr>
        <w:t>〕</w:t>
      </w:r>
      <w:r>
        <w:rPr>
          <w:color w:val="auto"/>
          <w:highlight w:val="none"/>
        </w:rPr>
        <w:t>17</w:t>
      </w:r>
      <w:r>
        <w:rPr>
          <w:rFonts w:hint="eastAsia" w:cs="宋体"/>
          <w:color w:val="auto"/>
          <w:highlight w:val="none"/>
        </w:rPr>
        <w:t>号）</w:t>
      </w:r>
      <w:r>
        <w:rPr>
          <w:rFonts w:hint="eastAsia" w:ascii="宋体" w:hAnsi="宋体" w:cs="宋体"/>
          <w:color w:val="auto"/>
          <w:highlight w:val="none"/>
        </w:rPr>
        <w:t>要求调整，具体</w:t>
      </w:r>
      <w:r>
        <w:rPr>
          <w:rFonts w:hint="eastAsia" w:cs="宋体"/>
          <w:color w:val="auto"/>
          <w:highlight w:val="none"/>
        </w:rPr>
        <w:t>包括：</w:t>
      </w:r>
    </w:p>
    <w:p w14:paraId="784C1B97">
      <w:pPr>
        <w:spacing w:line="360" w:lineRule="auto"/>
        <w:ind w:firstLine="630" w:firstLineChars="300"/>
        <w:jc w:val="left"/>
        <w:rPr>
          <w:color w:val="auto"/>
          <w:highlight w:val="none"/>
        </w:rPr>
      </w:pPr>
      <w:r>
        <w:rPr>
          <w:color w:val="auto"/>
          <w:highlight w:val="none"/>
        </w:rPr>
        <w:t xml:space="preserve">1.1 </w:t>
      </w:r>
      <w:r>
        <w:rPr>
          <w:rFonts w:hint="eastAsia" w:cs="宋体"/>
          <w:color w:val="auto"/>
          <w:highlight w:val="none"/>
        </w:rPr>
        <w:t>招标工程量清单（封</w:t>
      </w:r>
      <w:r>
        <w:rPr>
          <w:color w:val="auto"/>
          <w:highlight w:val="none"/>
        </w:rPr>
        <w:t>-1</w:t>
      </w:r>
      <w:r>
        <w:rPr>
          <w:rFonts w:hint="eastAsia" w:cs="宋体"/>
          <w:color w:val="auto"/>
          <w:highlight w:val="none"/>
        </w:rPr>
        <w:t>）</w:t>
      </w:r>
    </w:p>
    <w:p w14:paraId="02ACF59B">
      <w:pPr>
        <w:spacing w:line="360" w:lineRule="auto"/>
        <w:ind w:firstLine="630" w:firstLineChars="300"/>
        <w:jc w:val="left"/>
        <w:rPr>
          <w:color w:val="auto"/>
          <w:highlight w:val="none"/>
        </w:rPr>
      </w:pPr>
      <w:r>
        <w:rPr>
          <w:color w:val="auto"/>
          <w:highlight w:val="none"/>
        </w:rPr>
        <w:t xml:space="preserve">1.2 </w:t>
      </w:r>
      <w:r>
        <w:rPr>
          <w:rFonts w:hint="eastAsia" w:cs="宋体"/>
          <w:color w:val="auto"/>
          <w:highlight w:val="none"/>
        </w:rPr>
        <w:t>招标工程量清单（封扉</w:t>
      </w:r>
      <w:r>
        <w:rPr>
          <w:color w:val="auto"/>
          <w:highlight w:val="none"/>
        </w:rPr>
        <w:t>-1</w:t>
      </w:r>
      <w:r>
        <w:rPr>
          <w:rFonts w:hint="eastAsia" w:cs="宋体"/>
          <w:color w:val="auto"/>
          <w:highlight w:val="none"/>
        </w:rPr>
        <w:t>）</w:t>
      </w:r>
    </w:p>
    <w:p w14:paraId="125E5181">
      <w:pPr>
        <w:spacing w:line="360" w:lineRule="auto"/>
        <w:ind w:firstLine="630" w:firstLineChars="300"/>
        <w:jc w:val="left"/>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63065C49">
      <w:pPr>
        <w:spacing w:line="360" w:lineRule="auto"/>
        <w:ind w:firstLine="630" w:firstLineChars="300"/>
        <w:jc w:val="left"/>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595EDA93">
      <w:pPr>
        <w:spacing w:line="360" w:lineRule="auto"/>
        <w:ind w:firstLine="630" w:firstLineChars="300"/>
        <w:jc w:val="left"/>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331D4E20">
      <w:pPr>
        <w:spacing w:line="360" w:lineRule="auto"/>
        <w:ind w:firstLine="630" w:firstLineChars="300"/>
        <w:jc w:val="left"/>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295EC3C5">
      <w:pPr>
        <w:spacing w:line="360" w:lineRule="auto"/>
        <w:ind w:firstLine="630" w:firstLineChars="300"/>
        <w:jc w:val="left"/>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5066F612">
      <w:pPr>
        <w:spacing w:line="360" w:lineRule="auto"/>
        <w:ind w:firstLine="630" w:firstLineChars="300"/>
        <w:jc w:val="left"/>
        <w:rPr>
          <w:color w:val="auto"/>
          <w:highlight w:val="none"/>
        </w:rPr>
      </w:pPr>
      <w:r>
        <w:rPr>
          <w:color w:val="auto"/>
          <w:highlight w:val="none"/>
        </w:rPr>
        <w:t xml:space="preserve">1.8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14:paraId="11C2C5BF">
      <w:pPr>
        <w:spacing w:line="360" w:lineRule="auto"/>
        <w:ind w:firstLine="630" w:firstLineChars="300"/>
        <w:jc w:val="left"/>
        <w:rPr>
          <w:color w:val="auto"/>
          <w:highlight w:val="none"/>
        </w:rPr>
      </w:pPr>
      <w:r>
        <w:rPr>
          <w:color w:val="auto"/>
          <w:highlight w:val="none"/>
        </w:rPr>
        <w:t xml:space="preserve">1.9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14:paraId="291E1775">
      <w:pPr>
        <w:spacing w:line="360" w:lineRule="auto"/>
        <w:ind w:firstLine="630" w:firstLineChars="300"/>
        <w:jc w:val="left"/>
        <w:rPr>
          <w:color w:val="auto"/>
          <w:highlight w:val="none"/>
        </w:rPr>
      </w:pPr>
      <w:r>
        <w:rPr>
          <w:color w:val="auto"/>
          <w:highlight w:val="none"/>
        </w:rPr>
        <w:t xml:space="preserve">1.10 </w:t>
      </w:r>
      <w:r>
        <w:rPr>
          <w:rFonts w:hint="eastAsia" w:cs="宋体"/>
          <w:color w:val="auto"/>
          <w:highlight w:val="none"/>
        </w:rPr>
        <w:t>暂列金额明细表（表</w:t>
      </w:r>
      <w:r>
        <w:rPr>
          <w:color w:val="auto"/>
          <w:highlight w:val="none"/>
        </w:rPr>
        <w:t>12-1</w:t>
      </w:r>
      <w:r>
        <w:rPr>
          <w:rFonts w:hint="eastAsia" w:cs="宋体"/>
          <w:color w:val="auto"/>
          <w:highlight w:val="none"/>
        </w:rPr>
        <w:t>）</w:t>
      </w:r>
    </w:p>
    <w:p w14:paraId="37C459FE">
      <w:pPr>
        <w:spacing w:line="360" w:lineRule="auto"/>
        <w:ind w:firstLine="630" w:firstLineChars="300"/>
        <w:jc w:val="left"/>
        <w:rPr>
          <w:color w:val="auto"/>
          <w:highlight w:val="none"/>
        </w:rPr>
      </w:pPr>
      <w:r>
        <w:rPr>
          <w:color w:val="auto"/>
          <w:highlight w:val="none"/>
        </w:rPr>
        <w:t xml:space="preserve">1.11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14:paraId="356F1693">
      <w:pPr>
        <w:spacing w:line="360" w:lineRule="auto"/>
        <w:ind w:firstLine="630" w:firstLineChars="300"/>
        <w:jc w:val="left"/>
        <w:rPr>
          <w:color w:val="auto"/>
          <w:highlight w:val="none"/>
        </w:rPr>
      </w:pPr>
      <w:r>
        <w:rPr>
          <w:color w:val="auto"/>
          <w:highlight w:val="none"/>
        </w:rPr>
        <w:t xml:space="preserve">1.12 </w:t>
      </w:r>
      <w:r>
        <w:rPr>
          <w:rFonts w:hint="eastAsia" w:cs="宋体"/>
          <w:color w:val="auto"/>
          <w:highlight w:val="none"/>
        </w:rPr>
        <w:t>专业工程暂估价</w:t>
      </w:r>
      <w:r>
        <w:rPr>
          <w:rFonts w:hint="eastAsia"/>
          <w:color w:val="auto"/>
          <w:highlight w:val="none"/>
        </w:rPr>
        <w:t>及结算价</w:t>
      </w:r>
      <w:r>
        <w:rPr>
          <w:rFonts w:hint="eastAsia" w:cs="宋体"/>
          <w:color w:val="auto"/>
          <w:highlight w:val="none"/>
        </w:rPr>
        <w:t>表（表</w:t>
      </w:r>
      <w:r>
        <w:rPr>
          <w:color w:val="auto"/>
          <w:highlight w:val="none"/>
        </w:rPr>
        <w:t>12-3</w:t>
      </w:r>
      <w:r>
        <w:rPr>
          <w:rFonts w:hint="eastAsia" w:cs="宋体"/>
          <w:color w:val="auto"/>
          <w:highlight w:val="none"/>
        </w:rPr>
        <w:t>）</w:t>
      </w:r>
    </w:p>
    <w:p w14:paraId="2F6F58D7">
      <w:pPr>
        <w:spacing w:line="360" w:lineRule="auto"/>
        <w:ind w:firstLine="630" w:firstLineChars="300"/>
        <w:jc w:val="left"/>
        <w:rPr>
          <w:color w:val="auto"/>
          <w:highlight w:val="none"/>
        </w:rPr>
      </w:pPr>
      <w:r>
        <w:rPr>
          <w:color w:val="auto"/>
          <w:highlight w:val="none"/>
        </w:rPr>
        <w:t xml:space="preserve">1.13 </w:t>
      </w:r>
      <w:r>
        <w:rPr>
          <w:rFonts w:hint="eastAsia" w:cs="宋体"/>
          <w:color w:val="auto"/>
          <w:highlight w:val="none"/>
        </w:rPr>
        <w:t>计日工表（表</w:t>
      </w:r>
      <w:r>
        <w:rPr>
          <w:color w:val="auto"/>
          <w:highlight w:val="none"/>
        </w:rPr>
        <w:t>12-4</w:t>
      </w:r>
      <w:r>
        <w:rPr>
          <w:rFonts w:hint="eastAsia" w:cs="宋体"/>
          <w:color w:val="auto"/>
          <w:highlight w:val="none"/>
        </w:rPr>
        <w:t>）</w:t>
      </w:r>
    </w:p>
    <w:p w14:paraId="4AD01F6E">
      <w:pPr>
        <w:spacing w:line="360" w:lineRule="auto"/>
        <w:ind w:firstLine="630" w:firstLineChars="300"/>
        <w:jc w:val="left"/>
        <w:rPr>
          <w:color w:val="auto"/>
          <w:highlight w:val="none"/>
        </w:rPr>
      </w:pPr>
      <w:r>
        <w:rPr>
          <w:color w:val="auto"/>
          <w:highlight w:val="none"/>
        </w:rPr>
        <w:t xml:space="preserve">1.14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14:paraId="14AC3BA2">
      <w:pPr>
        <w:spacing w:line="360" w:lineRule="auto"/>
        <w:ind w:firstLine="630" w:firstLineChars="300"/>
        <w:jc w:val="left"/>
        <w:rPr>
          <w:color w:val="auto"/>
          <w:highlight w:val="none"/>
        </w:rPr>
      </w:pPr>
      <w:r>
        <w:rPr>
          <w:color w:val="auto"/>
          <w:highlight w:val="none"/>
        </w:rPr>
        <w:t xml:space="preserve">1.15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14:paraId="1601C983">
      <w:pPr>
        <w:spacing w:line="360" w:lineRule="auto"/>
        <w:ind w:firstLine="630" w:firstLineChars="300"/>
        <w:jc w:val="left"/>
        <w:rPr>
          <w:color w:val="auto"/>
          <w:highlight w:val="none"/>
        </w:rPr>
      </w:pPr>
      <w:r>
        <w:rPr>
          <w:color w:val="auto"/>
          <w:highlight w:val="none"/>
        </w:rPr>
        <w:t xml:space="preserve">1.16 </w:t>
      </w:r>
      <w:r>
        <w:rPr>
          <w:rFonts w:hint="eastAsia" w:cs="宋体"/>
          <w:color w:val="auto"/>
          <w:highlight w:val="none"/>
        </w:rPr>
        <w:t>规费、增值税计价表（表</w:t>
      </w:r>
      <w:r>
        <w:rPr>
          <w:color w:val="auto"/>
          <w:highlight w:val="none"/>
        </w:rPr>
        <w:t>-15</w:t>
      </w:r>
      <w:r>
        <w:rPr>
          <w:rFonts w:hint="eastAsia" w:cs="宋体"/>
          <w:color w:val="auto"/>
          <w:highlight w:val="none"/>
        </w:rPr>
        <w:t>）</w:t>
      </w:r>
    </w:p>
    <w:p w14:paraId="412279C4">
      <w:pPr>
        <w:spacing w:line="360" w:lineRule="auto"/>
        <w:ind w:firstLine="630" w:firstLineChars="300"/>
        <w:jc w:val="left"/>
        <w:rPr>
          <w:color w:val="auto"/>
          <w:highlight w:val="none"/>
        </w:rPr>
      </w:pPr>
      <w:r>
        <w:rPr>
          <w:color w:val="auto"/>
          <w:highlight w:val="none"/>
        </w:rPr>
        <w:t xml:space="preserve">1.17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14:paraId="3833CB36">
      <w:pPr>
        <w:spacing w:line="360" w:lineRule="auto"/>
        <w:ind w:firstLine="630" w:firstLineChars="300"/>
        <w:jc w:val="left"/>
        <w:rPr>
          <w:color w:val="auto"/>
          <w:highlight w:val="none"/>
        </w:rPr>
      </w:pPr>
      <w:r>
        <w:rPr>
          <w:color w:val="auto"/>
          <w:highlight w:val="none"/>
        </w:rPr>
        <w:t xml:space="preserve">1.18 </w:t>
      </w:r>
      <w:r>
        <w:rPr>
          <w:rFonts w:hint="eastAsia" w:cs="宋体"/>
          <w:color w:val="auto"/>
          <w:highlight w:val="none"/>
        </w:rPr>
        <w:t>承包人提供主要材料和工程设备一览表（适用于造价信息差额调整法）（表</w:t>
      </w:r>
      <w:r>
        <w:rPr>
          <w:color w:val="auto"/>
          <w:highlight w:val="none"/>
        </w:rPr>
        <w:t>-22</w:t>
      </w:r>
      <w:r>
        <w:rPr>
          <w:rFonts w:hint="eastAsia" w:cs="宋体"/>
          <w:color w:val="auto"/>
          <w:highlight w:val="none"/>
        </w:rPr>
        <w:t>）</w:t>
      </w:r>
    </w:p>
    <w:p w14:paraId="096D6423">
      <w:pPr>
        <w:spacing w:line="360" w:lineRule="auto"/>
        <w:ind w:firstLine="630" w:firstLineChars="300"/>
        <w:jc w:val="left"/>
        <w:rPr>
          <w:color w:val="auto"/>
          <w:highlight w:val="none"/>
        </w:rPr>
      </w:pPr>
      <w:r>
        <w:rPr>
          <w:color w:val="auto"/>
          <w:highlight w:val="none"/>
        </w:rPr>
        <w:t>1.19</w:t>
      </w:r>
      <w:r>
        <w:rPr>
          <w:rFonts w:hint="eastAsia" w:cs="宋体"/>
          <w:color w:val="auto"/>
          <w:highlight w:val="none"/>
        </w:rPr>
        <w:t>承包人提供主要材料和工程设备一览表（适用于价格指数差额调整法）（表</w:t>
      </w:r>
      <w:r>
        <w:rPr>
          <w:color w:val="auto"/>
          <w:highlight w:val="none"/>
        </w:rPr>
        <w:t>-23</w:t>
      </w:r>
      <w:r>
        <w:rPr>
          <w:rFonts w:hint="eastAsia" w:cs="宋体"/>
          <w:color w:val="auto"/>
          <w:highlight w:val="none"/>
        </w:rPr>
        <w:t>）</w:t>
      </w:r>
    </w:p>
    <w:p w14:paraId="244C3950">
      <w:pPr>
        <w:spacing w:line="360" w:lineRule="auto"/>
        <w:ind w:firstLine="630" w:firstLineChars="300"/>
        <w:jc w:val="left"/>
        <w:rPr>
          <w:rFonts w:cs="宋体"/>
          <w:color w:val="auto"/>
          <w:highlight w:val="none"/>
        </w:rPr>
      </w:pPr>
      <w:r>
        <w:rPr>
          <w:rFonts w:hint="eastAsia" w:cs="宋体"/>
          <w:color w:val="auto"/>
          <w:highlight w:val="none"/>
        </w:rPr>
        <w:t>注：如本工程在合同中约定采用造价信息价差调整法，1.</w:t>
      </w:r>
      <w:r>
        <w:rPr>
          <w:color w:val="auto"/>
          <w:highlight w:val="none"/>
        </w:rPr>
        <w:t xml:space="preserve">18 </w:t>
      </w:r>
      <w:r>
        <w:rPr>
          <w:rFonts w:hint="eastAsia" w:cs="宋体"/>
          <w:color w:val="auto"/>
          <w:highlight w:val="none"/>
        </w:rPr>
        <w:t>承包人提供主要材料和工程设备一览表（适用于造价信息差额调整法）（表</w:t>
      </w:r>
      <w:r>
        <w:rPr>
          <w:color w:val="auto"/>
          <w:highlight w:val="none"/>
        </w:rPr>
        <w:t>-22</w:t>
      </w:r>
      <w:r>
        <w:rPr>
          <w:rFonts w:hint="eastAsia" w:cs="宋体"/>
          <w:color w:val="auto"/>
          <w:highlight w:val="none"/>
        </w:rPr>
        <w:t>）载明的主要材料和设备为本工程允许调整的材料和设备，工程量清单必须提供该表格，且不能提供空白表。（根据项目实际情况调整）</w:t>
      </w:r>
    </w:p>
    <w:p w14:paraId="1DCD0689">
      <w:pPr>
        <w:spacing w:line="360" w:lineRule="auto"/>
        <w:ind w:firstLine="630" w:firstLineChars="300"/>
        <w:jc w:val="left"/>
        <w:rPr>
          <w:color w:val="auto"/>
          <w:highlight w:val="none"/>
        </w:rPr>
      </w:pPr>
      <w:r>
        <w:rPr>
          <w:rFonts w:hint="eastAsia" w:cs="宋体"/>
          <w:color w:val="auto"/>
          <w:highlight w:val="none"/>
        </w:rPr>
        <w:t>以下表格视工程实际需要选用，如该工程不发生如下表格相关项目和费用，所编制工程量清单则不需列入相应表格：</w:t>
      </w:r>
    </w:p>
    <w:p w14:paraId="5B59F61F">
      <w:pPr>
        <w:spacing w:line="360" w:lineRule="auto"/>
        <w:ind w:firstLine="630" w:firstLineChars="300"/>
        <w:jc w:val="left"/>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3FA3388E">
      <w:pPr>
        <w:spacing w:line="360" w:lineRule="auto"/>
        <w:ind w:firstLine="630" w:firstLineChars="300"/>
        <w:jc w:val="left"/>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14:paraId="5A4DA6AB">
      <w:pPr>
        <w:spacing w:line="360" w:lineRule="auto"/>
        <w:ind w:firstLine="630" w:firstLineChars="300"/>
        <w:jc w:val="left"/>
        <w:rPr>
          <w:color w:val="auto"/>
          <w:highlight w:val="none"/>
        </w:rPr>
      </w:pPr>
      <w:r>
        <w:rPr>
          <w:rFonts w:hint="eastAsia" w:cs="宋体"/>
          <w:color w:val="auto"/>
          <w:highlight w:val="none"/>
        </w:rPr>
        <w:t>③材料（工程设备）暂估单价及调整表（表</w:t>
      </w:r>
      <w:r>
        <w:rPr>
          <w:color w:val="auto"/>
          <w:highlight w:val="none"/>
        </w:rPr>
        <w:t>12-2</w:t>
      </w:r>
      <w:r>
        <w:rPr>
          <w:rFonts w:hint="eastAsia" w:cs="宋体"/>
          <w:color w:val="auto"/>
          <w:highlight w:val="none"/>
        </w:rPr>
        <w:t>）</w:t>
      </w:r>
    </w:p>
    <w:p w14:paraId="4CFD3DC3">
      <w:pPr>
        <w:spacing w:line="360" w:lineRule="auto"/>
        <w:ind w:firstLine="630" w:firstLineChars="300"/>
        <w:jc w:val="left"/>
        <w:rPr>
          <w:color w:val="auto"/>
          <w:highlight w:val="none"/>
        </w:rPr>
      </w:pPr>
      <w:r>
        <w:rPr>
          <w:rFonts w:hint="eastAsia" w:cs="宋体"/>
          <w:color w:val="auto"/>
          <w:highlight w:val="none"/>
        </w:rPr>
        <w:t>④专业工程暂估价表（表</w:t>
      </w:r>
      <w:r>
        <w:rPr>
          <w:color w:val="auto"/>
          <w:highlight w:val="none"/>
        </w:rPr>
        <w:t>12-3</w:t>
      </w:r>
      <w:r>
        <w:rPr>
          <w:rFonts w:hint="eastAsia" w:cs="宋体"/>
          <w:color w:val="auto"/>
          <w:highlight w:val="none"/>
        </w:rPr>
        <w:t>）</w:t>
      </w:r>
    </w:p>
    <w:p w14:paraId="0F57C34F">
      <w:pPr>
        <w:spacing w:line="360" w:lineRule="auto"/>
        <w:ind w:firstLine="630" w:firstLineChars="300"/>
        <w:jc w:val="left"/>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14:paraId="3EEA86E5">
      <w:pPr>
        <w:spacing w:line="360" w:lineRule="auto"/>
        <w:ind w:firstLine="630" w:firstLineChars="300"/>
        <w:jc w:val="left"/>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14:paraId="2ED3A006">
      <w:pPr>
        <w:spacing w:line="360" w:lineRule="auto"/>
        <w:ind w:firstLine="630" w:firstLineChars="300"/>
        <w:jc w:val="left"/>
        <w:rPr>
          <w:rFonts w:cs="宋体"/>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14:paraId="375704AE">
      <w:pPr>
        <w:spacing w:line="360" w:lineRule="auto"/>
        <w:ind w:firstLine="630" w:firstLineChars="3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color w:val="auto"/>
          <w:highlight w:val="none"/>
        </w:rPr>
        <w:t xml:space="preserve"> </w:t>
      </w:r>
      <w:r>
        <w:rPr>
          <w:rFonts w:hint="eastAsia" w:cs="宋体"/>
          <w:color w:val="auto"/>
          <w:highlight w:val="none"/>
        </w:rPr>
        <w:t>承包人提供主要材料和工程设备一览表（适用于价格指数差额调整法）（表</w:t>
      </w:r>
      <w:r>
        <w:rPr>
          <w:color w:val="auto"/>
          <w:highlight w:val="none"/>
        </w:rPr>
        <w:t>-23</w:t>
      </w:r>
      <w:r>
        <w:rPr>
          <w:rFonts w:hint="eastAsia" w:cs="宋体"/>
          <w:color w:val="auto"/>
          <w:highlight w:val="none"/>
        </w:rPr>
        <w:t>）</w:t>
      </w:r>
    </w:p>
    <w:p w14:paraId="188667BA">
      <w:pPr>
        <w:pStyle w:val="4"/>
        <w:rPr>
          <w:color w:val="auto"/>
          <w:sz w:val="21"/>
          <w:szCs w:val="21"/>
          <w:highlight w:val="none"/>
        </w:rPr>
      </w:pPr>
      <w:bookmarkStart w:id="1143" w:name="_Toc407135285"/>
      <w:bookmarkStart w:id="1144" w:name="_Toc13127"/>
      <w:r>
        <w:rPr>
          <w:color w:val="auto"/>
          <w:sz w:val="21"/>
          <w:szCs w:val="21"/>
          <w:highlight w:val="none"/>
        </w:rPr>
        <w:t xml:space="preserve">2 </w:t>
      </w:r>
      <w:r>
        <w:rPr>
          <w:rFonts w:hint="eastAsia" w:cs="黑体"/>
          <w:color w:val="auto"/>
          <w:sz w:val="21"/>
          <w:szCs w:val="21"/>
          <w:highlight w:val="none"/>
        </w:rPr>
        <w:t>招标控制价编制说明</w:t>
      </w:r>
      <w:bookmarkEnd w:id="1143"/>
      <w:bookmarkEnd w:id="1144"/>
    </w:p>
    <w:p w14:paraId="1DC94B90">
      <w:pPr>
        <w:spacing w:line="360" w:lineRule="auto"/>
        <w:ind w:firstLine="420" w:firstLineChars="200"/>
        <w:rPr>
          <w:color w:val="auto"/>
          <w:highlight w:val="none"/>
        </w:rPr>
      </w:pPr>
      <w:r>
        <w:rPr>
          <w:color w:val="auto"/>
          <w:highlight w:val="none"/>
        </w:rPr>
        <w:t xml:space="preserve">2.1 </w:t>
      </w:r>
      <w:r>
        <w:rPr>
          <w:rFonts w:hint="eastAsia" w:hAnsi="宋体" w:cs="宋体"/>
          <w:color w:val="auto"/>
          <w:highlight w:val="none"/>
        </w:rPr>
        <w:t>招标控制价编制依据：</w:t>
      </w:r>
    </w:p>
    <w:p w14:paraId="053D16ED">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《计价规范》及《计算规范》、</w:t>
      </w:r>
      <w:r>
        <w:rPr>
          <w:rFonts w:hint="eastAsia" w:hAnsi="宋体" w:cs="宋体"/>
          <w:color w:val="auto"/>
          <w:kern w:val="0"/>
          <w:highlight w:val="none"/>
        </w:rPr>
        <w:t>《关于调整建设工程计价增值税税率的通知》( 桂建标[2019]12号)等</w:t>
      </w:r>
      <w:r>
        <w:rPr>
          <w:rFonts w:hint="eastAsia" w:hAnsi="宋体" w:cs="宋体"/>
          <w:color w:val="auto"/>
          <w:highlight w:val="none"/>
        </w:rPr>
        <w:t>；</w:t>
      </w:r>
    </w:p>
    <w:p w14:paraId="26805CCB">
      <w:pPr>
        <w:spacing w:line="360" w:lineRule="auto"/>
        <w:ind w:firstLine="420" w:firstLineChars="200"/>
        <w:jc w:val="left"/>
        <w:rPr>
          <w:rFonts w:cs="宋体"/>
          <w:color w:val="auto"/>
          <w:highlight w:val="none"/>
        </w:rPr>
      </w:pPr>
      <w:r>
        <w:rPr>
          <w:rFonts w:hint="eastAsia" w:cs="宋体"/>
          <w:color w:val="auto"/>
          <w:highlight w:val="none"/>
        </w:rPr>
        <w:t>（</w:t>
      </w:r>
      <w:r>
        <w:rPr>
          <w:color w:val="auto"/>
          <w:highlight w:val="none"/>
        </w:rPr>
        <w:t>2</w:t>
      </w:r>
      <w:r>
        <w:rPr>
          <w:rFonts w:hint="eastAsia" w:cs="宋体"/>
          <w:color w:val="auto"/>
          <w:highlight w:val="none"/>
        </w:rPr>
        <w:t>）自治区住房城乡建设行政主管部门颁发的计价定额及有关规定：2013《广西壮族自治区建筑装饰装修工程消耗量定额》、2015年《广西壮族自治区安装工程消耗量定额》、《广西自治区住房城乡建设厅关于调整建设工程定额人工费及有关费率的通知》桂建标[2023]7号文、桂建发【2023】6号《关于工程安全生产责任保险计价规定的通知》（具体内容以工程量清单及招标控制价总说明为准）。</w:t>
      </w:r>
    </w:p>
    <w:p w14:paraId="3CD02653">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color w:val="auto"/>
          <w:highlight w:val="none"/>
          <w:u w:val="single"/>
        </w:rPr>
        <w:t xml:space="preserve">                                          </w:t>
      </w:r>
      <w:r>
        <w:rPr>
          <w:rFonts w:hint="eastAsia" w:cs="宋体"/>
          <w:color w:val="auto"/>
          <w:highlight w:val="none"/>
        </w:rPr>
        <w:t>。</w:t>
      </w:r>
      <w:r>
        <w:rPr>
          <w:color w:val="auto"/>
          <w:highlight w:val="none"/>
        </w:rPr>
        <w:t xml:space="preserve"> </w:t>
      </w:r>
    </w:p>
    <w:p w14:paraId="73E3A6C5">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w:t>
      </w:r>
      <w:r>
        <w:rPr>
          <w:rFonts w:hint="eastAsia" w:hAnsi="宋体" w:cs="宋体"/>
          <w:color w:val="auto"/>
          <w:szCs w:val="21"/>
          <w:highlight w:val="none"/>
        </w:rPr>
        <w:t>竞争性磋商采购</w:t>
      </w:r>
      <w:r>
        <w:rPr>
          <w:rFonts w:hint="eastAsia" w:cs="宋体"/>
          <w:color w:val="auto"/>
          <w:highlight w:val="none"/>
        </w:rPr>
        <w:t>文件及工程量清单；</w:t>
      </w:r>
    </w:p>
    <w:p w14:paraId="2012EE68">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14:paraId="3BB1A9D5">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14:paraId="67207400">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：材料价格主要按照</w:t>
      </w:r>
      <w:r>
        <w:rPr>
          <w:color w:val="auto"/>
          <w:highlight w:val="none"/>
          <w:u w:val="single"/>
        </w:rPr>
        <w:t xml:space="preserve"> </w:t>
      </w:r>
      <w:r>
        <w:rPr>
          <w:rFonts w:hint="eastAsia"/>
          <w:color w:val="auto"/>
          <w:highlight w:val="none"/>
          <w:u w:val="single"/>
        </w:rPr>
        <w:t>南宁</w:t>
      </w:r>
      <w:r>
        <w:rPr>
          <w:color w:val="auto"/>
          <w:highlight w:val="none"/>
          <w:u w:val="single"/>
        </w:rPr>
        <w:t xml:space="preserve"> </w:t>
      </w:r>
      <w:r>
        <w:rPr>
          <w:rFonts w:hint="eastAsia" w:cs="宋体"/>
          <w:color w:val="auto"/>
          <w:highlight w:val="none"/>
        </w:rPr>
        <w:t>市建设工程造价管理机构发布的工程造价信息</w:t>
      </w:r>
      <w:r>
        <w:rPr>
          <w:rFonts w:hint="eastAsia" w:cs="宋体"/>
          <w:color w:val="auto"/>
          <w:highlight w:val="none"/>
          <w:u w:val="single"/>
        </w:rPr>
        <w:t>2025年</w:t>
      </w:r>
      <w:r>
        <w:rPr>
          <w:rFonts w:hint="eastAsia" w:cs="宋体"/>
          <w:color w:val="auto"/>
          <w:highlight w:val="none"/>
        </w:rPr>
        <w:t>第（具体详见工程量清单）期，不足部分参考市场定价</w:t>
      </w:r>
      <w:r>
        <w:rPr>
          <w:rFonts w:hint="eastAsia" w:hAnsi="宋体" w:cs="宋体"/>
          <w:color w:val="auto"/>
          <w:highlight w:val="none"/>
        </w:rPr>
        <w:t>。</w:t>
      </w:r>
    </w:p>
    <w:p w14:paraId="6FCCAFA0">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分部分项及单价措施项目综合单价应包括竞争性磋商文件中采购人要求供应商所承担的风险内容及其范围（幅度）产生的风险费用。</w:t>
      </w:r>
    </w:p>
    <w:p w14:paraId="183B6A95">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总价措施项目应根据拟定的竞争性磋商文件和常规施工方案按《计价规范》和《计算规范》规定编制。</w:t>
      </w:r>
    </w:p>
    <w:p w14:paraId="047B78A5">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21728D6E">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368C90A2">
      <w:pPr>
        <w:pStyle w:val="87"/>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29885A2E">
      <w:pPr>
        <w:spacing w:line="360" w:lineRule="auto"/>
        <w:ind w:firstLine="422" w:firstLineChars="200"/>
        <w:rPr>
          <w:rFonts w:cs="宋体"/>
          <w:color w:val="auto"/>
          <w:szCs w:val="21"/>
          <w:highlight w:val="none"/>
        </w:rPr>
      </w:pPr>
      <w:r>
        <w:rPr>
          <w:rFonts w:hint="eastAsia" w:cs="宋体"/>
          <w:b/>
          <w:bCs/>
          <w:color w:val="auto"/>
          <w:highlight w:val="none"/>
        </w:rPr>
        <w:t>（</w:t>
      </w:r>
      <w:r>
        <w:rPr>
          <w:b/>
          <w:bCs/>
          <w:color w:val="auto"/>
          <w:highlight w:val="none"/>
        </w:rPr>
        <w:t>3</w:t>
      </w:r>
      <w:r>
        <w:rPr>
          <w:rFonts w:hint="eastAsia" w:cs="宋体"/>
          <w:b/>
          <w:bCs/>
          <w:color w:val="auto"/>
          <w:highlight w:val="none"/>
        </w:rPr>
        <w:t>）</w:t>
      </w:r>
      <w:r>
        <w:rPr>
          <w:rFonts w:hint="eastAsia" w:cs="宋体"/>
          <w:color w:val="auto"/>
          <w:szCs w:val="21"/>
          <w:highlight w:val="none"/>
        </w:rPr>
        <w:t>专业工程暂估价应按工程量清单中列出的金额填写，安全生产责任保险费暂估价应按工程量清单中列出的金额填写；</w:t>
      </w:r>
    </w:p>
    <w:p w14:paraId="652EA1C2">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3439F7A1">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6C58AAE7">
      <w:pPr>
        <w:spacing w:line="360" w:lineRule="auto"/>
        <w:ind w:firstLine="420" w:firstLineChars="200"/>
        <w:rPr>
          <w:color w:val="auto"/>
          <w:highlight w:val="none"/>
        </w:rPr>
      </w:pPr>
      <w:r>
        <w:rPr>
          <w:color w:val="auto"/>
          <w:highlight w:val="none"/>
        </w:rPr>
        <w:t xml:space="preserve">2.5 </w:t>
      </w:r>
      <w:r>
        <w:rPr>
          <w:rFonts w:hint="eastAsia" w:cs="宋体"/>
          <w:color w:val="auto"/>
          <w:highlight w:val="none"/>
        </w:rPr>
        <w:t>规费和增值税应按规定确定，作为不可竞争费用。</w:t>
      </w:r>
    </w:p>
    <w:p w14:paraId="674B8835">
      <w:pPr>
        <w:spacing w:line="360" w:lineRule="auto"/>
        <w:rPr>
          <w:rFonts w:hAnsi="宋体"/>
          <w:color w:val="auto"/>
          <w:highlight w:val="none"/>
        </w:rPr>
      </w:pPr>
      <w:r>
        <w:rPr>
          <w:color w:val="auto"/>
          <w:highlight w:val="none"/>
        </w:rPr>
        <w:t xml:space="preserve">2.6 </w:t>
      </w:r>
      <w:r>
        <w:rPr>
          <w:rFonts w:hint="eastAsia" w:hAnsi="宋体" w:cs="宋体"/>
          <w:color w:val="auto"/>
          <w:highlight w:val="none"/>
        </w:rPr>
        <w:t>其它需要说明的问题：</w:t>
      </w:r>
      <w:r>
        <w:rPr>
          <w:color w:val="auto"/>
          <w:highlight w:val="none"/>
          <w:u w:val="single"/>
        </w:rPr>
        <w:t xml:space="preserve">                                              </w:t>
      </w:r>
      <w:r>
        <w:rPr>
          <w:rFonts w:hint="eastAsia" w:hAnsi="宋体" w:cs="宋体"/>
          <w:color w:val="auto"/>
          <w:highlight w:val="none"/>
        </w:rPr>
        <w:t>。</w:t>
      </w:r>
    </w:p>
    <w:p w14:paraId="4ED17CF4">
      <w:pPr>
        <w:pStyle w:val="4"/>
        <w:rPr>
          <w:rFonts w:ascii="Times New Roman" w:hAnsi="Times New Roman"/>
          <w:color w:val="auto"/>
          <w:sz w:val="21"/>
          <w:szCs w:val="21"/>
          <w:highlight w:val="none"/>
        </w:rPr>
      </w:pPr>
      <w:bookmarkStart w:id="1145" w:name="_Toc407135286"/>
      <w:bookmarkStart w:id="1146" w:name="_Toc27130"/>
      <w:r>
        <w:rPr>
          <w:rFonts w:ascii="Times New Roman" w:hAnsi="Times New Roman"/>
          <w:color w:val="auto"/>
          <w:sz w:val="21"/>
          <w:szCs w:val="21"/>
          <w:highlight w:val="none"/>
        </w:rPr>
        <w:t xml:space="preserve">3 </w:t>
      </w:r>
      <w:r>
        <w:rPr>
          <w:rFonts w:hint="eastAsia" w:ascii="Times New Roman" w:hAnsi="Times New Roman"/>
          <w:color w:val="auto"/>
          <w:sz w:val="21"/>
          <w:szCs w:val="21"/>
          <w:highlight w:val="none"/>
        </w:rPr>
        <w:t>响应</w:t>
      </w:r>
      <w:r>
        <w:rPr>
          <w:rFonts w:ascii="Times New Roman" w:hAnsi="Times New Roman"/>
          <w:color w:val="auto"/>
          <w:sz w:val="21"/>
          <w:szCs w:val="21"/>
          <w:highlight w:val="none"/>
        </w:rPr>
        <w:t>报价（已标价工程量清单）编制说明</w:t>
      </w:r>
      <w:bookmarkEnd w:id="1145"/>
      <w:bookmarkEnd w:id="1146"/>
    </w:p>
    <w:p w14:paraId="17BB5F32">
      <w:pPr>
        <w:spacing w:line="360" w:lineRule="auto"/>
        <w:ind w:firstLine="420" w:firstLineChars="200"/>
        <w:rPr>
          <w:color w:val="auto"/>
          <w:highlight w:val="none"/>
        </w:rPr>
      </w:pPr>
      <w:r>
        <w:rPr>
          <w:color w:val="auto"/>
          <w:highlight w:val="none"/>
        </w:rPr>
        <w:t xml:space="preserve">3.1 </w:t>
      </w:r>
      <w:r>
        <w:rPr>
          <w:rFonts w:hint="eastAsia" w:cs="宋体"/>
          <w:color w:val="auto"/>
          <w:highlight w:val="none"/>
        </w:rPr>
        <w:t>供应商应依据</w:t>
      </w:r>
      <w:r>
        <w:rPr>
          <w:rFonts w:hint="eastAsia" w:hAnsi="宋体" w:cs="宋体"/>
          <w:color w:val="auto"/>
          <w:szCs w:val="21"/>
          <w:highlight w:val="none"/>
        </w:rPr>
        <w:t>竞争性磋商采购</w:t>
      </w:r>
      <w:r>
        <w:rPr>
          <w:rFonts w:hint="eastAsia" w:cs="宋体"/>
          <w:color w:val="auto"/>
          <w:highlight w:val="none"/>
        </w:rPr>
        <w:t>文件、采购人提供的工程量清单（以下简称“工程量清单”）以及《计价规范》、《计算规范》自主报价，自主报价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604FBEEC">
      <w:pPr>
        <w:spacing w:line="360" w:lineRule="auto"/>
        <w:ind w:firstLine="420" w:firstLineChars="200"/>
        <w:rPr>
          <w:rFonts w:hAnsi="宋体"/>
          <w:color w:val="auto"/>
          <w:highlight w:val="none"/>
        </w:rPr>
      </w:pPr>
      <w:r>
        <w:rPr>
          <w:color w:val="auto"/>
          <w:highlight w:val="none"/>
        </w:rPr>
        <w:t xml:space="preserve">3.2 </w:t>
      </w:r>
      <w:r>
        <w:rPr>
          <w:rFonts w:hint="eastAsia" w:cs="宋体"/>
          <w:color w:val="auto"/>
          <w:highlight w:val="none"/>
        </w:rPr>
        <w:t>供应商应按工程量清单填报价格。项目编码、项目名称、项目特征、计量单位、工程量必须与工程量清单一致，</w:t>
      </w:r>
      <w:r>
        <w:rPr>
          <w:rFonts w:hint="eastAsia" w:hAnsi="宋体" w:cs="宋体"/>
          <w:color w:val="auto"/>
          <w:highlight w:val="none"/>
        </w:rPr>
        <w:t>供应商不得对工程量清单项目进行增减调整。</w:t>
      </w:r>
    </w:p>
    <w:p w14:paraId="2A4EA071">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综合单价中应包含</w:t>
      </w:r>
      <w:r>
        <w:rPr>
          <w:rFonts w:hint="eastAsia" w:hAnsi="宋体" w:cs="宋体"/>
          <w:color w:val="auto"/>
          <w:szCs w:val="21"/>
          <w:highlight w:val="none"/>
        </w:rPr>
        <w:t>竞争性磋商采购</w:t>
      </w:r>
      <w:r>
        <w:rPr>
          <w:rFonts w:hint="eastAsia" w:cs="宋体"/>
          <w:color w:val="auto"/>
          <w:highlight w:val="none"/>
        </w:rPr>
        <w:t>文件中划分的应由供应商承担的风险范围及其费用。</w:t>
      </w:r>
    </w:p>
    <w:p w14:paraId="18F76571">
      <w:pPr>
        <w:spacing w:line="360" w:lineRule="auto"/>
        <w:ind w:firstLine="420" w:firstLineChars="200"/>
        <w:rPr>
          <w:rFonts w:hAnsi="宋体"/>
          <w:color w:val="auto"/>
          <w:highlight w:val="none"/>
        </w:rPr>
      </w:pPr>
      <w:r>
        <w:rPr>
          <w:color w:val="auto"/>
          <w:highlight w:val="none"/>
        </w:rPr>
        <w:t xml:space="preserve">3.4 </w:t>
      </w:r>
      <w:r>
        <w:rPr>
          <w:rFonts w:hint="eastAsia" w:hAnsi="宋体" w:cs="宋体"/>
          <w:color w:val="auto"/>
          <w:highlight w:val="none"/>
        </w:rPr>
        <w:t>分部分项工程项目和单价措施项目，应根据</w:t>
      </w:r>
      <w:r>
        <w:rPr>
          <w:rFonts w:hint="eastAsia" w:hAnsi="宋体" w:cs="宋体"/>
          <w:color w:val="auto"/>
          <w:szCs w:val="21"/>
          <w:highlight w:val="none"/>
        </w:rPr>
        <w:t>竞争性磋商采购</w:t>
      </w:r>
      <w:r>
        <w:rPr>
          <w:rFonts w:hint="eastAsia" w:hAnsi="宋体" w:cs="宋体"/>
          <w:color w:val="auto"/>
          <w:highlight w:val="none"/>
        </w:rPr>
        <w:t>文件和工程量清单项目中的特征描述确定综合单价计算。如出现工程量清单特征描述与设计图纸不符时，供应商应以工程量清单的项目特征描述为准，确定</w:t>
      </w:r>
      <w:r>
        <w:rPr>
          <w:rFonts w:hint="eastAsia" w:hAnsi="宋体" w:cs="宋体"/>
          <w:color w:val="auto"/>
          <w:kern w:val="0"/>
          <w:szCs w:val="21"/>
          <w:highlight w:val="none"/>
        </w:rPr>
        <w:t>响应</w:t>
      </w:r>
      <w:r>
        <w:rPr>
          <w:rFonts w:hint="eastAsia" w:hAnsi="宋体" w:cs="宋体"/>
          <w:color w:val="auto"/>
          <w:highlight w:val="none"/>
        </w:rPr>
        <w:t>报价的综合单价。</w:t>
      </w:r>
    </w:p>
    <w:p w14:paraId="5418B03B">
      <w:pPr>
        <w:spacing w:line="360" w:lineRule="auto"/>
        <w:ind w:firstLine="420" w:firstLineChars="200"/>
        <w:rPr>
          <w:color w:val="auto"/>
          <w:highlight w:val="none"/>
        </w:rPr>
      </w:pPr>
      <w:r>
        <w:rPr>
          <w:color w:val="auto"/>
          <w:highlight w:val="none"/>
        </w:rPr>
        <w:t xml:space="preserve">3.5 </w:t>
      </w:r>
      <w:r>
        <w:rPr>
          <w:rFonts w:hint="eastAsia" w:hAnsi="宋体" w:cs="宋体"/>
          <w:color w:val="auto"/>
          <w:highlight w:val="none"/>
        </w:rPr>
        <w:t>总价措施项目的金额应根据</w:t>
      </w:r>
      <w:r>
        <w:rPr>
          <w:rFonts w:hint="eastAsia" w:hAnsi="宋体" w:cs="宋体"/>
          <w:color w:val="auto"/>
          <w:szCs w:val="21"/>
          <w:highlight w:val="none"/>
        </w:rPr>
        <w:t>竞争性磋商采购</w:t>
      </w:r>
      <w:r>
        <w:rPr>
          <w:rFonts w:hint="eastAsia" w:hAnsi="宋体" w:cs="宋体"/>
          <w:color w:val="auto"/>
          <w:highlight w:val="none"/>
        </w:rPr>
        <w:t>文件及</w:t>
      </w:r>
      <w:r>
        <w:rPr>
          <w:rFonts w:hint="eastAsia" w:hAnsi="宋体" w:cs="宋体"/>
          <w:color w:val="auto"/>
          <w:kern w:val="0"/>
          <w:szCs w:val="21"/>
          <w:highlight w:val="none"/>
        </w:rPr>
        <w:t>响应</w:t>
      </w:r>
      <w:r>
        <w:rPr>
          <w:rFonts w:hint="eastAsia" w:hAnsi="宋体" w:cs="宋体"/>
          <w:color w:val="auto"/>
          <w:highlight w:val="none"/>
        </w:rPr>
        <w:t>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14:paraId="7F11FF15">
      <w:pPr>
        <w:spacing w:line="360" w:lineRule="auto"/>
        <w:ind w:firstLine="420" w:firstLineChars="200"/>
        <w:rPr>
          <w:color w:val="auto"/>
          <w:highlight w:val="none"/>
        </w:rPr>
      </w:pPr>
      <w:r>
        <w:rPr>
          <w:color w:val="auto"/>
          <w:highlight w:val="none"/>
        </w:rPr>
        <w:t xml:space="preserve">3.6 </w:t>
      </w:r>
      <w:r>
        <w:rPr>
          <w:rFonts w:hint="eastAsia" w:cs="宋体"/>
          <w:color w:val="auto"/>
          <w:highlight w:val="none"/>
        </w:rPr>
        <w:t>其他项目费应按下列规定报价：</w:t>
      </w:r>
    </w:p>
    <w:p w14:paraId="51C01011">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748C4E73">
      <w:pPr>
        <w:pStyle w:val="87"/>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73803777">
      <w:pPr>
        <w:spacing w:line="360" w:lineRule="auto"/>
        <w:ind w:firstLine="422" w:firstLineChars="200"/>
        <w:rPr>
          <w:b/>
          <w:bCs/>
          <w:color w:val="auto"/>
          <w:highlight w:val="none"/>
        </w:rPr>
      </w:pPr>
      <w:r>
        <w:rPr>
          <w:rFonts w:hint="eastAsia" w:cs="宋体"/>
          <w:b/>
          <w:bCs/>
          <w:color w:val="auto"/>
          <w:highlight w:val="none"/>
        </w:rPr>
        <w:t>（</w:t>
      </w:r>
      <w:r>
        <w:rPr>
          <w:b/>
          <w:bCs/>
          <w:color w:val="auto"/>
          <w:highlight w:val="none"/>
        </w:rPr>
        <w:t>3</w:t>
      </w:r>
      <w:r>
        <w:rPr>
          <w:rFonts w:hint="eastAsia" w:cs="宋体"/>
          <w:b/>
          <w:bCs/>
          <w:color w:val="auto"/>
          <w:highlight w:val="none"/>
        </w:rPr>
        <w:t>）专业工程暂估价应按工程量清单中列出的金额填写，安全生产责任保险费暂估价应按工程量清单中列出的金额填写；</w:t>
      </w:r>
    </w:p>
    <w:p w14:paraId="65194627">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）计日工应按工程量清单中列出的项目和估算数量，自主确定综合单价并计算计日工总额；计日工单价均不含规费和税金；</w:t>
      </w:r>
    </w:p>
    <w:p w14:paraId="5637C346">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）总承包服务费应根据工程量清单中列出的内容</w:t>
      </w:r>
      <w:r>
        <w:rPr>
          <w:rFonts w:hint="eastAsia" w:hAnsi="宋体" w:cs="宋体"/>
          <w:color w:val="auto"/>
          <w:highlight w:val="none"/>
        </w:rPr>
        <w:t>和供应材料、设备情况，按照采购人提出的协调、配合与服务要求和施工现场管理需要</w:t>
      </w:r>
      <w:r>
        <w:rPr>
          <w:rFonts w:hint="eastAsia" w:cs="宋体"/>
          <w:color w:val="auto"/>
          <w:highlight w:val="none"/>
        </w:rPr>
        <w:t>自主确定。</w:t>
      </w:r>
    </w:p>
    <w:p w14:paraId="5907FA47">
      <w:pPr>
        <w:spacing w:line="360" w:lineRule="auto"/>
        <w:ind w:firstLine="420" w:firstLineChars="200"/>
        <w:rPr>
          <w:color w:val="auto"/>
          <w:highlight w:val="none"/>
        </w:rPr>
      </w:pPr>
      <w:r>
        <w:rPr>
          <w:color w:val="auto"/>
          <w:highlight w:val="none"/>
        </w:rPr>
        <w:t xml:space="preserve">3.7 </w:t>
      </w:r>
      <w:r>
        <w:rPr>
          <w:rFonts w:hint="eastAsia" w:cs="宋体"/>
          <w:color w:val="auto"/>
          <w:highlight w:val="none"/>
        </w:rPr>
        <w:t>规费和增值税应按规定确定，作为不可竞争费用。</w:t>
      </w:r>
    </w:p>
    <w:p w14:paraId="32E01784">
      <w:pPr>
        <w:spacing w:line="360" w:lineRule="auto"/>
        <w:ind w:firstLine="420" w:firstLineChars="200"/>
        <w:rPr>
          <w:color w:val="auto"/>
          <w:highlight w:val="none"/>
        </w:rPr>
      </w:pPr>
      <w:r>
        <w:rPr>
          <w:color w:val="auto"/>
          <w:highlight w:val="none"/>
        </w:rPr>
        <w:t xml:space="preserve">3.8 </w:t>
      </w:r>
      <w:r>
        <w:rPr>
          <w:rFonts w:hint="eastAsia" w:cs="宋体"/>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210C1BA">
      <w:pPr>
        <w:spacing w:line="360" w:lineRule="auto"/>
        <w:ind w:firstLine="420" w:firstLineChars="200"/>
        <w:rPr>
          <w:color w:val="auto"/>
          <w:highlight w:val="none"/>
        </w:rPr>
      </w:pPr>
      <w:r>
        <w:rPr>
          <w:color w:val="auto"/>
          <w:highlight w:val="none"/>
        </w:rPr>
        <w:t xml:space="preserve">3.9 </w:t>
      </w:r>
      <w:r>
        <w:rPr>
          <w:rFonts w:hint="eastAsia" w:hAnsi="宋体" w:cs="宋体"/>
          <w:color w:val="auto"/>
          <w:kern w:val="0"/>
          <w:szCs w:val="21"/>
          <w:highlight w:val="none"/>
        </w:rPr>
        <w:t>响应</w:t>
      </w:r>
      <w:r>
        <w:rPr>
          <w:rFonts w:hint="eastAsia" w:cs="宋体"/>
          <w:color w:val="auto"/>
          <w:highlight w:val="none"/>
        </w:rPr>
        <w:t>总价应当与分部分项工程费、措施项目费、其他项目费和规费、增值税的合计金额一致。</w:t>
      </w:r>
    </w:p>
    <w:p w14:paraId="51B2B022">
      <w:pPr>
        <w:spacing w:line="360" w:lineRule="auto"/>
        <w:ind w:firstLine="420" w:firstLineChars="200"/>
        <w:rPr>
          <w:color w:val="auto"/>
          <w:highlight w:val="none"/>
        </w:rPr>
      </w:pPr>
      <w:r>
        <w:rPr>
          <w:color w:val="auto"/>
          <w:highlight w:val="none"/>
        </w:rPr>
        <w:t>3.1</w:t>
      </w:r>
      <w:r>
        <w:rPr>
          <w:rFonts w:hint="eastAsia"/>
          <w:color w:val="auto"/>
          <w:highlight w:val="none"/>
        </w:rPr>
        <w:t>0</w:t>
      </w:r>
      <w:r>
        <w:rPr>
          <w:color w:val="auto"/>
          <w:highlight w:val="none"/>
        </w:rPr>
        <w:t xml:space="preserve"> </w:t>
      </w:r>
      <w:r>
        <w:rPr>
          <w:rFonts w:hint="eastAsia" w:cs="宋体"/>
          <w:color w:val="auto"/>
          <w:highlight w:val="none"/>
        </w:rPr>
        <w:t>供应商应按《承包人提供的主要材料和设备一览表》的内容填报，不得擅自调整材料和设备名称型号规格、单位、风险系数、基准单价。</w:t>
      </w:r>
    </w:p>
    <w:p w14:paraId="3D7E486C">
      <w:pPr>
        <w:spacing w:line="360" w:lineRule="auto"/>
        <w:ind w:firstLine="420" w:firstLineChars="200"/>
        <w:rPr>
          <w:rFonts w:hAnsi="宋体"/>
          <w:color w:val="auto"/>
          <w:highlight w:val="none"/>
        </w:rPr>
      </w:pPr>
      <w:r>
        <w:rPr>
          <w:color w:val="auto"/>
          <w:highlight w:val="none"/>
        </w:rPr>
        <w:t>3.1</w:t>
      </w:r>
      <w:r>
        <w:rPr>
          <w:rFonts w:hint="eastAsia"/>
          <w:color w:val="auto"/>
          <w:highlight w:val="none"/>
        </w:rPr>
        <w:t>1</w:t>
      </w:r>
      <w:r>
        <w:rPr>
          <w:rFonts w:hint="eastAsia" w:hAnsi="宋体" w:cs="宋体"/>
          <w:color w:val="auto"/>
          <w:kern w:val="0"/>
          <w:szCs w:val="21"/>
          <w:highlight w:val="none"/>
        </w:rPr>
        <w:t>响应</w:t>
      </w:r>
      <w:r>
        <w:rPr>
          <w:rFonts w:hint="eastAsia" w:hAnsi="宋体" w:cs="宋体"/>
          <w:color w:val="auto"/>
          <w:highlight w:val="none"/>
        </w:rPr>
        <w:t>报价</w:t>
      </w:r>
      <w:r>
        <w:rPr>
          <w:rFonts w:hint="eastAsia" w:cs="宋体"/>
          <w:color w:val="auto"/>
          <w:highlight w:val="none"/>
        </w:rPr>
        <w:t>表格按本工程工程量清单表格要求填写，并</w:t>
      </w:r>
      <w:r>
        <w:rPr>
          <w:rFonts w:hint="eastAsia" w:hAnsi="宋体" w:cs="宋体"/>
          <w:color w:val="auto"/>
          <w:highlight w:val="none"/>
        </w:rPr>
        <w:t>应按</w:t>
      </w:r>
      <w:r>
        <w:rPr>
          <w:rFonts w:hint="eastAsia" w:hAnsi="宋体" w:cs="宋体"/>
          <w:color w:val="auto"/>
          <w:szCs w:val="21"/>
          <w:highlight w:val="none"/>
        </w:rPr>
        <w:t>竞争性磋商采购</w:t>
      </w:r>
      <w:r>
        <w:rPr>
          <w:rFonts w:hint="eastAsia" w:hAnsi="宋体" w:cs="宋体"/>
          <w:color w:val="auto"/>
          <w:highlight w:val="none"/>
        </w:rPr>
        <w:t>文件的要求，附上《工程量清单综合单价分析表》（表</w:t>
      </w:r>
      <w:r>
        <w:rPr>
          <w:color w:val="auto"/>
          <w:highlight w:val="none"/>
        </w:rPr>
        <w:t>-09</w:t>
      </w:r>
      <w:r>
        <w:rPr>
          <w:rFonts w:hint="eastAsia" w:hAnsi="宋体" w:cs="宋体"/>
          <w:color w:val="auto"/>
          <w:highlight w:val="none"/>
        </w:rPr>
        <w:t>）和《主要清单项目工料机分析表》（表</w:t>
      </w:r>
      <w:r>
        <w:rPr>
          <w:color w:val="auto"/>
          <w:highlight w:val="none"/>
        </w:rPr>
        <w:t>-10</w:t>
      </w:r>
      <w:r>
        <w:rPr>
          <w:rFonts w:hint="eastAsia" w:hAnsi="宋体" w:cs="宋体"/>
          <w:color w:val="auto"/>
          <w:highlight w:val="none"/>
        </w:rPr>
        <w:t>）。</w:t>
      </w:r>
    </w:p>
    <w:p w14:paraId="595EDFC6">
      <w:pPr>
        <w:spacing w:line="360" w:lineRule="auto"/>
        <w:ind w:firstLine="420" w:firstLineChars="200"/>
        <w:rPr>
          <w:b/>
          <w:bCs/>
          <w:color w:val="auto"/>
          <w:szCs w:val="21"/>
          <w:highlight w:val="none"/>
        </w:rPr>
      </w:pPr>
      <w:r>
        <w:rPr>
          <w:rFonts w:hint="eastAsia" w:cs="宋体"/>
          <w:color w:val="auto"/>
          <w:highlight w:val="none"/>
        </w:rPr>
        <w:t>未尽事宜详见本项目工程量清单、招标控制价编制说明以及现行《计价规范》等有关规定执行。</w:t>
      </w:r>
    </w:p>
    <w:p w14:paraId="4B1F1FCD">
      <w:pPr>
        <w:pStyle w:val="4"/>
        <w:rPr>
          <w:rFonts w:ascii="Times New Roman" w:hAnsi="Times New Roman"/>
          <w:color w:val="auto"/>
          <w:sz w:val="21"/>
          <w:szCs w:val="21"/>
          <w:highlight w:val="none"/>
        </w:rPr>
      </w:pPr>
      <w:r>
        <w:rPr>
          <w:rFonts w:hint="eastAsia" w:ascii="Times New Roman" w:hAnsi="Times New Roman"/>
          <w:color w:val="auto"/>
          <w:sz w:val="21"/>
          <w:szCs w:val="21"/>
          <w:highlight w:val="none"/>
        </w:rPr>
        <w:t>4工程量清单、图纸获取</w:t>
      </w:r>
    </w:p>
    <w:p w14:paraId="44257AC8">
      <w:pPr>
        <w:spacing w:line="360" w:lineRule="auto"/>
        <w:ind w:firstLine="420" w:firstLineChars="200"/>
        <w:rPr>
          <w:rFonts w:cs="宋体"/>
          <w:color w:val="auto"/>
          <w:highlight w:val="none"/>
        </w:rPr>
      </w:pPr>
      <w:r>
        <w:rPr>
          <w:rFonts w:hint="eastAsia" w:cs="宋体"/>
          <w:color w:val="auto"/>
          <w:highlight w:val="none"/>
        </w:rPr>
        <w:t>4.1获取方式：</w:t>
      </w:r>
      <w:r>
        <w:rPr>
          <w:rFonts w:cs="宋体"/>
          <w:color w:val="auto"/>
          <w:highlight w:val="none"/>
        </w:rPr>
        <w:t>网上下载。本项目不发放</w:t>
      </w:r>
      <w:r>
        <w:rPr>
          <w:rFonts w:hint="eastAsia" w:cs="宋体"/>
          <w:color w:val="auto"/>
          <w:highlight w:val="none"/>
        </w:rPr>
        <w:t>工程量清单及图纸</w:t>
      </w:r>
      <w:r>
        <w:rPr>
          <w:rFonts w:cs="宋体"/>
          <w:color w:val="auto"/>
          <w:highlight w:val="none"/>
        </w:rPr>
        <w:t>，</w:t>
      </w:r>
      <w:r>
        <w:rPr>
          <w:rFonts w:hint="eastAsia" w:cs="宋体"/>
          <w:color w:val="auto"/>
          <w:highlight w:val="none"/>
        </w:rPr>
        <w:t>由</w:t>
      </w:r>
      <w:r>
        <w:rPr>
          <w:rFonts w:cs="宋体"/>
          <w:color w:val="auto"/>
          <w:highlight w:val="none"/>
        </w:rPr>
        <w:t>潜在供应商自行在</w:t>
      </w:r>
      <w:r>
        <w:rPr>
          <w:rFonts w:hint="eastAsia" w:ascii="宋体" w:hAnsi="宋体" w:cs="宋体"/>
          <w:color w:val="auto"/>
          <w:szCs w:val="21"/>
          <w:highlight w:val="none"/>
        </w:rPr>
        <w:t>广西政府采购云平台（https://www.gcy.zfcg.gxzf.gov.cn/）</w:t>
      </w:r>
      <w:r>
        <w:rPr>
          <w:rFonts w:hint="eastAsia" w:cs="宋体"/>
          <w:color w:val="auto"/>
          <w:highlight w:val="none"/>
        </w:rPr>
        <w:t>下载。</w:t>
      </w:r>
    </w:p>
    <w:p w14:paraId="1003CC2F">
      <w:pPr>
        <w:pStyle w:val="8"/>
        <w:rPr>
          <w:color w:val="auto"/>
          <w:highlight w:val="none"/>
        </w:rPr>
      </w:pPr>
    </w:p>
    <w:p w14:paraId="4BEC2C65">
      <w:pPr>
        <w:tabs>
          <w:tab w:val="left" w:pos="3261"/>
        </w:tabs>
        <w:spacing w:line="360" w:lineRule="auto"/>
        <w:contextualSpacing/>
        <w:jc w:val="center"/>
        <w:rPr>
          <w:rFonts w:cs="仿宋_GB2312"/>
          <w:b/>
          <w:color w:val="auto"/>
          <w:sz w:val="44"/>
          <w:szCs w:val="44"/>
          <w:highlight w:val="none"/>
        </w:rPr>
      </w:pPr>
    </w:p>
    <w:p w14:paraId="1D71399C">
      <w:pPr>
        <w:tabs>
          <w:tab w:val="left" w:pos="3261"/>
        </w:tabs>
        <w:spacing w:line="360" w:lineRule="auto"/>
        <w:contextualSpacing/>
        <w:jc w:val="center"/>
        <w:rPr>
          <w:rFonts w:cs="仿宋_GB2312"/>
          <w:b/>
          <w:color w:val="auto"/>
          <w:sz w:val="44"/>
          <w:szCs w:val="44"/>
          <w:highlight w:val="none"/>
        </w:rPr>
      </w:pPr>
    </w:p>
    <w:p w14:paraId="42C3385D">
      <w:pPr>
        <w:tabs>
          <w:tab w:val="left" w:pos="3261"/>
        </w:tabs>
        <w:spacing w:line="360" w:lineRule="auto"/>
        <w:contextualSpacing/>
        <w:jc w:val="center"/>
        <w:rPr>
          <w:rFonts w:cs="仿宋_GB2312"/>
          <w:b/>
          <w:color w:val="auto"/>
          <w:sz w:val="44"/>
          <w:szCs w:val="44"/>
          <w:highlight w:val="none"/>
        </w:rPr>
      </w:pPr>
    </w:p>
    <w:p w14:paraId="583BE0A3">
      <w:pPr>
        <w:pStyle w:val="3"/>
        <w:jc w:val="center"/>
        <w:rPr>
          <w:rFonts w:cs="仿宋_GB2312"/>
          <w:color w:val="auto"/>
          <w:highlight w:val="none"/>
        </w:rPr>
        <w:sectPr>
          <w:pgSz w:w="11911" w:h="16838"/>
          <w:pgMar w:top="1134" w:right="1134" w:bottom="1134" w:left="1134" w:header="720" w:footer="720" w:gutter="0"/>
          <w:cols w:space="720" w:num="1"/>
        </w:sectPr>
      </w:pPr>
      <w:bookmarkStart w:id="1147" w:name="_Toc20915"/>
      <w:bookmarkStart w:id="1148" w:name="_Toc15423"/>
      <w:bookmarkStart w:id="1149" w:name="_Toc28283"/>
      <w:bookmarkStart w:id="1150" w:name="_Toc178"/>
      <w:bookmarkStart w:id="1151" w:name="_Toc29624"/>
      <w:bookmarkStart w:id="1152" w:name="_Toc8963"/>
      <w:bookmarkStart w:id="1153" w:name="_Toc18783"/>
      <w:bookmarkStart w:id="1154" w:name="_Toc80886951"/>
      <w:r>
        <w:rPr>
          <w:rFonts w:hint="eastAsia" w:cs="仿宋_GB2312"/>
          <w:b w:val="0"/>
          <w:color w:val="auto"/>
          <w:highlight w:val="none"/>
        </w:rPr>
        <w:t>第八章 质疑、投诉材料格式</w:t>
      </w:r>
      <w:bookmarkEnd w:id="1147"/>
      <w:bookmarkEnd w:id="1148"/>
      <w:bookmarkEnd w:id="1149"/>
      <w:bookmarkEnd w:id="1150"/>
      <w:bookmarkEnd w:id="1151"/>
      <w:bookmarkEnd w:id="1152"/>
      <w:bookmarkEnd w:id="1153"/>
      <w:bookmarkEnd w:id="1154"/>
    </w:p>
    <w:p w14:paraId="0E58692F">
      <w:pPr>
        <w:spacing w:line="360" w:lineRule="auto"/>
        <w:jc w:val="center"/>
        <w:rPr>
          <w:b/>
          <w:bCs/>
          <w:color w:val="auto"/>
          <w:sz w:val="32"/>
          <w:szCs w:val="32"/>
          <w:highlight w:val="none"/>
        </w:rPr>
      </w:pPr>
      <w:r>
        <w:rPr>
          <w:rFonts w:hint="eastAsia"/>
          <w:b/>
          <w:bCs/>
          <w:color w:val="auto"/>
          <w:sz w:val="32"/>
          <w:szCs w:val="32"/>
          <w:highlight w:val="none"/>
        </w:rPr>
        <w:t>质疑函（格式）</w:t>
      </w:r>
    </w:p>
    <w:p w14:paraId="0FAC5F9E">
      <w:pPr>
        <w:spacing w:line="360" w:lineRule="auto"/>
        <w:ind w:firstLine="482" w:firstLineChars="200"/>
        <w:contextualSpacing/>
        <w:rPr>
          <w:rFonts w:ascii="宋体" w:hAnsi="宋体" w:cs="宋体"/>
          <w:b/>
          <w:bCs/>
          <w:color w:val="auto"/>
          <w:kern w:val="0"/>
          <w:szCs w:val="21"/>
          <w:highlight w:val="none"/>
        </w:rPr>
      </w:pPr>
      <w:r>
        <w:rPr>
          <w:rFonts w:hint="eastAsia" w:ascii="宋体" w:hAnsi="宋体" w:cs="宋体"/>
          <w:b/>
          <w:bCs/>
          <w:color w:val="auto"/>
          <w:kern w:val="0"/>
          <w:sz w:val="24"/>
          <w:highlight w:val="none"/>
        </w:rPr>
        <w:t>一</w:t>
      </w:r>
      <w:r>
        <w:rPr>
          <w:rFonts w:hint="eastAsia" w:ascii="宋体" w:hAnsi="宋体" w:cs="宋体"/>
          <w:b/>
          <w:bCs/>
          <w:color w:val="auto"/>
          <w:kern w:val="0"/>
          <w:szCs w:val="21"/>
          <w:highlight w:val="none"/>
        </w:rPr>
        <w:t>、质疑供应商基本信息：</w:t>
      </w:r>
    </w:p>
    <w:p w14:paraId="5F407D5C">
      <w:pPr>
        <w:spacing w:line="360" w:lineRule="auto"/>
        <w:ind w:firstLine="420" w:firstLineChars="200"/>
        <w:contextualSpacing/>
        <w:rPr>
          <w:rFonts w:ascii="宋体" w:hAnsi="宋体" w:cs="宋体"/>
          <w:bCs/>
          <w:color w:val="auto"/>
          <w:kern w:val="0"/>
          <w:szCs w:val="21"/>
          <w:highlight w:val="none"/>
          <w:u w:val="single"/>
        </w:rPr>
      </w:pPr>
      <w:r>
        <w:rPr>
          <w:rFonts w:hint="eastAsia" w:ascii="宋体" w:hAnsi="宋体" w:cs="宋体"/>
          <w:bCs/>
          <w:color w:val="auto"/>
          <w:kern w:val="0"/>
          <w:szCs w:val="21"/>
          <w:highlight w:val="none"/>
        </w:rPr>
        <w:t>质疑供应商：</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 xml:space="preserve">                 </w:t>
      </w:r>
    </w:p>
    <w:p w14:paraId="1F6B54D9">
      <w:pPr>
        <w:spacing w:line="360" w:lineRule="auto"/>
        <w:ind w:firstLine="420" w:firstLineChars="200"/>
        <w:contextualSpacing/>
        <w:rPr>
          <w:rFonts w:ascii="宋体" w:hAnsi="宋体" w:cs="宋体"/>
          <w:bCs/>
          <w:color w:val="auto"/>
          <w:kern w:val="0"/>
          <w:szCs w:val="21"/>
          <w:highlight w:val="none"/>
        </w:rPr>
      </w:pPr>
      <w:r>
        <w:rPr>
          <w:rFonts w:hint="eastAsia" w:ascii="宋体" w:hAnsi="宋体" w:cs="宋体"/>
          <w:bCs/>
          <w:color w:val="auto"/>
          <w:kern w:val="0"/>
          <w:szCs w:val="21"/>
          <w:highlight w:val="none"/>
        </w:rPr>
        <w:t>地址：</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邮编：</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 xml:space="preserve">                 </w:t>
      </w:r>
    </w:p>
    <w:p w14:paraId="5CC8EF86">
      <w:pPr>
        <w:spacing w:line="360" w:lineRule="auto"/>
        <w:ind w:firstLine="420" w:firstLineChars="200"/>
        <w:contextualSpacing/>
        <w:rPr>
          <w:rFonts w:ascii="宋体" w:hAnsi="宋体" w:cs="宋体"/>
          <w:bCs/>
          <w:color w:val="auto"/>
          <w:kern w:val="0"/>
          <w:szCs w:val="21"/>
          <w:highlight w:val="none"/>
        </w:rPr>
      </w:pPr>
      <w:r>
        <w:rPr>
          <w:rFonts w:hint="eastAsia" w:ascii="宋体" w:hAnsi="宋体" w:cs="宋体"/>
          <w:bCs/>
          <w:color w:val="auto"/>
          <w:kern w:val="0"/>
          <w:szCs w:val="21"/>
          <w:highlight w:val="none"/>
        </w:rPr>
        <w:t>联系人：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联系电话：</w:t>
      </w:r>
      <w:r>
        <w:rPr>
          <w:rFonts w:hint="eastAsia" w:ascii="宋体" w:hAnsi="宋体" w:cs="宋体"/>
          <w:bCs/>
          <w:color w:val="auto"/>
          <w:kern w:val="0"/>
          <w:szCs w:val="21"/>
          <w:highlight w:val="none"/>
          <w:u w:val="single"/>
        </w:rPr>
        <w:t xml:space="preserve">                 </w:t>
      </w:r>
    </w:p>
    <w:p w14:paraId="02EE50FF">
      <w:pPr>
        <w:spacing w:line="360" w:lineRule="auto"/>
        <w:ind w:firstLine="420" w:firstLineChars="200"/>
        <w:contextualSpacing/>
        <w:rPr>
          <w:rFonts w:ascii="宋体" w:hAnsi="宋体" w:cs="宋体"/>
          <w:bCs/>
          <w:color w:val="auto"/>
          <w:kern w:val="0"/>
          <w:szCs w:val="21"/>
          <w:highlight w:val="none"/>
        </w:rPr>
      </w:pPr>
      <w:r>
        <w:rPr>
          <w:rFonts w:hint="eastAsia" w:ascii="宋体" w:hAnsi="宋体" w:cs="宋体"/>
          <w:bCs/>
          <w:color w:val="auto"/>
          <w:kern w:val="0"/>
          <w:szCs w:val="21"/>
          <w:highlight w:val="none"/>
        </w:rPr>
        <w:t>授权代表：</w:t>
      </w:r>
      <w:r>
        <w:rPr>
          <w:rFonts w:hint="eastAsia" w:ascii="宋体" w:hAnsi="宋体" w:cs="宋体"/>
          <w:bCs/>
          <w:color w:val="auto"/>
          <w:kern w:val="0"/>
          <w:szCs w:val="21"/>
          <w:highlight w:val="none"/>
          <w:u w:val="single"/>
        </w:rPr>
        <w:t xml:space="preserve">                      </w:t>
      </w:r>
    </w:p>
    <w:p w14:paraId="60DC9502">
      <w:pPr>
        <w:spacing w:line="360" w:lineRule="auto"/>
        <w:ind w:firstLine="420" w:firstLineChars="200"/>
        <w:contextualSpacing/>
        <w:rPr>
          <w:rFonts w:ascii="宋体" w:hAnsi="宋体" w:cs="宋体"/>
          <w:bCs/>
          <w:color w:val="auto"/>
          <w:kern w:val="0"/>
          <w:szCs w:val="21"/>
          <w:highlight w:val="none"/>
          <w:u w:val="single"/>
        </w:rPr>
      </w:pPr>
      <w:r>
        <w:rPr>
          <w:rFonts w:hint="eastAsia" w:ascii="宋体" w:hAnsi="宋体" w:cs="宋体"/>
          <w:bCs/>
          <w:color w:val="auto"/>
          <w:kern w:val="0"/>
          <w:szCs w:val="21"/>
          <w:highlight w:val="none"/>
        </w:rPr>
        <w:t>联系电话：</w:t>
      </w:r>
      <w:r>
        <w:rPr>
          <w:rFonts w:hint="eastAsia" w:ascii="宋体" w:hAnsi="宋体" w:cs="宋体"/>
          <w:bCs/>
          <w:color w:val="auto"/>
          <w:kern w:val="0"/>
          <w:szCs w:val="21"/>
          <w:highlight w:val="none"/>
          <w:u w:val="single"/>
        </w:rPr>
        <w:t xml:space="preserve">                      </w:t>
      </w:r>
    </w:p>
    <w:p w14:paraId="1ED74D3C">
      <w:pPr>
        <w:spacing w:line="360" w:lineRule="auto"/>
        <w:ind w:firstLine="420" w:firstLineChars="200"/>
        <w:contextualSpacing/>
        <w:rPr>
          <w:rFonts w:ascii="宋体" w:hAnsi="宋体" w:cs="宋体"/>
          <w:bCs/>
          <w:color w:val="auto"/>
          <w:kern w:val="0"/>
          <w:szCs w:val="21"/>
          <w:highlight w:val="none"/>
        </w:rPr>
      </w:pPr>
      <w:r>
        <w:rPr>
          <w:rFonts w:hint="eastAsia" w:ascii="宋体" w:hAnsi="宋体" w:cs="宋体"/>
          <w:bCs/>
          <w:color w:val="auto"/>
          <w:kern w:val="0"/>
          <w:szCs w:val="21"/>
          <w:highlight w:val="none"/>
        </w:rPr>
        <w:t>地址：</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邮编：</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 xml:space="preserve">     </w:t>
      </w:r>
    </w:p>
    <w:p w14:paraId="01DFB282">
      <w:pPr>
        <w:spacing w:line="360" w:lineRule="auto"/>
        <w:ind w:firstLine="422" w:firstLineChars="200"/>
        <w:contextualSpacing/>
        <w:rPr>
          <w:rFonts w:ascii="宋体" w:hAnsi="宋体" w:cs="宋体"/>
          <w:b/>
          <w:bCs/>
          <w:color w:val="auto"/>
          <w:kern w:val="0"/>
          <w:szCs w:val="21"/>
          <w:highlight w:val="none"/>
        </w:rPr>
      </w:pPr>
      <w:r>
        <w:rPr>
          <w:rFonts w:hint="eastAsia" w:ascii="宋体" w:hAnsi="宋体" w:cs="宋体"/>
          <w:b/>
          <w:bCs/>
          <w:color w:val="auto"/>
          <w:kern w:val="0"/>
          <w:szCs w:val="21"/>
          <w:highlight w:val="none"/>
        </w:rPr>
        <w:t>二、质疑项目基本情况：</w:t>
      </w:r>
    </w:p>
    <w:p w14:paraId="1ED0881B">
      <w:pPr>
        <w:spacing w:line="360" w:lineRule="auto"/>
        <w:ind w:left="25" w:leftChars="12" w:firstLine="413" w:firstLineChars="197"/>
        <w:contextualSpacing/>
        <w:rPr>
          <w:rFonts w:ascii="宋体" w:hAnsi="宋体" w:cs="宋体"/>
          <w:color w:val="auto"/>
          <w:kern w:val="0"/>
          <w:szCs w:val="21"/>
          <w:highlight w:val="none"/>
        </w:rPr>
      </w:pPr>
      <w:r>
        <w:rPr>
          <w:rFonts w:hint="eastAsia" w:ascii="宋体" w:hAnsi="宋体" w:cs="宋体"/>
          <w:bCs/>
          <w:color w:val="auto"/>
          <w:kern w:val="0"/>
          <w:szCs w:val="21"/>
          <w:highlight w:val="none"/>
        </w:rPr>
        <w:t>质疑</w:t>
      </w:r>
      <w:r>
        <w:rPr>
          <w:rFonts w:hint="eastAsia" w:ascii="宋体" w:hAnsi="宋体" w:cs="宋体"/>
          <w:color w:val="auto"/>
          <w:kern w:val="0"/>
          <w:szCs w:val="21"/>
          <w:highlight w:val="none"/>
        </w:rPr>
        <w:t>项目的名称：</w:t>
      </w:r>
      <w:r>
        <w:rPr>
          <w:rFonts w:hint="eastAsia" w:ascii="宋体" w:hAnsi="宋体" w:cs="宋体"/>
          <w:bCs/>
          <w:color w:val="auto"/>
          <w:kern w:val="0"/>
          <w:szCs w:val="21"/>
          <w:highlight w:val="none"/>
          <w:u w:val="single"/>
        </w:rPr>
        <w:t xml:space="preserve">                                     </w:t>
      </w:r>
    </w:p>
    <w:p w14:paraId="17252D5E">
      <w:pPr>
        <w:spacing w:line="360" w:lineRule="auto"/>
        <w:ind w:left="25" w:leftChars="12" w:firstLine="413" w:firstLineChars="197"/>
        <w:contextualSpacing/>
        <w:rPr>
          <w:rFonts w:ascii="宋体" w:hAnsi="宋体" w:cs="宋体"/>
          <w:color w:val="auto"/>
          <w:kern w:val="0"/>
          <w:szCs w:val="21"/>
          <w:highlight w:val="none"/>
        </w:rPr>
      </w:pPr>
      <w:r>
        <w:rPr>
          <w:rFonts w:hint="eastAsia" w:ascii="宋体" w:hAnsi="宋体" w:cs="宋体"/>
          <w:bCs/>
          <w:color w:val="auto"/>
          <w:kern w:val="0"/>
          <w:szCs w:val="21"/>
          <w:highlight w:val="none"/>
        </w:rPr>
        <w:t>质疑</w:t>
      </w:r>
      <w:r>
        <w:rPr>
          <w:rFonts w:hint="eastAsia" w:ascii="宋体" w:hAnsi="宋体" w:cs="宋体"/>
          <w:color w:val="auto"/>
          <w:kern w:val="0"/>
          <w:szCs w:val="21"/>
          <w:highlight w:val="none"/>
        </w:rPr>
        <w:t>项目的编号：</w:t>
      </w:r>
      <w:r>
        <w:rPr>
          <w:rFonts w:hint="eastAsia" w:ascii="宋体" w:hAnsi="宋体" w:cs="宋体"/>
          <w:bCs/>
          <w:color w:val="auto"/>
          <w:kern w:val="0"/>
          <w:szCs w:val="21"/>
          <w:highlight w:val="none"/>
          <w:u w:val="single"/>
        </w:rPr>
        <w:t xml:space="preserve">                                     </w:t>
      </w:r>
    </w:p>
    <w:p w14:paraId="1ABF03E7">
      <w:pPr>
        <w:spacing w:line="360" w:lineRule="auto"/>
        <w:ind w:left="25" w:leftChars="12" w:firstLine="413" w:firstLineChars="197"/>
        <w:contextualSpacing/>
        <w:rPr>
          <w:rFonts w:ascii="宋体" w:hAnsi="宋体" w:cs="宋体"/>
          <w:color w:val="auto"/>
          <w:kern w:val="0"/>
          <w:szCs w:val="21"/>
          <w:highlight w:val="none"/>
        </w:rPr>
      </w:pPr>
      <w:r>
        <w:rPr>
          <w:rFonts w:hint="eastAsia" w:ascii="宋体" w:hAnsi="宋体" w:cs="宋体"/>
          <w:color w:val="auto"/>
          <w:kern w:val="0"/>
          <w:szCs w:val="21"/>
          <w:highlight w:val="none"/>
        </w:rPr>
        <w:t>采购人名称：</w:t>
      </w:r>
      <w:r>
        <w:rPr>
          <w:rFonts w:hint="eastAsia" w:ascii="宋体" w:hAnsi="宋体" w:cs="宋体"/>
          <w:bCs/>
          <w:color w:val="auto"/>
          <w:kern w:val="0"/>
          <w:szCs w:val="21"/>
          <w:highlight w:val="none"/>
          <w:u w:val="single"/>
        </w:rPr>
        <w:t xml:space="preserve">                                         </w:t>
      </w:r>
    </w:p>
    <w:p w14:paraId="752D16B4">
      <w:pPr>
        <w:spacing w:line="360" w:lineRule="auto"/>
        <w:ind w:left="25" w:leftChars="12" w:firstLine="413" w:firstLineChars="197"/>
        <w:contextualSpacing/>
        <w:rPr>
          <w:rFonts w:ascii="宋体" w:hAnsi="宋体" w:cs="宋体"/>
          <w:color w:val="auto"/>
          <w:kern w:val="0"/>
          <w:szCs w:val="21"/>
          <w:highlight w:val="none"/>
        </w:rPr>
      </w:pPr>
      <w:r>
        <w:rPr>
          <w:rFonts w:hint="eastAsia" w:ascii="宋体" w:hAnsi="宋体" w:cs="宋体"/>
          <w:color w:val="auto"/>
          <w:kern w:val="0"/>
          <w:szCs w:val="21"/>
          <w:highlight w:val="none"/>
        </w:rPr>
        <w:t>质疑事项：</w:t>
      </w:r>
    </w:p>
    <w:p w14:paraId="321C6DF4">
      <w:pPr>
        <w:spacing w:line="360" w:lineRule="auto"/>
        <w:ind w:left="25" w:leftChars="12" w:firstLine="308" w:firstLineChars="147"/>
        <w:contextualSpacing/>
        <w:rPr>
          <w:rFonts w:ascii="宋体" w:hAnsi="宋体" w:cs="宋体"/>
          <w:color w:val="auto"/>
          <w:kern w:val="0"/>
          <w:szCs w:val="21"/>
          <w:highlight w:val="none"/>
        </w:rPr>
      </w:pPr>
      <w:r>
        <w:rPr>
          <w:rFonts w:hint="eastAsia" w:ascii="宋体" w:hAnsi="宋体" w:cs="宋体"/>
          <w:color w:val="auto"/>
          <w:kern w:val="0"/>
          <w:szCs w:val="21"/>
          <w:highlight w:val="none"/>
        </w:rPr>
        <w:t>□采购文件   采购文件获取日期：</w:t>
      </w:r>
      <w:r>
        <w:rPr>
          <w:rFonts w:hint="eastAsia" w:ascii="宋体" w:hAnsi="宋体" w:cs="宋体"/>
          <w:bCs/>
          <w:color w:val="auto"/>
          <w:kern w:val="0"/>
          <w:szCs w:val="21"/>
          <w:highlight w:val="none"/>
          <w:u w:val="single"/>
        </w:rPr>
        <w:t xml:space="preserve">                                   </w:t>
      </w:r>
    </w:p>
    <w:p w14:paraId="70F5685C">
      <w:pPr>
        <w:spacing w:line="360" w:lineRule="auto"/>
        <w:ind w:left="25" w:leftChars="12" w:firstLine="308" w:firstLineChars="147"/>
        <w:contextualSpacing/>
        <w:rPr>
          <w:rFonts w:ascii="宋体" w:hAnsi="宋体" w:cs="宋体"/>
          <w:color w:val="auto"/>
          <w:kern w:val="0"/>
          <w:szCs w:val="21"/>
          <w:highlight w:val="none"/>
        </w:rPr>
      </w:pPr>
      <w:r>
        <w:rPr>
          <w:rFonts w:hint="eastAsia" w:ascii="宋体" w:hAnsi="宋体" w:cs="宋体"/>
          <w:color w:val="auto"/>
          <w:kern w:val="0"/>
          <w:szCs w:val="21"/>
          <w:highlight w:val="none"/>
        </w:rPr>
        <w:t xml:space="preserve">□采购过程   </w:t>
      </w:r>
    </w:p>
    <w:p w14:paraId="37C05502">
      <w:pPr>
        <w:spacing w:line="360" w:lineRule="auto"/>
        <w:ind w:left="25" w:leftChars="12" w:firstLine="308" w:firstLineChars="147"/>
        <w:contextualSpacing/>
        <w:rPr>
          <w:rFonts w:ascii="宋体" w:hAnsi="宋体" w:cs="宋体"/>
          <w:bCs/>
          <w:color w:val="auto"/>
          <w:kern w:val="0"/>
          <w:szCs w:val="21"/>
          <w:highlight w:val="none"/>
          <w:u w:val="single"/>
        </w:rPr>
      </w:pPr>
      <w:r>
        <w:rPr>
          <w:rFonts w:hint="eastAsia" w:ascii="宋体" w:hAnsi="宋体" w:cs="宋体"/>
          <w:color w:val="auto"/>
          <w:kern w:val="0"/>
          <w:szCs w:val="21"/>
          <w:highlight w:val="none"/>
        </w:rPr>
        <w:t xml:space="preserve">□成交结果   </w:t>
      </w:r>
    </w:p>
    <w:p w14:paraId="52D7F07D">
      <w:pPr>
        <w:spacing w:line="360" w:lineRule="auto"/>
        <w:ind w:left="25" w:leftChars="12" w:firstLine="413" w:firstLineChars="196"/>
        <w:contextualSpacing/>
        <w:rPr>
          <w:b/>
          <w:color w:val="auto"/>
          <w:kern w:val="0"/>
          <w:szCs w:val="21"/>
          <w:highlight w:val="none"/>
        </w:rPr>
      </w:pPr>
      <w:r>
        <w:rPr>
          <w:b/>
          <w:color w:val="auto"/>
          <w:kern w:val="0"/>
          <w:szCs w:val="21"/>
          <w:highlight w:val="none"/>
        </w:rPr>
        <w:t>三、质疑事项具体内容</w:t>
      </w:r>
    </w:p>
    <w:p w14:paraId="1F6FB588">
      <w:pPr>
        <w:spacing w:line="360" w:lineRule="auto"/>
        <w:ind w:left="25" w:leftChars="12" w:firstLine="413" w:firstLineChars="197"/>
        <w:contextualSpacing/>
        <w:rPr>
          <w:color w:val="auto"/>
          <w:kern w:val="0"/>
          <w:szCs w:val="21"/>
          <w:highlight w:val="none"/>
        </w:rPr>
      </w:pPr>
      <w:r>
        <w:rPr>
          <w:color w:val="auto"/>
          <w:kern w:val="0"/>
          <w:szCs w:val="21"/>
          <w:highlight w:val="none"/>
        </w:rPr>
        <w:t>质疑事项1：</w:t>
      </w:r>
      <w:r>
        <w:rPr>
          <w:bCs/>
          <w:color w:val="auto"/>
          <w:kern w:val="0"/>
          <w:szCs w:val="21"/>
          <w:highlight w:val="none"/>
          <w:u w:val="single"/>
        </w:rPr>
        <w:t xml:space="preserve">                                                                    </w:t>
      </w:r>
    </w:p>
    <w:p w14:paraId="0A8829E4">
      <w:pPr>
        <w:spacing w:line="360" w:lineRule="auto"/>
        <w:ind w:left="25" w:leftChars="12" w:firstLine="413" w:firstLineChars="197"/>
        <w:contextualSpacing/>
        <w:rPr>
          <w:color w:val="auto"/>
          <w:kern w:val="0"/>
          <w:szCs w:val="21"/>
          <w:highlight w:val="none"/>
        </w:rPr>
      </w:pPr>
      <w:r>
        <w:rPr>
          <w:color w:val="auto"/>
          <w:kern w:val="0"/>
          <w:szCs w:val="21"/>
          <w:highlight w:val="none"/>
        </w:rPr>
        <w:t>事实依据：</w:t>
      </w:r>
      <w:r>
        <w:rPr>
          <w:bCs/>
          <w:color w:val="auto"/>
          <w:kern w:val="0"/>
          <w:szCs w:val="21"/>
          <w:highlight w:val="none"/>
          <w:u w:val="single"/>
        </w:rPr>
        <w:t xml:space="preserve">                                                                      </w:t>
      </w:r>
    </w:p>
    <w:p w14:paraId="3E6F1D03">
      <w:pPr>
        <w:spacing w:line="360" w:lineRule="auto"/>
        <w:ind w:left="25" w:leftChars="12" w:firstLine="413" w:firstLineChars="197"/>
        <w:contextualSpacing/>
        <w:rPr>
          <w:color w:val="auto"/>
          <w:kern w:val="0"/>
          <w:szCs w:val="21"/>
          <w:highlight w:val="none"/>
        </w:rPr>
      </w:pPr>
      <w:r>
        <w:rPr>
          <w:color w:val="auto"/>
          <w:kern w:val="0"/>
          <w:szCs w:val="21"/>
          <w:highlight w:val="none"/>
        </w:rPr>
        <w:t>法律依据：</w:t>
      </w:r>
      <w:r>
        <w:rPr>
          <w:color w:val="auto"/>
          <w:kern w:val="0"/>
          <w:szCs w:val="21"/>
          <w:highlight w:val="none"/>
          <w:u w:val="single"/>
        </w:rPr>
        <w:t xml:space="preserve">                                                        </w:t>
      </w:r>
      <w:r>
        <w:rPr>
          <w:bCs/>
          <w:color w:val="auto"/>
          <w:kern w:val="0"/>
          <w:szCs w:val="21"/>
          <w:highlight w:val="none"/>
          <w:u w:val="single"/>
        </w:rPr>
        <w:t xml:space="preserve">               </w:t>
      </w:r>
    </w:p>
    <w:p w14:paraId="4449E067">
      <w:pPr>
        <w:spacing w:line="360" w:lineRule="auto"/>
        <w:ind w:left="25" w:leftChars="12" w:firstLine="413" w:firstLineChars="197"/>
        <w:contextualSpacing/>
        <w:rPr>
          <w:color w:val="auto"/>
          <w:kern w:val="0"/>
          <w:szCs w:val="21"/>
          <w:highlight w:val="none"/>
        </w:rPr>
      </w:pPr>
      <w:r>
        <w:rPr>
          <w:color w:val="auto"/>
          <w:kern w:val="0"/>
          <w:szCs w:val="21"/>
          <w:highlight w:val="none"/>
        </w:rPr>
        <w:t>质疑事项2</w:t>
      </w:r>
    </w:p>
    <w:p w14:paraId="4DDB7D87">
      <w:pPr>
        <w:spacing w:line="360" w:lineRule="auto"/>
        <w:ind w:left="25" w:leftChars="12" w:firstLine="413" w:firstLineChars="197"/>
        <w:contextualSpacing/>
        <w:rPr>
          <w:color w:val="auto"/>
          <w:kern w:val="0"/>
          <w:szCs w:val="21"/>
          <w:highlight w:val="none"/>
        </w:rPr>
      </w:pPr>
      <w:r>
        <w:rPr>
          <w:color w:val="auto"/>
          <w:kern w:val="0"/>
          <w:szCs w:val="21"/>
          <w:highlight w:val="none"/>
        </w:rPr>
        <w:t>……</w:t>
      </w:r>
    </w:p>
    <w:p w14:paraId="5BAC5BE8">
      <w:pPr>
        <w:spacing w:line="360" w:lineRule="auto"/>
        <w:ind w:left="25" w:leftChars="12" w:firstLine="413" w:firstLineChars="197"/>
        <w:contextualSpacing/>
        <w:rPr>
          <w:color w:val="auto"/>
          <w:kern w:val="0"/>
          <w:szCs w:val="21"/>
          <w:highlight w:val="none"/>
        </w:rPr>
      </w:pPr>
      <w:r>
        <w:rPr>
          <w:color w:val="auto"/>
          <w:kern w:val="0"/>
          <w:szCs w:val="21"/>
          <w:highlight w:val="none"/>
        </w:rPr>
        <w:t>四、与质疑事项相关的质疑请求：</w:t>
      </w:r>
    </w:p>
    <w:p w14:paraId="6DA3DE80">
      <w:pPr>
        <w:spacing w:line="360" w:lineRule="auto"/>
        <w:ind w:left="25" w:leftChars="12" w:firstLine="413" w:firstLineChars="197"/>
        <w:contextualSpacing/>
        <w:rPr>
          <w:color w:val="auto"/>
          <w:kern w:val="0"/>
          <w:szCs w:val="21"/>
          <w:highlight w:val="none"/>
        </w:rPr>
      </w:pPr>
      <w:r>
        <w:rPr>
          <w:color w:val="auto"/>
          <w:kern w:val="0"/>
          <w:szCs w:val="21"/>
          <w:highlight w:val="none"/>
        </w:rPr>
        <w:t>请求：</w:t>
      </w:r>
      <w:r>
        <w:rPr>
          <w:bCs/>
          <w:color w:val="auto"/>
          <w:kern w:val="0"/>
          <w:szCs w:val="21"/>
          <w:highlight w:val="none"/>
          <w:u w:val="single"/>
        </w:rPr>
        <w:t xml:space="preserve">                                                                </w:t>
      </w:r>
    </w:p>
    <w:p w14:paraId="58763E60">
      <w:pPr>
        <w:spacing w:line="360" w:lineRule="auto"/>
        <w:ind w:left="25" w:leftChars="12" w:firstLine="308" w:firstLineChars="147"/>
        <w:contextualSpacing/>
        <w:rPr>
          <w:color w:val="auto"/>
          <w:kern w:val="0"/>
          <w:szCs w:val="21"/>
          <w:highlight w:val="none"/>
        </w:rPr>
      </w:pPr>
    </w:p>
    <w:p w14:paraId="171463D3">
      <w:pPr>
        <w:spacing w:line="360" w:lineRule="auto"/>
        <w:ind w:left="25" w:leftChars="12" w:firstLine="413" w:firstLineChars="197"/>
        <w:contextualSpacing/>
        <w:rPr>
          <w:color w:val="auto"/>
          <w:kern w:val="0"/>
          <w:szCs w:val="21"/>
          <w:highlight w:val="none"/>
        </w:rPr>
      </w:pPr>
      <w:r>
        <w:rPr>
          <w:color w:val="auto"/>
          <w:kern w:val="0"/>
          <w:szCs w:val="21"/>
          <w:highlight w:val="none"/>
        </w:rPr>
        <w:t>签字（签章）：                                       公章：</w:t>
      </w:r>
    </w:p>
    <w:p w14:paraId="67E16F51">
      <w:pPr>
        <w:spacing w:line="360" w:lineRule="auto"/>
        <w:ind w:left="25" w:leftChars="12" w:firstLine="308" w:firstLineChars="147"/>
        <w:contextualSpacing/>
        <w:rPr>
          <w:color w:val="auto"/>
          <w:kern w:val="0"/>
          <w:szCs w:val="21"/>
          <w:highlight w:val="none"/>
        </w:rPr>
      </w:pPr>
    </w:p>
    <w:p w14:paraId="1035D080">
      <w:pPr>
        <w:spacing w:line="360" w:lineRule="auto"/>
        <w:ind w:left="25" w:leftChars="12" w:firstLine="413" w:firstLineChars="197"/>
        <w:contextualSpacing/>
        <w:rPr>
          <w:color w:val="auto"/>
          <w:kern w:val="0"/>
          <w:szCs w:val="21"/>
          <w:highlight w:val="none"/>
        </w:rPr>
      </w:pPr>
      <w:r>
        <w:rPr>
          <w:color w:val="auto"/>
          <w:kern w:val="0"/>
          <w:szCs w:val="21"/>
          <w:highlight w:val="none"/>
        </w:rPr>
        <w:t>日期：</w:t>
      </w:r>
    </w:p>
    <w:p w14:paraId="47D76DC4">
      <w:pPr>
        <w:spacing w:line="360" w:lineRule="auto"/>
        <w:contextualSpacing/>
        <w:rPr>
          <w:b/>
          <w:color w:val="auto"/>
          <w:kern w:val="0"/>
          <w:szCs w:val="21"/>
          <w:highlight w:val="none"/>
        </w:rPr>
      </w:pPr>
    </w:p>
    <w:p w14:paraId="45697550">
      <w:pPr>
        <w:spacing w:line="360" w:lineRule="auto"/>
        <w:contextualSpacing/>
        <w:rPr>
          <w:b/>
          <w:color w:val="auto"/>
          <w:kern w:val="0"/>
          <w:szCs w:val="21"/>
          <w:highlight w:val="none"/>
        </w:rPr>
      </w:pPr>
    </w:p>
    <w:p w14:paraId="4427E5FA">
      <w:pPr>
        <w:spacing w:line="360" w:lineRule="auto"/>
        <w:contextualSpacing/>
        <w:rPr>
          <w:b/>
          <w:color w:val="auto"/>
          <w:kern w:val="0"/>
          <w:szCs w:val="21"/>
          <w:highlight w:val="none"/>
        </w:rPr>
      </w:pPr>
      <w:r>
        <w:rPr>
          <w:b/>
          <w:color w:val="auto"/>
          <w:kern w:val="0"/>
          <w:szCs w:val="21"/>
          <w:highlight w:val="none"/>
        </w:rPr>
        <w:t>说明：</w:t>
      </w:r>
    </w:p>
    <w:p w14:paraId="005F49E1">
      <w:pPr>
        <w:spacing w:line="360" w:lineRule="auto"/>
        <w:ind w:left="25" w:leftChars="12" w:firstLine="310" w:firstLineChars="147"/>
        <w:contextualSpacing/>
        <w:rPr>
          <w:b/>
          <w:bCs/>
          <w:color w:val="auto"/>
          <w:kern w:val="0"/>
          <w:szCs w:val="21"/>
          <w:highlight w:val="none"/>
        </w:rPr>
      </w:pPr>
      <w:r>
        <w:rPr>
          <w:b/>
          <w:color w:val="auto"/>
          <w:kern w:val="0"/>
          <w:szCs w:val="21"/>
          <w:highlight w:val="none"/>
        </w:rPr>
        <w:t>1.供应商提出质疑时，应提交质疑函和必要的证明材料</w:t>
      </w:r>
      <w:r>
        <w:rPr>
          <w:b/>
          <w:bCs/>
          <w:color w:val="auto"/>
          <w:kern w:val="0"/>
          <w:szCs w:val="21"/>
          <w:highlight w:val="none"/>
        </w:rPr>
        <w:t>。</w:t>
      </w:r>
    </w:p>
    <w:p w14:paraId="700C6C11">
      <w:pPr>
        <w:spacing w:line="360" w:lineRule="auto"/>
        <w:ind w:left="25" w:leftChars="12" w:firstLine="310" w:firstLineChars="147"/>
        <w:contextualSpacing/>
        <w:rPr>
          <w:b/>
          <w:color w:val="auto"/>
          <w:kern w:val="0"/>
          <w:szCs w:val="21"/>
          <w:highlight w:val="none"/>
        </w:rPr>
      </w:pPr>
      <w:r>
        <w:rPr>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0D944B">
      <w:pPr>
        <w:spacing w:line="360" w:lineRule="auto"/>
        <w:ind w:left="25" w:leftChars="12" w:firstLine="310" w:firstLineChars="147"/>
        <w:contextualSpacing/>
        <w:rPr>
          <w:b/>
          <w:color w:val="auto"/>
          <w:kern w:val="0"/>
          <w:szCs w:val="21"/>
          <w:highlight w:val="none"/>
        </w:rPr>
      </w:pPr>
      <w:r>
        <w:rPr>
          <w:b/>
          <w:color w:val="auto"/>
          <w:kern w:val="0"/>
          <w:szCs w:val="21"/>
          <w:highlight w:val="none"/>
        </w:rPr>
        <w:t>3.质疑函的质疑事项应具体、明确，并有必要的事实依据和法律依据。</w:t>
      </w:r>
    </w:p>
    <w:p w14:paraId="5E1FB255">
      <w:pPr>
        <w:spacing w:line="360" w:lineRule="auto"/>
        <w:ind w:left="25" w:leftChars="12" w:firstLine="310" w:firstLineChars="147"/>
        <w:contextualSpacing/>
        <w:rPr>
          <w:b/>
          <w:color w:val="auto"/>
          <w:kern w:val="0"/>
          <w:szCs w:val="21"/>
          <w:highlight w:val="none"/>
        </w:rPr>
      </w:pPr>
      <w:r>
        <w:rPr>
          <w:b/>
          <w:color w:val="auto"/>
          <w:kern w:val="0"/>
          <w:szCs w:val="21"/>
          <w:highlight w:val="none"/>
        </w:rPr>
        <w:t>4.质疑函的质疑请求应与质疑事项相关。</w:t>
      </w:r>
    </w:p>
    <w:p w14:paraId="0A427CF2">
      <w:pPr>
        <w:spacing w:line="360" w:lineRule="auto"/>
        <w:ind w:left="25" w:leftChars="12" w:firstLine="310" w:firstLineChars="147"/>
        <w:contextualSpacing/>
        <w:rPr>
          <w:b/>
          <w:color w:val="auto"/>
          <w:kern w:val="0"/>
          <w:szCs w:val="21"/>
          <w:highlight w:val="none"/>
        </w:rPr>
      </w:pPr>
      <w:r>
        <w:rPr>
          <w:b/>
          <w:color w:val="auto"/>
          <w:kern w:val="0"/>
          <w:szCs w:val="21"/>
          <w:highlight w:val="none"/>
        </w:rPr>
        <w:t>5.质疑供应商为法人或者其他组织的，质疑函应由法定代表人、主要负责人，或者其授权代表签字或者盖章，并加盖公章。</w:t>
      </w:r>
    </w:p>
    <w:p w14:paraId="5B35BD0B">
      <w:pPr>
        <w:snapToGrid w:val="0"/>
        <w:rPr>
          <w:b/>
          <w:color w:val="auto"/>
          <w:kern w:val="0"/>
          <w:sz w:val="24"/>
          <w:highlight w:val="none"/>
        </w:rPr>
      </w:pPr>
    </w:p>
    <w:p w14:paraId="1ECCB6AD">
      <w:pPr>
        <w:spacing w:line="460" w:lineRule="exact"/>
        <w:jc w:val="center"/>
        <w:rPr>
          <w:rFonts w:ascii="Calibri" w:hAnsi="Calibri" w:eastAsia="隶书"/>
          <w:color w:val="auto"/>
          <w:sz w:val="44"/>
          <w:highlight w:val="none"/>
        </w:rPr>
      </w:pPr>
      <w:r>
        <w:rPr>
          <w:rFonts w:ascii="Calibri" w:hAnsi="Calibri" w:eastAsia="隶书"/>
          <w:color w:val="auto"/>
          <w:sz w:val="44"/>
          <w:highlight w:val="none"/>
        </w:rPr>
        <w:br w:type="page"/>
      </w:r>
    </w:p>
    <w:p w14:paraId="5A8DB500">
      <w:pPr>
        <w:spacing w:line="360" w:lineRule="auto"/>
        <w:jc w:val="center"/>
        <w:rPr>
          <w:b/>
          <w:bCs/>
          <w:color w:val="auto"/>
          <w:sz w:val="32"/>
          <w:szCs w:val="32"/>
          <w:highlight w:val="none"/>
        </w:rPr>
      </w:pPr>
      <w:r>
        <w:rPr>
          <w:rFonts w:hint="eastAsia"/>
          <w:b/>
          <w:bCs/>
          <w:color w:val="auto"/>
          <w:sz w:val="32"/>
          <w:szCs w:val="32"/>
          <w:highlight w:val="none"/>
        </w:rPr>
        <w:t>投诉书（格式）</w:t>
      </w:r>
    </w:p>
    <w:p w14:paraId="5A1A324F">
      <w:pPr>
        <w:snapToGrid w:val="0"/>
        <w:spacing w:line="360" w:lineRule="auto"/>
        <w:ind w:firstLine="422" w:firstLineChars="200"/>
        <w:rPr>
          <w:b/>
          <w:bCs/>
          <w:color w:val="auto"/>
          <w:kern w:val="0"/>
          <w:szCs w:val="21"/>
          <w:highlight w:val="none"/>
        </w:rPr>
      </w:pPr>
      <w:r>
        <w:rPr>
          <w:b/>
          <w:bCs/>
          <w:color w:val="auto"/>
          <w:kern w:val="0"/>
          <w:szCs w:val="21"/>
          <w:highlight w:val="none"/>
        </w:rPr>
        <w:t>一、投诉相关主体基本情况：</w:t>
      </w:r>
    </w:p>
    <w:p w14:paraId="2193C21D">
      <w:pPr>
        <w:snapToGrid w:val="0"/>
        <w:spacing w:line="360" w:lineRule="auto"/>
        <w:ind w:firstLine="420" w:firstLineChars="200"/>
        <w:rPr>
          <w:bCs/>
          <w:color w:val="auto"/>
          <w:kern w:val="0"/>
          <w:szCs w:val="21"/>
          <w:highlight w:val="none"/>
          <w:u w:val="single"/>
        </w:rPr>
      </w:pPr>
      <w:r>
        <w:rPr>
          <w:bCs/>
          <w:color w:val="auto"/>
          <w:kern w:val="0"/>
          <w:szCs w:val="21"/>
          <w:highlight w:val="none"/>
        </w:rPr>
        <w:t>供应商：</w:t>
      </w:r>
      <w:r>
        <w:rPr>
          <w:bCs/>
          <w:color w:val="auto"/>
          <w:kern w:val="0"/>
          <w:szCs w:val="21"/>
          <w:highlight w:val="none"/>
          <w:u w:val="single"/>
        </w:rPr>
        <w:t xml:space="preserve">                                                                        </w:t>
      </w:r>
      <w:r>
        <w:rPr>
          <w:bCs/>
          <w:color w:val="auto"/>
          <w:kern w:val="0"/>
          <w:szCs w:val="21"/>
          <w:highlight w:val="none"/>
        </w:rPr>
        <w:t xml:space="preserve">                 </w:t>
      </w:r>
    </w:p>
    <w:p w14:paraId="5C7C2506">
      <w:pPr>
        <w:snapToGrid w:val="0"/>
        <w:spacing w:line="360" w:lineRule="auto"/>
        <w:ind w:firstLine="420" w:firstLineChars="200"/>
        <w:rPr>
          <w:bCs/>
          <w:color w:val="auto"/>
          <w:kern w:val="0"/>
          <w:szCs w:val="21"/>
          <w:highlight w:val="none"/>
        </w:rPr>
      </w:pPr>
      <w:r>
        <w:rPr>
          <w:bCs/>
          <w:color w:val="auto"/>
          <w:kern w:val="0"/>
          <w:szCs w:val="21"/>
          <w:highlight w:val="none"/>
        </w:rPr>
        <w:t>地址：</w:t>
      </w:r>
      <w:r>
        <w:rPr>
          <w:bCs/>
          <w:color w:val="auto"/>
          <w:kern w:val="0"/>
          <w:szCs w:val="21"/>
          <w:highlight w:val="none"/>
          <w:u w:val="single"/>
        </w:rPr>
        <w:t xml:space="preserve">                                         </w:t>
      </w:r>
      <w:r>
        <w:rPr>
          <w:bCs/>
          <w:color w:val="auto"/>
          <w:kern w:val="0"/>
          <w:szCs w:val="21"/>
          <w:highlight w:val="none"/>
        </w:rPr>
        <w:t>邮编：</w:t>
      </w:r>
      <w:r>
        <w:rPr>
          <w:bCs/>
          <w:color w:val="auto"/>
          <w:kern w:val="0"/>
          <w:szCs w:val="21"/>
          <w:highlight w:val="none"/>
          <w:u w:val="single"/>
        </w:rPr>
        <w:t xml:space="preserve">                          </w:t>
      </w:r>
      <w:r>
        <w:rPr>
          <w:bCs/>
          <w:color w:val="auto"/>
          <w:kern w:val="0"/>
          <w:szCs w:val="21"/>
          <w:highlight w:val="none"/>
        </w:rPr>
        <w:t xml:space="preserve">                 </w:t>
      </w:r>
    </w:p>
    <w:p w14:paraId="34C72AC8">
      <w:pPr>
        <w:snapToGrid w:val="0"/>
        <w:spacing w:line="360" w:lineRule="auto"/>
        <w:ind w:firstLine="420" w:firstLineChars="200"/>
        <w:rPr>
          <w:bCs/>
          <w:color w:val="auto"/>
          <w:kern w:val="0"/>
          <w:szCs w:val="21"/>
          <w:highlight w:val="none"/>
          <w:u w:val="single"/>
        </w:rPr>
      </w:pPr>
      <w:r>
        <w:rPr>
          <w:bCs/>
          <w:color w:val="auto"/>
          <w:kern w:val="0"/>
          <w:szCs w:val="21"/>
          <w:highlight w:val="none"/>
        </w:rPr>
        <w:t>法定代表人/主要负责人：</w:t>
      </w:r>
      <w:r>
        <w:rPr>
          <w:bCs/>
          <w:color w:val="auto"/>
          <w:kern w:val="0"/>
          <w:szCs w:val="21"/>
          <w:highlight w:val="none"/>
          <w:u w:val="single"/>
        </w:rPr>
        <w:t xml:space="preserve">                                                         </w:t>
      </w:r>
    </w:p>
    <w:p w14:paraId="45F68F7B">
      <w:pPr>
        <w:snapToGrid w:val="0"/>
        <w:spacing w:line="360" w:lineRule="auto"/>
        <w:ind w:firstLine="420" w:firstLineChars="200"/>
        <w:rPr>
          <w:bCs/>
          <w:color w:val="auto"/>
          <w:kern w:val="0"/>
          <w:szCs w:val="21"/>
          <w:highlight w:val="none"/>
        </w:rPr>
      </w:pPr>
      <w:r>
        <w:rPr>
          <w:bCs/>
          <w:color w:val="auto"/>
          <w:kern w:val="0"/>
          <w:szCs w:val="21"/>
          <w:highlight w:val="none"/>
        </w:rPr>
        <w:t>联系电话：</w:t>
      </w:r>
      <w:r>
        <w:rPr>
          <w:bCs/>
          <w:color w:val="auto"/>
          <w:kern w:val="0"/>
          <w:szCs w:val="21"/>
          <w:highlight w:val="none"/>
          <w:u w:val="single"/>
        </w:rPr>
        <w:t xml:space="preserve">                                         </w:t>
      </w:r>
    </w:p>
    <w:p w14:paraId="5AA10BFD">
      <w:pPr>
        <w:snapToGrid w:val="0"/>
        <w:spacing w:line="360" w:lineRule="auto"/>
        <w:ind w:firstLine="420" w:firstLineChars="200"/>
        <w:rPr>
          <w:bCs/>
          <w:color w:val="auto"/>
          <w:kern w:val="0"/>
          <w:szCs w:val="21"/>
          <w:highlight w:val="none"/>
          <w:u w:val="single"/>
        </w:rPr>
      </w:pPr>
      <w:r>
        <w:rPr>
          <w:bCs/>
          <w:color w:val="auto"/>
          <w:kern w:val="0"/>
          <w:szCs w:val="21"/>
          <w:highlight w:val="none"/>
        </w:rPr>
        <w:t>授权代表：</w:t>
      </w:r>
      <w:r>
        <w:rPr>
          <w:bCs/>
          <w:color w:val="auto"/>
          <w:kern w:val="0"/>
          <w:szCs w:val="21"/>
          <w:highlight w:val="none"/>
          <w:u w:val="single"/>
        </w:rPr>
        <w:t xml:space="preserve">                                     </w:t>
      </w:r>
      <w:r>
        <w:rPr>
          <w:bCs/>
          <w:color w:val="auto"/>
          <w:kern w:val="0"/>
          <w:szCs w:val="21"/>
          <w:highlight w:val="none"/>
        </w:rPr>
        <w:t>联系电话：</w:t>
      </w:r>
      <w:r>
        <w:rPr>
          <w:bCs/>
          <w:color w:val="auto"/>
          <w:kern w:val="0"/>
          <w:szCs w:val="21"/>
          <w:highlight w:val="none"/>
          <w:u w:val="single"/>
        </w:rPr>
        <w:t xml:space="preserve">                   </w:t>
      </w:r>
    </w:p>
    <w:p w14:paraId="36CC0F6E">
      <w:pPr>
        <w:snapToGrid w:val="0"/>
        <w:spacing w:line="360" w:lineRule="auto"/>
        <w:ind w:firstLine="420" w:firstLineChars="200"/>
        <w:rPr>
          <w:bCs/>
          <w:color w:val="auto"/>
          <w:kern w:val="0"/>
          <w:szCs w:val="21"/>
          <w:highlight w:val="none"/>
          <w:u w:val="single"/>
        </w:rPr>
      </w:pPr>
      <w:r>
        <w:rPr>
          <w:bCs/>
          <w:color w:val="auto"/>
          <w:kern w:val="0"/>
          <w:szCs w:val="21"/>
          <w:highlight w:val="none"/>
        </w:rPr>
        <w:t>地址：</w:t>
      </w:r>
      <w:r>
        <w:rPr>
          <w:bCs/>
          <w:color w:val="auto"/>
          <w:kern w:val="0"/>
          <w:szCs w:val="21"/>
          <w:highlight w:val="none"/>
          <w:u w:val="single"/>
        </w:rPr>
        <w:t xml:space="preserve">                                                            </w:t>
      </w:r>
    </w:p>
    <w:p w14:paraId="6EB0135E">
      <w:pPr>
        <w:snapToGrid w:val="0"/>
        <w:spacing w:line="360" w:lineRule="auto"/>
        <w:ind w:firstLine="420" w:firstLineChars="200"/>
        <w:rPr>
          <w:bCs/>
          <w:color w:val="auto"/>
          <w:kern w:val="0"/>
          <w:szCs w:val="21"/>
          <w:highlight w:val="none"/>
        </w:rPr>
      </w:pPr>
      <w:r>
        <w:rPr>
          <w:bCs/>
          <w:color w:val="auto"/>
          <w:kern w:val="0"/>
          <w:szCs w:val="21"/>
          <w:highlight w:val="none"/>
        </w:rPr>
        <w:t>邮编：</w:t>
      </w:r>
      <w:r>
        <w:rPr>
          <w:bCs/>
          <w:color w:val="auto"/>
          <w:kern w:val="0"/>
          <w:szCs w:val="21"/>
          <w:highlight w:val="none"/>
          <w:u w:val="single"/>
        </w:rPr>
        <w:t xml:space="preserve">         </w:t>
      </w:r>
      <w:r>
        <w:rPr>
          <w:bCs/>
          <w:color w:val="auto"/>
          <w:kern w:val="0"/>
          <w:szCs w:val="21"/>
          <w:highlight w:val="none"/>
        </w:rPr>
        <w:t xml:space="preserve">   </w:t>
      </w:r>
    </w:p>
    <w:p w14:paraId="30075E4E">
      <w:pPr>
        <w:snapToGrid w:val="0"/>
        <w:spacing w:line="360" w:lineRule="auto"/>
        <w:ind w:firstLine="420" w:firstLineChars="200"/>
        <w:rPr>
          <w:bCs/>
          <w:color w:val="auto"/>
          <w:kern w:val="0"/>
          <w:szCs w:val="21"/>
          <w:highlight w:val="none"/>
        </w:rPr>
      </w:pPr>
      <w:r>
        <w:rPr>
          <w:bCs/>
          <w:color w:val="auto"/>
          <w:kern w:val="0"/>
          <w:szCs w:val="21"/>
          <w:highlight w:val="none"/>
        </w:rPr>
        <w:t>被投诉人1：</w:t>
      </w:r>
    </w:p>
    <w:p w14:paraId="06E21901">
      <w:pPr>
        <w:snapToGrid w:val="0"/>
        <w:spacing w:line="360" w:lineRule="auto"/>
        <w:ind w:firstLine="420" w:firstLineChars="200"/>
        <w:rPr>
          <w:bCs/>
          <w:color w:val="auto"/>
          <w:kern w:val="0"/>
          <w:szCs w:val="21"/>
          <w:highlight w:val="none"/>
          <w:u w:val="single"/>
        </w:rPr>
      </w:pPr>
      <w:r>
        <w:rPr>
          <w:bCs/>
          <w:color w:val="auto"/>
          <w:kern w:val="0"/>
          <w:szCs w:val="21"/>
          <w:highlight w:val="none"/>
        </w:rPr>
        <w:t>地址：</w:t>
      </w:r>
      <w:r>
        <w:rPr>
          <w:bCs/>
          <w:color w:val="auto"/>
          <w:kern w:val="0"/>
          <w:szCs w:val="21"/>
          <w:highlight w:val="none"/>
          <w:u w:val="single"/>
        </w:rPr>
        <w:t xml:space="preserve">                                                            </w:t>
      </w:r>
    </w:p>
    <w:p w14:paraId="1FCDF5BC">
      <w:pPr>
        <w:snapToGrid w:val="0"/>
        <w:spacing w:line="360" w:lineRule="auto"/>
        <w:ind w:firstLine="420" w:firstLineChars="200"/>
        <w:rPr>
          <w:bCs/>
          <w:color w:val="auto"/>
          <w:kern w:val="0"/>
          <w:szCs w:val="21"/>
          <w:highlight w:val="none"/>
        </w:rPr>
      </w:pPr>
      <w:r>
        <w:rPr>
          <w:bCs/>
          <w:color w:val="auto"/>
          <w:kern w:val="0"/>
          <w:szCs w:val="21"/>
          <w:highlight w:val="none"/>
        </w:rPr>
        <w:t>邮编：</w:t>
      </w:r>
      <w:r>
        <w:rPr>
          <w:bCs/>
          <w:color w:val="auto"/>
          <w:kern w:val="0"/>
          <w:szCs w:val="21"/>
          <w:highlight w:val="none"/>
          <w:u w:val="single"/>
        </w:rPr>
        <w:t xml:space="preserve">         </w:t>
      </w:r>
      <w:r>
        <w:rPr>
          <w:bCs/>
          <w:color w:val="auto"/>
          <w:kern w:val="0"/>
          <w:szCs w:val="21"/>
          <w:highlight w:val="none"/>
        </w:rPr>
        <w:t xml:space="preserve">  </w:t>
      </w:r>
    </w:p>
    <w:p w14:paraId="7AE78474">
      <w:pPr>
        <w:snapToGrid w:val="0"/>
        <w:spacing w:line="360" w:lineRule="auto"/>
        <w:ind w:firstLine="420" w:firstLineChars="200"/>
        <w:rPr>
          <w:bCs/>
          <w:color w:val="auto"/>
          <w:kern w:val="0"/>
          <w:szCs w:val="21"/>
          <w:highlight w:val="none"/>
          <w:u w:val="single"/>
        </w:rPr>
      </w:pPr>
      <w:r>
        <w:rPr>
          <w:bCs/>
          <w:color w:val="auto"/>
          <w:kern w:val="0"/>
          <w:szCs w:val="21"/>
          <w:highlight w:val="none"/>
        </w:rPr>
        <w:t>联系人：</w:t>
      </w:r>
      <w:r>
        <w:rPr>
          <w:bCs/>
          <w:color w:val="auto"/>
          <w:kern w:val="0"/>
          <w:szCs w:val="21"/>
          <w:highlight w:val="none"/>
          <w:u w:val="single"/>
        </w:rPr>
        <w:t xml:space="preserve">                                        </w:t>
      </w:r>
      <w:r>
        <w:rPr>
          <w:bCs/>
          <w:color w:val="auto"/>
          <w:kern w:val="0"/>
          <w:szCs w:val="21"/>
          <w:highlight w:val="none"/>
        </w:rPr>
        <w:t>联系电话：</w:t>
      </w:r>
      <w:r>
        <w:rPr>
          <w:bCs/>
          <w:color w:val="auto"/>
          <w:kern w:val="0"/>
          <w:szCs w:val="21"/>
          <w:highlight w:val="none"/>
          <w:u w:val="single"/>
        </w:rPr>
        <w:t xml:space="preserve">                </w:t>
      </w:r>
    </w:p>
    <w:p w14:paraId="67933CDC">
      <w:pPr>
        <w:snapToGrid w:val="0"/>
        <w:spacing w:line="360" w:lineRule="auto"/>
        <w:ind w:firstLine="420" w:firstLineChars="200"/>
        <w:rPr>
          <w:bCs/>
          <w:color w:val="auto"/>
          <w:kern w:val="0"/>
          <w:szCs w:val="21"/>
          <w:highlight w:val="none"/>
        </w:rPr>
      </w:pPr>
      <w:r>
        <w:rPr>
          <w:bCs/>
          <w:color w:val="auto"/>
          <w:kern w:val="0"/>
          <w:szCs w:val="21"/>
          <w:highlight w:val="none"/>
        </w:rPr>
        <w:t>被投诉人2：</w:t>
      </w:r>
    </w:p>
    <w:p w14:paraId="74739234">
      <w:pPr>
        <w:snapToGrid w:val="0"/>
        <w:spacing w:line="360" w:lineRule="auto"/>
        <w:ind w:firstLine="420" w:firstLineChars="200"/>
        <w:rPr>
          <w:bCs/>
          <w:color w:val="auto"/>
          <w:kern w:val="0"/>
          <w:szCs w:val="21"/>
          <w:highlight w:val="none"/>
        </w:rPr>
      </w:pPr>
      <w:r>
        <w:rPr>
          <w:bCs/>
          <w:color w:val="auto"/>
          <w:kern w:val="0"/>
          <w:szCs w:val="21"/>
          <w:highlight w:val="none"/>
        </w:rPr>
        <w:t>……</w:t>
      </w:r>
    </w:p>
    <w:p w14:paraId="5E62C5CD">
      <w:pPr>
        <w:snapToGrid w:val="0"/>
        <w:spacing w:line="360" w:lineRule="auto"/>
        <w:ind w:firstLine="420" w:firstLineChars="200"/>
        <w:rPr>
          <w:bCs/>
          <w:color w:val="auto"/>
          <w:kern w:val="0"/>
          <w:szCs w:val="21"/>
          <w:highlight w:val="none"/>
          <w:u w:val="single"/>
        </w:rPr>
      </w:pPr>
      <w:r>
        <w:rPr>
          <w:bCs/>
          <w:color w:val="auto"/>
          <w:kern w:val="0"/>
          <w:szCs w:val="21"/>
          <w:highlight w:val="none"/>
        </w:rPr>
        <w:t>相关供应商：</w:t>
      </w:r>
      <w:r>
        <w:rPr>
          <w:bCs/>
          <w:color w:val="auto"/>
          <w:kern w:val="0"/>
          <w:szCs w:val="21"/>
          <w:highlight w:val="none"/>
          <w:u w:val="single"/>
        </w:rPr>
        <w:t xml:space="preserve">                                                                       </w:t>
      </w:r>
    </w:p>
    <w:p w14:paraId="3588164D">
      <w:pPr>
        <w:snapToGrid w:val="0"/>
        <w:spacing w:line="360" w:lineRule="auto"/>
        <w:ind w:firstLine="420" w:firstLineChars="200"/>
        <w:rPr>
          <w:bCs/>
          <w:color w:val="auto"/>
          <w:kern w:val="0"/>
          <w:szCs w:val="21"/>
          <w:highlight w:val="none"/>
          <w:u w:val="single"/>
        </w:rPr>
      </w:pPr>
      <w:r>
        <w:rPr>
          <w:bCs/>
          <w:color w:val="auto"/>
          <w:kern w:val="0"/>
          <w:szCs w:val="21"/>
          <w:highlight w:val="none"/>
        </w:rPr>
        <w:t>地址：</w:t>
      </w:r>
      <w:r>
        <w:rPr>
          <w:bCs/>
          <w:color w:val="auto"/>
          <w:kern w:val="0"/>
          <w:szCs w:val="21"/>
          <w:highlight w:val="none"/>
          <w:u w:val="single"/>
        </w:rPr>
        <w:t xml:space="preserve">                                          </w:t>
      </w:r>
      <w:r>
        <w:rPr>
          <w:bCs/>
          <w:color w:val="auto"/>
          <w:kern w:val="0"/>
          <w:szCs w:val="21"/>
          <w:highlight w:val="none"/>
        </w:rPr>
        <w:t>邮编：</w:t>
      </w:r>
      <w:r>
        <w:rPr>
          <w:bCs/>
          <w:color w:val="auto"/>
          <w:kern w:val="0"/>
          <w:szCs w:val="21"/>
          <w:highlight w:val="none"/>
          <w:u w:val="single"/>
        </w:rPr>
        <w:t xml:space="preserve">                         </w:t>
      </w:r>
    </w:p>
    <w:p w14:paraId="484DD3BA">
      <w:pPr>
        <w:snapToGrid w:val="0"/>
        <w:spacing w:line="360" w:lineRule="auto"/>
        <w:ind w:firstLine="420" w:firstLineChars="200"/>
        <w:rPr>
          <w:bCs/>
          <w:color w:val="auto"/>
          <w:kern w:val="0"/>
          <w:szCs w:val="21"/>
          <w:highlight w:val="none"/>
        </w:rPr>
      </w:pPr>
      <w:r>
        <w:rPr>
          <w:bCs/>
          <w:color w:val="auto"/>
          <w:kern w:val="0"/>
          <w:szCs w:val="21"/>
          <w:highlight w:val="none"/>
        </w:rPr>
        <w:t>联系人：</w:t>
      </w:r>
      <w:r>
        <w:rPr>
          <w:bCs/>
          <w:color w:val="auto"/>
          <w:kern w:val="0"/>
          <w:szCs w:val="21"/>
          <w:highlight w:val="none"/>
          <w:u w:val="single"/>
        </w:rPr>
        <w:t xml:space="preserve">                                        </w:t>
      </w:r>
      <w:r>
        <w:rPr>
          <w:bCs/>
          <w:color w:val="auto"/>
          <w:kern w:val="0"/>
          <w:szCs w:val="21"/>
          <w:highlight w:val="none"/>
        </w:rPr>
        <w:t>联系电话：</w:t>
      </w:r>
      <w:r>
        <w:rPr>
          <w:bCs/>
          <w:color w:val="auto"/>
          <w:kern w:val="0"/>
          <w:szCs w:val="21"/>
          <w:highlight w:val="none"/>
          <w:u w:val="single"/>
        </w:rPr>
        <w:t xml:space="preserve">                     </w:t>
      </w:r>
      <w:r>
        <w:rPr>
          <w:bCs/>
          <w:color w:val="auto"/>
          <w:kern w:val="0"/>
          <w:szCs w:val="21"/>
          <w:highlight w:val="none"/>
        </w:rPr>
        <w:t xml:space="preserve">                </w:t>
      </w:r>
    </w:p>
    <w:p w14:paraId="70D5276B">
      <w:pPr>
        <w:snapToGrid w:val="0"/>
        <w:spacing w:line="360" w:lineRule="auto"/>
        <w:ind w:firstLine="422" w:firstLineChars="200"/>
        <w:rPr>
          <w:b/>
          <w:bCs/>
          <w:color w:val="auto"/>
          <w:kern w:val="0"/>
          <w:szCs w:val="21"/>
          <w:highlight w:val="none"/>
        </w:rPr>
      </w:pPr>
      <w:r>
        <w:rPr>
          <w:b/>
          <w:bCs/>
          <w:color w:val="auto"/>
          <w:kern w:val="0"/>
          <w:szCs w:val="21"/>
          <w:highlight w:val="none"/>
        </w:rPr>
        <w:t>二、投诉项目基本情况：</w:t>
      </w:r>
    </w:p>
    <w:p w14:paraId="3147A445">
      <w:pPr>
        <w:spacing w:line="360" w:lineRule="auto"/>
        <w:ind w:left="25" w:leftChars="12" w:firstLine="413" w:firstLineChars="197"/>
        <w:rPr>
          <w:color w:val="auto"/>
          <w:kern w:val="0"/>
          <w:szCs w:val="21"/>
          <w:highlight w:val="none"/>
        </w:rPr>
      </w:pPr>
      <w:r>
        <w:rPr>
          <w:bCs/>
          <w:color w:val="auto"/>
          <w:kern w:val="0"/>
          <w:szCs w:val="21"/>
          <w:highlight w:val="none"/>
        </w:rPr>
        <w:t>采购</w:t>
      </w:r>
      <w:r>
        <w:rPr>
          <w:color w:val="auto"/>
          <w:kern w:val="0"/>
          <w:szCs w:val="21"/>
          <w:highlight w:val="none"/>
        </w:rPr>
        <w:t>项目的名称：</w:t>
      </w:r>
      <w:r>
        <w:rPr>
          <w:bCs/>
          <w:color w:val="auto"/>
          <w:kern w:val="0"/>
          <w:szCs w:val="21"/>
          <w:highlight w:val="none"/>
          <w:u w:val="single"/>
        </w:rPr>
        <w:t xml:space="preserve">                                                                   </w:t>
      </w:r>
    </w:p>
    <w:p w14:paraId="29854A48">
      <w:pPr>
        <w:spacing w:line="360" w:lineRule="auto"/>
        <w:ind w:left="25" w:leftChars="12" w:firstLine="413" w:firstLineChars="197"/>
        <w:rPr>
          <w:color w:val="auto"/>
          <w:kern w:val="0"/>
          <w:szCs w:val="21"/>
          <w:highlight w:val="none"/>
        </w:rPr>
      </w:pPr>
      <w:r>
        <w:rPr>
          <w:bCs/>
          <w:color w:val="auto"/>
          <w:kern w:val="0"/>
          <w:szCs w:val="21"/>
          <w:highlight w:val="none"/>
        </w:rPr>
        <w:t>采购</w:t>
      </w:r>
      <w:r>
        <w:rPr>
          <w:color w:val="auto"/>
          <w:kern w:val="0"/>
          <w:szCs w:val="21"/>
          <w:highlight w:val="none"/>
        </w:rPr>
        <w:t>项目的编号：</w:t>
      </w:r>
      <w:r>
        <w:rPr>
          <w:bCs/>
          <w:color w:val="auto"/>
          <w:kern w:val="0"/>
          <w:szCs w:val="21"/>
          <w:highlight w:val="none"/>
          <w:u w:val="single"/>
        </w:rPr>
        <w:t xml:space="preserve">                                          </w:t>
      </w:r>
    </w:p>
    <w:p w14:paraId="2259280F">
      <w:pPr>
        <w:spacing w:line="360" w:lineRule="auto"/>
        <w:ind w:left="25" w:leftChars="12" w:firstLine="413" w:firstLineChars="197"/>
        <w:rPr>
          <w:bCs/>
          <w:color w:val="auto"/>
          <w:kern w:val="0"/>
          <w:szCs w:val="21"/>
          <w:highlight w:val="none"/>
          <w:u w:val="single"/>
        </w:rPr>
      </w:pPr>
      <w:r>
        <w:rPr>
          <w:color w:val="auto"/>
          <w:kern w:val="0"/>
          <w:szCs w:val="21"/>
          <w:highlight w:val="none"/>
        </w:rPr>
        <w:t>采购人名称：</w:t>
      </w:r>
      <w:r>
        <w:rPr>
          <w:bCs/>
          <w:color w:val="auto"/>
          <w:kern w:val="0"/>
          <w:szCs w:val="21"/>
          <w:highlight w:val="none"/>
          <w:u w:val="single"/>
        </w:rPr>
        <w:t xml:space="preserve">                                                                        </w:t>
      </w:r>
    </w:p>
    <w:p w14:paraId="23B6D614">
      <w:pPr>
        <w:spacing w:line="360" w:lineRule="auto"/>
        <w:ind w:left="25" w:leftChars="12" w:firstLine="413" w:firstLineChars="197"/>
        <w:rPr>
          <w:bCs/>
          <w:color w:val="auto"/>
          <w:kern w:val="0"/>
          <w:szCs w:val="21"/>
          <w:highlight w:val="none"/>
          <w:u w:val="single"/>
        </w:rPr>
      </w:pPr>
      <w:r>
        <w:rPr>
          <w:color w:val="auto"/>
          <w:kern w:val="0"/>
          <w:szCs w:val="21"/>
          <w:highlight w:val="none"/>
        </w:rPr>
        <w:t>代理机构名称：</w:t>
      </w:r>
      <w:r>
        <w:rPr>
          <w:bCs/>
          <w:color w:val="auto"/>
          <w:kern w:val="0"/>
          <w:szCs w:val="21"/>
          <w:highlight w:val="none"/>
          <w:u w:val="single"/>
        </w:rPr>
        <w:t xml:space="preserve">                                                                      </w:t>
      </w:r>
    </w:p>
    <w:p w14:paraId="7725E0F4">
      <w:pPr>
        <w:spacing w:line="360" w:lineRule="auto"/>
        <w:ind w:left="25" w:leftChars="12" w:firstLine="413" w:firstLineChars="197"/>
        <w:rPr>
          <w:bCs/>
          <w:color w:val="auto"/>
          <w:kern w:val="0"/>
          <w:szCs w:val="21"/>
          <w:highlight w:val="none"/>
          <w:u w:val="single"/>
        </w:rPr>
      </w:pPr>
      <w:r>
        <w:rPr>
          <w:bCs/>
          <w:color w:val="auto"/>
          <w:kern w:val="0"/>
          <w:szCs w:val="21"/>
          <w:highlight w:val="none"/>
        </w:rPr>
        <w:t>采购文件公告：</w:t>
      </w:r>
      <w:r>
        <w:rPr>
          <w:bCs/>
          <w:color w:val="auto"/>
          <w:kern w:val="0"/>
          <w:szCs w:val="21"/>
          <w:highlight w:val="none"/>
          <w:u w:val="single"/>
        </w:rPr>
        <w:t>是/否</w:t>
      </w:r>
      <w:r>
        <w:rPr>
          <w:bCs/>
          <w:color w:val="auto"/>
          <w:kern w:val="0"/>
          <w:szCs w:val="21"/>
          <w:highlight w:val="none"/>
        </w:rPr>
        <w:t>公告期限：</w:t>
      </w:r>
      <w:r>
        <w:rPr>
          <w:bCs/>
          <w:color w:val="auto"/>
          <w:kern w:val="0"/>
          <w:szCs w:val="21"/>
          <w:highlight w:val="none"/>
          <w:u w:val="single"/>
        </w:rPr>
        <w:t xml:space="preserve">                                                       </w:t>
      </w:r>
    </w:p>
    <w:p w14:paraId="67DBD2F5">
      <w:pPr>
        <w:spacing w:line="360" w:lineRule="auto"/>
        <w:ind w:left="25" w:leftChars="12" w:firstLine="413" w:firstLineChars="197"/>
        <w:rPr>
          <w:b/>
          <w:color w:val="auto"/>
          <w:kern w:val="0"/>
          <w:szCs w:val="21"/>
          <w:highlight w:val="none"/>
        </w:rPr>
      </w:pPr>
      <w:r>
        <w:rPr>
          <w:bCs/>
          <w:color w:val="auto"/>
          <w:kern w:val="0"/>
          <w:szCs w:val="21"/>
          <w:highlight w:val="none"/>
        </w:rPr>
        <w:t>采购结果公告：</w:t>
      </w:r>
      <w:r>
        <w:rPr>
          <w:bCs/>
          <w:color w:val="auto"/>
          <w:kern w:val="0"/>
          <w:szCs w:val="21"/>
          <w:highlight w:val="none"/>
          <w:u w:val="single"/>
        </w:rPr>
        <w:t>是/否</w:t>
      </w:r>
      <w:r>
        <w:rPr>
          <w:bCs/>
          <w:color w:val="auto"/>
          <w:kern w:val="0"/>
          <w:szCs w:val="21"/>
          <w:highlight w:val="none"/>
        </w:rPr>
        <w:t>公告期限：</w:t>
      </w:r>
      <w:r>
        <w:rPr>
          <w:bCs/>
          <w:color w:val="auto"/>
          <w:kern w:val="0"/>
          <w:szCs w:val="21"/>
          <w:highlight w:val="none"/>
          <w:u w:val="single"/>
        </w:rPr>
        <w:t xml:space="preserve">                                                       </w:t>
      </w:r>
    </w:p>
    <w:p w14:paraId="203F5ED8">
      <w:pPr>
        <w:spacing w:line="360" w:lineRule="auto"/>
        <w:ind w:left="25" w:leftChars="12" w:firstLine="413" w:firstLineChars="196"/>
        <w:rPr>
          <w:b/>
          <w:color w:val="auto"/>
          <w:kern w:val="0"/>
          <w:szCs w:val="21"/>
          <w:highlight w:val="none"/>
        </w:rPr>
      </w:pPr>
      <w:r>
        <w:rPr>
          <w:b/>
          <w:color w:val="auto"/>
          <w:kern w:val="0"/>
          <w:szCs w:val="21"/>
          <w:highlight w:val="none"/>
        </w:rPr>
        <w:t>三、质疑基本情况</w:t>
      </w:r>
    </w:p>
    <w:p w14:paraId="549F21A2">
      <w:pPr>
        <w:spacing w:line="360" w:lineRule="auto"/>
        <w:ind w:firstLine="420" w:firstLineChars="200"/>
        <w:rPr>
          <w:color w:val="auto"/>
          <w:kern w:val="0"/>
          <w:szCs w:val="21"/>
          <w:highlight w:val="none"/>
        </w:rPr>
      </w:pPr>
      <w:r>
        <w:rPr>
          <w:color w:val="auto"/>
          <w:kern w:val="0"/>
          <w:szCs w:val="21"/>
          <w:highlight w:val="none"/>
        </w:rPr>
        <w:t>投诉人于</w:t>
      </w:r>
      <w:r>
        <w:rPr>
          <w:color w:val="auto"/>
          <w:kern w:val="0"/>
          <w:szCs w:val="21"/>
          <w:highlight w:val="none"/>
          <w:u w:val="single"/>
        </w:rPr>
        <w:t xml:space="preserve">      </w:t>
      </w:r>
      <w:r>
        <w:rPr>
          <w:color w:val="auto"/>
          <w:kern w:val="0"/>
          <w:szCs w:val="21"/>
          <w:highlight w:val="none"/>
        </w:rPr>
        <w:t>年</w:t>
      </w:r>
      <w:r>
        <w:rPr>
          <w:color w:val="auto"/>
          <w:kern w:val="0"/>
          <w:szCs w:val="21"/>
          <w:highlight w:val="none"/>
          <w:u w:val="single"/>
        </w:rPr>
        <w:t xml:space="preserve">   </w:t>
      </w:r>
      <w:r>
        <w:rPr>
          <w:color w:val="auto"/>
          <w:kern w:val="0"/>
          <w:szCs w:val="21"/>
          <w:highlight w:val="none"/>
        </w:rPr>
        <w:t>月</w:t>
      </w:r>
      <w:r>
        <w:rPr>
          <w:color w:val="auto"/>
          <w:kern w:val="0"/>
          <w:szCs w:val="21"/>
          <w:highlight w:val="none"/>
          <w:u w:val="single"/>
        </w:rPr>
        <w:t xml:space="preserve">   </w:t>
      </w:r>
      <w:r>
        <w:rPr>
          <w:color w:val="auto"/>
          <w:kern w:val="0"/>
          <w:szCs w:val="21"/>
          <w:highlight w:val="none"/>
        </w:rPr>
        <w:t>日，向</w:t>
      </w:r>
      <w:r>
        <w:rPr>
          <w:color w:val="auto"/>
          <w:kern w:val="0"/>
          <w:szCs w:val="21"/>
          <w:highlight w:val="none"/>
          <w:u w:val="single"/>
        </w:rPr>
        <w:t xml:space="preserve">                                </w:t>
      </w:r>
      <w:r>
        <w:rPr>
          <w:color w:val="auto"/>
          <w:kern w:val="0"/>
          <w:szCs w:val="21"/>
          <w:highlight w:val="none"/>
        </w:rPr>
        <w:t>提出质疑，质疑事项为：</w:t>
      </w:r>
    </w:p>
    <w:p w14:paraId="222958F2">
      <w:pPr>
        <w:spacing w:line="360" w:lineRule="auto"/>
        <w:ind w:firstLine="241"/>
        <w:rPr>
          <w:bCs/>
          <w:color w:val="auto"/>
          <w:kern w:val="0"/>
          <w:szCs w:val="21"/>
          <w:highlight w:val="none"/>
          <w:u w:val="single"/>
        </w:rPr>
      </w:pPr>
      <w:r>
        <w:rPr>
          <w:color w:val="auto"/>
          <w:kern w:val="0"/>
          <w:szCs w:val="21"/>
          <w:highlight w:val="none"/>
        </w:rPr>
        <w:t xml:space="preserve">    </w:t>
      </w:r>
      <w:r>
        <w:rPr>
          <w:bCs/>
          <w:color w:val="auto"/>
          <w:kern w:val="0"/>
          <w:szCs w:val="21"/>
          <w:highlight w:val="none"/>
          <w:u w:val="single"/>
        </w:rPr>
        <w:t xml:space="preserve">                                                                                      </w:t>
      </w:r>
    </w:p>
    <w:p w14:paraId="0A382FE3">
      <w:pPr>
        <w:spacing w:line="360" w:lineRule="auto"/>
        <w:ind w:firstLine="241"/>
        <w:rPr>
          <w:bCs/>
          <w:color w:val="auto"/>
          <w:kern w:val="0"/>
          <w:szCs w:val="21"/>
          <w:highlight w:val="none"/>
          <w:u w:val="single"/>
        </w:rPr>
      </w:pPr>
      <w:r>
        <w:rPr>
          <w:bCs/>
          <w:color w:val="auto"/>
          <w:kern w:val="0"/>
          <w:szCs w:val="21"/>
          <w:highlight w:val="none"/>
        </w:rPr>
        <w:t xml:space="preserve">    </w:t>
      </w:r>
      <w:r>
        <w:rPr>
          <w:bCs/>
          <w:color w:val="auto"/>
          <w:kern w:val="0"/>
          <w:szCs w:val="21"/>
          <w:highlight w:val="none"/>
          <w:u w:val="single"/>
        </w:rPr>
        <w:t xml:space="preserve">                                                                                      </w:t>
      </w:r>
    </w:p>
    <w:p w14:paraId="7A68A06A">
      <w:pPr>
        <w:spacing w:line="360" w:lineRule="auto"/>
        <w:ind w:firstLine="420" w:firstLineChars="200"/>
        <w:rPr>
          <w:color w:val="auto"/>
          <w:kern w:val="0"/>
          <w:szCs w:val="21"/>
          <w:highlight w:val="none"/>
        </w:rPr>
      </w:pPr>
      <w:r>
        <w:rPr>
          <w:bCs/>
          <w:color w:val="auto"/>
          <w:kern w:val="0"/>
          <w:szCs w:val="21"/>
          <w:highlight w:val="none"/>
          <w:u w:val="single"/>
        </w:rPr>
        <w:t>采购人/采购代理机构</w:t>
      </w:r>
      <w:r>
        <w:rPr>
          <w:bCs/>
          <w:color w:val="auto"/>
          <w:kern w:val="0"/>
          <w:szCs w:val="21"/>
          <w:highlight w:val="none"/>
        </w:rPr>
        <w:t>于</w:t>
      </w:r>
      <w:r>
        <w:rPr>
          <w:color w:val="auto"/>
          <w:kern w:val="0"/>
          <w:szCs w:val="21"/>
          <w:highlight w:val="none"/>
          <w:u w:val="single"/>
        </w:rPr>
        <w:t xml:space="preserve">      </w:t>
      </w:r>
      <w:r>
        <w:rPr>
          <w:color w:val="auto"/>
          <w:kern w:val="0"/>
          <w:szCs w:val="21"/>
          <w:highlight w:val="none"/>
        </w:rPr>
        <w:t>年</w:t>
      </w:r>
      <w:r>
        <w:rPr>
          <w:color w:val="auto"/>
          <w:kern w:val="0"/>
          <w:szCs w:val="21"/>
          <w:highlight w:val="none"/>
          <w:u w:val="single"/>
        </w:rPr>
        <w:t xml:space="preserve">   </w:t>
      </w:r>
      <w:r>
        <w:rPr>
          <w:color w:val="auto"/>
          <w:kern w:val="0"/>
          <w:szCs w:val="21"/>
          <w:highlight w:val="none"/>
        </w:rPr>
        <w:t>月</w:t>
      </w:r>
      <w:r>
        <w:rPr>
          <w:color w:val="auto"/>
          <w:kern w:val="0"/>
          <w:szCs w:val="21"/>
          <w:highlight w:val="none"/>
          <w:u w:val="single"/>
        </w:rPr>
        <w:t xml:space="preserve">   </w:t>
      </w:r>
      <w:r>
        <w:rPr>
          <w:color w:val="auto"/>
          <w:kern w:val="0"/>
          <w:szCs w:val="21"/>
          <w:highlight w:val="none"/>
        </w:rPr>
        <w:t>日，</w:t>
      </w:r>
      <w:r>
        <w:rPr>
          <w:bCs/>
          <w:color w:val="auto"/>
          <w:kern w:val="0"/>
          <w:szCs w:val="21"/>
          <w:highlight w:val="none"/>
        </w:rPr>
        <w:t xml:space="preserve">就质疑事项作出了答复/没有在法定期限内作出答复。                                                                                             </w:t>
      </w:r>
    </w:p>
    <w:p w14:paraId="4D296400">
      <w:pPr>
        <w:spacing w:line="360" w:lineRule="auto"/>
        <w:ind w:left="25" w:leftChars="12" w:firstLine="413" w:firstLineChars="196"/>
        <w:rPr>
          <w:b/>
          <w:color w:val="auto"/>
          <w:kern w:val="0"/>
          <w:szCs w:val="21"/>
          <w:highlight w:val="none"/>
        </w:rPr>
      </w:pPr>
      <w:r>
        <w:rPr>
          <w:b/>
          <w:color w:val="auto"/>
          <w:kern w:val="0"/>
          <w:szCs w:val="21"/>
          <w:highlight w:val="none"/>
        </w:rPr>
        <w:t>四、投诉事项具体内容</w:t>
      </w:r>
    </w:p>
    <w:p w14:paraId="2B87CB9B">
      <w:pPr>
        <w:spacing w:line="360" w:lineRule="auto"/>
        <w:ind w:left="25" w:leftChars="12" w:firstLine="413" w:firstLineChars="197"/>
        <w:rPr>
          <w:bCs/>
          <w:color w:val="auto"/>
          <w:kern w:val="0"/>
          <w:szCs w:val="21"/>
          <w:highlight w:val="none"/>
          <w:u w:val="single"/>
        </w:rPr>
      </w:pPr>
      <w:r>
        <w:rPr>
          <w:color w:val="auto"/>
          <w:kern w:val="0"/>
          <w:szCs w:val="21"/>
          <w:highlight w:val="none"/>
        </w:rPr>
        <w:t>投诉事项1：</w:t>
      </w:r>
      <w:r>
        <w:rPr>
          <w:bCs/>
          <w:color w:val="auto"/>
          <w:kern w:val="0"/>
          <w:szCs w:val="21"/>
          <w:highlight w:val="none"/>
          <w:u w:val="single"/>
        </w:rPr>
        <w:t xml:space="preserve">                                                                           </w:t>
      </w:r>
    </w:p>
    <w:p w14:paraId="4F11C01A">
      <w:pPr>
        <w:spacing w:line="360" w:lineRule="auto"/>
        <w:ind w:firstLine="420" w:firstLineChars="200"/>
        <w:rPr>
          <w:bCs/>
          <w:color w:val="auto"/>
          <w:kern w:val="0"/>
          <w:szCs w:val="21"/>
          <w:highlight w:val="none"/>
          <w:u w:val="single"/>
        </w:rPr>
      </w:pPr>
      <w:r>
        <w:rPr>
          <w:bCs/>
          <w:color w:val="auto"/>
          <w:kern w:val="0"/>
          <w:szCs w:val="21"/>
          <w:highlight w:val="none"/>
        </w:rPr>
        <w:t>事实依据：</w:t>
      </w:r>
      <w:r>
        <w:rPr>
          <w:color w:val="auto"/>
          <w:kern w:val="0"/>
          <w:szCs w:val="21"/>
          <w:highlight w:val="none"/>
        </w:rPr>
        <w:t xml:space="preserve"> </w:t>
      </w:r>
      <w:r>
        <w:rPr>
          <w:bCs/>
          <w:color w:val="auto"/>
          <w:kern w:val="0"/>
          <w:szCs w:val="21"/>
          <w:highlight w:val="none"/>
          <w:u w:val="single"/>
        </w:rPr>
        <w:t xml:space="preserve">                                                                                      </w:t>
      </w:r>
    </w:p>
    <w:p w14:paraId="21CC97D8">
      <w:pPr>
        <w:spacing w:line="360" w:lineRule="auto"/>
        <w:ind w:left="25" w:leftChars="12" w:firstLine="413" w:firstLineChars="197"/>
        <w:rPr>
          <w:color w:val="auto"/>
          <w:kern w:val="0"/>
          <w:szCs w:val="21"/>
          <w:highlight w:val="none"/>
        </w:rPr>
      </w:pPr>
      <w:r>
        <w:rPr>
          <w:bCs/>
          <w:color w:val="auto"/>
          <w:kern w:val="0"/>
          <w:szCs w:val="21"/>
          <w:highlight w:val="none"/>
          <w:u w:val="single"/>
        </w:rPr>
        <w:t xml:space="preserve">                                                                                        </w:t>
      </w:r>
    </w:p>
    <w:p w14:paraId="7E471816">
      <w:pPr>
        <w:spacing w:line="360" w:lineRule="auto"/>
        <w:ind w:firstLine="420" w:firstLineChars="200"/>
        <w:rPr>
          <w:bCs/>
          <w:color w:val="auto"/>
          <w:kern w:val="0"/>
          <w:szCs w:val="21"/>
          <w:highlight w:val="none"/>
          <w:u w:val="single"/>
        </w:rPr>
      </w:pPr>
      <w:r>
        <w:rPr>
          <w:bCs/>
          <w:color w:val="auto"/>
          <w:kern w:val="0"/>
          <w:szCs w:val="21"/>
          <w:highlight w:val="none"/>
        </w:rPr>
        <w:t>法律依据：</w:t>
      </w:r>
      <w:r>
        <w:rPr>
          <w:color w:val="auto"/>
          <w:kern w:val="0"/>
          <w:szCs w:val="21"/>
          <w:highlight w:val="none"/>
        </w:rPr>
        <w:t xml:space="preserve"> </w:t>
      </w:r>
      <w:r>
        <w:rPr>
          <w:bCs/>
          <w:color w:val="auto"/>
          <w:kern w:val="0"/>
          <w:szCs w:val="21"/>
          <w:highlight w:val="none"/>
          <w:u w:val="single"/>
        </w:rPr>
        <w:t xml:space="preserve">                                                                                      </w:t>
      </w:r>
    </w:p>
    <w:p w14:paraId="53AA2A7A">
      <w:pPr>
        <w:spacing w:line="360" w:lineRule="auto"/>
        <w:ind w:left="25" w:leftChars="12" w:firstLine="308" w:firstLineChars="147"/>
        <w:rPr>
          <w:bCs/>
          <w:color w:val="auto"/>
          <w:kern w:val="0"/>
          <w:szCs w:val="21"/>
          <w:highlight w:val="none"/>
          <w:u w:val="single"/>
        </w:rPr>
      </w:pPr>
      <w:r>
        <w:rPr>
          <w:bCs/>
          <w:color w:val="auto"/>
          <w:kern w:val="0"/>
          <w:szCs w:val="21"/>
          <w:highlight w:val="none"/>
        </w:rPr>
        <w:t xml:space="preserve"> </w:t>
      </w:r>
      <w:r>
        <w:rPr>
          <w:bCs/>
          <w:color w:val="auto"/>
          <w:kern w:val="0"/>
          <w:szCs w:val="21"/>
          <w:highlight w:val="none"/>
          <w:u w:val="single"/>
        </w:rPr>
        <w:t xml:space="preserve">                                                                                        </w:t>
      </w:r>
    </w:p>
    <w:p w14:paraId="03B6D7F9">
      <w:pPr>
        <w:spacing w:line="360" w:lineRule="auto"/>
        <w:ind w:left="25" w:leftChars="12" w:firstLine="413" w:firstLineChars="197"/>
        <w:rPr>
          <w:bCs/>
          <w:color w:val="auto"/>
          <w:kern w:val="0"/>
          <w:szCs w:val="21"/>
          <w:highlight w:val="none"/>
        </w:rPr>
      </w:pPr>
      <w:r>
        <w:rPr>
          <w:color w:val="auto"/>
          <w:kern w:val="0"/>
          <w:szCs w:val="21"/>
          <w:highlight w:val="none"/>
        </w:rPr>
        <w:t xml:space="preserve">投诉事项2  </w:t>
      </w:r>
      <w:r>
        <w:rPr>
          <w:bCs/>
          <w:color w:val="auto"/>
          <w:kern w:val="0"/>
          <w:szCs w:val="21"/>
          <w:highlight w:val="none"/>
        </w:rPr>
        <w:t xml:space="preserve">   </w:t>
      </w:r>
    </w:p>
    <w:p w14:paraId="6A48E921">
      <w:pPr>
        <w:spacing w:line="360" w:lineRule="auto"/>
        <w:ind w:left="25" w:leftChars="12" w:firstLine="413" w:firstLineChars="197"/>
        <w:rPr>
          <w:bCs/>
          <w:color w:val="auto"/>
          <w:kern w:val="0"/>
          <w:szCs w:val="21"/>
          <w:highlight w:val="none"/>
        </w:rPr>
      </w:pPr>
      <w:r>
        <w:rPr>
          <w:bCs/>
          <w:color w:val="auto"/>
          <w:kern w:val="0"/>
          <w:szCs w:val="21"/>
          <w:highlight w:val="none"/>
        </w:rPr>
        <w:t>……</w:t>
      </w:r>
    </w:p>
    <w:p w14:paraId="03087FD3">
      <w:pPr>
        <w:spacing w:line="360" w:lineRule="auto"/>
        <w:ind w:left="25" w:leftChars="12" w:firstLine="413" w:firstLineChars="196"/>
        <w:rPr>
          <w:b/>
          <w:color w:val="auto"/>
          <w:kern w:val="0"/>
          <w:szCs w:val="21"/>
          <w:highlight w:val="none"/>
        </w:rPr>
      </w:pPr>
      <w:r>
        <w:rPr>
          <w:b/>
          <w:color w:val="auto"/>
          <w:kern w:val="0"/>
          <w:szCs w:val="21"/>
          <w:highlight w:val="none"/>
        </w:rPr>
        <w:t>五、与投诉事项相关的投诉请求：</w:t>
      </w:r>
    </w:p>
    <w:p w14:paraId="0DFDA0A1">
      <w:pPr>
        <w:spacing w:line="360" w:lineRule="auto"/>
        <w:ind w:left="25" w:leftChars="12" w:firstLine="413" w:firstLineChars="197"/>
        <w:rPr>
          <w:color w:val="auto"/>
          <w:kern w:val="0"/>
          <w:szCs w:val="21"/>
          <w:highlight w:val="none"/>
        </w:rPr>
      </w:pPr>
      <w:r>
        <w:rPr>
          <w:color w:val="auto"/>
          <w:kern w:val="0"/>
          <w:szCs w:val="21"/>
          <w:highlight w:val="none"/>
        </w:rPr>
        <w:t>请求：</w:t>
      </w:r>
      <w:r>
        <w:rPr>
          <w:bCs/>
          <w:color w:val="auto"/>
          <w:kern w:val="0"/>
          <w:szCs w:val="21"/>
          <w:highlight w:val="none"/>
          <w:u w:val="single"/>
        </w:rPr>
        <w:t xml:space="preserve">                                                                                 </w:t>
      </w:r>
    </w:p>
    <w:p w14:paraId="2D688638">
      <w:pPr>
        <w:spacing w:line="360" w:lineRule="auto"/>
        <w:ind w:left="25" w:leftChars="12" w:firstLine="308" w:firstLineChars="147"/>
        <w:rPr>
          <w:color w:val="auto"/>
          <w:kern w:val="0"/>
          <w:szCs w:val="21"/>
          <w:highlight w:val="none"/>
        </w:rPr>
      </w:pPr>
    </w:p>
    <w:p w14:paraId="449F9F51">
      <w:pPr>
        <w:spacing w:line="360" w:lineRule="auto"/>
        <w:ind w:left="25" w:leftChars="12" w:firstLine="413" w:firstLineChars="197"/>
        <w:rPr>
          <w:color w:val="auto"/>
          <w:kern w:val="0"/>
          <w:szCs w:val="21"/>
          <w:highlight w:val="none"/>
        </w:rPr>
      </w:pPr>
      <w:r>
        <w:rPr>
          <w:color w:val="auto"/>
          <w:kern w:val="0"/>
          <w:szCs w:val="21"/>
          <w:highlight w:val="none"/>
        </w:rPr>
        <w:t>签字（签章）：                                       公章：</w:t>
      </w:r>
    </w:p>
    <w:p w14:paraId="4FF26A9D">
      <w:pPr>
        <w:spacing w:line="360" w:lineRule="auto"/>
        <w:ind w:left="25" w:leftChars="12" w:firstLine="308" w:firstLineChars="147"/>
        <w:rPr>
          <w:color w:val="auto"/>
          <w:kern w:val="0"/>
          <w:szCs w:val="21"/>
          <w:highlight w:val="none"/>
        </w:rPr>
      </w:pPr>
    </w:p>
    <w:p w14:paraId="7D1654FB">
      <w:pPr>
        <w:spacing w:line="360" w:lineRule="auto"/>
        <w:ind w:left="25" w:leftChars="12" w:firstLine="413" w:firstLineChars="197"/>
        <w:rPr>
          <w:color w:val="auto"/>
          <w:kern w:val="0"/>
          <w:szCs w:val="21"/>
          <w:highlight w:val="none"/>
        </w:rPr>
      </w:pPr>
      <w:r>
        <w:rPr>
          <w:color w:val="auto"/>
          <w:kern w:val="0"/>
          <w:szCs w:val="21"/>
          <w:highlight w:val="none"/>
        </w:rPr>
        <w:t>日期：</w:t>
      </w:r>
    </w:p>
    <w:p w14:paraId="55B29E52">
      <w:pPr>
        <w:spacing w:line="360" w:lineRule="auto"/>
        <w:ind w:left="25" w:leftChars="12" w:firstLine="413" w:firstLineChars="197"/>
        <w:rPr>
          <w:color w:val="auto"/>
          <w:kern w:val="0"/>
          <w:szCs w:val="21"/>
          <w:highlight w:val="none"/>
        </w:rPr>
      </w:pPr>
      <w:r>
        <w:rPr>
          <w:bCs/>
          <w:color w:val="auto"/>
          <w:kern w:val="0"/>
          <w:szCs w:val="21"/>
          <w:highlight w:val="none"/>
        </w:rPr>
        <w:t xml:space="preserve">                                                                                 </w:t>
      </w:r>
    </w:p>
    <w:p w14:paraId="255B5D93">
      <w:pPr>
        <w:snapToGrid w:val="0"/>
        <w:spacing w:line="360" w:lineRule="auto"/>
        <w:rPr>
          <w:b/>
          <w:color w:val="auto"/>
          <w:kern w:val="0"/>
          <w:szCs w:val="21"/>
          <w:highlight w:val="none"/>
        </w:rPr>
      </w:pPr>
    </w:p>
    <w:p w14:paraId="62805070">
      <w:pPr>
        <w:snapToGrid w:val="0"/>
        <w:spacing w:line="360" w:lineRule="auto"/>
        <w:rPr>
          <w:b/>
          <w:color w:val="auto"/>
          <w:kern w:val="0"/>
          <w:szCs w:val="21"/>
          <w:highlight w:val="none"/>
        </w:rPr>
      </w:pPr>
      <w:r>
        <w:rPr>
          <w:b/>
          <w:color w:val="auto"/>
          <w:kern w:val="0"/>
          <w:szCs w:val="21"/>
          <w:highlight w:val="none"/>
        </w:rPr>
        <w:t>说明：</w:t>
      </w:r>
    </w:p>
    <w:p w14:paraId="32678A73">
      <w:pPr>
        <w:spacing w:line="360" w:lineRule="auto"/>
        <w:ind w:left="25" w:leftChars="12" w:firstLine="310" w:firstLineChars="147"/>
        <w:rPr>
          <w:b/>
          <w:bCs/>
          <w:color w:val="auto"/>
          <w:kern w:val="0"/>
          <w:szCs w:val="21"/>
          <w:highlight w:val="none"/>
        </w:rPr>
      </w:pPr>
      <w:r>
        <w:rPr>
          <w:b/>
          <w:color w:val="auto"/>
          <w:kern w:val="0"/>
          <w:szCs w:val="21"/>
          <w:highlight w:val="none"/>
        </w:rPr>
        <w:t>1.投诉人提起投诉时，应当提交投诉书和必要的证明材料，并按照被投诉人和与投诉事项有关的供应商数量提供投诉书副本</w:t>
      </w:r>
      <w:r>
        <w:rPr>
          <w:b/>
          <w:bCs/>
          <w:color w:val="auto"/>
          <w:kern w:val="0"/>
          <w:szCs w:val="21"/>
          <w:highlight w:val="none"/>
        </w:rPr>
        <w:t>。</w:t>
      </w:r>
    </w:p>
    <w:p w14:paraId="0C41CC94">
      <w:pPr>
        <w:spacing w:line="360" w:lineRule="auto"/>
        <w:ind w:left="25" w:leftChars="12" w:firstLine="310" w:firstLineChars="147"/>
        <w:rPr>
          <w:b/>
          <w:color w:val="auto"/>
          <w:kern w:val="0"/>
          <w:szCs w:val="21"/>
          <w:highlight w:val="none"/>
        </w:rPr>
      </w:pPr>
      <w:r>
        <w:rPr>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0EFE57">
      <w:pPr>
        <w:spacing w:line="360" w:lineRule="auto"/>
        <w:ind w:left="25" w:leftChars="12" w:firstLine="310" w:firstLineChars="147"/>
        <w:rPr>
          <w:b/>
          <w:color w:val="auto"/>
          <w:kern w:val="0"/>
          <w:szCs w:val="21"/>
          <w:highlight w:val="none"/>
        </w:rPr>
      </w:pPr>
      <w:r>
        <w:rPr>
          <w:b/>
          <w:color w:val="auto"/>
          <w:kern w:val="0"/>
          <w:szCs w:val="21"/>
          <w:highlight w:val="none"/>
        </w:rPr>
        <w:t>3.投诉书应简要列明质疑事项，质疑函、质疑答复等作为附件材料提供。</w:t>
      </w:r>
    </w:p>
    <w:p w14:paraId="63FEB505">
      <w:pPr>
        <w:spacing w:line="360" w:lineRule="auto"/>
        <w:ind w:left="25" w:leftChars="12" w:firstLine="310" w:firstLineChars="147"/>
        <w:rPr>
          <w:b/>
          <w:color w:val="auto"/>
          <w:kern w:val="0"/>
          <w:szCs w:val="21"/>
          <w:highlight w:val="none"/>
        </w:rPr>
      </w:pPr>
      <w:r>
        <w:rPr>
          <w:b/>
          <w:color w:val="auto"/>
          <w:kern w:val="0"/>
          <w:szCs w:val="21"/>
          <w:highlight w:val="none"/>
        </w:rPr>
        <w:t>4.投诉书的投诉事项应具体、明确，并有必要的事实依据和法律依据。</w:t>
      </w:r>
    </w:p>
    <w:p w14:paraId="25827438">
      <w:pPr>
        <w:spacing w:line="360" w:lineRule="auto"/>
        <w:ind w:left="25" w:leftChars="12" w:firstLine="310" w:firstLineChars="147"/>
        <w:rPr>
          <w:b/>
          <w:color w:val="auto"/>
          <w:kern w:val="0"/>
          <w:szCs w:val="21"/>
          <w:highlight w:val="none"/>
        </w:rPr>
      </w:pPr>
      <w:r>
        <w:rPr>
          <w:b/>
          <w:color w:val="auto"/>
          <w:kern w:val="0"/>
          <w:szCs w:val="21"/>
          <w:highlight w:val="none"/>
        </w:rPr>
        <w:t>5.投诉书的投诉请求应与投诉事项相关。</w:t>
      </w:r>
    </w:p>
    <w:p w14:paraId="2D387DD2">
      <w:pPr>
        <w:spacing w:line="360" w:lineRule="auto"/>
        <w:ind w:left="25" w:leftChars="12" w:firstLine="310" w:firstLineChars="147"/>
        <w:rPr>
          <w:color w:val="auto"/>
          <w:szCs w:val="21"/>
          <w:highlight w:val="none"/>
        </w:rPr>
      </w:pPr>
      <w:r>
        <w:rPr>
          <w:b/>
          <w:color w:val="auto"/>
          <w:kern w:val="0"/>
          <w:szCs w:val="21"/>
          <w:highlight w:val="none"/>
        </w:rPr>
        <w:t>6.投诉人为法人或者其他组织的，投诉书应由法定代表人、主要负责人，或者其授权代表签字或者盖章，并加盖公章。</w:t>
      </w:r>
    </w:p>
    <w:p w14:paraId="4504A32A">
      <w:pPr>
        <w:rPr>
          <w:color w:val="auto"/>
          <w:highlight w:val="none"/>
        </w:rPr>
      </w:pPr>
    </w:p>
    <w:sectPr>
      <w:headerReference r:id="rId16" w:type="default"/>
      <w:footerReference r:id="rId17"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9DE4">
    <w:pPr>
      <w:pStyle w:val="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F723E">
    <w:pPr>
      <w:pStyle w:val="2"/>
      <w:framePr w:wrap="around" w:vAnchor="text" w:hAnchor="margin" w:xAlign="center" w:y="1"/>
      <w:rPr>
        <w:rStyle w:val="33"/>
        <w:rFonts w:ascii="Calibri" w:hAnsi="Calibri"/>
        <w:sz w:val="21"/>
      </w:rPr>
    </w:pPr>
    <w:r>
      <w:rPr>
        <w:rFonts w:ascii="Calibri" w:hAnsi="Calibri"/>
        <w:sz w:val="21"/>
      </w:rPr>
      <w:fldChar w:fldCharType="begin"/>
    </w:r>
    <w:r>
      <w:rPr>
        <w:rStyle w:val="33"/>
        <w:rFonts w:ascii="Calibri" w:hAnsi="Calibri"/>
        <w:sz w:val="21"/>
      </w:rPr>
      <w:instrText xml:space="preserve">PAGE  </w:instrText>
    </w:r>
    <w:r>
      <w:rPr>
        <w:rFonts w:ascii="Calibri" w:hAnsi="Calibri"/>
        <w:sz w:val="21"/>
      </w:rPr>
      <w:fldChar w:fldCharType="separate"/>
    </w:r>
    <w:r>
      <w:rPr>
        <w:rStyle w:val="33"/>
        <w:rFonts w:ascii="Calibri" w:hAnsi="Calibri"/>
        <w:sz w:val="21"/>
      </w:rPr>
      <w:t>0</w:t>
    </w:r>
    <w:r>
      <w:rPr>
        <w:rFonts w:ascii="Calibri" w:hAnsi="Calibri"/>
        <w:sz w:val="21"/>
      </w:rPr>
      <w:fldChar w:fldCharType="end"/>
    </w:r>
  </w:p>
  <w:p w14:paraId="4753C23A">
    <w:pPr>
      <w:pStyle w:val="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A2247">
    <w:pPr>
      <w:pStyle w:val="2"/>
      <w:tabs>
        <w:tab w:val="center" w:pos="4439"/>
        <w:tab w:val="clear" w:pos="4153"/>
      </w:tabs>
      <w:jc w:val="both"/>
      <w:rPr>
        <w:rFonts w:ascii="Calibri" w:hAnsi="Calibr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8B734">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2lOiwxgEAAJADAAAOAAAAAAAAAAEAIAAAAB4BAABkcnMvZTJvRG9jLnht&#10;bFBLBQYAAAAABgAGAFkBAABWBQAAAAA=&#10;">
              <v:fill on="f" focussize="0,0"/>
              <v:stroke on="f"/>
              <v:imagedata o:title=""/>
              <o:lock v:ext="edit" aspectratio="f"/>
              <v:textbox inset="0mm,0mm,0mm,0mm" style="mso-fit-shape-to-text:t;">
                <w:txbxContent>
                  <w:p w14:paraId="00D8B734">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4104E">
    <w:pPr>
      <w:pStyle w:val="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07F3A7">
                          <w:pPr>
                            <w:rPr>
                              <w:rFonts w:ascii="Calibri" w:hAnsi="Calibri"/>
                            </w:rPr>
                          </w:pPr>
                        </w:p>
                      </w:txbxContent>
                    </wps:txbx>
                    <wps:bodyPr wrap="none" lIns="0" tIns="0" rIns="0" bIns="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8rmcQBAACQ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3m1&#10;XN1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ik8rmcQBAACQAwAADgAAAAAAAAABACAAAAAeAQAAZHJzL2Uyb0RvYy54bWxQ&#10;SwUGAAAAAAYABgBZAQAAVAUAAAAA&#10;">
              <v:fill on="f" focussize="0,0"/>
              <v:stroke on="f"/>
              <v:imagedata o:title=""/>
              <o:lock v:ext="edit" aspectratio="f"/>
              <v:textbox inset="0mm,0mm,0mm,0mm" style="mso-fit-shape-to-text:t;">
                <w:txbxContent>
                  <w:p w14:paraId="1A07F3A7">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4A23">
    <w:pPr>
      <w:pStyle w:val="2"/>
      <w:jc w:val="center"/>
      <w:rPr>
        <w:rFonts w:ascii="Calibri" w:hAnsi="Calibr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9A2B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ALZlMxgEAAJADAAAOAAAAAAAAAAEAIAAAAB4BAABkcnMvZTJvRG9jLnht&#10;bFBLBQYAAAAABgAGAFkBAABWBQAAAAA=&#10;">
              <v:fill on="f" focussize="0,0"/>
              <v:stroke on="f"/>
              <v:imagedata o:title=""/>
              <o:lock v:ext="edit" aspectratio="f"/>
              <v:textbox inset="0mm,0mm,0mm,0mm" style="mso-fit-shape-to-text:t;">
                <w:txbxContent>
                  <w:p w14:paraId="4989A2B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14:paraId="28C044D4">
    <w:pPr>
      <w:pStyle w:val="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FB04">
    <w:pPr>
      <w:pStyle w:val="2"/>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B9F59">
                          <w:pPr>
                            <w:pStyle w:val="2"/>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a:spAutoFit/>
                    </wps:bodyPr>
                  </wps:wsp>
                </a:graphicData>
              </a:graphic>
            </wp:anchor>
          </w:drawing>
        </mc:Choice>
        <mc:Fallback>
          <w:pict>
            <v:shape id="文本框 51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t7nSMQBAACQAwAADgAAAAAAAAABACAAAAAeAQAAZHJzL2Uyb0RvYy54bWxQ&#10;SwUGAAAAAAYABgBZAQAAVAUAAAAA&#10;">
              <v:fill on="f" focussize="0,0"/>
              <v:stroke on="f"/>
              <v:imagedata o:title=""/>
              <o:lock v:ext="edit" aspectratio="f"/>
              <v:textbox inset="0mm,0mm,0mm,0mm" style="mso-fit-shape-to-text:t;">
                <w:txbxContent>
                  <w:p w14:paraId="204B9F59">
                    <w:pPr>
                      <w:pStyle w:val="2"/>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C84C2">
    <w:pPr>
      <w:pStyle w:val="2"/>
      <w:jc w:val="center"/>
      <w:rPr>
        <w:rFonts w:ascii="Calibri" w:hAnsi="Calibr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23CCC">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oGDHZxgEAAJADAAAOAAAAAAAAAAEAIAAAAB4BAABkcnMvZTJvRG9jLnht&#10;bFBLBQYAAAAABgAGAFkBAABWBQAAAAA=&#10;">
              <v:fill on="f" focussize="0,0"/>
              <v:stroke on="f"/>
              <v:imagedata o:title=""/>
              <o:lock v:ext="edit" aspectratio="f"/>
              <v:textbox inset="0mm,0mm,0mm,0mm" style="mso-fit-shape-to-text:t;">
                <w:txbxContent>
                  <w:p w14:paraId="0CF23CCC">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14:paraId="2D7AADF9">
    <w:pPr>
      <w:pStyle w:val="2"/>
      <w:rPr>
        <w:rFonts w:ascii="Calibri" w:hAnsi="Calibr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DDFA">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90E860">
                          <w:pPr>
                            <w:pStyle w:val="2"/>
                            <w:jc w:val="center"/>
                          </w:pPr>
                          <w:r>
                            <w:rPr>
                              <w:rFonts w:hint="eastAsia"/>
                            </w:rPr>
                            <w:fldChar w:fldCharType="begin"/>
                          </w:r>
                          <w:r>
                            <w:rPr>
                              <w:rFonts w:hint="eastAsia"/>
                            </w:rPr>
                            <w:instrText xml:space="preserve"> PAGE  \* MERGEFORMAT </w:instrText>
                          </w:r>
                          <w:r>
                            <w:rPr>
                              <w:rFonts w:hint="eastAsia"/>
                            </w:rPr>
                            <w:fldChar w:fldCharType="separate"/>
                          </w:r>
                          <w:r>
                            <w:t>114</w:t>
                          </w:r>
                          <w:r>
                            <w:rPr>
                              <w:rFonts w:hint="eastAsia"/>
                            </w:rP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fN8cU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W5TAr1HipMfPKYGoc7N+DezH5AZyI+tMGkL1IiGEd9Txd95RCJSI9W5WpVYEhgbL4gPnt+7gPE&#10;99IZkoyaBhxg1pUfHyGOqXNKqmbdvdI6D1HbvxyImTws9T72mKw47IaJ0M41J+TT4+xranHVKdEP&#10;FqVNazIbYTZ2k5FqgL89RCyc+0moI9RUDAeVGU1LlTbhz3vOev6R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oHzfHFAQAAkAMAAA4AAAAAAAAAAQAgAAAAHgEAAGRycy9lMm9Eb2MueG1s&#10;UEsFBgAAAAAGAAYAWQEAAFUFAAAAAA==&#10;">
              <v:fill on="f" focussize="0,0"/>
              <v:stroke on="f"/>
              <v:imagedata o:title=""/>
              <o:lock v:ext="edit" aspectratio="f"/>
              <v:textbox inset="0mm,0mm,0mm,0mm" style="mso-fit-shape-to-text:t;">
                <w:txbxContent>
                  <w:p w14:paraId="1390E860">
                    <w:pPr>
                      <w:pStyle w:val="2"/>
                      <w:jc w:val="center"/>
                    </w:pPr>
                    <w:r>
                      <w:rPr>
                        <w:rFonts w:hint="eastAsia"/>
                      </w:rPr>
                      <w:fldChar w:fldCharType="begin"/>
                    </w:r>
                    <w:r>
                      <w:rPr>
                        <w:rFonts w:hint="eastAsia"/>
                      </w:rPr>
                      <w:instrText xml:space="preserve"> PAGE  \* MERGEFORMAT </w:instrText>
                    </w:r>
                    <w:r>
                      <w:rPr>
                        <w:rFonts w:hint="eastAsia"/>
                      </w:rPr>
                      <w:fldChar w:fldCharType="separate"/>
                    </w:r>
                    <w:r>
                      <w:t>114</w:t>
                    </w:r>
                    <w:r>
                      <w:rPr>
                        <w:rFonts w:hint="eastAsia"/>
                      </w:rPr>
                      <w:fldChar w:fldCharType="end"/>
                    </w:r>
                  </w:p>
                </w:txbxContent>
              </v:textbox>
            </v:shape>
          </w:pict>
        </mc:Fallback>
      </mc:AlternateContent>
    </w:r>
  </w:p>
  <w:p w14:paraId="154DFA8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40EB">
    <w:pPr>
      <w:pStyle w:val="21"/>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B029">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3370">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7305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3B2EC">
    <w:pPr>
      <w:pStyle w:val="21"/>
      <w:tabs>
        <w:tab w:val="center" w:pos="0"/>
        <w:tab w:val="clear" w:pos="4153"/>
      </w:tabs>
      <w:rPr>
        <w:rFonts w:ascii="Calibri" w:hAnsi="Calibri"/>
      </w:rPr>
    </w:pPr>
    <w:r>
      <w:rPr>
        <w:rFonts w:hint="eastAsia" w:ascii="Calibri" w:hAnsi="Calibri"/>
      </w:rPr>
      <w:t>南宁市政府采购竞争性磋商采购文件（项目编号：NNZC2021-C3--KLZB）</w:t>
    </w:r>
  </w:p>
  <w:p w14:paraId="4BF074E7">
    <w:pPr>
      <w:pStyle w:val="21"/>
      <w:pBdr>
        <w:bottom w:val="none" w:color="auto" w:sz="0" w:space="1"/>
      </w:pBdr>
      <w:rPr>
        <w:rFonts w:ascii="Calibri" w:hAnsi="Calibr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528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D5B2F">
    <w:pPr>
      <w:pStyle w:val="21"/>
      <w:tabs>
        <w:tab w:val="center" w:pos="0"/>
        <w:tab w:val="clear" w:pos="4153"/>
      </w:tabs>
    </w:pPr>
    <w:r>
      <w:rPr>
        <w:vanish/>
        <w:highlight w:val="yellow"/>
      </w:rPr>
      <w:t>&gt;</w:t>
    </w:r>
  </w:p>
  <w:p w14:paraId="43E9C962">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1CB6B"/>
    <w:multiLevelType w:val="singleLevel"/>
    <w:tmpl w:val="9511CB6B"/>
    <w:lvl w:ilvl="0" w:tentative="0">
      <w:start w:val="1"/>
      <w:numFmt w:val="decimal"/>
      <w:suff w:val="nothing"/>
      <w:lvlText w:val="%1、"/>
      <w:lvlJc w:val="left"/>
    </w:lvl>
  </w:abstractNum>
  <w:abstractNum w:abstractNumId="1">
    <w:nsid w:val="9E5AC0A1"/>
    <w:multiLevelType w:val="multilevel"/>
    <w:tmpl w:val="9E5AC0A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A73FD536"/>
    <w:multiLevelType w:val="singleLevel"/>
    <w:tmpl w:val="A73FD536"/>
    <w:lvl w:ilvl="0" w:tentative="0">
      <w:start w:val="10"/>
      <w:numFmt w:val="decimal"/>
      <w:suff w:val="nothing"/>
      <w:lvlText w:val="（%1）"/>
      <w:lvlJc w:val="left"/>
      <w:pPr>
        <w:ind w:left="0" w:firstLine="0"/>
      </w:pPr>
    </w:lvl>
  </w:abstractNum>
  <w:abstractNum w:abstractNumId="3">
    <w:nsid w:val="B113CA1C"/>
    <w:multiLevelType w:val="singleLevel"/>
    <w:tmpl w:val="B113CA1C"/>
    <w:lvl w:ilvl="0" w:tentative="0">
      <w:start w:val="1"/>
      <w:numFmt w:val="decimal"/>
      <w:suff w:val="nothing"/>
      <w:lvlText w:val="（%1）"/>
      <w:lvlJc w:val="left"/>
      <w:pPr>
        <w:ind w:left="0" w:firstLine="0"/>
      </w:pPr>
    </w:lvl>
  </w:abstractNum>
  <w:abstractNum w:abstractNumId="4">
    <w:nsid w:val="BEC716B5"/>
    <w:multiLevelType w:val="singleLevel"/>
    <w:tmpl w:val="BEC716B5"/>
    <w:lvl w:ilvl="0" w:tentative="0">
      <w:start w:val="2"/>
      <w:numFmt w:val="decimal"/>
      <w:suff w:val="nothing"/>
      <w:lvlText w:val="（%1）"/>
      <w:lvlJc w:val="left"/>
      <w:pPr>
        <w:ind w:left="0" w:firstLine="0"/>
      </w:pPr>
    </w:lvl>
  </w:abstractNum>
  <w:abstractNum w:abstractNumId="5">
    <w:nsid w:val="F6A151CE"/>
    <w:multiLevelType w:val="singleLevel"/>
    <w:tmpl w:val="F6A151CE"/>
    <w:lvl w:ilvl="0" w:tentative="0">
      <w:start w:val="5"/>
      <w:numFmt w:val="decimal"/>
      <w:lvlText w:val="%1."/>
      <w:lvlJc w:val="left"/>
      <w:pPr>
        <w:tabs>
          <w:tab w:val="left" w:pos="312"/>
        </w:tabs>
      </w:pPr>
    </w:lvl>
  </w:abstractNum>
  <w:abstractNum w:abstractNumId="6">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6EDD6597"/>
    <w:multiLevelType w:val="singleLevel"/>
    <w:tmpl w:val="6EDD6597"/>
    <w:lvl w:ilvl="0" w:tentative="0">
      <w:start w:val="11"/>
      <w:numFmt w:val="decimal"/>
      <w:suff w:val="space"/>
      <w:lvlText w:val="%1."/>
      <w:lvlJc w:val="left"/>
      <w:pPr>
        <w:ind w:left="0" w:firstLine="0"/>
      </w:pPr>
    </w:lvl>
  </w:abstractNum>
  <w:abstractNum w:abstractNumId="8">
    <w:nsid w:val="6EDD6598"/>
    <w:multiLevelType w:val="singleLevel"/>
    <w:tmpl w:val="6EDD6598"/>
    <w:lvl w:ilvl="0" w:tentative="0">
      <w:start w:val="1"/>
      <w:numFmt w:val="decimal"/>
      <w:lvlText w:val="%1."/>
      <w:lvlJc w:val="left"/>
      <w:pPr>
        <w:tabs>
          <w:tab w:val="left" w:pos="312"/>
        </w:tabs>
        <w:ind w:left="0" w:firstLine="0"/>
      </w:pPr>
    </w:lvl>
  </w:abstractNum>
  <w:num w:numId="1">
    <w:abstractNumId w:val="1"/>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num>
  <w:num w:numId="6">
    <w:abstractNumId w:val="2"/>
    <w:lvlOverride w:ilvl="0">
      <w:startOverride w:val="10"/>
    </w:lvlOverride>
  </w:num>
  <w:num w:numId="7">
    <w:abstractNumId w:val="7"/>
    <w:lvlOverride w:ilvl="0">
      <w:startOverride w:val="11"/>
    </w:lvlOverride>
  </w:num>
  <w:num w:numId="8">
    <w:abstractNumId w:val="8"/>
    <w:lvlOverride w:ilvl="0">
      <w:startOverride w:val="1"/>
    </w:lvlOverride>
  </w:num>
  <w:num w:numId="9">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3OGQ5N2U0NzMxYjE5ZGExM2Y4Yzk4NmQwMjVjYzI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1579"/>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A51"/>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2D0F"/>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4D1C"/>
    <w:rsid w:val="007F55DE"/>
    <w:rsid w:val="007F762D"/>
    <w:rsid w:val="007F78F0"/>
    <w:rsid w:val="007F78FF"/>
    <w:rsid w:val="007F7AFB"/>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470A"/>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B7A64"/>
    <w:rsid w:val="00AC17A2"/>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759"/>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1861"/>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64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A7E"/>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EB9"/>
    <w:rsid w:val="00ED2FF0"/>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3398B"/>
    <w:rsid w:val="01054040"/>
    <w:rsid w:val="01237662"/>
    <w:rsid w:val="014C1D05"/>
    <w:rsid w:val="015C7AD5"/>
    <w:rsid w:val="016C2D4F"/>
    <w:rsid w:val="01865E9D"/>
    <w:rsid w:val="01907316"/>
    <w:rsid w:val="019904DB"/>
    <w:rsid w:val="01A433EB"/>
    <w:rsid w:val="01AF3D99"/>
    <w:rsid w:val="01B90B97"/>
    <w:rsid w:val="01DB7ED5"/>
    <w:rsid w:val="01E3453D"/>
    <w:rsid w:val="01FC01DB"/>
    <w:rsid w:val="01FF4BEC"/>
    <w:rsid w:val="021741B2"/>
    <w:rsid w:val="02204683"/>
    <w:rsid w:val="023E0CE4"/>
    <w:rsid w:val="02511F9D"/>
    <w:rsid w:val="025F06CD"/>
    <w:rsid w:val="026F7A2F"/>
    <w:rsid w:val="02827C52"/>
    <w:rsid w:val="02C76111"/>
    <w:rsid w:val="02D6235F"/>
    <w:rsid w:val="030532A9"/>
    <w:rsid w:val="03286A1E"/>
    <w:rsid w:val="032B79A4"/>
    <w:rsid w:val="03305A68"/>
    <w:rsid w:val="033F12EC"/>
    <w:rsid w:val="03407951"/>
    <w:rsid w:val="034D5304"/>
    <w:rsid w:val="03535D6B"/>
    <w:rsid w:val="03701670"/>
    <w:rsid w:val="039A08B0"/>
    <w:rsid w:val="03A314B8"/>
    <w:rsid w:val="03AD6CA1"/>
    <w:rsid w:val="03B22EB7"/>
    <w:rsid w:val="03B67959"/>
    <w:rsid w:val="03D82B98"/>
    <w:rsid w:val="03D964F4"/>
    <w:rsid w:val="03F83E8B"/>
    <w:rsid w:val="043D732C"/>
    <w:rsid w:val="049570A7"/>
    <w:rsid w:val="04993972"/>
    <w:rsid w:val="04BA414C"/>
    <w:rsid w:val="04CD2CEE"/>
    <w:rsid w:val="04FA60EF"/>
    <w:rsid w:val="04FC24D4"/>
    <w:rsid w:val="05023BEB"/>
    <w:rsid w:val="05064643"/>
    <w:rsid w:val="050E5E84"/>
    <w:rsid w:val="05102192"/>
    <w:rsid w:val="05557587"/>
    <w:rsid w:val="05645B44"/>
    <w:rsid w:val="057F4E2B"/>
    <w:rsid w:val="058F6224"/>
    <w:rsid w:val="059303F8"/>
    <w:rsid w:val="05C56868"/>
    <w:rsid w:val="05CB3161"/>
    <w:rsid w:val="06037902"/>
    <w:rsid w:val="06040198"/>
    <w:rsid w:val="06083B9D"/>
    <w:rsid w:val="06211C5A"/>
    <w:rsid w:val="063A030C"/>
    <w:rsid w:val="06516B57"/>
    <w:rsid w:val="066A40D2"/>
    <w:rsid w:val="0677367B"/>
    <w:rsid w:val="06B25549"/>
    <w:rsid w:val="06B96E5F"/>
    <w:rsid w:val="06C91C0B"/>
    <w:rsid w:val="06D86BC4"/>
    <w:rsid w:val="06E85B28"/>
    <w:rsid w:val="06F95FEB"/>
    <w:rsid w:val="072940AD"/>
    <w:rsid w:val="072E4C95"/>
    <w:rsid w:val="07633118"/>
    <w:rsid w:val="076C63C4"/>
    <w:rsid w:val="078627A3"/>
    <w:rsid w:val="07A5201F"/>
    <w:rsid w:val="07B72767"/>
    <w:rsid w:val="07C23DE6"/>
    <w:rsid w:val="07E36D61"/>
    <w:rsid w:val="08013FF2"/>
    <w:rsid w:val="08077E72"/>
    <w:rsid w:val="08203C28"/>
    <w:rsid w:val="08284414"/>
    <w:rsid w:val="083F4472"/>
    <w:rsid w:val="084C5E23"/>
    <w:rsid w:val="08824CDD"/>
    <w:rsid w:val="0886663C"/>
    <w:rsid w:val="08882DD0"/>
    <w:rsid w:val="08BE34E2"/>
    <w:rsid w:val="08C63638"/>
    <w:rsid w:val="08F821C8"/>
    <w:rsid w:val="09561829"/>
    <w:rsid w:val="09783845"/>
    <w:rsid w:val="09860032"/>
    <w:rsid w:val="09921955"/>
    <w:rsid w:val="09A46335"/>
    <w:rsid w:val="09CC2AAC"/>
    <w:rsid w:val="09D26E76"/>
    <w:rsid w:val="09DD7DDF"/>
    <w:rsid w:val="09DE2A8F"/>
    <w:rsid w:val="09ED7F48"/>
    <w:rsid w:val="09F43D3A"/>
    <w:rsid w:val="09F7289C"/>
    <w:rsid w:val="0A020732"/>
    <w:rsid w:val="0A090982"/>
    <w:rsid w:val="0A171D19"/>
    <w:rsid w:val="0A2564A7"/>
    <w:rsid w:val="0A331AD7"/>
    <w:rsid w:val="0A493872"/>
    <w:rsid w:val="0A5C3ECC"/>
    <w:rsid w:val="0A652D3E"/>
    <w:rsid w:val="0A6A1AA6"/>
    <w:rsid w:val="0A767E3E"/>
    <w:rsid w:val="0A9D4A5C"/>
    <w:rsid w:val="0AA9774E"/>
    <w:rsid w:val="0AAB5F5D"/>
    <w:rsid w:val="0AB6063D"/>
    <w:rsid w:val="0ADA366D"/>
    <w:rsid w:val="0AFA5A05"/>
    <w:rsid w:val="0B193B77"/>
    <w:rsid w:val="0B253B57"/>
    <w:rsid w:val="0B325243"/>
    <w:rsid w:val="0B326F2A"/>
    <w:rsid w:val="0B3D510B"/>
    <w:rsid w:val="0B3D5215"/>
    <w:rsid w:val="0B4860C0"/>
    <w:rsid w:val="0B623221"/>
    <w:rsid w:val="0B6969D8"/>
    <w:rsid w:val="0BD8078C"/>
    <w:rsid w:val="0BE1433A"/>
    <w:rsid w:val="0BE93715"/>
    <w:rsid w:val="0BEA3C78"/>
    <w:rsid w:val="0BF43FB9"/>
    <w:rsid w:val="0C041ADD"/>
    <w:rsid w:val="0C11238F"/>
    <w:rsid w:val="0C1E2888"/>
    <w:rsid w:val="0C2E225D"/>
    <w:rsid w:val="0C4502C0"/>
    <w:rsid w:val="0C530F2E"/>
    <w:rsid w:val="0C6F29D6"/>
    <w:rsid w:val="0C87560F"/>
    <w:rsid w:val="0C92213C"/>
    <w:rsid w:val="0C9F5D63"/>
    <w:rsid w:val="0CA20746"/>
    <w:rsid w:val="0CA54AB5"/>
    <w:rsid w:val="0CAB5D64"/>
    <w:rsid w:val="0CD304AC"/>
    <w:rsid w:val="0D0114AE"/>
    <w:rsid w:val="0D29001E"/>
    <w:rsid w:val="0D325EDF"/>
    <w:rsid w:val="0D445D4C"/>
    <w:rsid w:val="0D5860A0"/>
    <w:rsid w:val="0D6D5644"/>
    <w:rsid w:val="0D7A2203"/>
    <w:rsid w:val="0D84032B"/>
    <w:rsid w:val="0D953396"/>
    <w:rsid w:val="0D994191"/>
    <w:rsid w:val="0DA2594C"/>
    <w:rsid w:val="0DC06676"/>
    <w:rsid w:val="0DE53B38"/>
    <w:rsid w:val="0DF715F7"/>
    <w:rsid w:val="0E26697C"/>
    <w:rsid w:val="0E2B3D03"/>
    <w:rsid w:val="0E5F47DD"/>
    <w:rsid w:val="0E6B66E8"/>
    <w:rsid w:val="0E79225F"/>
    <w:rsid w:val="0E8F2DCE"/>
    <w:rsid w:val="0EB36C82"/>
    <w:rsid w:val="0EBA6255"/>
    <w:rsid w:val="0ED24096"/>
    <w:rsid w:val="0EE04BDF"/>
    <w:rsid w:val="0EE44AEB"/>
    <w:rsid w:val="0F150F54"/>
    <w:rsid w:val="0F2A74C4"/>
    <w:rsid w:val="0F4E618A"/>
    <w:rsid w:val="0F553015"/>
    <w:rsid w:val="0F814841"/>
    <w:rsid w:val="0FC4692B"/>
    <w:rsid w:val="0FE030CE"/>
    <w:rsid w:val="10202CC1"/>
    <w:rsid w:val="108D2D1D"/>
    <w:rsid w:val="10A27F31"/>
    <w:rsid w:val="10A753AB"/>
    <w:rsid w:val="10AA5CB1"/>
    <w:rsid w:val="10BD332C"/>
    <w:rsid w:val="10BF682C"/>
    <w:rsid w:val="10CB29C5"/>
    <w:rsid w:val="10CC3A02"/>
    <w:rsid w:val="10CC6281"/>
    <w:rsid w:val="10D87300"/>
    <w:rsid w:val="10DF76E2"/>
    <w:rsid w:val="10E33AF2"/>
    <w:rsid w:val="110B438A"/>
    <w:rsid w:val="111875F2"/>
    <w:rsid w:val="113E66C0"/>
    <w:rsid w:val="114B493D"/>
    <w:rsid w:val="1167339E"/>
    <w:rsid w:val="1167648F"/>
    <w:rsid w:val="11927058"/>
    <w:rsid w:val="1193257A"/>
    <w:rsid w:val="119A0FD6"/>
    <w:rsid w:val="11A02DC7"/>
    <w:rsid w:val="11AB0C22"/>
    <w:rsid w:val="11EE4343"/>
    <w:rsid w:val="11F60067"/>
    <w:rsid w:val="120F3D85"/>
    <w:rsid w:val="12171B57"/>
    <w:rsid w:val="123C2D26"/>
    <w:rsid w:val="123E24E6"/>
    <w:rsid w:val="12573688"/>
    <w:rsid w:val="126A32DB"/>
    <w:rsid w:val="12AA40AD"/>
    <w:rsid w:val="12CD73C6"/>
    <w:rsid w:val="12DA4310"/>
    <w:rsid w:val="12EF08E6"/>
    <w:rsid w:val="133E327C"/>
    <w:rsid w:val="138A0076"/>
    <w:rsid w:val="138C43DE"/>
    <w:rsid w:val="139665A6"/>
    <w:rsid w:val="139C5DE4"/>
    <w:rsid w:val="139D71F2"/>
    <w:rsid w:val="13AC3968"/>
    <w:rsid w:val="13AF4F03"/>
    <w:rsid w:val="13EA2B11"/>
    <w:rsid w:val="140A4F68"/>
    <w:rsid w:val="14352795"/>
    <w:rsid w:val="14670F31"/>
    <w:rsid w:val="14736E66"/>
    <w:rsid w:val="147F458F"/>
    <w:rsid w:val="148954D3"/>
    <w:rsid w:val="14911257"/>
    <w:rsid w:val="14956609"/>
    <w:rsid w:val="14B93551"/>
    <w:rsid w:val="14BB2734"/>
    <w:rsid w:val="14C23FFB"/>
    <w:rsid w:val="14D958EC"/>
    <w:rsid w:val="14F20D93"/>
    <w:rsid w:val="14FA3E00"/>
    <w:rsid w:val="1531036E"/>
    <w:rsid w:val="1534169A"/>
    <w:rsid w:val="1549175F"/>
    <w:rsid w:val="156D25A1"/>
    <w:rsid w:val="15812F88"/>
    <w:rsid w:val="15911585"/>
    <w:rsid w:val="159513FB"/>
    <w:rsid w:val="159C0EE7"/>
    <w:rsid w:val="15A27358"/>
    <w:rsid w:val="15B14FA7"/>
    <w:rsid w:val="15C03E03"/>
    <w:rsid w:val="15E67E14"/>
    <w:rsid w:val="15EE508B"/>
    <w:rsid w:val="15FA06DC"/>
    <w:rsid w:val="160F4148"/>
    <w:rsid w:val="162A25EB"/>
    <w:rsid w:val="16553CA3"/>
    <w:rsid w:val="165F50CD"/>
    <w:rsid w:val="169F56FE"/>
    <w:rsid w:val="16BD6398"/>
    <w:rsid w:val="16D31DF9"/>
    <w:rsid w:val="16FD2A55"/>
    <w:rsid w:val="17047252"/>
    <w:rsid w:val="17067C1A"/>
    <w:rsid w:val="170A4150"/>
    <w:rsid w:val="172036D3"/>
    <w:rsid w:val="172045B4"/>
    <w:rsid w:val="172F08F7"/>
    <w:rsid w:val="17366761"/>
    <w:rsid w:val="17393F58"/>
    <w:rsid w:val="173A76F6"/>
    <w:rsid w:val="177C01F0"/>
    <w:rsid w:val="17A538B0"/>
    <w:rsid w:val="17AB183B"/>
    <w:rsid w:val="17CE6630"/>
    <w:rsid w:val="17D32A08"/>
    <w:rsid w:val="17E05F48"/>
    <w:rsid w:val="17EB3722"/>
    <w:rsid w:val="17EF65A5"/>
    <w:rsid w:val="180E6351"/>
    <w:rsid w:val="18342F34"/>
    <w:rsid w:val="18353413"/>
    <w:rsid w:val="185D25ED"/>
    <w:rsid w:val="18750DB1"/>
    <w:rsid w:val="187B48A5"/>
    <w:rsid w:val="18A419CD"/>
    <w:rsid w:val="18B15806"/>
    <w:rsid w:val="18BC23B6"/>
    <w:rsid w:val="18EE2472"/>
    <w:rsid w:val="190979FD"/>
    <w:rsid w:val="19124B13"/>
    <w:rsid w:val="193F68F3"/>
    <w:rsid w:val="19434380"/>
    <w:rsid w:val="19472899"/>
    <w:rsid w:val="19491239"/>
    <w:rsid w:val="19621891"/>
    <w:rsid w:val="197A7D49"/>
    <w:rsid w:val="198F325A"/>
    <w:rsid w:val="199B55FC"/>
    <w:rsid w:val="199F7FCB"/>
    <w:rsid w:val="19AD5CB2"/>
    <w:rsid w:val="19C607E7"/>
    <w:rsid w:val="19EF71FF"/>
    <w:rsid w:val="19F444FF"/>
    <w:rsid w:val="19F6165F"/>
    <w:rsid w:val="1A0B68A8"/>
    <w:rsid w:val="1A1B0F5C"/>
    <w:rsid w:val="1A232551"/>
    <w:rsid w:val="1A5C2B7F"/>
    <w:rsid w:val="1A614813"/>
    <w:rsid w:val="1A782658"/>
    <w:rsid w:val="1A797E1E"/>
    <w:rsid w:val="1A7E108F"/>
    <w:rsid w:val="1A8573D4"/>
    <w:rsid w:val="1A9548EB"/>
    <w:rsid w:val="1A9B64D2"/>
    <w:rsid w:val="1ACC27B4"/>
    <w:rsid w:val="1AF57BE1"/>
    <w:rsid w:val="1AF65A4C"/>
    <w:rsid w:val="1AFF0AFE"/>
    <w:rsid w:val="1B34103B"/>
    <w:rsid w:val="1B39650C"/>
    <w:rsid w:val="1B4F19F8"/>
    <w:rsid w:val="1B5B76F4"/>
    <w:rsid w:val="1B5C2F75"/>
    <w:rsid w:val="1B6B7470"/>
    <w:rsid w:val="1B8D2CBF"/>
    <w:rsid w:val="1BA33A2D"/>
    <w:rsid w:val="1BAD706E"/>
    <w:rsid w:val="1BAE3D4C"/>
    <w:rsid w:val="1BD10936"/>
    <w:rsid w:val="1BEE7729"/>
    <w:rsid w:val="1BF4700E"/>
    <w:rsid w:val="1C041C70"/>
    <w:rsid w:val="1C1A42E7"/>
    <w:rsid w:val="1C226F03"/>
    <w:rsid w:val="1C3F670D"/>
    <w:rsid w:val="1C9A50D4"/>
    <w:rsid w:val="1CA823CD"/>
    <w:rsid w:val="1CA970EB"/>
    <w:rsid w:val="1CDE1F2F"/>
    <w:rsid w:val="1CE61E5F"/>
    <w:rsid w:val="1CF93E51"/>
    <w:rsid w:val="1D007944"/>
    <w:rsid w:val="1D0F556C"/>
    <w:rsid w:val="1D1C46B8"/>
    <w:rsid w:val="1D3943AC"/>
    <w:rsid w:val="1D3A7D4E"/>
    <w:rsid w:val="1D805CF0"/>
    <w:rsid w:val="1D8F637F"/>
    <w:rsid w:val="1D9335FC"/>
    <w:rsid w:val="1D996796"/>
    <w:rsid w:val="1DA07F2F"/>
    <w:rsid w:val="1DD106A3"/>
    <w:rsid w:val="1E0450B5"/>
    <w:rsid w:val="1E286EEF"/>
    <w:rsid w:val="1E2B1AE2"/>
    <w:rsid w:val="1E375346"/>
    <w:rsid w:val="1E657FE9"/>
    <w:rsid w:val="1E662BFA"/>
    <w:rsid w:val="1E72152A"/>
    <w:rsid w:val="1E751FB1"/>
    <w:rsid w:val="1E842C7C"/>
    <w:rsid w:val="1E8C24F9"/>
    <w:rsid w:val="1ECC44FA"/>
    <w:rsid w:val="1ECE7147"/>
    <w:rsid w:val="1F063325"/>
    <w:rsid w:val="1F206483"/>
    <w:rsid w:val="1F4D240C"/>
    <w:rsid w:val="1F50678E"/>
    <w:rsid w:val="1F6A3BA7"/>
    <w:rsid w:val="1F80168B"/>
    <w:rsid w:val="1F843156"/>
    <w:rsid w:val="1F91158B"/>
    <w:rsid w:val="1FA05F68"/>
    <w:rsid w:val="1FAF0501"/>
    <w:rsid w:val="1FBC5DF5"/>
    <w:rsid w:val="1FC16863"/>
    <w:rsid w:val="1FCF31F9"/>
    <w:rsid w:val="1FDD3032"/>
    <w:rsid w:val="1FE13B31"/>
    <w:rsid w:val="1FEA075F"/>
    <w:rsid w:val="1FF90588"/>
    <w:rsid w:val="201167D2"/>
    <w:rsid w:val="20213923"/>
    <w:rsid w:val="20245062"/>
    <w:rsid w:val="203F6A91"/>
    <w:rsid w:val="204D2ACD"/>
    <w:rsid w:val="20562624"/>
    <w:rsid w:val="20BB6724"/>
    <w:rsid w:val="20C3623F"/>
    <w:rsid w:val="20D84C09"/>
    <w:rsid w:val="20E533F4"/>
    <w:rsid w:val="20ED7F55"/>
    <w:rsid w:val="211041C1"/>
    <w:rsid w:val="21110DC5"/>
    <w:rsid w:val="21194989"/>
    <w:rsid w:val="212635D9"/>
    <w:rsid w:val="215A3791"/>
    <w:rsid w:val="21781212"/>
    <w:rsid w:val="219C2D85"/>
    <w:rsid w:val="21B44F40"/>
    <w:rsid w:val="21B83F86"/>
    <w:rsid w:val="21E069CE"/>
    <w:rsid w:val="21E75551"/>
    <w:rsid w:val="22106464"/>
    <w:rsid w:val="22106A4D"/>
    <w:rsid w:val="221178A8"/>
    <w:rsid w:val="221213CF"/>
    <w:rsid w:val="22327A92"/>
    <w:rsid w:val="22465B1F"/>
    <w:rsid w:val="225C0635"/>
    <w:rsid w:val="22BB3EC7"/>
    <w:rsid w:val="22CE3412"/>
    <w:rsid w:val="22DB129D"/>
    <w:rsid w:val="22FA4C94"/>
    <w:rsid w:val="22FC4FC4"/>
    <w:rsid w:val="230436F8"/>
    <w:rsid w:val="230D61C2"/>
    <w:rsid w:val="231C0980"/>
    <w:rsid w:val="231D53A2"/>
    <w:rsid w:val="232C1B4B"/>
    <w:rsid w:val="233B7225"/>
    <w:rsid w:val="23435214"/>
    <w:rsid w:val="235477BA"/>
    <w:rsid w:val="236D5383"/>
    <w:rsid w:val="23A41B75"/>
    <w:rsid w:val="23B7504C"/>
    <w:rsid w:val="23BA654A"/>
    <w:rsid w:val="24205BC8"/>
    <w:rsid w:val="24345FDB"/>
    <w:rsid w:val="24354590"/>
    <w:rsid w:val="24571307"/>
    <w:rsid w:val="247C7D19"/>
    <w:rsid w:val="24B13D98"/>
    <w:rsid w:val="24B34021"/>
    <w:rsid w:val="24CB4B0D"/>
    <w:rsid w:val="24DA2A80"/>
    <w:rsid w:val="24E05505"/>
    <w:rsid w:val="25110A2A"/>
    <w:rsid w:val="251513DA"/>
    <w:rsid w:val="252F3220"/>
    <w:rsid w:val="254B784A"/>
    <w:rsid w:val="25647DF0"/>
    <w:rsid w:val="256C0944"/>
    <w:rsid w:val="25773D5F"/>
    <w:rsid w:val="257E73F2"/>
    <w:rsid w:val="25895F27"/>
    <w:rsid w:val="25984DAE"/>
    <w:rsid w:val="25AE451C"/>
    <w:rsid w:val="25BE7679"/>
    <w:rsid w:val="25C00F8A"/>
    <w:rsid w:val="25CD760F"/>
    <w:rsid w:val="25D53DA4"/>
    <w:rsid w:val="25EC2CF7"/>
    <w:rsid w:val="26153E08"/>
    <w:rsid w:val="261F4447"/>
    <w:rsid w:val="26446DE3"/>
    <w:rsid w:val="269669E7"/>
    <w:rsid w:val="26A744DB"/>
    <w:rsid w:val="26D4005A"/>
    <w:rsid w:val="26D46B1D"/>
    <w:rsid w:val="26D7699F"/>
    <w:rsid w:val="26E26183"/>
    <w:rsid w:val="26E36ACC"/>
    <w:rsid w:val="26F30F15"/>
    <w:rsid w:val="26F35AF2"/>
    <w:rsid w:val="26F73A2A"/>
    <w:rsid w:val="26F947D6"/>
    <w:rsid w:val="27102C21"/>
    <w:rsid w:val="27227C57"/>
    <w:rsid w:val="2750171F"/>
    <w:rsid w:val="2769156F"/>
    <w:rsid w:val="27793F5D"/>
    <w:rsid w:val="277A7636"/>
    <w:rsid w:val="27A2622E"/>
    <w:rsid w:val="27A60F83"/>
    <w:rsid w:val="27D24FCB"/>
    <w:rsid w:val="280621A9"/>
    <w:rsid w:val="280F682E"/>
    <w:rsid w:val="28115370"/>
    <w:rsid w:val="28124EAE"/>
    <w:rsid w:val="287815CC"/>
    <w:rsid w:val="28785F5E"/>
    <w:rsid w:val="28BE38E2"/>
    <w:rsid w:val="28E167AB"/>
    <w:rsid w:val="28F14595"/>
    <w:rsid w:val="29063629"/>
    <w:rsid w:val="291137B2"/>
    <w:rsid w:val="29344AD4"/>
    <w:rsid w:val="293D6B2E"/>
    <w:rsid w:val="294222DF"/>
    <w:rsid w:val="29581C87"/>
    <w:rsid w:val="295E2317"/>
    <w:rsid w:val="296B020D"/>
    <w:rsid w:val="2973495F"/>
    <w:rsid w:val="297D3FFE"/>
    <w:rsid w:val="298B57C8"/>
    <w:rsid w:val="29AD0C8B"/>
    <w:rsid w:val="29BB39AC"/>
    <w:rsid w:val="29C5574F"/>
    <w:rsid w:val="29C67FA0"/>
    <w:rsid w:val="29E509C9"/>
    <w:rsid w:val="2A4D3396"/>
    <w:rsid w:val="2A4D6EDB"/>
    <w:rsid w:val="2A541720"/>
    <w:rsid w:val="2AAC54E3"/>
    <w:rsid w:val="2AB22903"/>
    <w:rsid w:val="2ACD4A32"/>
    <w:rsid w:val="2AD830F7"/>
    <w:rsid w:val="2AE241C5"/>
    <w:rsid w:val="2AE80DE9"/>
    <w:rsid w:val="2AF310EC"/>
    <w:rsid w:val="2B1B7DD5"/>
    <w:rsid w:val="2B5862D1"/>
    <w:rsid w:val="2B6A0459"/>
    <w:rsid w:val="2B6E42DA"/>
    <w:rsid w:val="2B774624"/>
    <w:rsid w:val="2B8A5BDD"/>
    <w:rsid w:val="2B8A7A19"/>
    <w:rsid w:val="2B8C3FB1"/>
    <w:rsid w:val="2BC83AB9"/>
    <w:rsid w:val="2BF5056F"/>
    <w:rsid w:val="2C1B56AB"/>
    <w:rsid w:val="2C266CCE"/>
    <w:rsid w:val="2C4A0FE2"/>
    <w:rsid w:val="2C5C3CEE"/>
    <w:rsid w:val="2C7A72BE"/>
    <w:rsid w:val="2C8A7A52"/>
    <w:rsid w:val="2C98410A"/>
    <w:rsid w:val="2C9A7D75"/>
    <w:rsid w:val="2CBC587B"/>
    <w:rsid w:val="2CC17412"/>
    <w:rsid w:val="2CC36AF2"/>
    <w:rsid w:val="2CD40732"/>
    <w:rsid w:val="2CF350E3"/>
    <w:rsid w:val="2CFF7BB9"/>
    <w:rsid w:val="2D04594C"/>
    <w:rsid w:val="2D0C5851"/>
    <w:rsid w:val="2D1C1975"/>
    <w:rsid w:val="2D2A7829"/>
    <w:rsid w:val="2D3673CD"/>
    <w:rsid w:val="2D446A9B"/>
    <w:rsid w:val="2D687FE2"/>
    <w:rsid w:val="2DA120C4"/>
    <w:rsid w:val="2DAA1082"/>
    <w:rsid w:val="2DAC6336"/>
    <w:rsid w:val="2DBA48FC"/>
    <w:rsid w:val="2DD85E2E"/>
    <w:rsid w:val="2E3D1FF3"/>
    <w:rsid w:val="2E41718B"/>
    <w:rsid w:val="2E5F03A4"/>
    <w:rsid w:val="2E717F8B"/>
    <w:rsid w:val="2E8E1E30"/>
    <w:rsid w:val="2E941A5C"/>
    <w:rsid w:val="2E9976CE"/>
    <w:rsid w:val="2EAB4016"/>
    <w:rsid w:val="2EE5697A"/>
    <w:rsid w:val="2EF52678"/>
    <w:rsid w:val="2F086CE9"/>
    <w:rsid w:val="2F134027"/>
    <w:rsid w:val="2F401D3C"/>
    <w:rsid w:val="2F462266"/>
    <w:rsid w:val="2F5B24E1"/>
    <w:rsid w:val="2F704EEA"/>
    <w:rsid w:val="2F8026D7"/>
    <w:rsid w:val="2F885E0A"/>
    <w:rsid w:val="2F8F65C7"/>
    <w:rsid w:val="2FA95C88"/>
    <w:rsid w:val="2FC97926"/>
    <w:rsid w:val="2FD471C0"/>
    <w:rsid w:val="2FDD6FD5"/>
    <w:rsid w:val="2FF9770A"/>
    <w:rsid w:val="30242658"/>
    <w:rsid w:val="302F4907"/>
    <w:rsid w:val="303B3107"/>
    <w:rsid w:val="3041370F"/>
    <w:rsid w:val="30506D05"/>
    <w:rsid w:val="30665265"/>
    <w:rsid w:val="306D5836"/>
    <w:rsid w:val="3097349C"/>
    <w:rsid w:val="3097429D"/>
    <w:rsid w:val="30A3019D"/>
    <w:rsid w:val="30C2619A"/>
    <w:rsid w:val="30D32298"/>
    <w:rsid w:val="30EC5E2A"/>
    <w:rsid w:val="30ED1946"/>
    <w:rsid w:val="3113466B"/>
    <w:rsid w:val="311B0A1E"/>
    <w:rsid w:val="31216B3F"/>
    <w:rsid w:val="312B50A3"/>
    <w:rsid w:val="317172BB"/>
    <w:rsid w:val="318E6873"/>
    <w:rsid w:val="319C52FC"/>
    <w:rsid w:val="31B46ACE"/>
    <w:rsid w:val="31D9410F"/>
    <w:rsid w:val="31F32870"/>
    <w:rsid w:val="31F51115"/>
    <w:rsid w:val="32003808"/>
    <w:rsid w:val="320B582E"/>
    <w:rsid w:val="32120DF0"/>
    <w:rsid w:val="321A6930"/>
    <w:rsid w:val="322F3820"/>
    <w:rsid w:val="32453A27"/>
    <w:rsid w:val="3263064A"/>
    <w:rsid w:val="3265766A"/>
    <w:rsid w:val="32A43132"/>
    <w:rsid w:val="32AC0C06"/>
    <w:rsid w:val="32AD0CCA"/>
    <w:rsid w:val="32C33CD3"/>
    <w:rsid w:val="33027836"/>
    <w:rsid w:val="33344EF5"/>
    <w:rsid w:val="333659B6"/>
    <w:rsid w:val="33631548"/>
    <w:rsid w:val="3378161D"/>
    <w:rsid w:val="33A36C73"/>
    <w:rsid w:val="33B22505"/>
    <w:rsid w:val="33CB1B78"/>
    <w:rsid w:val="33E85CE2"/>
    <w:rsid w:val="341D0201"/>
    <w:rsid w:val="34273F04"/>
    <w:rsid w:val="342B0F4F"/>
    <w:rsid w:val="34525525"/>
    <w:rsid w:val="345A2720"/>
    <w:rsid w:val="347B2D6D"/>
    <w:rsid w:val="34A4664B"/>
    <w:rsid w:val="34B52163"/>
    <w:rsid w:val="34BF0E0C"/>
    <w:rsid w:val="34C35A6B"/>
    <w:rsid w:val="34D72013"/>
    <w:rsid w:val="34EB7D5F"/>
    <w:rsid w:val="34EE1C44"/>
    <w:rsid w:val="34F2382C"/>
    <w:rsid w:val="35122B62"/>
    <w:rsid w:val="352C02C9"/>
    <w:rsid w:val="352C24DC"/>
    <w:rsid w:val="3537750C"/>
    <w:rsid w:val="3537798C"/>
    <w:rsid w:val="357005A7"/>
    <w:rsid w:val="357A579A"/>
    <w:rsid w:val="358E312C"/>
    <w:rsid w:val="35C13FC9"/>
    <w:rsid w:val="35C80195"/>
    <w:rsid w:val="35E5632B"/>
    <w:rsid w:val="35E91989"/>
    <w:rsid w:val="35EF4FE4"/>
    <w:rsid w:val="35F57666"/>
    <w:rsid w:val="36085EA6"/>
    <w:rsid w:val="36266D8A"/>
    <w:rsid w:val="36293A22"/>
    <w:rsid w:val="364257B6"/>
    <w:rsid w:val="36543163"/>
    <w:rsid w:val="368456EC"/>
    <w:rsid w:val="369E4AB8"/>
    <w:rsid w:val="36EE4695"/>
    <w:rsid w:val="3705788F"/>
    <w:rsid w:val="371B2546"/>
    <w:rsid w:val="3722747D"/>
    <w:rsid w:val="3724059E"/>
    <w:rsid w:val="374E4FB2"/>
    <w:rsid w:val="37725F65"/>
    <w:rsid w:val="37734E19"/>
    <w:rsid w:val="379C5D4E"/>
    <w:rsid w:val="37D25817"/>
    <w:rsid w:val="37DE378C"/>
    <w:rsid w:val="37EA5922"/>
    <w:rsid w:val="380C2E7F"/>
    <w:rsid w:val="38134D6C"/>
    <w:rsid w:val="38276B93"/>
    <w:rsid w:val="384D3BF2"/>
    <w:rsid w:val="386A2AA2"/>
    <w:rsid w:val="386E11A3"/>
    <w:rsid w:val="389430F0"/>
    <w:rsid w:val="389B749B"/>
    <w:rsid w:val="38AC3431"/>
    <w:rsid w:val="38B20617"/>
    <w:rsid w:val="38BB1B74"/>
    <w:rsid w:val="38C26745"/>
    <w:rsid w:val="38CD0AA7"/>
    <w:rsid w:val="38E67108"/>
    <w:rsid w:val="38F06097"/>
    <w:rsid w:val="38FE35D2"/>
    <w:rsid w:val="391A244B"/>
    <w:rsid w:val="39226DE8"/>
    <w:rsid w:val="392F2E16"/>
    <w:rsid w:val="39406F09"/>
    <w:rsid w:val="39486C0A"/>
    <w:rsid w:val="39791C92"/>
    <w:rsid w:val="398D343A"/>
    <w:rsid w:val="399F26CE"/>
    <w:rsid w:val="39B40ED3"/>
    <w:rsid w:val="39B503F5"/>
    <w:rsid w:val="39B614C9"/>
    <w:rsid w:val="39D94185"/>
    <w:rsid w:val="39E00529"/>
    <w:rsid w:val="39E359C2"/>
    <w:rsid w:val="39E9733C"/>
    <w:rsid w:val="3A0B6254"/>
    <w:rsid w:val="3A0B64A7"/>
    <w:rsid w:val="3A205374"/>
    <w:rsid w:val="3A2F182B"/>
    <w:rsid w:val="3A36312B"/>
    <w:rsid w:val="3A3B5CDC"/>
    <w:rsid w:val="3A520B7E"/>
    <w:rsid w:val="3A574DDA"/>
    <w:rsid w:val="3AAE0666"/>
    <w:rsid w:val="3ABA15C8"/>
    <w:rsid w:val="3AD3075A"/>
    <w:rsid w:val="3AD5142D"/>
    <w:rsid w:val="3AD71232"/>
    <w:rsid w:val="3AF74C02"/>
    <w:rsid w:val="3B954BE0"/>
    <w:rsid w:val="3B9F1620"/>
    <w:rsid w:val="3BB84161"/>
    <w:rsid w:val="3C0059A5"/>
    <w:rsid w:val="3C134E78"/>
    <w:rsid w:val="3C1478ED"/>
    <w:rsid w:val="3C15518D"/>
    <w:rsid w:val="3C33057E"/>
    <w:rsid w:val="3C334EAF"/>
    <w:rsid w:val="3C3D49BD"/>
    <w:rsid w:val="3C6D16C6"/>
    <w:rsid w:val="3C921FB2"/>
    <w:rsid w:val="3C9E1EBC"/>
    <w:rsid w:val="3CF52957"/>
    <w:rsid w:val="3D041A5E"/>
    <w:rsid w:val="3D112570"/>
    <w:rsid w:val="3D147205"/>
    <w:rsid w:val="3D2E6923"/>
    <w:rsid w:val="3D331671"/>
    <w:rsid w:val="3D506996"/>
    <w:rsid w:val="3D5750A4"/>
    <w:rsid w:val="3D67163F"/>
    <w:rsid w:val="3D6871A7"/>
    <w:rsid w:val="3D817764"/>
    <w:rsid w:val="3D873FCE"/>
    <w:rsid w:val="3D983056"/>
    <w:rsid w:val="3DAA2E5B"/>
    <w:rsid w:val="3DCF09F5"/>
    <w:rsid w:val="3DEC7285"/>
    <w:rsid w:val="3DF6345D"/>
    <w:rsid w:val="3E154007"/>
    <w:rsid w:val="3E1B3CD2"/>
    <w:rsid w:val="3E2B5515"/>
    <w:rsid w:val="3E3E5EF1"/>
    <w:rsid w:val="3E4D4F28"/>
    <w:rsid w:val="3E5B00F7"/>
    <w:rsid w:val="3EB11AC7"/>
    <w:rsid w:val="3EC9706E"/>
    <w:rsid w:val="3ED818CD"/>
    <w:rsid w:val="3EE13701"/>
    <w:rsid w:val="3EE25742"/>
    <w:rsid w:val="3EF45B57"/>
    <w:rsid w:val="3F143EEF"/>
    <w:rsid w:val="3F144FB4"/>
    <w:rsid w:val="3F1A4BB3"/>
    <w:rsid w:val="3F445833"/>
    <w:rsid w:val="3F4A5777"/>
    <w:rsid w:val="3F4A64D9"/>
    <w:rsid w:val="3F60225A"/>
    <w:rsid w:val="3F6C7FEC"/>
    <w:rsid w:val="3F6E1561"/>
    <w:rsid w:val="3F714C59"/>
    <w:rsid w:val="3F934E86"/>
    <w:rsid w:val="3FAB4D77"/>
    <w:rsid w:val="3FC719DE"/>
    <w:rsid w:val="3FE32ECE"/>
    <w:rsid w:val="3FF317AE"/>
    <w:rsid w:val="3FFA2455"/>
    <w:rsid w:val="3FFA32B3"/>
    <w:rsid w:val="400032BE"/>
    <w:rsid w:val="4003034F"/>
    <w:rsid w:val="400E2C07"/>
    <w:rsid w:val="40192BA6"/>
    <w:rsid w:val="401F2287"/>
    <w:rsid w:val="402C58F5"/>
    <w:rsid w:val="40484D68"/>
    <w:rsid w:val="404E1296"/>
    <w:rsid w:val="40565775"/>
    <w:rsid w:val="40741400"/>
    <w:rsid w:val="40760923"/>
    <w:rsid w:val="40761BDC"/>
    <w:rsid w:val="40963BF6"/>
    <w:rsid w:val="40991CAB"/>
    <w:rsid w:val="40B15F11"/>
    <w:rsid w:val="40B437EF"/>
    <w:rsid w:val="40BE68D5"/>
    <w:rsid w:val="40D43427"/>
    <w:rsid w:val="41071387"/>
    <w:rsid w:val="41184017"/>
    <w:rsid w:val="4134271F"/>
    <w:rsid w:val="413D6CFA"/>
    <w:rsid w:val="4151394D"/>
    <w:rsid w:val="415560AD"/>
    <w:rsid w:val="41766EA9"/>
    <w:rsid w:val="41775EB3"/>
    <w:rsid w:val="41CE1ACE"/>
    <w:rsid w:val="41D723FB"/>
    <w:rsid w:val="42145CCA"/>
    <w:rsid w:val="423035D9"/>
    <w:rsid w:val="42384DC8"/>
    <w:rsid w:val="42550A18"/>
    <w:rsid w:val="427B1BBB"/>
    <w:rsid w:val="428E0F52"/>
    <w:rsid w:val="429D496A"/>
    <w:rsid w:val="42A06B2C"/>
    <w:rsid w:val="42CC751E"/>
    <w:rsid w:val="42DB6A45"/>
    <w:rsid w:val="42E0276A"/>
    <w:rsid w:val="42EB6093"/>
    <w:rsid w:val="42F4215A"/>
    <w:rsid w:val="42F473A1"/>
    <w:rsid w:val="42F80FA5"/>
    <w:rsid w:val="42FD62EC"/>
    <w:rsid w:val="4305361D"/>
    <w:rsid w:val="430C6978"/>
    <w:rsid w:val="431816E6"/>
    <w:rsid w:val="431C26D3"/>
    <w:rsid w:val="431F637C"/>
    <w:rsid w:val="4344562F"/>
    <w:rsid w:val="434E3AB8"/>
    <w:rsid w:val="43537F8A"/>
    <w:rsid w:val="43DA64B8"/>
    <w:rsid w:val="44107EE3"/>
    <w:rsid w:val="441129BA"/>
    <w:rsid w:val="441E62C0"/>
    <w:rsid w:val="44406167"/>
    <w:rsid w:val="445615DF"/>
    <w:rsid w:val="44967985"/>
    <w:rsid w:val="44974521"/>
    <w:rsid w:val="44AE4395"/>
    <w:rsid w:val="44AF3BAD"/>
    <w:rsid w:val="44C03DC7"/>
    <w:rsid w:val="44EB1ADD"/>
    <w:rsid w:val="44F066C6"/>
    <w:rsid w:val="44FB65C3"/>
    <w:rsid w:val="45192471"/>
    <w:rsid w:val="451F438B"/>
    <w:rsid w:val="452F1A92"/>
    <w:rsid w:val="45303661"/>
    <w:rsid w:val="45325D14"/>
    <w:rsid w:val="454D54F8"/>
    <w:rsid w:val="454F4D0B"/>
    <w:rsid w:val="455449DD"/>
    <w:rsid w:val="456A5852"/>
    <w:rsid w:val="45732385"/>
    <w:rsid w:val="45811C7C"/>
    <w:rsid w:val="45906116"/>
    <w:rsid w:val="459911FD"/>
    <w:rsid w:val="45A0305D"/>
    <w:rsid w:val="45A03571"/>
    <w:rsid w:val="45F35D2E"/>
    <w:rsid w:val="45F51AEF"/>
    <w:rsid w:val="45FB36B1"/>
    <w:rsid w:val="460B016C"/>
    <w:rsid w:val="46345C9D"/>
    <w:rsid w:val="46830E83"/>
    <w:rsid w:val="468B220E"/>
    <w:rsid w:val="468B3EFB"/>
    <w:rsid w:val="46C54123"/>
    <w:rsid w:val="46D22C21"/>
    <w:rsid w:val="46D5130D"/>
    <w:rsid w:val="46E15B1B"/>
    <w:rsid w:val="47061EB6"/>
    <w:rsid w:val="470A6193"/>
    <w:rsid w:val="471B4E2C"/>
    <w:rsid w:val="4725554F"/>
    <w:rsid w:val="47385210"/>
    <w:rsid w:val="474D5830"/>
    <w:rsid w:val="475C3001"/>
    <w:rsid w:val="47690E29"/>
    <w:rsid w:val="47831570"/>
    <w:rsid w:val="479A5F27"/>
    <w:rsid w:val="47A837E0"/>
    <w:rsid w:val="47CA6E64"/>
    <w:rsid w:val="47D31E5D"/>
    <w:rsid w:val="47DC4F5C"/>
    <w:rsid w:val="47DD36B3"/>
    <w:rsid w:val="47E36768"/>
    <w:rsid w:val="48192084"/>
    <w:rsid w:val="481C7304"/>
    <w:rsid w:val="482C6A5C"/>
    <w:rsid w:val="484C5484"/>
    <w:rsid w:val="485B79F5"/>
    <w:rsid w:val="48976008"/>
    <w:rsid w:val="48A40158"/>
    <w:rsid w:val="48B40671"/>
    <w:rsid w:val="48F73DFC"/>
    <w:rsid w:val="48F8514C"/>
    <w:rsid w:val="490D112E"/>
    <w:rsid w:val="490E4D0A"/>
    <w:rsid w:val="49385E92"/>
    <w:rsid w:val="493C2711"/>
    <w:rsid w:val="495664BB"/>
    <w:rsid w:val="499B5738"/>
    <w:rsid w:val="499F244D"/>
    <w:rsid w:val="49B54134"/>
    <w:rsid w:val="49CC7372"/>
    <w:rsid w:val="4A0B3470"/>
    <w:rsid w:val="4A105051"/>
    <w:rsid w:val="4A251DC3"/>
    <w:rsid w:val="4A254E81"/>
    <w:rsid w:val="4A2D0198"/>
    <w:rsid w:val="4A420EE7"/>
    <w:rsid w:val="4A4467F7"/>
    <w:rsid w:val="4A892945"/>
    <w:rsid w:val="4A92263F"/>
    <w:rsid w:val="4A973F3F"/>
    <w:rsid w:val="4A9F387C"/>
    <w:rsid w:val="4AE6282E"/>
    <w:rsid w:val="4AF4108E"/>
    <w:rsid w:val="4AF50338"/>
    <w:rsid w:val="4AF96BC7"/>
    <w:rsid w:val="4B074F1C"/>
    <w:rsid w:val="4B196F78"/>
    <w:rsid w:val="4B203103"/>
    <w:rsid w:val="4B32607A"/>
    <w:rsid w:val="4B453FC7"/>
    <w:rsid w:val="4B464533"/>
    <w:rsid w:val="4B496045"/>
    <w:rsid w:val="4B545C08"/>
    <w:rsid w:val="4B5A416B"/>
    <w:rsid w:val="4B667F55"/>
    <w:rsid w:val="4B726781"/>
    <w:rsid w:val="4B7A557E"/>
    <w:rsid w:val="4B7C6990"/>
    <w:rsid w:val="4B862A85"/>
    <w:rsid w:val="4B8B200B"/>
    <w:rsid w:val="4B8B3459"/>
    <w:rsid w:val="4B98008D"/>
    <w:rsid w:val="4B9C6BB6"/>
    <w:rsid w:val="4BAC4867"/>
    <w:rsid w:val="4BAC6A7C"/>
    <w:rsid w:val="4BF417D4"/>
    <w:rsid w:val="4BF92147"/>
    <w:rsid w:val="4C0253BF"/>
    <w:rsid w:val="4C166B58"/>
    <w:rsid w:val="4C285091"/>
    <w:rsid w:val="4C3A28DD"/>
    <w:rsid w:val="4C4130B0"/>
    <w:rsid w:val="4C674735"/>
    <w:rsid w:val="4C8018E7"/>
    <w:rsid w:val="4C8624FC"/>
    <w:rsid w:val="4C8A38D4"/>
    <w:rsid w:val="4C9C27CC"/>
    <w:rsid w:val="4CA20A24"/>
    <w:rsid w:val="4CB755B1"/>
    <w:rsid w:val="4CE74F4D"/>
    <w:rsid w:val="4CEF36E2"/>
    <w:rsid w:val="4CEF4DC5"/>
    <w:rsid w:val="4CF25996"/>
    <w:rsid w:val="4D171C3B"/>
    <w:rsid w:val="4D196F3B"/>
    <w:rsid w:val="4D482BAA"/>
    <w:rsid w:val="4D4873F2"/>
    <w:rsid w:val="4D54264D"/>
    <w:rsid w:val="4D564B5A"/>
    <w:rsid w:val="4D6A5813"/>
    <w:rsid w:val="4D922FBD"/>
    <w:rsid w:val="4D9A766C"/>
    <w:rsid w:val="4DA62246"/>
    <w:rsid w:val="4DC17B81"/>
    <w:rsid w:val="4DC26B79"/>
    <w:rsid w:val="4DD71014"/>
    <w:rsid w:val="4DEE41E3"/>
    <w:rsid w:val="4DF2192A"/>
    <w:rsid w:val="4DF71805"/>
    <w:rsid w:val="4E083C5D"/>
    <w:rsid w:val="4E17231F"/>
    <w:rsid w:val="4E1B241D"/>
    <w:rsid w:val="4E257655"/>
    <w:rsid w:val="4E505C66"/>
    <w:rsid w:val="4E5D6ED5"/>
    <w:rsid w:val="4E651B46"/>
    <w:rsid w:val="4E785AA0"/>
    <w:rsid w:val="4E8812BF"/>
    <w:rsid w:val="4E8B4332"/>
    <w:rsid w:val="4E8E7871"/>
    <w:rsid w:val="4EB3133C"/>
    <w:rsid w:val="4EC4406A"/>
    <w:rsid w:val="4EF86E3C"/>
    <w:rsid w:val="4F06089E"/>
    <w:rsid w:val="4F06496B"/>
    <w:rsid w:val="4F0C1AC6"/>
    <w:rsid w:val="4F0F551A"/>
    <w:rsid w:val="4F127C58"/>
    <w:rsid w:val="4F372380"/>
    <w:rsid w:val="4F372FFB"/>
    <w:rsid w:val="4F71142E"/>
    <w:rsid w:val="4F7A6CA5"/>
    <w:rsid w:val="4FA7341A"/>
    <w:rsid w:val="4FD15247"/>
    <w:rsid w:val="4FE34F88"/>
    <w:rsid w:val="4FEF4AC6"/>
    <w:rsid w:val="5019541D"/>
    <w:rsid w:val="5025116D"/>
    <w:rsid w:val="50256650"/>
    <w:rsid w:val="503A3A57"/>
    <w:rsid w:val="503D7DBA"/>
    <w:rsid w:val="504B134F"/>
    <w:rsid w:val="506F403E"/>
    <w:rsid w:val="508F56DF"/>
    <w:rsid w:val="50BF67C9"/>
    <w:rsid w:val="50C56222"/>
    <w:rsid w:val="50ED7CC8"/>
    <w:rsid w:val="50FB62A0"/>
    <w:rsid w:val="511E0283"/>
    <w:rsid w:val="513E6AA2"/>
    <w:rsid w:val="516623C4"/>
    <w:rsid w:val="5196363A"/>
    <w:rsid w:val="51984A67"/>
    <w:rsid w:val="51B05107"/>
    <w:rsid w:val="51DA39DC"/>
    <w:rsid w:val="51E0241A"/>
    <w:rsid w:val="51F1394A"/>
    <w:rsid w:val="522024E6"/>
    <w:rsid w:val="52314419"/>
    <w:rsid w:val="52395ECD"/>
    <w:rsid w:val="52682095"/>
    <w:rsid w:val="526D4E29"/>
    <w:rsid w:val="52735E8B"/>
    <w:rsid w:val="52820969"/>
    <w:rsid w:val="52B44696"/>
    <w:rsid w:val="52BD3C89"/>
    <w:rsid w:val="52C10D75"/>
    <w:rsid w:val="52CA1D4B"/>
    <w:rsid w:val="52D55821"/>
    <w:rsid w:val="52EB2FB5"/>
    <w:rsid w:val="53655BA8"/>
    <w:rsid w:val="538C4158"/>
    <w:rsid w:val="53BD3BA2"/>
    <w:rsid w:val="53BD75B8"/>
    <w:rsid w:val="53C27FF8"/>
    <w:rsid w:val="53C979DA"/>
    <w:rsid w:val="53EC03B2"/>
    <w:rsid w:val="54162C20"/>
    <w:rsid w:val="541D7C39"/>
    <w:rsid w:val="544E00F4"/>
    <w:rsid w:val="5475679C"/>
    <w:rsid w:val="548E485C"/>
    <w:rsid w:val="549E1A80"/>
    <w:rsid w:val="54AB108A"/>
    <w:rsid w:val="54B51E36"/>
    <w:rsid w:val="54C658F4"/>
    <w:rsid w:val="54CB45B1"/>
    <w:rsid w:val="54E0494C"/>
    <w:rsid w:val="54E171CD"/>
    <w:rsid w:val="54EB51B1"/>
    <w:rsid w:val="54ED7789"/>
    <w:rsid w:val="550C4BD7"/>
    <w:rsid w:val="552E2F95"/>
    <w:rsid w:val="55322669"/>
    <w:rsid w:val="5539470A"/>
    <w:rsid w:val="554C1D56"/>
    <w:rsid w:val="55572986"/>
    <w:rsid w:val="555761AA"/>
    <w:rsid w:val="555E236D"/>
    <w:rsid w:val="55A1129D"/>
    <w:rsid w:val="55A82C22"/>
    <w:rsid w:val="55B2588A"/>
    <w:rsid w:val="55C062DD"/>
    <w:rsid w:val="55E301A5"/>
    <w:rsid w:val="5607446A"/>
    <w:rsid w:val="56081243"/>
    <w:rsid w:val="561C2CD2"/>
    <w:rsid w:val="56222B52"/>
    <w:rsid w:val="562A2E90"/>
    <w:rsid w:val="56330E85"/>
    <w:rsid w:val="565340FA"/>
    <w:rsid w:val="565965B7"/>
    <w:rsid w:val="565A053D"/>
    <w:rsid w:val="565C3ECA"/>
    <w:rsid w:val="565F172E"/>
    <w:rsid w:val="56636EEC"/>
    <w:rsid w:val="56790914"/>
    <w:rsid w:val="56932131"/>
    <w:rsid w:val="569A7860"/>
    <w:rsid w:val="56B25952"/>
    <w:rsid w:val="56E11A6F"/>
    <w:rsid w:val="56EA79B4"/>
    <w:rsid w:val="56FC3910"/>
    <w:rsid w:val="56FC519F"/>
    <w:rsid w:val="571B3688"/>
    <w:rsid w:val="571F4860"/>
    <w:rsid w:val="57224417"/>
    <w:rsid w:val="5723343E"/>
    <w:rsid w:val="57244C4C"/>
    <w:rsid w:val="573D7EAB"/>
    <w:rsid w:val="57577C96"/>
    <w:rsid w:val="576E72F2"/>
    <w:rsid w:val="578057C8"/>
    <w:rsid w:val="578231ED"/>
    <w:rsid w:val="57856002"/>
    <w:rsid w:val="57A858DC"/>
    <w:rsid w:val="57AA18F7"/>
    <w:rsid w:val="57C26BEF"/>
    <w:rsid w:val="57DD34B9"/>
    <w:rsid w:val="57E6392C"/>
    <w:rsid w:val="57F706C9"/>
    <w:rsid w:val="58006107"/>
    <w:rsid w:val="58017793"/>
    <w:rsid w:val="581E6DC2"/>
    <w:rsid w:val="58685C59"/>
    <w:rsid w:val="58697500"/>
    <w:rsid w:val="58843841"/>
    <w:rsid w:val="5891308F"/>
    <w:rsid w:val="589236B1"/>
    <w:rsid w:val="58C86B99"/>
    <w:rsid w:val="58CE0DF1"/>
    <w:rsid w:val="58FE1F8C"/>
    <w:rsid w:val="5904102E"/>
    <w:rsid w:val="59062048"/>
    <w:rsid w:val="590A564B"/>
    <w:rsid w:val="59157DD8"/>
    <w:rsid w:val="593504AF"/>
    <w:rsid w:val="59415D84"/>
    <w:rsid w:val="594D2B53"/>
    <w:rsid w:val="595B377D"/>
    <w:rsid w:val="595E20F3"/>
    <w:rsid w:val="5960106E"/>
    <w:rsid w:val="59607768"/>
    <w:rsid w:val="59655BB7"/>
    <w:rsid w:val="596C209A"/>
    <w:rsid w:val="598813E0"/>
    <w:rsid w:val="5999679A"/>
    <w:rsid w:val="599C38F2"/>
    <w:rsid w:val="59A03BB4"/>
    <w:rsid w:val="59AA0FB1"/>
    <w:rsid w:val="59B91F8C"/>
    <w:rsid w:val="59E20DBE"/>
    <w:rsid w:val="59EF6A42"/>
    <w:rsid w:val="59F20EF7"/>
    <w:rsid w:val="5A2F2CC8"/>
    <w:rsid w:val="5A487F66"/>
    <w:rsid w:val="5A673F93"/>
    <w:rsid w:val="5A682917"/>
    <w:rsid w:val="5A723722"/>
    <w:rsid w:val="5A73529D"/>
    <w:rsid w:val="5AAA4EE2"/>
    <w:rsid w:val="5AC95C92"/>
    <w:rsid w:val="5AD00FA7"/>
    <w:rsid w:val="5AF16BAF"/>
    <w:rsid w:val="5B436D5A"/>
    <w:rsid w:val="5B487697"/>
    <w:rsid w:val="5B570637"/>
    <w:rsid w:val="5B79092D"/>
    <w:rsid w:val="5B7F28A2"/>
    <w:rsid w:val="5B9C3F03"/>
    <w:rsid w:val="5BA26962"/>
    <w:rsid w:val="5BA85879"/>
    <w:rsid w:val="5BB7337B"/>
    <w:rsid w:val="5BC1259B"/>
    <w:rsid w:val="5BD06608"/>
    <w:rsid w:val="5BD4071A"/>
    <w:rsid w:val="5BD64ABB"/>
    <w:rsid w:val="5BED2739"/>
    <w:rsid w:val="5C0B74C9"/>
    <w:rsid w:val="5C10702D"/>
    <w:rsid w:val="5C14136F"/>
    <w:rsid w:val="5C152601"/>
    <w:rsid w:val="5C20614F"/>
    <w:rsid w:val="5C33467C"/>
    <w:rsid w:val="5C447CC6"/>
    <w:rsid w:val="5C591F03"/>
    <w:rsid w:val="5C8A1B2F"/>
    <w:rsid w:val="5C96399E"/>
    <w:rsid w:val="5CAF3DCD"/>
    <w:rsid w:val="5CB551AD"/>
    <w:rsid w:val="5CE40F22"/>
    <w:rsid w:val="5D011B9D"/>
    <w:rsid w:val="5D0D455B"/>
    <w:rsid w:val="5D2C1215"/>
    <w:rsid w:val="5D3C71F1"/>
    <w:rsid w:val="5D6C2869"/>
    <w:rsid w:val="5D857790"/>
    <w:rsid w:val="5D861815"/>
    <w:rsid w:val="5D8936D2"/>
    <w:rsid w:val="5D914004"/>
    <w:rsid w:val="5DA210CD"/>
    <w:rsid w:val="5DD655DD"/>
    <w:rsid w:val="5DD70790"/>
    <w:rsid w:val="5DD80331"/>
    <w:rsid w:val="5DD9032B"/>
    <w:rsid w:val="5DD95E29"/>
    <w:rsid w:val="5DDD16DD"/>
    <w:rsid w:val="5DF41766"/>
    <w:rsid w:val="5E015F08"/>
    <w:rsid w:val="5E1A78F0"/>
    <w:rsid w:val="5E1E1023"/>
    <w:rsid w:val="5E61017B"/>
    <w:rsid w:val="5E615889"/>
    <w:rsid w:val="5E727AB0"/>
    <w:rsid w:val="5E847BF7"/>
    <w:rsid w:val="5EC8520A"/>
    <w:rsid w:val="5ECB3906"/>
    <w:rsid w:val="5F0341A4"/>
    <w:rsid w:val="5F174D94"/>
    <w:rsid w:val="5F4F5E24"/>
    <w:rsid w:val="5F561B72"/>
    <w:rsid w:val="5F6B08B1"/>
    <w:rsid w:val="5F6F4489"/>
    <w:rsid w:val="5F724A0B"/>
    <w:rsid w:val="5F811AD3"/>
    <w:rsid w:val="5F8E3288"/>
    <w:rsid w:val="5F92448C"/>
    <w:rsid w:val="5F975442"/>
    <w:rsid w:val="5FA13309"/>
    <w:rsid w:val="5FA71D36"/>
    <w:rsid w:val="5FE00927"/>
    <w:rsid w:val="5FE24EDD"/>
    <w:rsid w:val="5FE437FC"/>
    <w:rsid w:val="5FED0446"/>
    <w:rsid w:val="5FF87C07"/>
    <w:rsid w:val="60000AD9"/>
    <w:rsid w:val="60014470"/>
    <w:rsid w:val="603E60FC"/>
    <w:rsid w:val="60504C82"/>
    <w:rsid w:val="606007BB"/>
    <w:rsid w:val="606163EC"/>
    <w:rsid w:val="606F2C4E"/>
    <w:rsid w:val="60782176"/>
    <w:rsid w:val="608E10F9"/>
    <w:rsid w:val="60AC7F66"/>
    <w:rsid w:val="60C13070"/>
    <w:rsid w:val="60EF28AC"/>
    <w:rsid w:val="611E12A8"/>
    <w:rsid w:val="61226064"/>
    <w:rsid w:val="6138643E"/>
    <w:rsid w:val="6142054C"/>
    <w:rsid w:val="614207DD"/>
    <w:rsid w:val="61446E94"/>
    <w:rsid w:val="61497909"/>
    <w:rsid w:val="614F0CAD"/>
    <w:rsid w:val="6189448A"/>
    <w:rsid w:val="61A66546"/>
    <w:rsid w:val="61A8536C"/>
    <w:rsid w:val="61AF107F"/>
    <w:rsid w:val="61BD42A4"/>
    <w:rsid w:val="61BF10D9"/>
    <w:rsid w:val="61DA3D4C"/>
    <w:rsid w:val="61E04A03"/>
    <w:rsid w:val="61EF146C"/>
    <w:rsid w:val="61F215C9"/>
    <w:rsid w:val="62513057"/>
    <w:rsid w:val="6265481D"/>
    <w:rsid w:val="626A5412"/>
    <w:rsid w:val="62AC22DC"/>
    <w:rsid w:val="62BF2D76"/>
    <w:rsid w:val="62D51E7D"/>
    <w:rsid w:val="62F964B2"/>
    <w:rsid w:val="62FA4283"/>
    <w:rsid w:val="630871F9"/>
    <w:rsid w:val="630A6917"/>
    <w:rsid w:val="63177FBC"/>
    <w:rsid w:val="63312626"/>
    <w:rsid w:val="633E67A6"/>
    <w:rsid w:val="635251C8"/>
    <w:rsid w:val="635A3E88"/>
    <w:rsid w:val="635C1FFD"/>
    <w:rsid w:val="63606311"/>
    <w:rsid w:val="63607FA4"/>
    <w:rsid w:val="63724593"/>
    <w:rsid w:val="637833E8"/>
    <w:rsid w:val="63790487"/>
    <w:rsid w:val="63DE0947"/>
    <w:rsid w:val="63F14628"/>
    <w:rsid w:val="63F30799"/>
    <w:rsid w:val="63FB0133"/>
    <w:rsid w:val="64481274"/>
    <w:rsid w:val="646709F5"/>
    <w:rsid w:val="648743E5"/>
    <w:rsid w:val="64B10E28"/>
    <w:rsid w:val="64BB10E5"/>
    <w:rsid w:val="64C210FC"/>
    <w:rsid w:val="64D8014C"/>
    <w:rsid w:val="64D9236C"/>
    <w:rsid w:val="64E45EF7"/>
    <w:rsid w:val="650B71C5"/>
    <w:rsid w:val="651240A3"/>
    <w:rsid w:val="6528541A"/>
    <w:rsid w:val="6529779B"/>
    <w:rsid w:val="65403AFE"/>
    <w:rsid w:val="6544472C"/>
    <w:rsid w:val="65465871"/>
    <w:rsid w:val="654866C3"/>
    <w:rsid w:val="654E2D83"/>
    <w:rsid w:val="65525C85"/>
    <w:rsid w:val="6555098E"/>
    <w:rsid w:val="65D90229"/>
    <w:rsid w:val="65EF440F"/>
    <w:rsid w:val="66027F94"/>
    <w:rsid w:val="66061B48"/>
    <w:rsid w:val="661F70AE"/>
    <w:rsid w:val="662B448D"/>
    <w:rsid w:val="6630196A"/>
    <w:rsid w:val="665253D0"/>
    <w:rsid w:val="66873275"/>
    <w:rsid w:val="6691014E"/>
    <w:rsid w:val="66B41BEA"/>
    <w:rsid w:val="66C87CCE"/>
    <w:rsid w:val="66E73D86"/>
    <w:rsid w:val="66FB490A"/>
    <w:rsid w:val="66FB7A23"/>
    <w:rsid w:val="67592253"/>
    <w:rsid w:val="6771342A"/>
    <w:rsid w:val="677435B2"/>
    <w:rsid w:val="6779688C"/>
    <w:rsid w:val="677D408C"/>
    <w:rsid w:val="67814D8C"/>
    <w:rsid w:val="6784128D"/>
    <w:rsid w:val="678801E7"/>
    <w:rsid w:val="678D2EAE"/>
    <w:rsid w:val="679C4B21"/>
    <w:rsid w:val="67DF4560"/>
    <w:rsid w:val="67E35B9E"/>
    <w:rsid w:val="67EF75F1"/>
    <w:rsid w:val="67F323FA"/>
    <w:rsid w:val="681E2B93"/>
    <w:rsid w:val="682062DD"/>
    <w:rsid w:val="68327BBE"/>
    <w:rsid w:val="683F1534"/>
    <w:rsid w:val="687D273A"/>
    <w:rsid w:val="689736F8"/>
    <w:rsid w:val="689F2D87"/>
    <w:rsid w:val="68B35F15"/>
    <w:rsid w:val="69124F16"/>
    <w:rsid w:val="69280117"/>
    <w:rsid w:val="693022D8"/>
    <w:rsid w:val="694A5205"/>
    <w:rsid w:val="69511EBD"/>
    <w:rsid w:val="69726508"/>
    <w:rsid w:val="69726BD6"/>
    <w:rsid w:val="697F24B1"/>
    <w:rsid w:val="699616A8"/>
    <w:rsid w:val="69AD518D"/>
    <w:rsid w:val="69CD5C14"/>
    <w:rsid w:val="69CF0D33"/>
    <w:rsid w:val="69D8686C"/>
    <w:rsid w:val="69D96AC3"/>
    <w:rsid w:val="69F567A0"/>
    <w:rsid w:val="6A0717FD"/>
    <w:rsid w:val="6A1A7186"/>
    <w:rsid w:val="6A36068B"/>
    <w:rsid w:val="6A434A35"/>
    <w:rsid w:val="6A4B2209"/>
    <w:rsid w:val="6A4B7770"/>
    <w:rsid w:val="6A5066CB"/>
    <w:rsid w:val="6A512713"/>
    <w:rsid w:val="6A542D51"/>
    <w:rsid w:val="6A6030C4"/>
    <w:rsid w:val="6A7B78AE"/>
    <w:rsid w:val="6A7F05D0"/>
    <w:rsid w:val="6AB235AF"/>
    <w:rsid w:val="6ABD719F"/>
    <w:rsid w:val="6AE644C3"/>
    <w:rsid w:val="6AFD4928"/>
    <w:rsid w:val="6B125A78"/>
    <w:rsid w:val="6B175FBC"/>
    <w:rsid w:val="6B20072C"/>
    <w:rsid w:val="6B297797"/>
    <w:rsid w:val="6B2F4D3E"/>
    <w:rsid w:val="6B303F71"/>
    <w:rsid w:val="6B374E7A"/>
    <w:rsid w:val="6B4317B4"/>
    <w:rsid w:val="6B4A10E4"/>
    <w:rsid w:val="6B5C3B92"/>
    <w:rsid w:val="6B5C4B71"/>
    <w:rsid w:val="6B9946B3"/>
    <w:rsid w:val="6BF5106A"/>
    <w:rsid w:val="6BF5595A"/>
    <w:rsid w:val="6BF7378F"/>
    <w:rsid w:val="6BFD6920"/>
    <w:rsid w:val="6C06033D"/>
    <w:rsid w:val="6C241930"/>
    <w:rsid w:val="6C2D0A9C"/>
    <w:rsid w:val="6C377F31"/>
    <w:rsid w:val="6C3B0A4D"/>
    <w:rsid w:val="6C4052D5"/>
    <w:rsid w:val="6C411352"/>
    <w:rsid w:val="6C431EF3"/>
    <w:rsid w:val="6C4E6902"/>
    <w:rsid w:val="6C662189"/>
    <w:rsid w:val="6C6B22D7"/>
    <w:rsid w:val="6C6C2F38"/>
    <w:rsid w:val="6C7007C7"/>
    <w:rsid w:val="6C821F0F"/>
    <w:rsid w:val="6C8C2B67"/>
    <w:rsid w:val="6C8D38AF"/>
    <w:rsid w:val="6C8D7684"/>
    <w:rsid w:val="6CB04275"/>
    <w:rsid w:val="6CD622D5"/>
    <w:rsid w:val="6CDC07DA"/>
    <w:rsid w:val="6CE10D46"/>
    <w:rsid w:val="6CF92C55"/>
    <w:rsid w:val="6D4C7D54"/>
    <w:rsid w:val="6D4F2B49"/>
    <w:rsid w:val="6D5C2995"/>
    <w:rsid w:val="6D60703C"/>
    <w:rsid w:val="6D68310A"/>
    <w:rsid w:val="6D6D0174"/>
    <w:rsid w:val="6D915D95"/>
    <w:rsid w:val="6D94625C"/>
    <w:rsid w:val="6D9B53CB"/>
    <w:rsid w:val="6DB63374"/>
    <w:rsid w:val="6DE76850"/>
    <w:rsid w:val="6DF8337B"/>
    <w:rsid w:val="6E054261"/>
    <w:rsid w:val="6E1A3980"/>
    <w:rsid w:val="6E2B50E3"/>
    <w:rsid w:val="6E506EFF"/>
    <w:rsid w:val="6E8059E4"/>
    <w:rsid w:val="6E9817AB"/>
    <w:rsid w:val="6E9E45BF"/>
    <w:rsid w:val="6EA34CC4"/>
    <w:rsid w:val="6EC00BE3"/>
    <w:rsid w:val="6EE54F57"/>
    <w:rsid w:val="6F055DD7"/>
    <w:rsid w:val="6F2561E5"/>
    <w:rsid w:val="6F270EB1"/>
    <w:rsid w:val="6F34372B"/>
    <w:rsid w:val="6F665BF4"/>
    <w:rsid w:val="6F6B76CB"/>
    <w:rsid w:val="6F6E0ACF"/>
    <w:rsid w:val="6F753C1F"/>
    <w:rsid w:val="6F7F2FE1"/>
    <w:rsid w:val="6FA163D2"/>
    <w:rsid w:val="6FB20BD4"/>
    <w:rsid w:val="6FB650F7"/>
    <w:rsid w:val="6FB75277"/>
    <w:rsid w:val="6FBA59BE"/>
    <w:rsid w:val="6FDD641D"/>
    <w:rsid w:val="6FF16C9A"/>
    <w:rsid w:val="6FF2418B"/>
    <w:rsid w:val="701E2184"/>
    <w:rsid w:val="702726F0"/>
    <w:rsid w:val="70296B3E"/>
    <w:rsid w:val="70332D18"/>
    <w:rsid w:val="704255C1"/>
    <w:rsid w:val="704442BC"/>
    <w:rsid w:val="704542AE"/>
    <w:rsid w:val="704751B9"/>
    <w:rsid w:val="70497291"/>
    <w:rsid w:val="705B357E"/>
    <w:rsid w:val="70611204"/>
    <w:rsid w:val="70BF0EE0"/>
    <w:rsid w:val="70C20C9C"/>
    <w:rsid w:val="70CB3E02"/>
    <w:rsid w:val="70D01410"/>
    <w:rsid w:val="70D32204"/>
    <w:rsid w:val="70F15847"/>
    <w:rsid w:val="7114413E"/>
    <w:rsid w:val="713116FD"/>
    <w:rsid w:val="71370AC8"/>
    <w:rsid w:val="71434E47"/>
    <w:rsid w:val="71486F7F"/>
    <w:rsid w:val="71662A10"/>
    <w:rsid w:val="716D5171"/>
    <w:rsid w:val="71963F08"/>
    <w:rsid w:val="71982A8B"/>
    <w:rsid w:val="719B6489"/>
    <w:rsid w:val="71E00560"/>
    <w:rsid w:val="71F206C8"/>
    <w:rsid w:val="72181A20"/>
    <w:rsid w:val="72204649"/>
    <w:rsid w:val="722C5869"/>
    <w:rsid w:val="727315B1"/>
    <w:rsid w:val="727D6954"/>
    <w:rsid w:val="72844D41"/>
    <w:rsid w:val="72862C7E"/>
    <w:rsid w:val="728976DF"/>
    <w:rsid w:val="729F0405"/>
    <w:rsid w:val="72CF4F19"/>
    <w:rsid w:val="72DA633C"/>
    <w:rsid w:val="72E51065"/>
    <w:rsid w:val="72EC79FB"/>
    <w:rsid w:val="730F4A67"/>
    <w:rsid w:val="733D16A9"/>
    <w:rsid w:val="73425548"/>
    <w:rsid w:val="73445350"/>
    <w:rsid w:val="73514DB1"/>
    <w:rsid w:val="736A73D7"/>
    <w:rsid w:val="7378402A"/>
    <w:rsid w:val="737C5261"/>
    <w:rsid w:val="738210B6"/>
    <w:rsid w:val="738467A2"/>
    <w:rsid w:val="738A77D2"/>
    <w:rsid w:val="73AC15DC"/>
    <w:rsid w:val="73ED03C4"/>
    <w:rsid w:val="73F27930"/>
    <w:rsid w:val="74121260"/>
    <w:rsid w:val="743462D3"/>
    <w:rsid w:val="743E7D5E"/>
    <w:rsid w:val="7441374C"/>
    <w:rsid w:val="744149C3"/>
    <w:rsid w:val="749B549C"/>
    <w:rsid w:val="74A93E5A"/>
    <w:rsid w:val="74AF5F0F"/>
    <w:rsid w:val="74C21C86"/>
    <w:rsid w:val="74C633BB"/>
    <w:rsid w:val="74F00593"/>
    <w:rsid w:val="74FA2C30"/>
    <w:rsid w:val="75084BC9"/>
    <w:rsid w:val="7509415A"/>
    <w:rsid w:val="751D1A0B"/>
    <w:rsid w:val="754D5C4B"/>
    <w:rsid w:val="756C78B0"/>
    <w:rsid w:val="757E50F6"/>
    <w:rsid w:val="75855224"/>
    <w:rsid w:val="75892266"/>
    <w:rsid w:val="75894543"/>
    <w:rsid w:val="75A05064"/>
    <w:rsid w:val="75C91AF9"/>
    <w:rsid w:val="75CB60C0"/>
    <w:rsid w:val="75DE3A51"/>
    <w:rsid w:val="75E76F6F"/>
    <w:rsid w:val="75EC127C"/>
    <w:rsid w:val="75F142DB"/>
    <w:rsid w:val="760B3F34"/>
    <w:rsid w:val="76334397"/>
    <w:rsid w:val="763B0200"/>
    <w:rsid w:val="76404C02"/>
    <w:rsid w:val="765B4F30"/>
    <w:rsid w:val="766C4E79"/>
    <w:rsid w:val="767420B5"/>
    <w:rsid w:val="767C1353"/>
    <w:rsid w:val="767D07C6"/>
    <w:rsid w:val="768E73B4"/>
    <w:rsid w:val="76A143E8"/>
    <w:rsid w:val="76AD2366"/>
    <w:rsid w:val="76B41DED"/>
    <w:rsid w:val="76C240A7"/>
    <w:rsid w:val="76C8773D"/>
    <w:rsid w:val="76EE465E"/>
    <w:rsid w:val="770961C3"/>
    <w:rsid w:val="770D0BE0"/>
    <w:rsid w:val="770F3331"/>
    <w:rsid w:val="772B5A09"/>
    <w:rsid w:val="77315AC4"/>
    <w:rsid w:val="77453EF4"/>
    <w:rsid w:val="775246B7"/>
    <w:rsid w:val="77583C37"/>
    <w:rsid w:val="775974AF"/>
    <w:rsid w:val="776B3F01"/>
    <w:rsid w:val="777F175A"/>
    <w:rsid w:val="77977DAD"/>
    <w:rsid w:val="77CA234A"/>
    <w:rsid w:val="78014865"/>
    <w:rsid w:val="781E69D1"/>
    <w:rsid w:val="782A2DF7"/>
    <w:rsid w:val="783B4D78"/>
    <w:rsid w:val="789A4D68"/>
    <w:rsid w:val="789C1370"/>
    <w:rsid w:val="78DE4305"/>
    <w:rsid w:val="797C3622"/>
    <w:rsid w:val="797F0359"/>
    <w:rsid w:val="79863274"/>
    <w:rsid w:val="79962040"/>
    <w:rsid w:val="799A2861"/>
    <w:rsid w:val="79BC014A"/>
    <w:rsid w:val="79BC34FC"/>
    <w:rsid w:val="79C95D86"/>
    <w:rsid w:val="79D042C8"/>
    <w:rsid w:val="79FF7DF6"/>
    <w:rsid w:val="7A263B6B"/>
    <w:rsid w:val="7A2C7CE6"/>
    <w:rsid w:val="7A2D01BD"/>
    <w:rsid w:val="7A573C85"/>
    <w:rsid w:val="7A7106D0"/>
    <w:rsid w:val="7A8E7E6B"/>
    <w:rsid w:val="7A9F3904"/>
    <w:rsid w:val="7ABF39CE"/>
    <w:rsid w:val="7ABF6947"/>
    <w:rsid w:val="7AEE572F"/>
    <w:rsid w:val="7AF46346"/>
    <w:rsid w:val="7AF753E6"/>
    <w:rsid w:val="7AF84436"/>
    <w:rsid w:val="7B0F5EBF"/>
    <w:rsid w:val="7B130FB9"/>
    <w:rsid w:val="7B14483E"/>
    <w:rsid w:val="7B1C0A25"/>
    <w:rsid w:val="7B2611AB"/>
    <w:rsid w:val="7B4C355F"/>
    <w:rsid w:val="7B4E6A0D"/>
    <w:rsid w:val="7B641BCE"/>
    <w:rsid w:val="7B770612"/>
    <w:rsid w:val="7B771268"/>
    <w:rsid w:val="7B875F34"/>
    <w:rsid w:val="7B9A6100"/>
    <w:rsid w:val="7BAD4B52"/>
    <w:rsid w:val="7BDD6F19"/>
    <w:rsid w:val="7BF64EDE"/>
    <w:rsid w:val="7C221C6B"/>
    <w:rsid w:val="7C400C1E"/>
    <w:rsid w:val="7C4A00E8"/>
    <w:rsid w:val="7C8F243F"/>
    <w:rsid w:val="7C99714C"/>
    <w:rsid w:val="7CA07DE8"/>
    <w:rsid w:val="7CA53FD5"/>
    <w:rsid w:val="7CB50883"/>
    <w:rsid w:val="7CBE6D5D"/>
    <w:rsid w:val="7CDD1808"/>
    <w:rsid w:val="7CF57CC1"/>
    <w:rsid w:val="7D0B5456"/>
    <w:rsid w:val="7D352792"/>
    <w:rsid w:val="7D442B1E"/>
    <w:rsid w:val="7D563551"/>
    <w:rsid w:val="7D6F6791"/>
    <w:rsid w:val="7D7243AD"/>
    <w:rsid w:val="7D830B9D"/>
    <w:rsid w:val="7DA37E53"/>
    <w:rsid w:val="7DAD61B1"/>
    <w:rsid w:val="7DAE6351"/>
    <w:rsid w:val="7DB14609"/>
    <w:rsid w:val="7DB23C3E"/>
    <w:rsid w:val="7DD11708"/>
    <w:rsid w:val="7DF813B2"/>
    <w:rsid w:val="7E0763E6"/>
    <w:rsid w:val="7E1202A7"/>
    <w:rsid w:val="7E2D7872"/>
    <w:rsid w:val="7E3306C9"/>
    <w:rsid w:val="7E522C19"/>
    <w:rsid w:val="7E5C0F61"/>
    <w:rsid w:val="7E8E6EBF"/>
    <w:rsid w:val="7EA07FAE"/>
    <w:rsid w:val="7EBD34F5"/>
    <w:rsid w:val="7EBD579E"/>
    <w:rsid w:val="7EC167BD"/>
    <w:rsid w:val="7ED33DE1"/>
    <w:rsid w:val="7ED56D33"/>
    <w:rsid w:val="7EF2733C"/>
    <w:rsid w:val="7EFC345C"/>
    <w:rsid w:val="7F1A6960"/>
    <w:rsid w:val="7F272D9E"/>
    <w:rsid w:val="7F324DF6"/>
    <w:rsid w:val="7F507488"/>
    <w:rsid w:val="7F687D9B"/>
    <w:rsid w:val="7F7848F6"/>
    <w:rsid w:val="7FB858F7"/>
    <w:rsid w:val="7FC22F12"/>
    <w:rsid w:val="7FD61581"/>
    <w:rsid w:val="7FE8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autoRedefine/>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41"/>
    <w:autoRedefine/>
    <w:qFormat/>
    <w:uiPriority w:val="9"/>
    <w:pPr>
      <w:keepNext/>
      <w:keepLines/>
      <w:spacing w:before="280" w:after="290" w:line="376" w:lineRule="auto"/>
      <w:outlineLvl w:val="4"/>
    </w:pPr>
    <w:rPr>
      <w:b/>
      <w:bCs/>
      <w:sz w:val="28"/>
      <w:szCs w:val="28"/>
    </w:rPr>
  </w:style>
  <w:style w:type="paragraph" w:styleId="9">
    <w:name w:val="heading 8"/>
    <w:basedOn w:val="1"/>
    <w:next w:val="1"/>
    <w:link w:val="42"/>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9"/>
    <w:autoRedefine/>
    <w:unhideWhenUsed/>
    <w:qFormat/>
    <w:uiPriority w:val="99"/>
    <w:pPr>
      <w:tabs>
        <w:tab w:val="center" w:pos="4153"/>
        <w:tab w:val="right" w:pos="8306"/>
      </w:tabs>
      <w:snapToGrid w:val="0"/>
      <w:jc w:val="left"/>
    </w:pPr>
    <w:rPr>
      <w:kern w:val="0"/>
      <w:sz w:val="18"/>
      <w:szCs w:val="18"/>
    </w:rPr>
  </w:style>
  <w:style w:type="paragraph" w:styleId="8">
    <w:name w:val="Normal Indent"/>
    <w:basedOn w:val="1"/>
    <w:autoRedefine/>
    <w:qFormat/>
    <w:uiPriority w:val="0"/>
    <w:pPr>
      <w:ind w:firstLine="420"/>
    </w:pPr>
    <w:rPr>
      <w:szCs w:val="20"/>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3"/>
    <w:autoRedefine/>
    <w:qFormat/>
    <w:uiPriority w:val="0"/>
    <w:pPr>
      <w:jc w:val="left"/>
    </w:pPr>
  </w:style>
  <w:style w:type="paragraph" w:styleId="13">
    <w:name w:val="Body Text 3"/>
    <w:basedOn w:val="1"/>
    <w:link w:val="44"/>
    <w:autoRedefine/>
    <w:unhideWhenUsed/>
    <w:qFormat/>
    <w:uiPriority w:val="99"/>
    <w:pPr>
      <w:spacing w:after="120"/>
    </w:pPr>
    <w:rPr>
      <w:sz w:val="16"/>
      <w:szCs w:val="16"/>
    </w:rPr>
  </w:style>
  <w:style w:type="paragraph" w:styleId="14">
    <w:name w:val="Body Text"/>
    <w:basedOn w:val="1"/>
    <w:next w:val="1"/>
    <w:link w:val="45"/>
    <w:autoRedefine/>
    <w:unhideWhenUsed/>
    <w:qFormat/>
    <w:uiPriority w:val="0"/>
    <w:pPr>
      <w:spacing w:after="120"/>
    </w:pPr>
  </w:style>
  <w:style w:type="paragraph" w:styleId="15">
    <w:name w:val="Body Text Indent"/>
    <w:basedOn w:val="1"/>
    <w:link w:val="46"/>
    <w:autoRedefine/>
    <w:qFormat/>
    <w:uiPriority w:val="0"/>
    <w:pPr>
      <w:ind w:firstLine="830" w:firstLineChars="352"/>
    </w:pPr>
    <w:rPr>
      <w:rFonts w:ascii="仿宋_GB2312" w:eastAsia="仿宋_GB2312"/>
      <w:kern w:val="0"/>
      <w:sz w:val="32"/>
      <w:szCs w:val="20"/>
    </w:rPr>
  </w:style>
  <w:style w:type="paragraph" w:styleId="16">
    <w:name w:val="List 2"/>
    <w:basedOn w:val="1"/>
    <w:autoRedefine/>
    <w:unhideWhenUsed/>
    <w:qFormat/>
    <w:uiPriority w:val="99"/>
    <w:pPr>
      <w:ind w:left="100" w:leftChars="200" w:hanging="200" w:hangingChars="200"/>
      <w:contextualSpacing/>
    </w:pPr>
  </w:style>
  <w:style w:type="paragraph" w:styleId="17">
    <w:name w:val="toc 3"/>
    <w:basedOn w:val="1"/>
    <w:next w:val="1"/>
    <w:autoRedefine/>
    <w:unhideWhenUsed/>
    <w:qFormat/>
    <w:uiPriority w:val="39"/>
    <w:pPr>
      <w:ind w:left="840" w:leftChars="400"/>
    </w:pPr>
  </w:style>
  <w:style w:type="paragraph" w:styleId="18">
    <w:name w:val="Plain Text"/>
    <w:basedOn w:val="1"/>
    <w:next w:val="6"/>
    <w:link w:val="47"/>
    <w:autoRedefine/>
    <w:qFormat/>
    <w:uiPriority w:val="0"/>
    <w:rPr>
      <w:rFonts w:ascii="宋体" w:hAnsi="Courier New"/>
      <w:kern w:val="0"/>
      <w:sz w:val="20"/>
      <w:szCs w:val="21"/>
    </w:rPr>
  </w:style>
  <w:style w:type="paragraph" w:styleId="19">
    <w:name w:val="Date"/>
    <w:basedOn w:val="1"/>
    <w:next w:val="1"/>
    <w:link w:val="48"/>
    <w:autoRedefine/>
    <w:unhideWhenUsed/>
    <w:qFormat/>
    <w:uiPriority w:val="99"/>
    <w:pPr>
      <w:ind w:left="100" w:leftChars="2500"/>
    </w:pPr>
  </w:style>
  <w:style w:type="paragraph" w:styleId="20">
    <w:name w:val="Balloon Text"/>
    <w:basedOn w:val="1"/>
    <w:autoRedefine/>
    <w:semiHidden/>
    <w:qFormat/>
    <w:uiPriority w:val="0"/>
    <w:rPr>
      <w:sz w:val="18"/>
      <w:szCs w:val="18"/>
    </w:rPr>
  </w:style>
  <w:style w:type="paragraph" w:styleId="21">
    <w:name w:val="header"/>
    <w:basedOn w:val="1"/>
    <w:link w:val="50"/>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autoRedefine/>
    <w:unhideWhenUsed/>
    <w:qFormat/>
    <w:uiPriority w:val="39"/>
  </w:style>
  <w:style w:type="paragraph" w:styleId="23">
    <w:name w:val="List"/>
    <w:basedOn w:val="1"/>
    <w:autoRedefine/>
    <w:unhideWhenUsed/>
    <w:qFormat/>
    <w:uiPriority w:val="99"/>
    <w:pPr>
      <w:ind w:left="200" w:hanging="200" w:hangingChars="200"/>
      <w:contextualSpacing/>
    </w:pPr>
  </w:style>
  <w:style w:type="paragraph" w:styleId="24">
    <w:name w:val="toc 2"/>
    <w:basedOn w:val="1"/>
    <w:next w:val="1"/>
    <w:autoRedefine/>
    <w:unhideWhenUsed/>
    <w:qFormat/>
    <w:uiPriority w:val="39"/>
    <w:pPr>
      <w:tabs>
        <w:tab w:val="right" w:leader="dot" w:pos="8296"/>
      </w:tabs>
      <w:ind w:left="420" w:leftChars="200"/>
    </w:pPr>
  </w:style>
  <w:style w:type="paragraph" w:styleId="25">
    <w:name w:val="Normal (Web)"/>
    <w:basedOn w:val="1"/>
    <w:autoRedefine/>
    <w:unhideWhenUsed/>
    <w:qFormat/>
    <w:uiPriority w:val="99"/>
    <w:rPr>
      <w:rFonts w:ascii="Calibri" w:hAnsi="Calibri"/>
      <w:kern w:val="0"/>
      <w:sz w:val="24"/>
    </w:rPr>
  </w:style>
  <w:style w:type="paragraph" w:styleId="26">
    <w:name w:val="annotation subject"/>
    <w:basedOn w:val="12"/>
    <w:next w:val="12"/>
    <w:link w:val="51"/>
    <w:autoRedefine/>
    <w:qFormat/>
    <w:uiPriority w:val="99"/>
    <w:rPr>
      <w:b/>
      <w:bCs/>
    </w:rPr>
  </w:style>
  <w:style w:type="paragraph" w:styleId="27">
    <w:name w:val="Body Text First Indent 2"/>
    <w:basedOn w:val="15"/>
    <w:autoRedefine/>
    <w:qFormat/>
    <w:uiPriority w:val="0"/>
    <w:pPr>
      <w:autoSpaceDE w:val="0"/>
      <w:autoSpaceDN w:val="0"/>
      <w:spacing w:after="120" w:line="360" w:lineRule="auto"/>
      <w:ind w:left="420" w:leftChars="200" w:firstLine="420" w:firstLineChars="200"/>
    </w:pPr>
    <w:rPr>
      <w:sz w:val="21"/>
      <w:szCs w:val="24"/>
    </w:rPr>
  </w:style>
  <w:style w:type="table" w:styleId="29">
    <w:name w:val="Table Grid"/>
    <w:basedOn w:val="2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autoRedefine/>
    <w:qFormat/>
    <w:uiPriority w:val="22"/>
    <w:rPr>
      <w:b/>
    </w:rPr>
  </w:style>
  <w:style w:type="character" w:styleId="32">
    <w:name w:val="endnote reference"/>
    <w:autoRedefine/>
    <w:unhideWhenUsed/>
    <w:qFormat/>
    <w:uiPriority w:val="99"/>
    <w:rPr>
      <w:vertAlign w:val="superscript"/>
    </w:rPr>
  </w:style>
  <w:style w:type="character" w:styleId="33">
    <w:name w:val="page number"/>
    <w:basedOn w:val="30"/>
    <w:autoRedefine/>
    <w:qFormat/>
    <w:uiPriority w:val="0"/>
  </w:style>
  <w:style w:type="character" w:styleId="34">
    <w:name w:val="FollowedHyperlink"/>
    <w:basedOn w:val="30"/>
    <w:autoRedefine/>
    <w:unhideWhenUsed/>
    <w:qFormat/>
    <w:uiPriority w:val="99"/>
    <w:rPr>
      <w:color w:val="800080"/>
      <w:u w:val="single"/>
    </w:rPr>
  </w:style>
  <w:style w:type="character" w:styleId="35">
    <w:name w:val="Hyperlink"/>
    <w:autoRedefine/>
    <w:unhideWhenUsed/>
    <w:qFormat/>
    <w:uiPriority w:val="99"/>
    <w:rPr>
      <w:color w:val="0000FF"/>
      <w:u w:val="single"/>
    </w:rPr>
  </w:style>
  <w:style w:type="character" w:styleId="36">
    <w:name w:val="annotation reference"/>
    <w:autoRedefine/>
    <w:qFormat/>
    <w:uiPriority w:val="99"/>
    <w:rPr>
      <w:sz w:val="21"/>
      <w:szCs w:val="21"/>
    </w:rPr>
  </w:style>
  <w:style w:type="paragraph" w:customStyle="1" w:styleId="37">
    <w:name w:val="表格文字"/>
    <w:basedOn w:val="1"/>
    <w:autoRedefine/>
    <w:qFormat/>
    <w:uiPriority w:val="0"/>
    <w:pPr>
      <w:jc w:val="left"/>
    </w:pPr>
    <w:rPr>
      <w:rFonts w:ascii="Calibri" w:hAnsi="Calibri"/>
      <w:bCs/>
      <w:spacing w:val="10"/>
      <w:kern w:val="0"/>
      <w:sz w:val="24"/>
    </w:rPr>
  </w:style>
  <w:style w:type="character" w:customStyle="1" w:styleId="38">
    <w:name w:val="标题 1 字符"/>
    <w:link w:val="3"/>
    <w:autoRedefine/>
    <w:qFormat/>
    <w:uiPriority w:val="9"/>
    <w:rPr>
      <w:b/>
      <w:bCs/>
      <w:kern w:val="44"/>
      <w:sz w:val="44"/>
      <w:szCs w:val="44"/>
    </w:rPr>
  </w:style>
  <w:style w:type="character" w:customStyle="1" w:styleId="39">
    <w:name w:val="标题 2 字符"/>
    <w:link w:val="4"/>
    <w:autoRedefine/>
    <w:qFormat/>
    <w:uiPriority w:val="9"/>
    <w:rPr>
      <w:rFonts w:ascii="Cambria" w:hAnsi="Cambria" w:eastAsia="宋体" w:cs="Times New Roman"/>
      <w:b/>
      <w:bCs/>
      <w:kern w:val="2"/>
      <w:sz w:val="32"/>
      <w:szCs w:val="32"/>
    </w:rPr>
  </w:style>
  <w:style w:type="character" w:customStyle="1" w:styleId="40">
    <w:name w:val="标题 3 字符"/>
    <w:link w:val="5"/>
    <w:autoRedefine/>
    <w:semiHidden/>
    <w:qFormat/>
    <w:uiPriority w:val="9"/>
    <w:rPr>
      <w:b/>
      <w:bCs/>
      <w:kern w:val="2"/>
      <w:sz w:val="32"/>
      <w:szCs w:val="32"/>
    </w:rPr>
  </w:style>
  <w:style w:type="character" w:customStyle="1" w:styleId="41">
    <w:name w:val="标题 5 字符"/>
    <w:link w:val="7"/>
    <w:autoRedefine/>
    <w:qFormat/>
    <w:uiPriority w:val="9"/>
    <w:rPr>
      <w:rFonts w:ascii="Times New Roman" w:hAnsi="Times New Roman"/>
      <w:b/>
      <w:bCs/>
      <w:kern w:val="2"/>
      <w:sz w:val="28"/>
      <w:szCs w:val="28"/>
    </w:rPr>
  </w:style>
  <w:style w:type="character" w:customStyle="1" w:styleId="42">
    <w:name w:val="标题 8 字符"/>
    <w:link w:val="9"/>
    <w:autoRedefine/>
    <w:semiHidden/>
    <w:qFormat/>
    <w:uiPriority w:val="9"/>
    <w:rPr>
      <w:rFonts w:ascii="等线 Light" w:hAnsi="等线 Light" w:eastAsia="等线 Light" w:cs="Times New Roman"/>
      <w:kern w:val="2"/>
      <w:sz w:val="24"/>
      <w:szCs w:val="24"/>
    </w:rPr>
  </w:style>
  <w:style w:type="character" w:customStyle="1" w:styleId="43">
    <w:name w:val="批注文字 字符2"/>
    <w:link w:val="12"/>
    <w:autoRedefine/>
    <w:qFormat/>
    <w:uiPriority w:val="0"/>
    <w:rPr>
      <w:rFonts w:ascii="Times New Roman" w:hAnsi="Times New Roman"/>
      <w:kern w:val="2"/>
      <w:sz w:val="21"/>
      <w:szCs w:val="24"/>
    </w:rPr>
  </w:style>
  <w:style w:type="character" w:customStyle="1" w:styleId="44">
    <w:name w:val="正文文本 3 字符"/>
    <w:link w:val="13"/>
    <w:autoRedefine/>
    <w:semiHidden/>
    <w:qFormat/>
    <w:uiPriority w:val="99"/>
    <w:rPr>
      <w:kern w:val="2"/>
      <w:sz w:val="16"/>
      <w:szCs w:val="16"/>
    </w:rPr>
  </w:style>
  <w:style w:type="character" w:customStyle="1" w:styleId="45">
    <w:name w:val="正文文本 字符1"/>
    <w:link w:val="14"/>
    <w:autoRedefine/>
    <w:qFormat/>
    <w:uiPriority w:val="0"/>
    <w:rPr>
      <w:rFonts w:ascii="Times New Roman" w:hAnsi="Times New Roman"/>
      <w:kern w:val="2"/>
      <w:sz w:val="21"/>
      <w:szCs w:val="24"/>
    </w:rPr>
  </w:style>
  <w:style w:type="character" w:customStyle="1" w:styleId="46">
    <w:name w:val="正文文本缩进 字符"/>
    <w:link w:val="15"/>
    <w:autoRedefine/>
    <w:qFormat/>
    <w:uiPriority w:val="0"/>
    <w:rPr>
      <w:rFonts w:ascii="仿宋_GB2312" w:hAnsi="Times New Roman" w:eastAsia="仿宋_GB2312" w:cs="Times New Roman"/>
      <w:sz w:val="32"/>
      <w:szCs w:val="20"/>
    </w:rPr>
  </w:style>
  <w:style w:type="character" w:customStyle="1" w:styleId="47">
    <w:name w:val="纯文本 字符3"/>
    <w:link w:val="18"/>
    <w:autoRedefine/>
    <w:qFormat/>
    <w:uiPriority w:val="0"/>
    <w:rPr>
      <w:rFonts w:ascii="宋体" w:hAnsi="Courier New" w:eastAsia="宋体" w:cs="Courier New"/>
      <w:szCs w:val="21"/>
    </w:rPr>
  </w:style>
  <w:style w:type="character" w:customStyle="1" w:styleId="48">
    <w:name w:val="日期 字符"/>
    <w:link w:val="19"/>
    <w:autoRedefine/>
    <w:semiHidden/>
    <w:qFormat/>
    <w:uiPriority w:val="99"/>
    <w:rPr>
      <w:rFonts w:ascii="Times New Roman" w:hAnsi="Times New Roman"/>
      <w:kern w:val="2"/>
      <w:sz w:val="21"/>
      <w:szCs w:val="24"/>
    </w:rPr>
  </w:style>
  <w:style w:type="character" w:customStyle="1" w:styleId="49">
    <w:name w:val="页脚 字符"/>
    <w:link w:val="2"/>
    <w:autoRedefine/>
    <w:qFormat/>
    <w:uiPriority w:val="99"/>
    <w:rPr>
      <w:sz w:val="18"/>
      <w:szCs w:val="18"/>
    </w:rPr>
  </w:style>
  <w:style w:type="character" w:customStyle="1" w:styleId="50">
    <w:name w:val="页眉 字符"/>
    <w:link w:val="21"/>
    <w:autoRedefine/>
    <w:qFormat/>
    <w:uiPriority w:val="99"/>
    <w:rPr>
      <w:sz w:val="18"/>
      <w:szCs w:val="18"/>
    </w:rPr>
  </w:style>
  <w:style w:type="character" w:customStyle="1" w:styleId="51">
    <w:name w:val="批注主题 字符"/>
    <w:link w:val="26"/>
    <w:autoRedefine/>
    <w:qFormat/>
    <w:uiPriority w:val="99"/>
    <w:rPr>
      <w:rFonts w:ascii="Times New Roman" w:hAnsi="Times New Roman"/>
      <w:b/>
      <w:bCs/>
      <w:kern w:val="2"/>
      <w:sz w:val="21"/>
      <w:szCs w:val="24"/>
    </w:rPr>
  </w:style>
  <w:style w:type="character" w:customStyle="1" w:styleId="52">
    <w:name w:val="批注文字 字符"/>
    <w:autoRedefine/>
    <w:qFormat/>
    <w:uiPriority w:val="0"/>
    <w:rPr>
      <w:rFonts w:ascii="Times New Roman" w:hAnsi="Times New Roman"/>
      <w:kern w:val="2"/>
      <w:sz w:val="21"/>
      <w:szCs w:val="24"/>
    </w:rPr>
  </w:style>
  <w:style w:type="character" w:customStyle="1" w:styleId="53">
    <w:name w:val="10"/>
    <w:autoRedefine/>
    <w:qFormat/>
    <w:uiPriority w:val="0"/>
  </w:style>
  <w:style w:type="character" w:customStyle="1" w:styleId="54">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5">
    <w:name w:val="未处理的提及1"/>
    <w:autoRedefine/>
    <w:unhideWhenUsed/>
    <w:qFormat/>
    <w:uiPriority w:val="99"/>
    <w:rPr>
      <w:color w:val="605E5C"/>
      <w:shd w:val="clear" w:color="auto" w:fill="E1DFDD"/>
    </w:rPr>
  </w:style>
  <w:style w:type="character" w:customStyle="1" w:styleId="56">
    <w:name w:val="批注文字 字符1"/>
    <w:autoRedefine/>
    <w:qFormat/>
    <w:uiPriority w:val="0"/>
    <w:rPr>
      <w:rFonts w:ascii="Times New Roman" w:hAnsi="Times New Roman"/>
      <w:kern w:val="2"/>
      <w:sz w:val="21"/>
      <w:szCs w:val="24"/>
    </w:rPr>
  </w:style>
  <w:style w:type="character" w:customStyle="1" w:styleId="57">
    <w:name w:val="正文文本 Char"/>
    <w:autoRedefine/>
    <w:qFormat/>
    <w:uiPriority w:val="0"/>
    <w:rPr>
      <w:rFonts w:ascii="Times New Roman" w:hAnsi="Times New Roman"/>
      <w:kern w:val="2"/>
      <w:sz w:val="21"/>
      <w:szCs w:val="24"/>
    </w:rPr>
  </w:style>
  <w:style w:type="character" w:customStyle="1" w:styleId="58">
    <w:name w:val="正文文本 (2) + 间距 0 pt"/>
    <w:autoRedefine/>
    <w:qFormat/>
    <w:uiPriority w:val="0"/>
    <w:rPr>
      <w:rFonts w:ascii="微软雅黑 Light" w:hAnsi="微软雅黑 Light" w:eastAsia="微软雅黑 Light" w:cs="微软雅黑 Light"/>
      <w:color w:val="000000"/>
      <w:spacing w:val="0"/>
      <w:w w:val="100"/>
      <w:position w:val="0"/>
      <w:sz w:val="22"/>
      <w:szCs w:val="22"/>
      <w:shd w:val="clear" w:color="auto" w:fill="FFFFFF"/>
      <w:lang w:val="zh-CN" w:eastAsia="zh-CN" w:bidi="zh-CN"/>
    </w:rPr>
  </w:style>
  <w:style w:type="character" w:customStyle="1" w:styleId="59">
    <w:name w:val="textcontents"/>
    <w:autoRedefine/>
    <w:qFormat/>
    <w:uiPriority w:val="0"/>
  </w:style>
  <w:style w:type="character" w:customStyle="1" w:styleId="60">
    <w:name w:val="纯文本 Char"/>
    <w:autoRedefine/>
    <w:qFormat/>
    <w:uiPriority w:val="0"/>
    <w:rPr>
      <w:rFonts w:ascii="宋体" w:hAnsi="Courier New" w:eastAsia="宋体" w:cs="Courier New"/>
      <w:szCs w:val="21"/>
    </w:rPr>
  </w:style>
  <w:style w:type="character" w:customStyle="1" w:styleId="61">
    <w:name w:val="标题 1 字符1"/>
    <w:autoRedefine/>
    <w:qFormat/>
    <w:uiPriority w:val="0"/>
    <w:rPr>
      <w:b/>
      <w:bCs/>
      <w:kern w:val="44"/>
      <w:sz w:val="44"/>
      <w:szCs w:val="44"/>
    </w:rPr>
  </w:style>
  <w:style w:type="character" w:customStyle="1" w:styleId="62">
    <w:name w:val="标题 2 Char"/>
    <w:autoRedefine/>
    <w:qFormat/>
    <w:uiPriority w:val="9"/>
    <w:rPr>
      <w:rFonts w:ascii="Cambria" w:hAnsi="Cambria" w:eastAsia="宋体" w:cs="Times New Roman"/>
      <w:b/>
      <w:bCs/>
      <w:kern w:val="2"/>
      <w:sz w:val="32"/>
      <w:szCs w:val="32"/>
    </w:rPr>
  </w:style>
  <w:style w:type="character" w:customStyle="1" w:styleId="63">
    <w:name w:val="纯文本 字符1"/>
    <w:autoRedefine/>
    <w:qFormat/>
    <w:uiPriority w:val="0"/>
    <w:rPr>
      <w:rFonts w:ascii="宋体" w:hAnsi="Courier New"/>
    </w:rPr>
  </w:style>
  <w:style w:type="character" w:customStyle="1" w:styleId="64">
    <w:name w:val="批注文字 Char"/>
    <w:autoRedefine/>
    <w:qFormat/>
    <w:uiPriority w:val="0"/>
    <w:rPr>
      <w:rFonts w:ascii="Times New Roman" w:hAnsi="Times New Roman"/>
      <w:kern w:val="2"/>
      <w:sz w:val="21"/>
      <w:szCs w:val="24"/>
    </w:rPr>
  </w:style>
  <w:style w:type="character" w:customStyle="1" w:styleId="65">
    <w:name w:val="标题 8 Char"/>
    <w:autoRedefine/>
    <w:qFormat/>
    <w:uiPriority w:val="0"/>
    <w:rPr>
      <w:rFonts w:ascii="Arial" w:hAnsi="Arial" w:eastAsia="黑体"/>
      <w:kern w:val="2"/>
      <w:sz w:val="24"/>
      <w:szCs w:val="24"/>
    </w:rPr>
  </w:style>
  <w:style w:type="character" w:customStyle="1" w:styleId="66">
    <w:name w:val="正文文本 字符"/>
    <w:autoRedefine/>
    <w:qFormat/>
    <w:uiPriority w:val="0"/>
    <w:rPr>
      <w:rFonts w:ascii="Times New Roman" w:hAnsi="Times New Roman"/>
      <w:kern w:val="2"/>
      <w:sz w:val="21"/>
      <w:szCs w:val="24"/>
    </w:rPr>
  </w:style>
  <w:style w:type="character" w:customStyle="1" w:styleId="67">
    <w:name w:val="纯文本 字符2"/>
    <w:autoRedefine/>
    <w:qFormat/>
    <w:uiPriority w:val="0"/>
    <w:rPr>
      <w:rFonts w:ascii="宋体" w:hAnsi="Courier New" w:eastAsia="宋体" w:cs="Courier New"/>
      <w:szCs w:val="21"/>
    </w:rPr>
  </w:style>
  <w:style w:type="character" w:customStyle="1" w:styleId="68">
    <w:name w:val="纯文本 字符"/>
    <w:autoRedefine/>
    <w:qFormat/>
    <w:uiPriority w:val="0"/>
    <w:rPr>
      <w:rFonts w:ascii="宋体" w:hAnsi="Courier New" w:eastAsia="宋体" w:cs="Courier New"/>
      <w:szCs w:val="21"/>
    </w:rPr>
  </w:style>
  <w:style w:type="character" w:customStyle="1" w:styleId="69">
    <w:name w:val="apple-style-span"/>
    <w:autoRedefine/>
    <w:qFormat/>
    <w:uiPriority w:val="0"/>
  </w:style>
  <w:style w:type="character" w:customStyle="1" w:styleId="70">
    <w:name w:val="正文2 Char Char"/>
    <w:link w:val="71"/>
    <w:autoRedefine/>
    <w:qFormat/>
    <w:uiPriority w:val="0"/>
    <w:rPr>
      <w:sz w:val="24"/>
    </w:rPr>
  </w:style>
  <w:style w:type="paragraph" w:customStyle="1" w:styleId="71">
    <w:name w:val="正文2"/>
    <w:basedOn w:val="1"/>
    <w:link w:val="70"/>
    <w:autoRedefine/>
    <w:qFormat/>
    <w:uiPriority w:val="0"/>
    <w:pPr>
      <w:adjustRightInd w:val="0"/>
      <w:spacing w:before="156" w:line="360" w:lineRule="auto"/>
      <w:ind w:firstLine="510" w:firstLineChars="200"/>
    </w:pPr>
    <w:rPr>
      <w:kern w:val="0"/>
      <w:sz w:val="24"/>
      <w:szCs w:val="20"/>
    </w:rPr>
  </w:style>
  <w:style w:type="paragraph" w:customStyle="1" w:styleId="72">
    <w:name w:val="_Style 70"/>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3">
    <w:name w:val="Char Char Char Char"/>
    <w:basedOn w:val="1"/>
    <w:autoRedefine/>
    <w:qFormat/>
    <w:uiPriority w:val="0"/>
    <w:pPr>
      <w:widowControl/>
      <w:spacing w:after="160" w:line="240" w:lineRule="exact"/>
      <w:jc w:val="left"/>
    </w:pPr>
  </w:style>
  <w:style w:type="paragraph" w:customStyle="1" w:styleId="74">
    <w:name w:val="正文文本_0"/>
    <w:basedOn w:val="75"/>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paragraph" w:customStyle="1" w:styleId="7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缩进1"/>
    <w:basedOn w:val="1"/>
    <w:next w:val="15"/>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7">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列出段落2"/>
    <w:basedOn w:val="1"/>
    <w:autoRedefine/>
    <w:unhideWhenUsed/>
    <w:qFormat/>
    <w:uiPriority w:val="99"/>
    <w:pPr>
      <w:spacing w:line="360" w:lineRule="auto"/>
      <w:ind w:firstLine="420" w:firstLineChars="200"/>
    </w:pPr>
    <w:rPr>
      <w:rFonts w:ascii="Calibri" w:hAnsi="Calibri" w:eastAsia="仿宋"/>
      <w:sz w:val="28"/>
      <w:szCs w:val="22"/>
    </w:rPr>
  </w:style>
  <w:style w:type="paragraph" w:customStyle="1" w:styleId="7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80">
    <w:name w:val="正文-2字符首行缩进"/>
    <w:basedOn w:val="1"/>
    <w:autoRedefine/>
    <w:qFormat/>
    <w:uiPriority w:val="0"/>
    <w:pPr>
      <w:spacing w:line="360" w:lineRule="auto"/>
      <w:ind w:firstLine="200" w:firstLineChars="200"/>
    </w:pPr>
    <w:rPr>
      <w:rFonts w:ascii="仿宋_GB2312" w:hAnsi="宋体" w:eastAsia="仿宋_GB2312"/>
      <w:sz w:val="28"/>
      <w:szCs w:val="22"/>
    </w:rPr>
  </w:style>
  <w:style w:type="paragraph" w:styleId="81">
    <w:name w:val="List Paragraph"/>
    <w:basedOn w:val="1"/>
    <w:autoRedefine/>
    <w:qFormat/>
    <w:uiPriority w:val="34"/>
    <w:pPr>
      <w:ind w:firstLine="420" w:firstLineChars="200"/>
    </w:pPr>
  </w:style>
  <w:style w:type="paragraph" w:customStyle="1" w:styleId="82">
    <w:name w:val="Table Paragraph"/>
    <w:basedOn w:val="1"/>
    <w:autoRedefine/>
    <w:qFormat/>
    <w:uiPriority w:val="1"/>
    <w:pPr>
      <w:jc w:val="left"/>
    </w:pPr>
    <w:rPr>
      <w:rFonts w:ascii="Calibri" w:hAnsi="Calibri"/>
      <w:kern w:val="0"/>
      <w:sz w:val="22"/>
      <w:szCs w:val="22"/>
      <w:lang w:eastAsia="en-US"/>
    </w:rPr>
  </w:style>
  <w:style w:type="paragraph" w:customStyle="1" w:styleId="83">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4">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默认段落字体 Para Char Char Char Char Char Char Char Char Char1 Char Char Char Char"/>
    <w:basedOn w:val="1"/>
    <w:autoRedefine/>
    <w:qFormat/>
    <w:uiPriority w:val="0"/>
    <w:rPr>
      <w:rFonts w:ascii="Tahoma" w:hAnsi="Tahoma"/>
      <w:sz w:val="24"/>
      <w:szCs w:val="20"/>
    </w:rPr>
  </w:style>
  <w:style w:type="paragraph" w:customStyle="1" w:styleId="8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8">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reader-word-layer_0"/>
    <w:basedOn w:val="88"/>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92">
    <w:name w:val="标题 1_2"/>
    <w:basedOn w:val="88"/>
    <w:next w:val="88"/>
    <w:autoRedefine/>
    <w:qFormat/>
    <w:uiPriority w:val="0"/>
    <w:pPr>
      <w:keepNext/>
      <w:keepLines/>
      <w:spacing w:line="360" w:lineRule="auto"/>
      <w:outlineLvl w:val="0"/>
    </w:pPr>
    <w:rPr>
      <w:b/>
      <w:bCs/>
      <w:kern w:val="44"/>
      <w:sz w:val="32"/>
      <w:szCs w:val="44"/>
    </w:rPr>
  </w:style>
  <w:style w:type="paragraph" w:customStyle="1" w:styleId="93">
    <w:name w:val="正文_2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9F68D-E941-49FF-97F2-90E58A6158FE}">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143</Pages>
  <Words>4956</Words>
  <Characters>6111</Characters>
  <Lines>756</Lines>
  <Paragraphs>212</Paragraphs>
  <TotalTime>15</TotalTime>
  <ScaleCrop>false</ScaleCrop>
  <LinksUpToDate>false</LinksUpToDate>
  <CharactersWithSpaces>6271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2025-09-17T03:37:00Z</dcterms:created>
  <dc:creator>唐冰</dc:creator>
  <cp:lastModifiedBy>秋水一色</cp:lastModifiedBy>
  <cp:lastPrinted>2023-03-22T02:36:00Z</cp:lastPrinted>
  <dcterms:modified xsi:type="dcterms:W3CDTF">2025-09-17T14:16:02Z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DE0CB424E636440A9B9CA9DE92061BFF_13</vt:lpwstr>
  </property>
  <property fmtid="{D5CDD505-2E9C-101B-9397-08002B2CF9AE}" pid="4" name="KSOTemplateDocerSaveRecord">
    <vt:lpwstr>eyJoZGlkIjoiMWJlZWUyNmJmZTgwY2ExOWU5MDI5NGQyYjdkZTU2ZGIiLCJ1c2VySWQiOiI0MDc0OTgyMDUifQ==</vt:lpwstr>
  </property>
</Properties>
</file>