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60BAF">
      <w:pPr>
        <w:spacing w:before="120" w:beforeLines="50" w:line="360" w:lineRule="auto"/>
        <w:jc w:val="center"/>
        <w:rPr>
          <w:rFonts w:hint="eastAsia" w:ascii="宋体" w:hAnsi="宋体" w:eastAsia="宋体" w:cs="宋体"/>
          <w:color w:val="auto"/>
          <w:sz w:val="52"/>
          <w:szCs w:val="52"/>
          <w:highlight w:val="none"/>
        </w:rPr>
      </w:pPr>
    </w:p>
    <w:p w14:paraId="045D209A">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广西科联招标中心有限公司</w:t>
      </w:r>
    </w:p>
    <w:p w14:paraId="323FC590">
      <w:pPr>
        <w:jc w:val="center"/>
        <w:rPr>
          <w:rFonts w:hint="eastAsia" w:ascii="宋体" w:hAnsi="宋体" w:eastAsia="宋体" w:cs="宋体"/>
          <w:b/>
          <w:color w:val="auto"/>
          <w:sz w:val="32"/>
          <w:szCs w:val="32"/>
          <w:highlight w:val="none"/>
        </w:rPr>
      </w:pPr>
    </w:p>
    <w:p w14:paraId="59FD024C">
      <w:pPr>
        <w:jc w:val="center"/>
        <w:rPr>
          <w:rFonts w:hint="eastAsia" w:ascii="宋体" w:hAnsi="宋体" w:eastAsia="宋体" w:cs="宋体"/>
          <w:color w:val="auto"/>
          <w:highlight w:val="none"/>
        </w:rPr>
      </w:pPr>
    </w:p>
    <w:p w14:paraId="43734A70">
      <w:pPr>
        <w:jc w:val="center"/>
        <w:rPr>
          <w:rFonts w:hint="eastAsia" w:ascii="宋体" w:hAnsi="宋体" w:eastAsia="宋体" w:cs="宋体"/>
          <w:b/>
          <w:bCs/>
          <w:color w:val="auto"/>
          <w:kern w:val="0"/>
          <w:sz w:val="30"/>
          <w:szCs w:val="30"/>
          <w:highlight w:val="none"/>
        </w:rPr>
      </w:pPr>
    </w:p>
    <w:p w14:paraId="30288389">
      <w:pPr>
        <w:pStyle w:val="23"/>
        <w:jc w:val="center"/>
        <w:rPr>
          <w:rFonts w:hint="eastAsia" w:ascii="宋体" w:hAnsi="宋体" w:eastAsia="宋体" w:cs="宋体"/>
          <w:color w:val="auto"/>
          <w:highlight w:val="none"/>
        </w:rPr>
      </w:pPr>
    </w:p>
    <w:p w14:paraId="077F50FE">
      <w:pPr>
        <w:spacing w:before="240" w:beforeLines="100" w:after="120" w:afterLines="50"/>
        <w:jc w:val="center"/>
        <w:rPr>
          <w:rFonts w:hint="eastAsia" w:ascii="宋体" w:hAnsi="宋体" w:eastAsia="宋体" w:cs="宋体"/>
          <w:b/>
          <w:color w:val="auto"/>
          <w:sz w:val="44"/>
          <w:szCs w:val="44"/>
          <w:highlight w:val="none"/>
        </w:rPr>
      </w:pPr>
      <w:r>
        <w:rPr>
          <w:rFonts w:hint="eastAsia" w:ascii="宋体" w:hAnsi="宋体" w:eastAsia="宋体" w:cs="宋体"/>
          <w:b/>
          <w:bCs/>
          <w:color w:val="auto"/>
          <w:spacing w:val="100"/>
          <w:sz w:val="84"/>
          <w:szCs w:val="84"/>
          <w:highlight w:val="none"/>
        </w:rPr>
        <w:t>竞争性磋商文</w:t>
      </w:r>
      <w:r>
        <w:rPr>
          <w:rFonts w:hint="eastAsia" w:ascii="宋体" w:hAnsi="宋体" w:eastAsia="宋体" w:cs="宋体"/>
          <w:b/>
          <w:bCs/>
          <w:color w:val="auto"/>
          <w:sz w:val="84"/>
          <w:szCs w:val="84"/>
          <w:highlight w:val="none"/>
        </w:rPr>
        <w:t>件</w:t>
      </w:r>
    </w:p>
    <w:p w14:paraId="22593F63">
      <w:pPr>
        <w:spacing w:before="240" w:beforeLines="100" w:after="120" w:afterLines="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（全流程电子化评标）</w:t>
      </w:r>
    </w:p>
    <w:p w14:paraId="355514A4">
      <w:pPr>
        <w:jc w:val="center"/>
        <w:rPr>
          <w:rFonts w:hint="eastAsia" w:ascii="宋体" w:hAnsi="宋体" w:eastAsia="宋体" w:cs="宋体"/>
          <w:b/>
          <w:color w:val="auto"/>
          <w:sz w:val="32"/>
          <w:szCs w:val="32"/>
          <w:highlight w:val="none"/>
        </w:rPr>
      </w:pPr>
    </w:p>
    <w:p w14:paraId="269A0710">
      <w:pPr>
        <w:jc w:val="center"/>
        <w:rPr>
          <w:rFonts w:hint="eastAsia" w:ascii="宋体" w:hAnsi="宋体" w:eastAsia="宋体" w:cs="宋体"/>
          <w:color w:val="auto"/>
          <w:highlight w:val="none"/>
        </w:rPr>
      </w:pPr>
    </w:p>
    <w:p w14:paraId="385EDD6B">
      <w:pPr>
        <w:jc w:val="center"/>
        <w:rPr>
          <w:rFonts w:hint="eastAsia" w:ascii="宋体" w:hAnsi="宋体" w:eastAsia="宋体" w:cs="宋体"/>
          <w:b/>
          <w:bCs/>
          <w:color w:val="auto"/>
          <w:kern w:val="0"/>
          <w:sz w:val="30"/>
          <w:szCs w:val="30"/>
          <w:highlight w:val="none"/>
        </w:rPr>
      </w:pPr>
    </w:p>
    <w:p w14:paraId="5003B10D">
      <w:pPr>
        <w:pStyle w:val="23"/>
        <w:jc w:val="center"/>
        <w:rPr>
          <w:rFonts w:hint="eastAsia" w:ascii="宋体" w:hAnsi="宋体" w:eastAsia="宋体" w:cs="宋体"/>
          <w:color w:val="auto"/>
          <w:highlight w:val="none"/>
        </w:rPr>
      </w:pPr>
    </w:p>
    <w:p w14:paraId="153B636B">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项目</w:t>
      </w:r>
      <w:r>
        <w:rPr>
          <w:rFonts w:hint="eastAsia" w:ascii="宋体" w:hAnsi="宋体" w:eastAsia="宋体" w:cs="宋体"/>
          <w:b/>
          <w:bCs/>
          <w:color w:val="auto"/>
          <w:w w:val="95"/>
          <w:kern w:val="0"/>
          <w:sz w:val="30"/>
          <w:szCs w:val="30"/>
          <w:highlight w:val="none"/>
        </w:rPr>
        <w:t>名称</w:t>
      </w:r>
      <w:r>
        <w:rPr>
          <w:rFonts w:hint="eastAsia" w:ascii="宋体" w:hAnsi="宋体" w:eastAsia="宋体" w:cs="宋体"/>
          <w:b/>
          <w:bCs/>
          <w:color w:val="auto"/>
          <w:kern w:val="0"/>
          <w:sz w:val="30"/>
          <w:szCs w:val="30"/>
          <w:highlight w:val="none"/>
        </w:rPr>
        <w:t>：</w:t>
      </w:r>
      <w:r>
        <w:rPr>
          <w:rFonts w:hint="eastAsia" w:ascii="宋体" w:hAnsi="宋体" w:eastAsia="宋体" w:cs="宋体"/>
          <w:b/>
          <w:bCs/>
          <w:color w:val="auto"/>
          <w:kern w:val="0"/>
          <w:sz w:val="30"/>
          <w:szCs w:val="30"/>
          <w:highlight w:val="none"/>
          <w:lang w:eastAsia="zh-CN"/>
        </w:rPr>
        <w:t>运营管理决策支持平台项目</w:t>
      </w:r>
    </w:p>
    <w:p w14:paraId="723E80B8">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项目编号：</w:t>
      </w:r>
      <w:r>
        <w:rPr>
          <w:rFonts w:hint="eastAsia" w:ascii="宋体" w:hAnsi="宋体" w:cs="宋体"/>
          <w:b/>
          <w:bCs/>
          <w:color w:val="auto"/>
          <w:kern w:val="0"/>
          <w:sz w:val="30"/>
          <w:szCs w:val="30"/>
          <w:highlight w:val="none"/>
          <w:lang w:eastAsia="zh-CN"/>
        </w:rPr>
        <w:t>GXZC2025-C3-002156-GXKL</w:t>
      </w:r>
    </w:p>
    <w:p w14:paraId="4EACB1ED">
      <w:pPr>
        <w:jc w:val="center"/>
        <w:rPr>
          <w:rFonts w:hint="eastAsia" w:ascii="宋体" w:hAnsi="宋体" w:eastAsia="宋体" w:cs="宋体"/>
          <w:b/>
          <w:color w:val="auto"/>
          <w:sz w:val="32"/>
          <w:szCs w:val="32"/>
          <w:highlight w:val="none"/>
        </w:rPr>
      </w:pPr>
    </w:p>
    <w:p w14:paraId="1F53F80D">
      <w:pPr>
        <w:jc w:val="center"/>
        <w:rPr>
          <w:rFonts w:hint="eastAsia" w:ascii="宋体" w:hAnsi="宋体" w:eastAsia="宋体" w:cs="宋体"/>
          <w:color w:val="auto"/>
          <w:highlight w:val="none"/>
        </w:rPr>
      </w:pPr>
    </w:p>
    <w:p w14:paraId="1B671CD0">
      <w:pPr>
        <w:jc w:val="center"/>
        <w:rPr>
          <w:rFonts w:hint="eastAsia" w:ascii="宋体" w:hAnsi="宋体" w:eastAsia="宋体" w:cs="宋体"/>
          <w:b/>
          <w:bCs/>
          <w:color w:val="auto"/>
          <w:kern w:val="0"/>
          <w:sz w:val="30"/>
          <w:szCs w:val="30"/>
          <w:highlight w:val="none"/>
        </w:rPr>
      </w:pPr>
    </w:p>
    <w:p w14:paraId="08E12085">
      <w:pPr>
        <w:pStyle w:val="23"/>
        <w:jc w:val="center"/>
        <w:rPr>
          <w:rFonts w:hint="eastAsia" w:ascii="宋体" w:hAnsi="宋体" w:eastAsia="宋体" w:cs="宋体"/>
          <w:color w:val="auto"/>
          <w:highlight w:val="none"/>
        </w:rPr>
      </w:pPr>
    </w:p>
    <w:p w14:paraId="0C8CC724">
      <w:pPr>
        <w:pStyle w:val="23"/>
        <w:jc w:val="center"/>
        <w:rPr>
          <w:rFonts w:hint="eastAsia" w:ascii="宋体" w:hAnsi="宋体" w:eastAsia="宋体" w:cs="宋体"/>
          <w:b/>
          <w:bCs/>
          <w:color w:val="auto"/>
          <w:sz w:val="30"/>
          <w:szCs w:val="30"/>
          <w:highlight w:val="none"/>
        </w:rPr>
      </w:pPr>
    </w:p>
    <w:p w14:paraId="30E63393">
      <w:pPr>
        <w:jc w:val="center"/>
        <w:rPr>
          <w:rFonts w:hint="eastAsia" w:ascii="宋体" w:hAnsi="宋体" w:eastAsia="宋体" w:cs="宋体"/>
          <w:color w:val="auto"/>
          <w:highlight w:val="none"/>
        </w:rPr>
      </w:pPr>
    </w:p>
    <w:p w14:paraId="081F3E38">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采购人：</w:t>
      </w:r>
      <w:r>
        <w:rPr>
          <w:rFonts w:hint="eastAsia" w:ascii="宋体" w:hAnsi="宋体" w:eastAsia="宋体" w:cs="宋体"/>
          <w:b/>
          <w:bCs/>
          <w:color w:val="auto"/>
          <w:kern w:val="0"/>
          <w:sz w:val="30"/>
          <w:szCs w:val="30"/>
          <w:highlight w:val="none"/>
          <w:lang w:eastAsia="zh-CN"/>
        </w:rPr>
        <w:t>广西医科大学第二附属医院</w:t>
      </w:r>
    </w:p>
    <w:p w14:paraId="1E8B67EF">
      <w:pPr>
        <w:snapToGrid w:val="0"/>
        <w:spacing w:before="50" w:after="120" w:line="360" w:lineRule="auto"/>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采购代理机构：</w:t>
      </w:r>
      <w:bookmarkStart w:id="0" w:name="PO_3000001866_PM031"/>
      <w:r>
        <w:rPr>
          <w:rFonts w:hint="eastAsia" w:ascii="宋体" w:hAnsi="宋体" w:eastAsia="宋体" w:cs="宋体"/>
          <w:b/>
          <w:bCs/>
          <w:color w:val="auto"/>
          <w:kern w:val="0"/>
          <w:sz w:val="30"/>
          <w:szCs w:val="30"/>
          <w:highlight w:val="none"/>
        </w:rPr>
        <w:t>广西科联招标中心有限公司</w:t>
      </w:r>
      <w:bookmarkEnd w:id="0"/>
    </w:p>
    <w:p w14:paraId="72D056B7">
      <w:pPr>
        <w:pStyle w:val="23"/>
        <w:jc w:val="center"/>
        <w:rPr>
          <w:rFonts w:hint="eastAsia" w:ascii="宋体" w:hAnsi="宋体" w:eastAsia="宋体" w:cs="宋体"/>
          <w:color w:val="auto"/>
          <w:highlight w:val="none"/>
        </w:rPr>
      </w:pPr>
    </w:p>
    <w:p w14:paraId="7D4832D3">
      <w:pPr>
        <w:jc w:val="center"/>
        <w:rPr>
          <w:rFonts w:hint="eastAsia" w:ascii="宋体" w:hAnsi="宋体" w:eastAsia="宋体" w:cs="宋体"/>
          <w:color w:val="auto"/>
          <w:highlight w:val="none"/>
        </w:rPr>
      </w:pPr>
    </w:p>
    <w:p w14:paraId="3E47B371">
      <w:pPr>
        <w:snapToGrid w:val="0"/>
        <w:spacing w:before="50" w:after="120" w:line="360" w:lineRule="auto"/>
        <w:jc w:val="center"/>
        <w:rPr>
          <w:rFonts w:hint="eastAsia" w:ascii="宋体" w:hAnsi="宋体" w:eastAsia="宋体" w:cs="宋体"/>
          <w:b/>
          <w:bCs/>
          <w:color w:val="auto"/>
          <w:w w:val="95"/>
          <w:kern w:val="0"/>
          <w:sz w:val="30"/>
          <w:szCs w:val="30"/>
          <w:highlight w:val="none"/>
        </w:rPr>
      </w:pPr>
      <w:r>
        <w:rPr>
          <w:rFonts w:hint="eastAsia" w:ascii="宋体" w:hAnsi="宋体" w:eastAsia="宋体" w:cs="宋体"/>
          <w:b/>
          <w:bCs/>
          <w:color w:val="auto"/>
          <w:w w:val="95"/>
          <w:kern w:val="0"/>
          <w:sz w:val="30"/>
          <w:szCs w:val="30"/>
          <w:highlight w:val="none"/>
        </w:rPr>
        <w:t>2025年</w:t>
      </w:r>
      <w:r>
        <w:rPr>
          <w:rFonts w:hint="eastAsia" w:ascii="宋体" w:hAnsi="宋体" w:cs="宋体"/>
          <w:b/>
          <w:bCs/>
          <w:color w:val="auto"/>
          <w:w w:val="95"/>
          <w:kern w:val="0"/>
          <w:sz w:val="30"/>
          <w:szCs w:val="30"/>
          <w:highlight w:val="none"/>
          <w:lang w:val="en-US" w:eastAsia="zh-CN"/>
        </w:rPr>
        <w:t>7</w:t>
      </w:r>
      <w:r>
        <w:rPr>
          <w:rFonts w:hint="eastAsia" w:ascii="宋体" w:hAnsi="宋体" w:eastAsia="宋体" w:cs="宋体"/>
          <w:b/>
          <w:bCs/>
          <w:color w:val="auto"/>
          <w:w w:val="95"/>
          <w:kern w:val="0"/>
          <w:sz w:val="30"/>
          <w:szCs w:val="30"/>
          <w:highlight w:val="none"/>
        </w:rPr>
        <w:t>月</w:t>
      </w:r>
      <w:r>
        <w:rPr>
          <w:rFonts w:hint="eastAsia" w:ascii="宋体" w:hAnsi="宋体" w:cs="宋体"/>
          <w:b/>
          <w:bCs/>
          <w:color w:val="auto"/>
          <w:w w:val="95"/>
          <w:kern w:val="0"/>
          <w:sz w:val="30"/>
          <w:szCs w:val="30"/>
          <w:highlight w:val="none"/>
          <w:lang w:val="en-US" w:eastAsia="zh-CN"/>
        </w:rPr>
        <w:t>28</w:t>
      </w:r>
      <w:r>
        <w:rPr>
          <w:rFonts w:hint="eastAsia" w:ascii="宋体" w:hAnsi="宋体" w:eastAsia="宋体" w:cs="宋体"/>
          <w:b/>
          <w:bCs/>
          <w:color w:val="auto"/>
          <w:w w:val="95"/>
          <w:kern w:val="0"/>
          <w:sz w:val="30"/>
          <w:szCs w:val="30"/>
          <w:highlight w:val="none"/>
        </w:rPr>
        <w:t>日</w:t>
      </w:r>
    </w:p>
    <w:p w14:paraId="130C9C24">
      <w:pPr>
        <w:pStyle w:val="13"/>
        <w:ind w:firstLine="803"/>
        <w:jc w:val="center"/>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14:paraId="17E8C3DA">
      <w:pPr>
        <w:spacing w:before="360" w:beforeLines="150" w:after="360" w:afterLines="1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1A8667C3">
      <w:pPr>
        <w:spacing w:line="400" w:lineRule="exact"/>
        <w:jc w:val="center"/>
        <w:rPr>
          <w:rFonts w:hint="eastAsia" w:ascii="宋体" w:hAnsi="宋体" w:eastAsia="宋体" w:cs="宋体"/>
          <w:b/>
          <w:color w:val="auto"/>
          <w:sz w:val="44"/>
          <w:szCs w:val="44"/>
          <w:highlight w:val="none"/>
        </w:rPr>
      </w:pPr>
    </w:p>
    <w:p w14:paraId="79619A55">
      <w:pPr>
        <w:pStyle w:val="25"/>
        <w:tabs>
          <w:tab w:val="right" w:leader="dot" w:pos="9643"/>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24"/>
          <w:highlight w:val="none"/>
        </w:rPr>
        <w:fldChar w:fldCharType="begin"/>
      </w:r>
      <w:r>
        <w:rPr>
          <w:rFonts w:hint="eastAsia" w:ascii="宋体" w:hAnsi="宋体" w:eastAsia="宋体" w:cs="宋体"/>
          <w:b/>
          <w:bCs/>
          <w:color w:val="auto"/>
          <w:sz w:val="24"/>
          <w:highlight w:val="none"/>
        </w:rPr>
        <w:instrText xml:space="preserve">TOC \o "1-1" \h \u </w:instrText>
      </w:r>
      <w:r>
        <w:rPr>
          <w:rFonts w:hint="eastAsia" w:ascii="宋体" w:hAnsi="宋体" w:eastAsia="宋体" w:cs="宋体"/>
          <w:b/>
          <w:bCs/>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"_Toc32264"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2"/>
          <w:szCs w:val="32"/>
          <w:highlight w:val="none"/>
        </w:rPr>
        <w:t>第一章  竞争性磋</w:t>
      </w:r>
      <w:bookmarkStart w:id="1" w:name="_Hlt135924181"/>
      <w:r>
        <w:rPr>
          <w:rFonts w:hint="eastAsia" w:ascii="宋体" w:hAnsi="宋体" w:eastAsia="宋体" w:cs="宋体"/>
          <w:b/>
          <w:bCs/>
          <w:color w:val="auto"/>
          <w:sz w:val="32"/>
          <w:szCs w:val="32"/>
          <w:highlight w:val="none"/>
        </w:rPr>
        <w:t>商</w:t>
      </w:r>
      <w:bookmarkEnd w:id="1"/>
      <w:r>
        <w:rPr>
          <w:rFonts w:hint="eastAsia" w:ascii="宋体" w:hAnsi="宋体" w:eastAsia="宋体" w:cs="宋体"/>
          <w:b/>
          <w:bCs/>
          <w:color w:val="auto"/>
          <w:sz w:val="32"/>
          <w:szCs w:val="32"/>
          <w:highlight w:val="none"/>
        </w:rPr>
        <w:t>公告</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_Toc32264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65DFE525">
      <w:pPr>
        <w:pStyle w:val="25"/>
        <w:tabs>
          <w:tab w:val="right" w:leader="dot" w:pos="9643"/>
        </w:tabs>
        <w:spacing w:line="480" w:lineRule="auto"/>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"_Toc26836"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2"/>
          <w:szCs w:val="32"/>
          <w:highlight w:val="none"/>
        </w:rPr>
        <w:t>第二章  采购需</w:t>
      </w:r>
      <w:bookmarkStart w:id="2" w:name="_Hlt137127195"/>
      <w:r>
        <w:rPr>
          <w:rFonts w:hint="eastAsia" w:ascii="宋体" w:hAnsi="宋体" w:eastAsia="宋体" w:cs="宋体"/>
          <w:b/>
          <w:bCs/>
          <w:color w:val="auto"/>
          <w:sz w:val="32"/>
          <w:szCs w:val="32"/>
          <w:highlight w:val="none"/>
        </w:rPr>
        <w:t>求</w:t>
      </w:r>
      <w:bookmarkEnd w:id="2"/>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_Toc26836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6</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64183EBE">
      <w:pPr>
        <w:pStyle w:val="25"/>
        <w:tabs>
          <w:tab w:val="right" w:leader="dot" w:pos="9643"/>
        </w:tabs>
        <w:spacing w:line="480" w:lineRule="auto"/>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"_Toc2072"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2"/>
          <w:szCs w:val="32"/>
          <w:highlight w:val="none"/>
        </w:rPr>
        <w:t>第三章  供应</w:t>
      </w:r>
      <w:bookmarkStart w:id="3" w:name="_Hlt135905307"/>
      <w:r>
        <w:rPr>
          <w:rFonts w:hint="eastAsia" w:ascii="宋体" w:hAnsi="宋体" w:eastAsia="宋体" w:cs="宋体"/>
          <w:b/>
          <w:bCs/>
          <w:color w:val="auto"/>
          <w:sz w:val="32"/>
          <w:szCs w:val="32"/>
          <w:highlight w:val="none"/>
        </w:rPr>
        <w:t>商</w:t>
      </w:r>
      <w:bookmarkEnd w:id="3"/>
      <w:r>
        <w:rPr>
          <w:rFonts w:hint="eastAsia" w:ascii="宋体" w:hAnsi="宋体" w:eastAsia="宋体" w:cs="宋体"/>
          <w:b/>
          <w:bCs/>
          <w:color w:val="auto"/>
          <w:sz w:val="32"/>
          <w:szCs w:val="32"/>
          <w:highlight w:val="none"/>
        </w:rPr>
        <w:t>须知</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_Toc2072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16</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2E054BFB">
      <w:pPr>
        <w:pStyle w:val="25"/>
        <w:tabs>
          <w:tab w:val="right" w:leader="dot" w:pos="9643"/>
        </w:tabs>
        <w:spacing w:line="480" w:lineRule="auto"/>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"_Toc1088"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2"/>
          <w:szCs w:val="32"/>
          <w:highlight w:val="none"/>
        </w:rPr>
        <w:t>第四章  评审程序、评审方法和评审标准</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_Toc1088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2F027DAC">
      <w:pPr>
        <w:pStyle w:val="25"/>
        <w:tabs>
          <w:tab w:val="right" w:leader="dot" w:pos="9643"/>
        </w:tabs>
        <w:spacing w:line="480" w:lineRule="auto"/>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"_Toc22302"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2"/>
          <w:szCs w:val="32"/>
          <w:highlight w:val="none"/>
        </w:rPr>
        <w:t>第五章  响应文</w:t>
      </w:r>
      <w:bookmarkStart w:id="4" w:name="_Hlt135897173"/>
      <w:bookmarkStart w:id="5" w:name="_Hlt135897174"/>
      <w:r>
        <w:rPr>
          <w:rFonts w:hint="eastAsia" w:ascii="宋体" w:hAnsi="宋体" w:eastAsia="宋体" w:cs="宋体"/>
          <w:b/>
          <w:bCs/>
          <w:color w:val="auto"/>
          <w:sz w:val="32"/>
          <w:szCs w:val="32"/>
          <w:highlight w:val="none"/>
        </w:rPr>
        <w:t>件</w:t>
      </w:r>
      <w:bookmarkEnd w:id="4"/>
      <w:bookmarkEnd w:id="5"/>
      <w:r>
        <w:rPr>
          <w:rFonts w:hint="eastAsia" w:ascii="宋体" w:hAnsi="宋体" w:eastAsia="宋体" w:cs="宋体"/>
          <w:b/>
          <w:bCs/>
          <w:color w:val="auto"/>
          <w:sz w:val="32"/>
          <w:szCs w:val="32"/>
          <w:highlight w:val="none"/>
        </w:rPr>
        <w:t>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_Toc22302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42</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3564DF77">
      <w:pPr>
        <w:pStyle w:val="25"/>
        <w:tabs>
          <w:tab w:val="right" w:leader="dot" w:pos="9643"/>
        </w:tabs>
        <w:spacing w:line="480" w:lineRule="auto"/>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"_Toc18676"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2"/>
          <w:szCs w:val="32"/>
          <w:highlight w:val="none"/>
        </w:rPr>
        <w:t>第六章  合同</w:t>
      </w:r>
      <w:bookmarkStart w:id="6" w:name="_Hlt137127064"/>
      <w:bookmarkStart w:id="7" w:name="_Hlt137127063"/>
      <w:bookmarkStart w:id="8" w:name="_Hlt135924190"/>
      <w:r>
        <w:rPr>
          <w:rFonts w:hint="eastAsia" w:ascii="宋体" w:hAnsi="宋体" w:eastAsia="宋体" w:cs="宋体"/>
          <w:b/>
          <w:bCs/>
          <w:color w:val="auto"/>
          <w:sz w:val="32"/>
          <w:szCs w:val="32"/>
          <w:highlight w:val="none"/>
        </w:rPr>
        <w:t>文</w:t>
      </w:r>
      <w:bookmarkEnd w:id="6"/>
      <w:bookmarkEnd w:id="7"/>
      <w:bookmarkEnd w:id="8"/>
      <w:bookmarkStart w:id="9" w:name="_Hlt135924166"/>
      <w:bookmarkStart w:id="10" w:name="_Hlt135924167"/>
      <w:r>
        <w:rPr>
          <w:rFonts w:hint="eastAsia" w:ascii="宋体" w:hAnsi="宋体" w:eastAsia="宋体" w:cs="宋体"/>
          <w:b/>
          <w:bCs/>
          <w:color w:val="auto"/>
          <w:sz w:val="32"/>
          <w:szCs w:val="32"/>
          <w:highlight w:val="none"/>
        </w:rPr>
        <w:t>本</w:t>
      </w:r>
      <w:bookmarkEnd w:id="9"/>
      <w:bookmarkEnd w:id="10"/>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_Toc18676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70</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3C16B1B4">
      <w:pPr>
        <w:pStyle w:val="25"/>
        <w:tabs>
          <w:tab w:val="right" w:leader="dot" w:pos="9643"/>
        </w:tabs>
        <w:spacing w:line="480" w:lineRule="auto"/>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"_Toc13011"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z w:val="32"/>
          <w:szCs w:val="32"/>
          <w:highlight w:val="none"/>
        </w:rPr>
        <w:t>第七章  质疑、投诉</w:t>
      </w:r>
      <w:bookmarkStart w:id="11" w:name="_Hlt137580638"/>
      <w:bookmarkStart w:id="12" w:name="_Hlt137580637"/>
      <w:r>
        <w:rPr>
          <w:rFonts w:hint="eastAsia" w:ascii="宋体" w:hAnsi="宋体" w:eastAsia="宋体" w:cs="宋体"/>
          <w:b/>
          <w:bCs/>
          <w:color w:val="auto"/>
          <w:sz w:val="32"/>
          <w:szCs w:val="32"/>
          <w:highlight w:val="none"/>
        </w:rPr>
        <w:t>材</w:t>
      </w:r>
      <w:bookmarkEnd w:id="11"/>
      <w:bookmarkEnd w:id="12"/>
      <w:r>
        <w:rPr>
          <w:rFonts w:hint="eastAsia" w:ascii="宋体" w:hAnsi="宋体" w:eastAsia="宋体" w:cs="宋体"/>
          <w:b/>
          <w:bCs/>
          <w:color w:val="auto"/>
          <w:sz w:val="32"/>
          <w:szCs w:val="32"/>
          <w:highlight w:val="none"/>
        </w:rPr>
        <w:t>料格式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_Toc13011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79</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7DCB75BD">
      <w:pPr>
        <w:pStyle w:val="27"/>
        <w:spacing w:line="480" w:lineRule="auto"/>
        <w:rPr>
          <w:rFonts w:hint="eastAsia" w:ascii="宋体" w:hAnsi="宋体" w:eastAsia="宋体" w:cs="宋体"/>
          <w:b/>
          <w:color w:val="auto"/>
          <w:sz w:val="32"/>
          <w:szCs w:val="32"/>
          <w:highlight w:val="none"/>
        </w:rPr>
      </w:pPr>
      <w:r>
        <w:rPr>
          <w:rFonts w:hint="eastAsia" w:ascii="宋体" w:hAnsi="宋体" w:eastAsia="宋体" w:cs="宋体"/>
          <w:b/>
          <w:bCs/>
          <w:color w:val="auto"/>
          <w:sz w:val="24"/>
          <w:highlight w:val="none"/>
        </w:rPr>
        <w:fldChar w:fldCharType="end"/>
      </w:r>
    </w:p>
    <w:p w14:paraId="7AE6BA9B">
      <w:pPr>
        <w:spacing w:line="400" w:lineRule="exact"/>
        <w:rPr>
          <w:rFonts w:hint="eastAsia" w:ascii="宋体" w:hAnsi="宋体" w:eastAsia="宋体" w:cs="宋体"/>
          <w:b/>
          <w:color w:val="auto"/>
          <w:sz w:val="32"/>
          <w:szCs w:val="32"/>
          <w:highlight w:val="none"/>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p>
    <w:p w14:paraId="4DBF0BDD">
      <w:pPr>
        <w:pStyle w:val="2"/>
        <w:spacing w:before="360" w:after="360" w:line="400" w:lineRule="exact"/>
        <w:jc w:val="center"/>
        <w:rPr>
          <w:rFonts w:hint="eastAsia" w:ascii="宋体" w:hAnsi="宋体" w:eastAsia="宋体" w:cs="宋体"/>
          <w:color w:val="auto"/>
          <w:highlight w:val="none"/>
        </w:rPr>
      </w:pPr>
      <w:bookmarkStart w:id="13" w:name="_Toc27000"/>
      <w:bookmarkStart w:id="14" w:name="_Toc15624"/>
      <w:bookmarkStart w:id="15" w:name="_Toc32264"/>
      <w:bookmarkStart w:id="16" w:name="_Toc18838"/>
      <w:bookmarkStart w:id="17" w:name="_Toc11382"/>
      <w:bookmarkStart w:id="18" w:name="_Toc12242"/>
      <w:bookmarkStart w:id="19" w:name="_Toc80886925"/>
      <w:bookmarkStart w:id="20" w:name="_Toc11989"/>
      <w:r>
        <w:rPr>
          <w:rFonts w:hint="eastAsia" w:ascii="宋体" w:hAnsi="宋体" w:eastAsia="宋体" w:cs="宋体"/>
          <w:color w:val="auto"/>
          <w:highlight w:val="none"/>
        </w:rPr>
        <w:t>第一章 竞争性磋商公告</w:t>
      </w:r>
      <w:bookmarkEnd w:id="13"/>
      <w:bookmarkEnd w:id="14"/>
      <w:bookmarkEnd w:id="15"/>
      <w:bookmarkEnd w:id="16"/>
      <w:bookmarkEnd w:id="17"/>
      <w:bookmarkEnd w:id="18"/>
      <w:bookmarkEnd w:id="19"/>
      <w:bookmarkEnd w:id="20"/>
      <w:bookmarkStart w:id="21" w:name="_Toc28359012"/>
      <w:bookmarkStart w:id="22" w:name="_Toc35393798"/>
      <w:bookmarkStart w:id="23" w:name="_Toc28359004"/>
      <w:bookmarkStart w:id="24" w:name="_Toc44229878"/>
      <w:bookmarkStart w:id="25" w:name="_Toc35393792"/>
      <w:bookmarkStart w:id="26" w:name="_Toc35393629"/>
      <w:bookmarkStart w:id="27" w:name="_Toc28359089"/>
      <w:bookmarkStart w:id="28" w:name="_Toc28359081"/>
      <w:bookmarkStart w:id="29" w:name="_Toc35393623"/>
    </w:p>
    <w:p w14:paraId="24278C37">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广西科联招标中心有限公司关于</w:t>
      </w:r>
      <w:r>
        <w:rPr>
          <w:rFonts w:hint="eastAsia" w:ascii="宋体" w:hAnsi="宋体" w:eastAsia="宋体" w:cs="宋体"/>
          <w:b/>
          <w:color w:val="auto"/>
          <w:sz w:val="36"/>
          <w:szCs w:val="36"/>
          <w:highlight w:val="none"/>
          <w:lang w:eastAsia="zh-CN"/>
        </w:rPr>
        <w:t>运营管理决策支持平台项目</w:t>
      </w: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eastAsia="zh-CN"/>
        </w:rPr>
        <w:t>GXZC2025-C3-002156-GXKL</w:t>
      </w:r>
      <w:r>
        <w:rPr>
          <w:rFonts w:hint="eastAsia" w:ascii="宋体" w:hAnsi="宋体" w:eastAsia="宋体" w:cs="宋体"/>
          <w:b/>
          <w:color w:val="auto"/>
          <w:sz w:val="36"/>
          <w:szCs w:val="36"/>
          <w:highlight w:val="none"/>
        </w:rPr>
        <w:t>）的竞争性磋商公告</w:t>
      </w:r>
    </w:p>
    <w:p w14:paraId="08FBA6B6">
      <w:pPr>
        <w:pStyle w:val="23"/>
        <w:rPr>
          <w:rFonts w:hint="eastAsia" w:ascii="宋体" w:hAnsi="宋体" w:eastAsia="宋体" w:cs="宋体"/>
          <w:color w:val="auto"/>
          <w:highlight w:val="none"/>
        </w:rPr>
      </w:pPr>
    </w:p>
    <w:bookmarkEnd w:id="21"/>
    <w:bookmarkEnd w:id="22"/>
    <w:bookmarkEnd w:id="23"/>
    <w:bookmarkEnd w:id="24"/>
    <w:bookmarkEnd w:id="25"/>
    <w:bookmarkEnd w:id="26"/>
    <w:bookmarkEnd w:id="27"/>
    <w:bookmarkEnd w:id="28"/>
    <w:bookmarkEnd w:id="29"/>
    <w:tbl>
      <w:tblPr>
        <w:tblStyle w:val="32"/>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6602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14:paraId="391EE20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12AEBECB">
            <w:pPr>
              <w:spacing w:line="360" w:lineRule="auto"/>
              <w:ind w:firstLine="420" w:firstLineChars="200"/>
              <w:rPr>
                <w:rFonts w:hint="eastAsia" w:ascii="宋体" w:hAnsi="宋体" w:eastAsia="宋体" w:cs="宋体"/>
                <w:bCs/>
                <w:color w:val="auto"/>
                <w:sz w:val="24"/>
                <w:highlight w:val="none"/>
              </w:rPr>
            </w:pPr>
            <w:r>
              <w:rPr>
                <w:rFonts w:hint="eastAsia" w:ascii="宋体" w:hAnsi="宋体" w:eastAsia="宋体" w:cs="宋体"/>
                <w:color w:val="auto"/>
                <w:szCs w:val="21"/>
                <w:highlight w:val="none"/>
                <w:u w:val="single"/>
                <w:lang w:eastAsia="zh-CN"/>
              </w:rPr>
              <w:t>运营管理决策支持平台项目</w:t>
            </w:r>
            <w:r>
              <w:rPr>
                <w:rFonts w:hint="eastAsia" w:ascii="宋体" w:hAnsi="宋体" w:eastAsia="宋体" w:cs="宋体"/>
                <w:color w:val="auto"/>
                <w:szCs w:val="21"/>
                <w:highlight w:val="none"/>
              </w:rPr>
              <w:t>项目的潜在供应商应在广西政府采购云平台（https://www.gcy.zfcg.gxzf.gov.cn/）获取采购文件，并于2025年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日09:00:00（北京时间）前提交响应文件。</w:t>
            </w:r>
          </w:p>
        </w:tc>
      </w:tr>
    </w:tbl>
    <w:p w14:paraId="423155C4">
      <w:pPr>
        <w:numPr>
          <w:ilvl w:val="0"/>
          <w:numId w:val="0"/>
        </w:num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highlight w:val="none"/>
        </w:rPr>
        <w:t>项目基本情况</w:t>
      </w:r>
    </w:p>
    <w:p w14:paraId="7E8E1153">
      <w:pPr>
        <w:numPr>
          <w:ilvl w:val="0"/>
          <w:numId w:val="0"/>
        </w:numPr>
        <w:spacing w:line="390" w:lineRule="exact"/>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项目编号：</w:t>
      </w:r>
      <w:r>
        <w:rPr>
          <w:rFonts w:hint="eastAsia" w:ascii="宋体" w:hAnsi="宋体" w:cs="宋体"/>
          <w:color w:val="auto"/>
          <w:szCs w:val="21"/>
          <w:highlight w:val="none"/>
          <w:lang w:eastAsia="zh-CN"/>
        </w:rPr>
        <w:t>GXZC2025-C3-002156-GXKL</w:t>
      </w:r>
    </w:p>
    <w:p w14:paraId="61529F9D">
      <w:pPr>
        <w:numPr>
          <w:ilvl w:val="0"/>
          <w:numId w:val="0"/>
        </w:numPr>
        <w:spacing w:line="390" w:lineRule="exact"/>
        <w:ind w:firstLine="422" w:firstLineChars="200"/>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项目名称：</w:t>
      </w:r>
      <w:r>
        <w:rPr>
          <w:rFonts w:hint="eastAsia" w:ascii="宋体" w:hAnsi="宋体" w:eastAsia="宋体" w:cs="宋体"/>
          <w:color w:val="auto"/>
          <w:szCs w:val="21"/>
          <w:highlight w:val="none"/>
          <w:lang w:eastAsia="zh-CN"/>
        </w:rPr>
        <w:t>运营管理决策支持平台项目</w:t>
      </w:r>
    </w:p>
    <w:p w14:paraId="0DAA9192">
      <w:pPr>
        <w:numPr>
          <w:ilvl w:val="0"/>
          <w:numId w:val="0"/>
        </w:numPr>
        <w:spacing w:line="39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采购方式：</w:t>
      </w:r>
      <w:r>
        <w:rPr>
          <w:rFonts w:hint="eastAsia" w:ascii="宋体" w:hAnsi="宋体" w:eastAsia="宋体" w:cs="宋体"/>
          <w:color w:val="auto"/>
          <w:szCs w:val="21"/>
          <w:highlight w:val="none"/>
        </w:rPr>
        <w:t>竞争性磋商</w:t>
      </w:r>
    </w:p>
    <w:p w14:paraId="08269D7D">
      <w:pPr>
        <w:numPr>
          <w:ilvl w:val="0"/>
          <w:numId w:val="0"/>
        </w:numPr>
        <w:spacing w:line="39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预算总金额（元）</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000.00</w:t>
      </w:r>
    </w:p>
    <w:p w14:paraId="771CFDCC">
      <w:pPr>
        <w:numPr>
          <w:ilvl w:val="0"/>
          <w:numId w:val="0"/>
        </w:numPr>
        <w:spacing w:line="390" w:lineRule="exact"/>
        <w:ind w:firstLine="422" w:firstLineChars="200"/>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最高限价（元）：</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000.00</w:t>
      </w:r>
    </w:p>
    <w:p w14:paraId="4CA01AF4">
      <w:pPr>
        <w:numPr>
          <w:ilvl w:val="0"/>
          <w:numId w:val="0"/>
        </w:numPr>
        <w:spacing w:line="39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采购需求：</w:t>
      </w:r>
      <w:r>
        <w:rPr>
          <w:rFonts w:hint="eastAsia" w:ascii="宋体" w:hAnsi="宋体" w:eastAsia="宋体" w:cs="宋体"/>
          <w:b w:val="0"/>
          <w:bCs w:val="0"/>
          <w:color w:val="auto"/>
          <w:szCs w:val="21"/>
          <w:highlight w:val="none"/>
        </w:rPr>
        <w:t>运营管理决策支持系统</w:t>
      </w:r>
      <w:r>
        <w:rPr>
          <w:rFonts w:hint="eastAsia" w:ascii="宋体" w:hAnsi="宋体" w:eastAsia="宋体" w:cs="宋体"/>
          <w:b w:val="0"/>
          <w:bCs w:val="0"/>
          <w:color w:val="auto"/>
          <w:szCs w:val="21"/>
          <w:highlight w:val="none"/>
          <w:lang w:val="en-US" w:eastAsia="zh-CN"/>
        </w:rPr>
        <w:t>1套，具体内容详见磋商文件</w:t>
      </w:r>
      <w:r>
        <w:rPr>
          <w:rFonts w:hint="eastAsia" w:ascii="宋体" w:hAnsi="宋体" w:eastAsia="宋体" w:cs="宋体"/>
          <w:color w:val="auto"/>
          <w:szCs w:val="21"/>
          <w:highlight w:val="none"/>
        </w:rPr>
        <w:t>。</w:t>
      </w:r>
      <w:bookmarkStart w:id="30" w:name="_Toc35393630"/>
      <w:bookmarkStart w:id="31" w:name="_Toc35393799"/>
      <w:bookmarkStart w:id="32" w:name="_Toc44229879"/>
      <w:bookmarkStart w:id="33" w:name="_Toc28359013"/>
      <w:bookmarkStart w:id="34" w:name="_Toc28359090"/>
    </w:p>
    <w:p w14:paraId="78FD6DFC">
      <w:pPr>
        <w:numPr>
          <w:ilvl w:val="0"/>
          <w:numId w:val="0"/>
        </w:numPr>
        <w:spacing w:line="39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合同履行期限：合同签订后，按采购人要求90个工作日内交货并完成安装调试。</w:t>
      </w:r>
    </w:p>
    <w:p w14:paraId="13E6D92C">
      <w:pPr>
        <w:numPr>
          <w:ilvl w:val="0"/>
          <w:numId w:val="0"/>
        </w:numPr>
        <w:spacing w:line="390" w:lineRule="exact"/>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本项目（否）接受联合体。</w:t>
      </w:r>
    </w:p>
    <w:p w14:paraId="36409ACB">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二、申请人的资格</w:t>
      </w:r>
      <w:bookmarkEnd w:id="30"/>
      <w:bookmarkEnd w:id="31"/>
      <w:bookmarkEnd w:id="32"/>
      <w:bookmarkEnd w:id="33"/>
      <w:bookmarkEnd w:id="34"/>
      <w:r>
        <w:rPr>
          <w:rFonts w:hint="eastAsia" w:ascii="宋体" w:hAnsi="宋体" w:eastAsia="宋体" w:cs="宋体"/>
          <w:b/>
          <w:bCs/>
          <w:color w:val="auto"/>
          <w:sz w:val="24"/>
          <w:highlight w:val="none"/>
        </w:rPr>
        <w:t>要求</w:t>
      </w:r>
    </w:p>
    <w:p w14:paraId="3F66C3E9">
      <w:pPr>
        <w:spacing w:line="39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0F938D8E">
      <w:pPr>
        <w:spacing w:line="39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color w:val="auto"/>
          <w:highlight w:val="none"/>
        </w:rPr>
        <w:t>本项目为专门面向</w:t>
      </w:r>
      <w:r>
        <w:rPr>
          <w:rFonts w:hint="eastAsia" w:ascii="宋体" w:hAnsi="宋体" w:eastAsia="宋体" w:cs="宋体"/>
          <w:color w:val="auto"/>
          <w:highlight w:val="none"/>
          <w:lang w:val="en-US" w:eastAsia="zh-CN"/>
        </w:rPr>
        <w:t>中小</w:t>
      </w:r>
      <w:r>
        <w:rPr>
          <w:rFonts w:hint="eastAsia" w:ascii="宋体" w:hAnsi="宋体" w:eastAsia="宋体" w:cs="宋体"/>
          <w:color w:val="auto"/>
          <w:highlight w:val="none"/>
        </w:rPr>
        <w:t>企业采购的项目。供应商必须提供</w:t>
      </w:r>
      <w:r>
        <w:rPr>
          <w:rFonts w:hint="eastAsia" w:ascii="宋体" w:hAnsi="宋体" w:eastAsia="宋体" w:cs="宋体"/>
          <w:color w:val="auto"/>
          <w:highlight w:val="none"/>
          <w:lang w:val="en-US" w:eastAsia="zh-CN"/>
        </w:rPr>
        <w:t>中小</w:t>
      </w:r>
      <w:r>
        <w:rPr>
          <w:rFonts w:hint="eastAsia" w:ascii="宋体" w:hAnsi="宋体" w:eastAsia="宋体" w:cs="宋体"/>
          <w:color w:val="auto"/>
          <w:highlight w:val="none"/>
        </w:rPr>
        <w:t>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color w:val="auto"/>
          <w:szCs w:val="21"/>
          <w:highlight w:val="none"/>
        </w:rPr>
        <w:t>；</w:t>
      </w:r>
    </w:p>
    <w:p w14:paraId="1C5A743C">
      <w:pPr>
        <w:spacing w:line="39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lang w:val="en-US" w:eastAsia="zh-CN"/>
        </w:rPr>
        <w:t>无</w:t>
      </w:r>
      <w:r>
        <w:rPr>
          <w:rFonts w:hint="eastAsia" w:ascii="宋体" w:hAnsi="宋体" w:eastAsia="宋体" w:cs="宋体"/>
          <w:color w:val="auto"/>
          <w:szCs w:val="21"/>
          <w:highlight w:val="none"/>
        </w:rPr>
        <w:t>。</w:t>
      </w:r>
    </w:p>
    <w:p w14:paraId="52F24BC6">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三、获取采购文件</w:t>
      </w:r>
    </w:p>
    <w:p w14:paraId="5FED39CD">
      <w:pPr>
        <w:spacing w:line="390" w:lineRule="exact"/>
        <w:ind w:firstLine="420" w:firstLineChars="200"/>
        <w:rPr>
          <w:rFonts w:hint="eastAsia" w:ascii="宋体" w:hAnsi="宋体" w:eastAsia="宋体" w:cs="宋体"/>
          <w:bCs/>
          <w:color w:val="auto"/>
          <w:kern w:val="0"/>
          <w:szCs w:val="21"/>
          <w:highlight w:val="none"/>
        </w:rPr>
      </w:pPr>
      <w:bookmarkStart w:id="35" w:name="_Toc28359005"/>
      <w:bookmarkStart w:id="36" w:name="_Toc28359082"/>
      <w:bookmarkStart w:id="37" w:name="_Toc35393624"/>
      <w:bookmarkStart w:id="38" w:name="_Toc35393793"/>
      <w:r>
        <w:rPr>
          <w:rFonts w:hint="eastAsia" w:ascii="宋体" w:hAnsi="宋体" w:eastAsia="宋体" w:cs="宋体"/>
          <w:bCs/>
          <w:color w:val="auto"/>
          <w:kern w:val="0"/>
          <w:szCs w:val="21"/>
          <w:highlight w:val="none"/>
        </w:rPr>
        <w:t>时间：2025年</w:t>
      </w:r>
      <w:r>
        <w:rPr>
          <w:rFonts w:hint="eastAsia" w:ascii="宋体" w:hAnsi="宋体" w:cs="宋体"/>
          <w:bCs/>
          <w:color w:val="auto"/>
          <w:kern w:val="0"/>
          <w:szCs w:val="21"/>
          <w:highlight w:val="none"/>
          <w:lang w:val="en-US" w:eastAsia="zh-CN"/>
        </w:rPr>
        <w:t>7</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28</w:t>
      </w:r>
      <w:r>
        <w:rPr>
          <w:rFonts w:hint="eastAsia" w:ascii="宋体" w:hAnsi="宋体" w:eastAsia="宋体" w:cs="宋体"/>
          <w:bCs/>
          <w:color w:val="auto"/>
          <w:kern w:val="0"/>
          <w:szCs w:val="21"/>
          <w:highlight w:val="none"/>
        </w:rPr>
        <w:t>日至2025年</w:t>
      </w:r>
      <w:r>
        <w:rPr>
          <w:rFonts w:hint="eastAsia" w:ascii="宋体" w:hAnsi="宋体" w:cs="宋体"/>
          <w:bCs/>
          <w:color w:val="auto"/>
          <w:kern w:val="0"/>
          <w:szCs w:val="21"/>
          <w:highlight w:val="none"/>
          <w:lang w:val="en-US" w:eastAsia="zh-CN"/>
        </w:rPr>
        <w:t>8</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日，每天上午00:00至11:59，下午12:00至23:59（北京时间，法定节假日除外）；</w:t>
      </w:r>
    </w:p>
    <w:p w14:paraId="005B4B73">
      <w:pPr>
        <w:spacing w:line="39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地点（网址）：</w:t>
      </w:r>
      <w:r>
        <w:rPr>
          <w:rFonts w:hint="eastAsia" w:ascii="宋体" w:hAnsi="宋体" w:eastAsia="宋体" w:cs="宋体"/>
          <w:color w:val="auto"/>
          <w:szCs w:val="21"/>
          <w:highlight w:val="none"/>
        </w:rPr>
        <w:t>广西政府采购云平台（https://www.gcy.zfcg.gxzf.gov.cn/）</w:t>
      </w:r>
    </w:p>
    <w:p w14:paraId="4640CDCA">
      <w:pPr>
        <w:pStyle w:val="13"/>
        <w:spacing w:line="390" w:lineRule="exact"/>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　　方式：网上下载。本项目不发放纸质采购文件，潜在供应商可自行登录广西政府采购云平台下载采购文件，电子响应文件制作需要基于广西政府采购云平台获取的采购文件编制。</w:t>
      </w:r>
    </w:p>
    <w:p w14:paraId="3A371496">
      <w:pPr>
        <w:snapToGrid w:val="0"/>
        <w:spacing w:line="39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售价（元）：0</w:t>
      </w:r>
    </w:p>
    <w:p w14:paraId="1B288823">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35"/>
      <w:bookmarkEnd w:id="36"/>
      <w:bookmarkEnd w:id="37"/>
      <w:bookmarkEnd w:id="38"/>
      <w:r>
        <w:rPr>
          <w:rFonts w:hint="eastAsia" w:ascii="宋体" w:hAnsi="宋体" w:eastAsia="宋体" w:cs="宋体"/>
          <w:b/>
          <w:bCs/>
          <w:color w:val="auto"/>
          <w:sz w:val="24"/>
          <w:highlight w:val="none"/>
        </w:rPr>
        <w:t>响应文件提交</w:t>
      </w:r>
    </w:p>
    <w:p w14:paraId="5A6E5EF3">
      <w:pPr>
        <w:spacing w:line="39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：2025年</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月</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日09:00:00（北京时间）</w:t>
      </w:r>
    </w:p>
    <w:p w14:paraId="645E2F98">
      <w:pPr>
        <w:spacing w:line="39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2、首次响应文件提交地点（网址）：广西政府采购云平台（https://www.gcy.zfcg.gxzf.gov.cn/）</w:t>
      </w:r>
    </w:p>
    <w:p w14:paraId="6CD55F21">
      <w:pPr>
        <w:spacing w:line="39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五、响应文件开启</w:t>
      </w:r>
    </w:p>
    <w:p w14:paraId="07F11C69">
      <w:pPr>
        <w:spacing w:line="39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开启时间：2025年</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日09:00:00</w:t>
      </w:r>
      <w:r>
        <w:rPr>
          <w:rFonts w:hint="eastAsia" w:ascii="宋体" w:hAnsi="宋体" w:eastAsia="宋体" w:cs="宋体"/>
          <w:bCs/>
          <w:color w:val="auto"/>
          <w:szCs w:val="21"/>
          <w:highlight w:val="none"/>
        </w:rPr>
        <w:t>（北京时间）</w:t>
      </w:r>
    </w:p>
    <w:p w14:paraId="40ECD6E8">
      <w:pPr>
        <w:spacing w:line="39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地点：广西政府采购云平台电子开标大厅</w:t>
      </w:r>
    </w:p>
    <w:p w14:paraId="48EB36C9">
      <w:pPr>
        <w:spacing w:line="390" w:lineRule="exact"/>
        <w:ind w:firstLine="482" w:firstLineChars="200"/>
        <w:rPr>
          <w:rFonts w:hint="eastAsia" w:ascii="宋体" w:hAnsi="宋体" w:eastAsia="宋体" w:cs="宋体"/>
          <w:b/>
          <w:bCs/>
          <w:color w:val="auto"/>
          <w:sz w:val="24"/>
          <w:highlight w:val="none"/>
        </w:rPr>
      </w:pPr>
      <w:bookmarkStart w:id="39" w:name="_Toc28359084"/>
      <w:bookmarkStart w:id="40" w:name="_Toc35393794"/>
      <w:bookmarkStart w:id="41" w:name="_Toc28359007"/>
      <w:bookmarkStart w:id="42" w:name="_Toc35393625"/>
      <w:r>
        <w:rPr>
          <w:rFonts w:hint="eastAsia" w:ascii="宋体" w:hAnsi="宋体" w:eastAsia="宋体" w:cs="宋体"/>
          <w:b/>
          <w:bCs/>
          <w:color w:val="auto"/>
          <w:sz w:val="24"/>
          <w:highlight w:val="none"/>
        </w:rPr>
        <w:t>六、公告期限</w:t>
      </w:r>
      <w:bookmarkEnd w:id="39"/>
      <w:bookmarkEnd w:id="40"/>
      <w:bookmarkEnd w:id="41"/>
      <w:bookmarkEnd w:id="42"/>
    </w:p>
    <w:p w14:paraId="17A17215">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186D20FC">
      <w:pPr>
        <w:spacing w:line="390" w:lineRule="exact"/>
        <w:ind w:firstLine="482" w:firstLineChars="200"/>
        <w:rPr>
          <w:rFonts w:hint="eastAsia" w:ascii="宋体" w:hAnsi="宋体" w:eastAsia="宋体" w:cs="宋体"/>
          <w:b/>
          <w:bCs/>
          <w:color w:val="auto"/>
          <w:sz w:val="24"/>
          <w:highlight w:val="none"/>
        </w:rPr>
      </w:pPr>
      <w:bookmarkStart w:id="43" w:name="_Toc35393795"/>
      <w:bookmarkStart w:id="44" w:name="_Toc35393626"/>
      <w:r>
        <w:rPr>
          <w:rFonts w:hint="eastAsia" w:ascii="宋体" w:hAnsi="宋体" w:eastAsia="宋体" w:cs="宋体"/>
          <w:b/>
          <w:bCs/>
          <w:color w:val="auto"/>
          <w:sz w:val="24"/>
          <w:highlight w:val="none"/>
        </w:rPr>
        <w:t>七、其他补充事宜</w:t>
      </w:r>
      <w:bookmarkEnd w:id="43"/>
      <w:bookmarkEnd w:id="44"/>
    </w:p>
    <w:p w14:paraId="742F429D">
      <w:pPr>
        <w:spacing w:line="390" w:lineRule="exact"/>
        <w:ind w:firstLine="420" w:firstLineChars="200"/>
        <w:rPr>
          <w:rFonts w:hint="eastAsia" w:ascii="宋体" w:hAnsi="宋体" w:eastAsia="宋体" w:cs="宋体"/>
          <w:color w:val="auto"/>
          <w:kern w:val="0"/>
          <w:szCs w:val="21"/>
          <w:highlight w:val="none"/>
        </w:rPr>
      </w:pPr>
      <w:bookmarkStart w:id="45" w:name="_Hlk37429585"/>
      <w:r>
        <w:rPr>
          <w:rFonts w:hint="eastAsia" w:ascii="宋体" w:hAnsi="宋体" w:eastAsia="宋体" w:cs="宋体"/>
          <w:color w:val="auto"/>
          <w:kern w:val="0"/>
          <w:szCs w:val="21"/>
          <w:highlight w:val="none"/>
        </w:rPr>
        <w:t>1.磋商保证金：</w:t>
      </w:r>
    </w:p>
    <w:p w14:paraId="34818139">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磋商保证金金额：¥1</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000.00元；</w:t>
      </w:r>
    </w:p>
    <w:p w14:paraId="07BA31B8">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14:paraId="0F85DC23">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开户名称：广西科联招标中心有限公司</w:t>
      </w:r>
    </w:p>
    <w:p w14:paraId="2DD73E62">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开户银行：招商银行南宁市金浦路支行</w:t>
      </w:r>
    </w:p>
    <w:p w14:paraId="7C19DC72">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银行账号：7719011969103333000010517</w:t>
      </w:r>
    </w:p>
    <w:p w14:paraId="5D963276">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支票、汇票、本票或者保函等方式的，供应商必须在首次响应文件提交截止时间前将支票、汇票、本票或者金融机构、担保机构出具的保函（电子保函除外）等原件提交给采购代理机构。否则视为无效磋商保证金。</w:t>
      </w:r>
    </w:p>
    <w:p w14:paraId="19A59846">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bookmarkStart w:id="46" w:name="_Hlk37429595"/>
      <w:r>
        <w:rPr>
          <w:rFonts w:hint="eastAsia" w:ascii="宋体" w:hAnsi="宋体" w:eastAsia="宋体" w:cs="宋体"/>
          <w:color w:val="auto"/>
          <w:kern w:val="0"/>
          <w:szCs w:val="21"/>
          <w:highlight w:val="none"/>
        </w:rPr>
        <w:t>网上查询地址</w:t>
      </w:r>
    </w:p>
    <w:bookmarkEnd w:id="45"/>
    <w:bookmarkEnd w:id="46"/>
    <w:p w14:paraId="41D95E5D">
      <w:pPr>
        <w:spacing w:line="390" w:lineRule="exact"/>
        <w:ind w:firstLine="420" w:firstLineChars="200"/>
        <w:rPr>
          <w:rFonts w:hint="eastAsia" w:ascii="宋体" w:hAnsi="宋体" w:eastAsia="宋体" w:cs="宋体"/>
          <w:color w:val="auto"/>
          <w:kern w:val="0"/>
          <w:szCs w:val="21"/>
          <w:highlight w:val="none"/>
        </w:rPr>
      </w:pPr>
      <w:bookmarkStart w:id="47" w:name="_Hlk37429674"/>
      <w:r>
        <w:rPr>
          <w:rFonts w:hint="eastAsia" w:ascii="宋体" w:hAnsi="宋体" w:eastAsia="宋体" w:cs="宋体"/>
          <w:color w:val="auto"/>
          <w:kern w:val="0"/>
          <w:szCs w:val="21"/>
          <w:highlight w:val="none"/>
        </w:rPr>
        <w:t>http://www.ccgp-guangxi.gov.cn/（中国政府采购网广西分网）。</w:t>
      </w:r>
    </w:p>
    <w:bookmarkEnd w:id="47"/>
    <w:p w14:paraId="13E19C6E">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本项目需要落实的政府采购政策</w:t>
      </w:r>
    </w:p>
    <w:p w14:paraId="2293582D">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7D2BEEDC">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26BC23F9">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344C7EF7">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0C057F5A">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14:paraId="31582F84">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A486A6F">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D1D9080">
      <w:pPr>
        <w:spacing w:line="39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6.在线竞标的有关说明：</w:t>
      </w:r>
    </w:p>
    <w:p w14:paraId="2AF826C9">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（1）响应文件提交方式：本项目为全流程电子化项目，通过广西政府采购云平台（https://www.gcy.zfcg.gxzf.gov.cn/）实行在线电子响应，</w:t>
      </w:r>
      <w:r>
        <w:rPr>
          <w:rFonts w:hint="eastAsia" w:ascii="宋体" w:hAnsi="宋体" w:eastAsia="宋体" w:cs="宋体"/>
          <w:color w:val="auto"/>
          <w:highlight w:val="none"/>
        </w:rPr>
        <w:t>供应商应先安装广西政府采购云平台新版客户端（新版客户端下载路径：广西政府采购网（访问地址http://zfcg.gxzf.gov.cn/）—办事服务—下载专区）</w:t>
      </w:r>
      <w:r>
        <w:rPr>
          <w:rFonts w:hint="eastAsia" w:ascii="宋体" w:hAnsi="宋体" w:eastAsia="宋体" w:cs="宋体"/>
          <w:color w:val="auto"/>
          <w:kern w:val="0"/>
          <w:szCs w:val="21"/>
          <w:highlight w:val="none"/>
        </w:rPr>
        <w:t>，并按照本项目采购文件和广西政府采购云平台的要求编制、加密后在响应文件提交截止时间前通过网络上传至广西政府采购云平台，</w:t>
      </w:r>
      <w:r>
        <w:rPr>
          <w:rFonts w:hint="eastAsia" w:ascii="宋体" w:hAnsi="宋体" w:eastAsia="宋体" w:cs="宋体"/>
          <w:b/>
          <w:bCs/>
          <w:color w:val="auto"/>
          <w:kern w:val="0"/>
          <w:szCs w:val="21"/>
          <w:highlight w:val="none"/>
        </w:rPr>
        <w:t>供应商在广西政府采购云平台提交电子版响应文件时，请填写参加远程开标活动经办人联系方式</w:t>
      </w:r>
      <w:r>
        <w:rPr>
          <w:rFonts w:hint="eastAsia" w:ascii="宋体" w:hAnsi="宋体" w:eastAsia="宋体" w:cs="宋体"/>
          <w:color w:val="auto"/>
          <w:kern w:val="0"/>
          <w:szCs w:val="21"/>
          <w:highlight w:val="none"/>
        </w:rPr>
        <w:t>。</w:t>
      </w:r>
    </w:p>
    <w:p w14:paraId="78032297">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14:paraId="38B797BE">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01CC4382">
      <w:pPr>
        <w:spacing w:line="390" w:lineRule="exac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4EEFCA4F">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（4）CA证书在线解密：首次响应文件开启时，需要供应商携带制作响应文件时用来加密的有效数字证书（CA认证）登录广西政府采购云平台电子开标大厅现场按规定时间对加密的响应文件进行解密。</w:t>
      </w:r>
    </w:p>
    <w:p w14:paraId="0ACF1D87">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（5）供应商需要在具备有摄像头及语音功能且互联网网络状况良好的电脑登录广西政府采购云平台远程开标大厅参与本次磋商，否则后果自负。</w:t>
      </w:r>
    </w:p>
    <w:p w14:paraId="35DC0163">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7. 若对项目采购电子交易系统操作有疑问，可登录广西政府采购云平台（https://www.gcy.zfcg.gxzf.gov.cn/），点击右侧咨询小采，获取采小蜜智能服务管家帮助，或拨打广西政府采购云平台服务热线95763获取热线服务帮助。 </w:t>
      </w:r>
    </w:p>
    <w:p w14:paraId="1238D15D">
      <w:pPr>
        <w:spacing w:line="390" w:lineRule="exact"/>
        <w:ind w:firstLine="482" w:firstLineChars="20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八、凡对本次采购提出询问，请按以下方式联系。</w:t>
      </w:r>
    </w:p>
    <w:p w14:paraId="1FDB9AFC">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17EC57F5">
      <w:pPr>
        <w:spacing w:line="390" w:lineRule="exact"/>
        <w:ind w:firstLine="840" w:firstLineChars="4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eastAsia="zh-CN"/>
        </w:rPr>
        <w:t>广西医科大学第二附属医院</w:t>
      </w:r>
    </w:p>
    <w:p w14:paraId="54CACE73">
      <w:pPr>
        <w:spacing w:line="390" w:lineRule="exact"/>
        <w:ind w:firstLine="840" w:firstLine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地址：广西南宁市大学东路166号</w:t>
      </w:r>
    </w:p>
    <w:p w14:paraId="1F1343ED">
      <w:pPr>
        <w:spacing w:line="390" w:lineRule="exact"/>
        <w:ind w:firstLine="840" w:firstLine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项目联系人：陆老师</w:t>
      </w:r>
    </w:p>
    <w:p w14:paraId="681574EF">
      <w:pPr>
        <w:spacing w:line="390" w:lineRule="exact"/>
        <w:ind w:firstLine="840" w:firstLine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项目联系方式：0771-3373768</w:t>
      </w:r>
    </w:p>
    <w:p w14:paraId="05FAA9FC">
      <w:pPr>
        <w:spacing w:line="39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14:paraId="11729363">
      <w:pPr>
        <w:spacing w:line="390" w:lineRule="exact"/>
        <w:ind w:firstLine="840" w:firstLine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bookmarkStart w:id="48" w:name="PO_3000001866_PM031_1"/>
      <w:r>
        <w:rPr>
          <w:rFonts w:hint="eastAsia" w:ascii="宋体" w:hAnsi="宋体" w:eastAsia="宋体" w:cs="宋体"/>
          <w:color w:val="auto"/>
          <w:kern w:val="0"/>
          <w:szCs w:val="21"/>
          <w:highlight w:val="none"/>
        </w:rPr>
        <w:t>广西科联招标中心有限公司</w:t>
      </w:r>
      <w:bookmarkEnd w:id="48"/>
    </w:p>
    <w:p w14:paraId="4B30E657">
      <w:pPr>
        <w:spacing w:line="390" w:lineRule="exact"/>
        <w:ind w:firstLine="840" w:firstLine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bookmarkStart w:id="49" w:name="PO_3000001866_PM035_1"/>
      <w:r>
        <w:rPr>
          <w:rFonts w:hint="eastAsia" w:ascii="宋体" w:hAnsi="宋体" w:eastAsia="宋体" w:cs="宋体"/>
          <w:color w:val="auto"/>
          <w:kern w:val="0"/>
          <w:szCs w:val="21"/>
          <w:highlight w:val="none"/>
        </w:rPr>
        <w:t>广西南宁市大学东路170号</w:t>
      </w:r>
      <w:bookmarkEnd w:id="49"/>
    </w:p>
    <w:p w14:paraId="7A1D722E">
      <w:pPr>
        <w:spacing w:line="390" w:lineRule="exact"/>
        <w:ind w:firstLine="840" w:firstLineChars="4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项目联系人：韦俊珉</w:t>
      </w:r>
    </w:p>
    <w:p w14:paraId="2AE363B9">
      <w:pPr>
        <w:spacing w:line="390" w:lineRule="exact"/>
        <w:ind w:firstLine="840" w:firstLineChars="400"/>
        <w:rPr>
          <w:rFonts w:hint="eastAsia" w:ascii="宋体" w:hAnsi="宋体" w:eastAsia="宋体" w:cs="宋体"/>
          <w:color w:val="auto"/>
          <w:sz w:val="32"/>
          <w:szCs w:val="32"/>
          <w:highlight w:val="none"/>
        </w:rPr>
      </w:pPr>
      <w:r>
        <w:rPr>
          <w:rFonts w:hint="eastAsia" w:ascii="宋体" w:hAnsi="宋体" w:eastAsia="宋体" w:cs="宋体"/>
          <w:color w:val="auto"/>
          <w:kern w:val="0"/>
          <w:szCs w:val="21"/>
          <w:highlight w:val="none"/>
        </w:rPr>
        <w:t>项目联系方式：0771-2273829</w:t>
      </w:r>
    </w:p>
    <w:p w14:paraId="55E3F85E">
      <w:pPr>
        <w:rPr>
          <w:rFonts w:hint="eastAsia" w:ascii="宋体" w:hAnsi="宋体" w:eastAsia="宋体" w:cs="宋体"/>
          <w:color w:val="auto"/>
          <w:sz w:val="32"/>
          <w:szCs w:val="32"/>
          <w:highlight w:val="none"/>
        </w:rPr>
      </w:pPr>
      <w:bookmarkStart w:id="50" w:name="_Toc11093"/>
      <w:bookmarkStart w:id="51" w:name="_Toc26836"/>
      <w:bookmarkStart w:id="52" w:name="_Toc22325"/>
      <w:bookmarkStart w:id="53" w:name="_Toc25520"/>
      <w:bookmarkStart w:id="54" w:name="_Toc9127"/>
      <w:bookmarkStart w:id="55" w:name="_Toc80886926"/>
      <w:bookmarkStart w:id="56" w:name="_Toc7184"/>
      <w:bookmarkStart w:id="57" w:name="_Toc22760"/>
      <w:r>
        <w:rPr>
          <w:rFonts w:hint="eastAsia" w:ascii="宋体" w:hAnsi="宋体" w:eastAsia="宋体" w:cs="宋体"/>
          <w:color w:val="auto"/>
          <w:sz w:val="32"/>
          <w:szCs w:val="32"/>
          <w:highlight w:val="none"/>
        </w:rPr>
        <w:br w:type="page"/>
      </w:r>
    </w:p>
    <w:p w14:paraId="0BD45745">
      <w:pPr>
        <w:pStyle w:val="2"/>
        <w:spacing w:before="100" w:after="90" w:line="240" w:lineRule="auto"/>
        <w:jc w:val="center"/>
        <w:rPr>
          <w:rFonts w:hint="eastAsia" w:ascii="宋体" w:hAnsi="宋体" w:eastAsia="宋体" w:cs="宋体"/>
          <w:bCs w:val="0"/>
          <w:color w:val="auto"/>
          <w:sz w:val="32"/>
          <w:szCs w:val="32"/>
          <w:highlight w:val="none"/>
        </w:rPr>
      </w:pPr>
      <w:r>
        <w:rPr>
          <w:rFonts w:hint="eastAsia" w:ascii="宋体" w:hAnsi="宋体" w:eastAsia="宋体" w:cs="宋体"/>
          <w:bCs w:val="0"/>
          <w:color w:val="auto"/>
          <w:sz w:val="32"/>
          <w:szCs w:val="32"/>
          <w:highlight w:val="none"/>
        </w:rPr>
        <w:t>第二章 采购需求</w:t>
      </w:r>
      <w:bookmarkEnd w:id="50"/>
      <w:bookmarkEnd w:id="51"/>
      <w:bookmarkEnd w:id="52"/>
      <w:bookmarkEnd w:id="53"/>
      <w:bookmarkEnd w:id="54"/>
      <w:bookmarkEnd w:id="55"/>
      <w:bookmarkEnd w:id="56"/>
    </w:p>
    <w:bookmarkEnd w:id="57"/>
    <w:p w14:paraId="5EB753C5">
      <w:pPr>
        <w:spacing w:line="45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14:paraId="22AE90AD">
      <w:pPr>
        <w:spacing w:line="4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为落实政府采购政策需满足的要求</w:t>
      </w:r>
    </w:p>
    <w:p w14:paraId="1659BAB3">
      <w:pPr>
        <w:spacing w:line="4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（1）本竞争性磋商采购文件所称</w:t>
      </w:r>
      <w:r>
        <w:rPr>
          <w:rFonts w:hint="eastAsia" w:ascii="宋体" w:hAnsi="宋体" w:eastAsia="宋体" w:cs="宋体"/>
          <w:color w:val="auto"/>
          <w:highlight w:val="none"/>
          <w:lang w:val="en-US" w:eastAsia="zh-CN"/>
        </w:rPr>
        <w:t>中小</w:t>
      </w:r>
      <w:r>
        <w:rPr>
          <w:rFonts w:hint="eastAsia" w:ascii="宋体" w:hAnsi="宋体" w:eastAsia="宋体" w:cs="宋体"/>
          <w:color w:val="auto"/>
          <w:highlight w:val="none"/>
        </w:rPr>
        <w:t>企业必须符合《政府采购促进中小企业发展管理办法》（财库〔2020〕46号）的规定。</w:t>
      </w:r>
    </w:p>
    <w:p w14:paraId="407DB57E">
      <w:pPr>
        <w:spacing w:line="4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“实质性要求”是指采购需求中带“▲”的条款或者不能负偏离的条款或者已经指明不满足按响应文件按无效处理的条款。</w:t>
      </w:r>
    </w:p>
    <w:p w14:paraId="4A0AACDA">
      <w:pPr>
        <w:spacing w:line="4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3.供应商必须自行为其竞标产品侵犯他人的知识产权或者专利成果的行为承担相应法律责任。</w:t>
      </w:r>
    </w:p>
    <w:p w14:paraId="76543D02">
      <w:pPr>
        <w:spacing w:line="45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b/>
          <w:bCs/>
          <w:color w:val="auto"/>
          <w:highlight w:val="none"/>
        </w:rPr>
        <w:t>本项目采购服务所属行业：</w:t>
      </w:r>
      <w:r>
        <w:rPr>
          <w:rFonts w:hint="eastAsia" w:ascii="宋体" w:hAnsi="宋体" w:eastAsia="宋体" w:cs="宋体"/>
          <w:b/>
          <w:bCs/>
          <w:color w:val="auto"/>
          <w:highlight w:val="none"/>
          <w:u w:val="single"/>
        </w:rPr>
        <w:t xml:space="preserve"> 软件和信息技术服务业 </w:t>
      </w:r>
      <w:r>
        <w:rPr>
          <w:rFonts w:hint="eastAsia" w:ascii="宋体" w:hAnsi="宋体" w:eastAsia="宋体" w:cs="宋体"/>
          <w:color w:val="auto"/>
          <w:highlight w:val="none"/>
        </w:rPr>
        <w:t>。</w:t>
      </w:r>
    </w:p>
    <w:p w14:paraId="555F196A">
      <w:pPr>
        <w:pStyle w:val="23"/>
        <w:rPr>
          <w:rFonts w:hint="eastAsia" w:ascii="宋体" w:hAnsi="宋体" w:eastAsia="宋体" w:cs="宋体"/>
          <w:color w:val="auto"/>
          <w:highlight w:val="none"/>
        </w:rPr>
      </w:pPr>
    </w:p>
    <w:p w14:paraId="7F2EC0F7">
      <w:pPr>
        <w:rPr>
          <w:rFonts w:hint="eastAsia" w:ascii="宋体" w:hAnsi="宋体" w:eastAsia="宋体" w:cs="宋体"/>
          <w:color w:val="auto"/>
          <w:highlight w:val="none"/>
        </w:rPr>
      </w:pPr>
    </w:p>
    <w:tbl>
      <w:tblPr>
        <w:tblStyle w:val="32"/>
        <w:tblW w:w="10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737"/>
        <w:gridCol w:w="1134"/>
        <w:gridCol w:w="1267"/>
        <w:gridCol w:w="5871"/>
      </w:tblGrid>
      <w:tr w14:paraId="394F1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0677" w:type="dxa"/>
            <w:gridSpan w:val="6"/>
            <w:tcBorders>
              <w:right w:val="single" w:color="auto" w:sz="4" w:space="0"/>
            </w:tcBorders>
            <w:noWrap w:val="0"/>
            <w:vAlign w:val="center"/>
          </w:tcPr>
          <w:p w14:paraId="4BAE3364">
            <w:pPr>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一、技术要求</w:t>
            </w:r>
          </w:p>
        </w:tc>
      </w:tr>
      <w:tr w14:paraId="23D8E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shd w:val="clear" w:color="auto" w:fill="auto"/>
            <w:noWrap w:val="0"/>
            <w:vAlign w:val="center"/>
          </w:tcPr>
          <w:p w14:paraId="2B6641B2">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序号</w:t>
            </w:r>
          </w:p>
        </w:tc>
        <w:tc>
          <w:tcPr>
            <w:tcW w:w="1134" w:type="dxa"/>
            <w:shd w:val="clear" w:color="auto" w:fill="auto"/>
            <w:noWrap w:val="0"/>
            <w:vAlign w:val="center"/>
          </w:tcPr>
          <w:p w14:paraId="5A38E67A">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标的</w:t>
            </w:r>
            <w:r>
              <w:rPr>
                <w:rFonts w:hint="eastAsia" w:ascii="宋体" w:hAnsi="宋体" w:eastAsia="宋体" w:cs="宋体"/>
                <w:color w:val="auto"/>
                <w:szCs w:val="21"/>
                <w:highlight w:val="none"/>
              </w:rPr>
              <w:t>名称</w:t>
            </w:r>
          </w:p>
        </w:tc>
        <w:tc>
          <w:tcPr>
            <w:tcW w:w="737" w:type="dxa"/>
            <w:shd w:val="clear" w:color="auto" w:fill="auto"/>
            <w:noWrap w:val="0"/>
            <w:vAlign w:val="center"/>
          </w:tcPr>
          <w:p w14:paraId="36ED7E07">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数量</w:t>
            </w:r>
          </w:p>
        </w:tc>
        <w:tc>
          <w:tcPr>
            <w:tcW w:w="1134" w:type="dxa"/>
            <w:tcBorders>
              <w:right w:val="single" w:color="auto" w:sz="4" w:space="0"/>
            </w:tcBorders>
            <w:shd w:val="clear" w:color="auto" w:fill="auto"/>
            <w:noWrap w:val="0"/>
            <w:vAlign w:val="center"/>
          </w:tcPr>
          <w:p w14:paraId="7574FA2E">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所属行业</w:t>
            </w:r>
          </w:p>
        </w:tc>
        <w:tc>
          <w:tcPr>
            <w:tcW w:w="1267" w:type="dxa"/>
            <w:tcBorders>
              <w:right w:val="single" w:color="auto" w:sz="4" w:space="0"/>
            </w:tcBorders>
            <w:shd w:val="clear" w:color="auto" w:fill="auto"/>
            <w:noWrap w:val="0"/>
            <w:vAlign w:val="center"/>
          </w:tcPr>
          <w:p w14:paraId="1A325A78">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功能模块</w:t>
            </w:r>
          </w:p>
        </w:tc>
        <w:tc>
          <w:tcPr>
            <w:tcW w:w="5871" w:type="dxa"/>
            <w:tcBorders>
              <w:left w:val="single" w:color="auto" w:sz="4" w:space="0"/>
              <w:right w:val="single" w:color="auto" w:sz="4" w:space="0"/>
            </w:tcBorders>
            <w:shd w:val="clear" w:color="auto" w:fill="auto"/>
            <w:noWrap w:val="0"/>
            <w:vAlign w:val="center"/>
          </w:tcPr>
          <w:p w14:paraId="6439079C">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技术指标要求</w:t>
            </w:r>
          </w:p>
        </w:tc>
      </w:tr>
      <w:tr w14:paraId="0C165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vMerge w:val="restart"/>
            <w:noWrap w:val="0"/>
            <w:vAlign w:val="center"/>
          </w:tcPr>
          <w:p w14:paraId="5154D1C1">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34" w:type="dxa"/>
            <w:vMerge w:val="restart"/>
            <w:noWrap w:val="0"/>
            <w:vAlign w:val="center"/>
          </w:tcPr>
          <w:p w14:paraId="1EA8B88E">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运营管理决策支持系统</w:t>
            </w:r>
          </w:p>
        </w:tc>
        <w:tc>
          <w:tcPr>
            <w:tcW w:w="737" w:type="dxa"/>
            <w:vMerge w:val="restart"/>
            <w:noWrap w:val="0"/>
            <w:vAlign w:val="center"/>
          </w:tcPr>
          <w:p w14:paraId="13507A28">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1套</w:t>
            </w:r>
          </w:p>
        </w:tc>
        <w:tc>
          <w:tcPr>
            <w:tcW w:w="1134" w:type="dxa"/>
            <w:vMerge w:val="restart"/>
            <w:tcBorders>
              <w:right w:val="single" w:color="auto" w:sz="4" w:space="0"/>
            </w:tcBorders>
            <w:noWrap w:val="0"/>
            <w:vAlign w:val="center"/>
          </w:tcPr>
          <w:p w14:paraId="296CE6FE">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c>
          <w:tcPr>
            <w:tcW w:w="1267" w:type="dxa"/>
            <w:tcBorders>
              <w:right w:val="single" w:color="auto" w:sz="4" w:space="0"/>
            </w:tcBorders>
            <w:noWrap w:val="0"/>
            <w:vAlign w:val="center"/>
          </w:tcPr>
          <w:p w14:paraId="6F3B52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运营管理</w:t>
            </w:r>
            <w:r>
              <w:rPr>
                <w:rFonts w:hint="eastAsia" w:ascii="宋体" w:hAnsi="宋体" w:eastAsia="宋体" w:cs="宋体"/>
                <w:color w:val="auto"/>
                <w:sz w:val="21"/>
                <w:szCs w:val="21"/>
                <w:highlight w:val="none"/>
              </w:rPr>
              <w:t>分析</w:t>
            </w:r>
          </w:p>
        </w:tc>
        <w:tc>
          <w:tcPr>
            <w:tcW w:w="5871" w:type="dxa"/>
            <w:tcBorders>
              <w:left w:val="single" w:color="auto" w:sz="4" w:space="0"/>
              <w:right w:val="single" w:color="auto" w:sz="4" w:space="0"/>
            </w:tcBorders>
            <w:noWrap w:val="0"/>
            <w:vAlign w:val="center"/>
          </w:tcPr>
          <w:p w14:paraId="07E790E8">
            <w:pPr>
              <w:pStyle w:val="89"/>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Chars="0"/>
              <w:jc w:val="left"/>
              <w:textAlignment w:val="auto"/>
              <w:rPr>
                <w:rFonts w:hint="eastAsia" w:ascii="宋体" w:hAnsi="宋体" w:eastAsia="宋体" w:cs="宋体"/>
                <w:b/>
                <w:bCs/>
                <w:color w:val="auto"/>
                <w:sz w:val="21"/>
                <w:szCs w:val="21"/>
                <w:highlight w:val="none"/>
                <w:lang w:eastAsia="zh-TW"/>
              </w:rPr>
            </w:pPr>
            <w:r>
              <w:rPr>
                <w:rFonts w:hint="eastAsia" w:ascii="宋体" w:hAnsi="宋体" w:eastAsia="宋体" w:cs="宋体"/>
                <w:b/>
                <w:bCs/>
                <w:color w:val="auto"/>
                <w:sz w:val="21"/>
                <w:szCs w:val="21"/>
                <w:highlight w:val="none"/>
              </w:rPr>
              <w:t>损益分析</w:t>
            </w:r>
          </w:p>
          <w:p w14:paraId="71A770CE">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针对时间、科系、科室、病区、主诊组、个人的角度，图像化标示平均损益率与科室损益率排名，并依据会计科目类别、金额、占比，依据柏拉图方法，进行各项收入、费用的累计占比的统计分析。</w:t>
            </w:r>
          </w:p>
          <w:p w14:paraId="503533FB">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协助了解科室在全院或所属科系的损益</w:t>
            </w:r>
            <w:r>
              <w:rPr>
                <w:rFonts w:hint="eastAsia" w:ascii="宋体" w:hAnsi="宋体" w:eastAsia="宋体" w:cs="宋体"/>
                <w:color w:val="auto"/>
                <w:sz w:val="21"/>
                <w:szCs w:val="21"/>
                <w:highlight w:val="none"/>
              </w:rPr>
              <w:t>落点</w:t>
            </w:r>
            <w:r>
              <w:rPr>
                <w:rFonts w:hint="eastAsia" w:ascii="宋体" w:hAnsi="宋体" w:eastAsia="宋体" w:cs="宋体"/>
                <w:color w:val="auto"/>
                <w:sz w:val="21"/>
                <w:szCs w:val="21"/>
                <w:highlight w:val="none"/>
              </w:rPr>
              <w:t>，并可作为后续科室运营管理与持续改进活动的数据来源依据。</w:t>
            </w:r>
          </w:p>
          <w:p w14:paraId="211FF4FB">
            <w:pPr>
              <w:pStyle w:val="89"/>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运营收入结构分析</w:t>
            </w:r>
          </w:p>
          <w:p w14:paraId="2D419353">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针对时间、科系、科室、病区、主诊组、个人的角度，详细区分取医院收入的构成，包括门诊、住院、手术等分类（收入构成分类可修订）。依据当月、上月、去年同期、上月差异、去年同期</w:t>
            </w:r>
            <w:r>
              <w:rPr>
                <w:rFonts w:hint="eastAsia" w:ascii="宋体" w:hAnsi="宋体" w:eastAsia="宋体" w:cs="宋体"/>
                <w:color w:val="auto"/>
                <w:sz w:val="21"/>
                <w:szCs w:val="21"/>
                <w:highlight w:val="none"/>
                <w:lang w:eastAsia="zh-CN"/>
              </w:rPr>
              <w:t>等（时间段可自定义）</w:t>
            </w:r>
            <w:r>
              <w:rPr>
                <w:rFonts w:hint="eastAsia" w:ascii="宋体" w:hAnsi="宋体" w:eastAsia="宋体" w:cs="宋体"/>
                <w:color w:val="auto"/>
                <w:sz w:val="21"/>
                <w:szCs w:val="21"/>
                <w:highlight w:val="none"/>
              </w:rPr>
              <w:t>差异的金额与占比进行分析。</w:t>
            </w:r>
          </w:p>
          <w:p w14:paraId="3A425FC2">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整合源自</w:t>
            </w:r>
            <w:r>
              <w:rPr>
                <w:rFonts w:hint="eastAsia" w:ascii="宋体" w:hAnsi="宋体" w:cs="宋体"/>
                <w:color w:val="auto"/>
                <w:sz w:val="21"/>
                <w:szCs w:val="21"/>
                <w:highlight w:val="none"/>
                <w:lang w:val="en-US" w:eastAsia="zh-CN"/>
              </w:rPr>
              <w:t>医师费绩效管理系统医师</w:t>
            </w:r>
            <w:r>
              <w:rPr>
                <w:rFonts w:hint="eastAsia" w:ascii="宋体" w:hAnsi="宋体" w:eastAsia="宋体" w:cs="宋体"/>
                <w:color w:val="auto"/>
                <w:sz w:val="21"/>
                <w:szCs w:val="21"/>
                <w:highlight w:val="none"/>
              </w:rPr>
              <w:t>岗位工作量的数据，分析各分项收入的贡献率，并整合门诊、住院、手术等运营服务量、效率、收入</w:t>
            </w:r>
            <w:r>
              <w:rPr>
                <w:rFonts w:hint="eastAsia" w:ascii="宋体" w:hAnsi="宋体" w:eastAsia="宋体" w:cs="宋体"/>
                <w:color w:val="auto"/>
                <w:sz w:val="21"/>
                <w:szCs w:val="21"/>
                <w:highlight w:val="none"/>
                <w:lang w:eastAsia="zh-CN"/>
              </w:rPr>
              <w:t>以及部分负性指标</w:t>
            </w:r>
            <w:r>
              <w:rPr>
                <w:rFonts w:hint="eastAsia" w:ascii="宋体" w:hAnsi="宋体" w:eastAsia="宋体" w:cs="宋体"/>
                <w:color w:val="auto"/>
                <w:sz w:val="21"/>
                <w:szCs w:val="21"/>
                <w:highlight w:val="none"/>
              </w:rPr>
              <w:t>等指标按月分科进行交叉分析，并与上月、去年同月</w:t>
            </w:r>
            <w:r>
              <w:rPr>
                <w:rFonts w:hint="eastAsia" w:ascii="宋体" w:hAnsi="宋体" w:eastAsia="宋体" w:cs="宋体"/>
                <w:color w:val="auto"/>
                <w:sz w:val="21"/>
                <w:szCs w:val="21"/>
                <w:highlight w:val="none"/>
                <w:lang w:eastAsia="zh-CN"/>
              </w:rPr>
              <w:t>等（时间段可自定义）</w:t>
            </w:r>
            <w:r>
              <w:rPr>
                <w:rFonts w:hint="eastAsia" w:ascii="宋体" w:hAnsi="宋体" w:eastAsia="宋体" w:cs="宋体"/>
                <w:color w:val="auto"/>
                <w:sz w:val="21"/>
                <w:szCs w:val="21"/>
                <w:highlight w:val="none"/>
              </w:rPr>
              <w:t>进行比较分析以作为科室管理的决策依据，以借助信息化手段追踪运营成效。</w:t>
            </w:r>
          </w:p>
          <w:p w14:paraId="72D7B311">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可按收费项目统计某一时间段的医院的收入构成，显示收费构成情况。把收费类别，收入项目通过趋势分析方法，分析医院某一时间段收入变化状况。同时通过报表和图形的方式显示。提供定基比较、环比比较</w:t>
            </w:r>
            <w:r>
              <w:rPr>
                <w:rFonts w:hint="eastAsia" w:ascii="宋体" w:hAnsi="宋体" w:eastAsia="宋体" w:cs="宋体"/>
                <w:color w:val="auto"/>
                <w:sz w:val="21"/>
                <w:szCs w:val="21"/>
                <w:highlight w:val="none"/>
                <w:lang w:eastAsia="zh-CN"/>
              </w:rPr>
              <w:t>、同比比较</w:t>
            </w:r>
            <w:r>
              <w:rPr>
                <w:rFonts w:hint="eastAsia" w:ascii="宋体" w:hAnsi="宋体" w:eastAsia="宋体" w:cs="宋体"/>
                <w:color w:val="auto"/>
                <w:sz w:val="21"/>
                <w:szCs w:val="21"/>
                <w:highlight w:val="none"/>
              </w:rPr>
              <w:t>。把收费类别，收入项目通过比较分析方法，分析医院（全院-科室-病区-主诊组-个人五个层级）某一时间段收入变化状况。同时可通过报表和图形的方式显示。</w:t>
            </w:r>
          </w:p>
          <w:p w14:paraId="32A3CA99">
            <w:pPr>
              <w:pStyle w:val="89"/>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成本费用结构分析</w:t>
            </w:r>
          </w:p>
          <w:p w14:paraId="29F44E6F">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针对时间、科系、科室</w:t>
            </w:r>
            <w:r>
              <w:rPr>
                <w:rFonts w:hint="eastAsia" w:ascii="宋体" w:hAnsi="宋体" w:eastAsia="宋体" w:cs="宋体"/>
                <w:color w:val="auto"/>
                <w:sz w:val="21"/>
                <w:szCs w:val="21"/>
                <w:highlight w:val="none"/>
                <w:lang w:eastAsia="zh-CN"/>
              </w:rPr>
              <w:t>、主诊组、病种</w:t>
            </w:r>
            <w:r>
              <w:rPr>
                <w:rFonts w:hint="eastAsia" w:ascii="宋体" w:hAnsi="宋体" w:eastAsia="宋体" w:cs="宋体"/>
                <w:color w:val="auto"/>
                <w:sz w:val="21"/>
                <w:szCs w:val="21"/>
                <w:highlight w:val="none"/>
              </w:rPr>
              <w:t>的角度，通过分析可以获取各项成本费用在整体运营成本的构成比例，找出各项成本在运营过程中可能存在的问题或异常状况。分析各项成本在运营中可接受的占比、趋势进行合理成本管理</w:t>
            </w:r>
            <w:r>
              <w:rPr>
                <w:rFonts w:hint="eastAsia" w:ascii="宋体" w:hAnsi="宋体" w:eastAsia="宋体" w:cs="宋体"/>
                <w:color w:val="auto"/>
                <w:sz w:val="21"/>
                <w:szCs w:val="21"/>
                <w:highlight w:val="none"/>
                <w:lang w:eastAsia="zh-CN"/>
              </w:rPr>
              <w:t>（支持结合病种构成分析）</w:t>
            </w:r>
            <w:r>
              <w:rPr>
                <w:rFonts w:hint="eastAsia" w:ascii="宋体" w:hAnsi="宋体" w:eastAsia="宋体" w:cs="宋体"/>
                <w:color w:val="auto"/>
                <w:sz w:val="21"/>
                <w:szCs w:val="21"/>
                <w:highlight w:val="none"/>
              </w:rPr>
              <w:t>。</w:t>
            </w:r>
          </w:p>
          <w:p w14:paraId="3D5A76A5">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同时可区分为人力成本分析、可变成本分析、固定成本分析等多种类别。</w:t>
            </w:r>
          </w:p>
          <w:p w14:paraId="0D2FB992">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按成本项目分析某一时间段的医院的成本构成，包括但不限于医疗服务收入、检验检查、药耗</w:t>
            </w:r>
            <w:r>
              <w:rPr>
                <w:rFonts w:hint="eastAsia" w:ascii="宋体" w:hAnsi="宋体" w:eastAsia="宋体" w:cs="宋体"/>
                <w:color w:val="auto"/>
                <w:sz w:val="21"/>
                <w:szCs w:val="21"/>
                <w:highlight w:val="none"/>
                <w:lang w:eastAsia="zh-CN"/>
              </w:rPr>
              <w:t>、不可收费耗材</w:t>
            </w:r>
            <w:r>
              <w:rPr>
                <w:rFonts w:hint="eastAsia" w:ascii="宋体" w:hAnsi="宋体" w:eastAsia="宋体" w:cs="宋体"/>
                <w:color w:val="auto"/>
                <w:sz w:val="21"/>
                <w:szCs w:val="21"/>
                <w:highlight w:val="none"/>
              </w:rPr>
              <w:t>等大类与对应的小类别。同时显示成本构成情况，在医院提供项目成本、病种成本等数据情况下，可显示项目成本、病种成本。把成本项目通过趋势分析法，分析医院某一时间段成本变化状况。同时通过报表和图形的方式显示，以得到医疗服务收入、检验检查、药耗等的定基比较、环比比较。把成本项目通过比较分析法，分析医院某一时间段成本变化状况，同时通过报表和图形的方式显示。</w:t>
            </w:r>
          </w:p>
          <w:p w14:paraId="561D1F4D">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根据需要分析的期间，系统呈现某科室的医疗服务费用占比、药耗占比在全院或所属科系的落点，</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针对异常点往下深入分析。</w:t>
            </w:r>
          </w:p>
          <w:p w14:paraId="07C23E5A">
            <w:pPr>
              <w:pStyle w:val="89"/>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DRG病种分析模型</w:t>
            </w:r>
          </w:p>
          <w:p w14:paraId="3CFF2573">
            <w:pPr>
              <w:keepNext w:val="0"/>
              <w:keepLines w:val="0"/>
              <w:pageBreakBefore w:val="0"/>
              <w:widowControl w:val="0"/>
              <w:kinsoku/>
              <w:wordWrap/>
              <w:overflowPunct/>
              <w:topLinePunct w:val="0"/>
              <w:autoSpaceDE/>
              <w:autoSpaceDN/>
              <w:bidi w:val="0"/>
              <w:adjustRightInd/>
              <w:snapToGrid/>
              <w:spacing w:line="360" w:lineRule="exact"/>
              <w:ind w:left="420" w:left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利用DRG</w:t>
            </w:r>
            <w:r>
              <w:rPr>
                <w:rFonts w:hint="eastAsia" w:ascii="宋体" w:hAnsi="宋体" w:eastAsia="宋体" w:cs="宋体"/>
                <w:color w:val="auto"/>
                <w:sz w:val="21"/>
                <w:szCs w:val="21"/>
                <w:highlight w:val="none"/>
                <w:lang w:val="en-US" w:eastAsia="zh-CN"/>
              </w:rPr>
              <w:t>病组、</w:t>
            </w:r>
            <w:r>
              <w:rPr>
                <w:rFonts w:hint="eastAsia" w:ascii="宋体" w:hAnsi="宋体" w:eastAsia="宋体" w:cs="宋体"/>
                <w:color w:val="auto"/>
                <w:sz w:val="21"/>
                <w:szCs w:val="21"/>
                <w:highlight w:val="none"/>
              </w:rPr>
              <w:t>病种分析的结果，加强全院各科室的业务与医疗服务能力横向与纵向相结合的深入比较分析，以便提出具有指导性的政策方案，促进医院运营管理精细化，为医院和科室管理提供决策依据。同时执行主诊组及医师间标杆分析，作为临床路径或未来绩效分配的参考；依各</w:t>
            </w:r>
            <w:r>
              <w:rPr>
                <w:rFonts w:hint="eastAsia" w:ascii="宋体" w:hAnsi="宋体" w:eastAsia="宋体" w:cs="宋体"/>
                <w:color w:val="auto"/>
                <w:sz w:val="21"/>
                <w:szCs w:val="21"/>
                <w:highlight w:val="none"/>
                <w:lang w:eastAsia="zh-CN"/>
              </w:rPr>
              <w:t>主管</w:t>
            </w:r>
            <w:r>
              <w:rPr>
                <w:rFonts w:hint="eastAsia" w:ascii="宋体" w:hAnsi="宋体" w:eastAsia="宋体" w:cs="宋体"/>
                <w:color w:val="auto"/>
                <w:sz w:val="21"/>
                <w:szCs w:val="21"/>
                <w:highlight w:val="none"/>
              </w:rPr>
              <w:t>医师年度累计的病种，进行不同主诊组和医师执行病种间的分析，以提供</w:t>
            </w:r>
            <w:r>
              <w:rPr>
                <w:rFonts w:hint="eastAsia" w:ascii="宋体" w:hAnsi="宋体" w:eastAsia="宋体" w:cs="宋体"/>
                <w:color w:val="auto"/>
                <w:sz w:val="21"/>
                <w:szCs w:val="21"/>
                <w:highlight w:val="none"/>
                <w:lang w:eastAsia="zh-CN"/>
              </w:rPr>
              <w:t>主管</w:t>
            </w:r>
            <w:r>
              <w:rPr>
                <w:rFonts w:hint="eastAsia" w:ascii="宋体" w:hAnsi="宋体" w:eastAsia="宋体" w:cs="宋体"/>
                <w:color w:val="auto"/>
                <w:sz w:val="21"/>
                <w:szCs w:val="21"/>
                <w:highlight w:val="none"/>
              </w:rPr>
              <w:t>医师临床管理的参考。</w:t>
            </w:r>
          </w:p>
          <w:p w14:paraId="4467DA31">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依据DRG版本(清算、预估)、日期区间、CMI、盈亏等，根据业务量排名，进行科室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主诊组</w:t>
            </w:r>
            <w:r>
              <w:rPr>
                <w:rFonts w:hint="eastAsia" w:ascii="宋体" w:hAnsi="宋体" w:eastAsia="宋体" w:cs="宋体"/>
                <w:color w:val="auto"/>
                <w:sz w:val="21"/>
                <w:szCs w:val="21"/>
                <w:highlight w:val="none"/>
              </w:rPr>
              <w:t>间病种管理发展结构科室转型策略的四种象限维度的数据汇总分析。</w:t>
            </w:r>
          </w:p>
          <w:p w14:paraId="02569D39">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依据DRG版本(清算、预估)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统计含：</w:t>
            </w:r>
            <w:r>
              <w:rPr>
                <w:rFonts w:hint="eastAsia" w:ascii="宋体" w:hAnsi="宋体" w:eastAsia="宋体" w:cs="宋体"/>
                <w:color w:val="auto"/>
                <w:sz w:val="21"/>
                <w:szCs w:val="21"/>
                <w:highlight w:val="none"/>
              </w:rPr>
              <w:t>结算月份、科室、</w:t>
            </w:r>
            <w:r>
              <w:rPr>
                <w:rFonts w:hint="eastAsia" w:ascii="宋体" w:hAnsi="宋体" w:eastAsia="宋体" w:cs="宋体"/>
                <w:color w:val="auto"/>
                <w:sz w:val="21"/>
                <w:szCs w:val="21"/>
                <w:highlight w:val="none"/>
                <w:lang w:val="en-US" w:eastAsia="zh-CN"/>
              </w:rPr>
              <w:t>主诊组、</w:t>
            </w:r>
            <w:r>
              <w:rPr>
                <w:rFonts w:hint="eastAsia" w:ascii="宋体" w:hAnsi="宋体" w:eastAsia="宋体" w:cs="宋体"/>
                <w:color w:val="auto"/>
                <w:sz w:val="21"/>
                <w:szCs w:val="21"/>
                <w:highlight w:val="none"/>
              </w:rPr>
              <w:t>医生、医保类型、医疗类别、病案号、病例类型、病组类型、MDC编码、ADRG编码、DRG编码、DRG编码名称、入院时间、出院时间、结算时间、主诊断编码、主诊断名称、主手术编码、主手术名称、基准点数、差异系数、总点数/权重、点值、预估DRG总费用、医疗总费用、DRG预估结算差异（元）、全区该病组例均费用、药占比、耗占比、结算ID等</w:t>
            </w:r>
            <w:r>
              <w:rPr>
                <w:rFonts w:hint="eastAsia" w:ascii="宋体" w:hAnsi="宋体" w:eastAsia="宋体" w:cs="宋体"/>
                <w:color w:val="auto"/>
                <w:sz w:val="21"/>
                <w:szCs w:val="21"/>
                <w:highlight w:val="none"/>
                <w:lang w:val="en-US" w:eastAsia="zh-CN"/>
              </w:rPr>
              <w:t>字段信息</w:t>
            </w:r>
            <w:r>
              <w:rPr>
                <w:rFonts w:hint="eastAsia" w:ascii="宋体" w:hAnsi="宋体" w:eastAsia="宋体" w:cs="宋体"/>
                <w:color w:val="auto"/>
                <w:sz w:val="21"/>
                <w:szCs w:val="21"/>
                <w:highlight w:val="none"/>
              </w:rPr>
              <w:t>，根据业务量排名，进行科室内病种各项管理发展结构的四种象限维度的数据汇总分析，包括</w:t>
            </w:r>
            <w:r>
              <w:rPr>
                <w:rFonts w:hint="eastAsia" w:ascii="宋体" w:hAnsi="宋体" w:eastAsia="宋体" w:cs="宋体"/>
                <w:color w:val="auto"/>
                <w:sz w:val="21"/>
                <w:szCs w:val="21"/>
                <w:highlight w:val="none"/>
                <w:lang w:val="en-US" w:eastAsia="zh-CN"/>
              </w:rPr>
              <w:t>医保结算</w:t>
            </w:r>
            <w:r>
              <w:rPr>
                <w:rFonts w:hint="eastAsia" w:ascii="宋体" w:hAnsi="宋体" w:eastAsia="宋体" w:cs="宋体"/>
                <w:color w:val="auto"/>
                <w:sz w:val="21"/>
                <w:szCs w:val="21"/>
                <w:highlight w:val="none"/>
              </w:rPr>
              <w:t>类型、平均费用、人次、平均住院日、</w:t>
            </w:r>
            <w:r>
              <w:rPr>
                <w:rFonts w:hint="eastAsia" w:ascii="宋体" w:hAnsi="宋体" w:eastAsia="宋体" w:cs="宋体"/>
                <w:color w:val="auto"/>
                <w:sz w:val="21"/>
                <w:szCs w:val="21"/>
                <w:highlight w:val="none"/>
                <w:lang w:val="en-US" w:eastAsia="zh-CN"/>
              </w:rPr>
              <w:t>病组成本、CMI值、</w:t>
            </w:r>
            <w:r>
              <w:rPr>
                <w:rFonts w:hint="eastAsia" w:ascii="宋体" w:hAnsi="宋体" w:eastAsia="宋体" w:cs="宋体"/>
                <w:color w:val="auto"/>
                <w:sz w:val="21"/>
                <w:szCs w:val="21"/>
                <w:highlight w:val="none"/>
              </w:rPr>
              <w:t>次均盈亏、</w:t>
            </w:r>
            <w:r>
              <w:rPr>
                <w:rFonts w:hint="eastAsia" w:ascii="宋体" w:hAnsi="宋体" w:eastAsia="宋体" w:cs="宋体"/>
                <w:color w:val="auto"/>
                <w:sz w:val="21"/>
                <w:szCs w:val="21"/>
                <w:highlight w:val="none"/>
                <w:lang w:val="en-US" w:eastAsia="zh-CN"/>
              </w:rPr>
              <w:t>药品金额及占比</w:t>
            </w:r>
            <w:r>
              <w:rPr>
                <w:rFonts w:hint="eastAsia" w:ascii="宋体" w:hAnsi="宋体" w:eastAsia="宋体" w:cs="宋体"/>
                <w:color w:val="auto"/>
                <w:sz w:val="21"/>
                <w:szCs w:val="21"/>
                <w:highlight w:val="none"/>
              </w:rPr>
              <w:t>、材料费</w:t>
            </w:r>
            <w:r>
              <w:rPr>
                <w:rFonts w:hint="eastAsia" w:ascii="宋体" w:hAnsi="宋体" w:eastAsia="宋体" w:cs="宋体"/>
                <w:color w:val="auto"/>
                <w:sz w:val="21"/>
                <w:szCs w:val="21"/>
                <w:highlight w:val="none"/>
                <w:lang w:val="en-US" w:eastAsia="zh-CN"/>
              </w:rPr>
              <w:t>金额及占比、死亡率、并发症发生率、重返手术率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医疗服务收入金额及占比、检验检查费金额及占比、自费比例等，支持每一种医疗收入费用类型下钻分析具体</w:t>
            </w:r>
            <w:r>
              <w:rPr>
                <w:rFonts w:hint="eastAsia" w:ascii="宋体" w:hAnsi="宋体" w:eastAsia="宋体" w:cs="宋体"/>
                <w:color w:val="auto"/>
                <w:sz w:val="21"/>
                <w:szCs w:val="21"/>
                <w:highlight w:val="none"/>
              </w:rPr>
              <w:t>。</w:t>
            </w:r>
          </w:p>
          <w:p w14:paraId="1A06B44D">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依据DRG版本(清算、预估)、日期区间、科系、科室、</w:t>
            </w:r>
            <w:r>
              <w:rPr>
                <w:rFonts w:hint="eastAsia" w:ascii="宋体" w:hAnsi="宋体" w:eastAsia="宋体" w:cs="宋体"/>
                <w:color w:val="auto"/>
                <w:sz w:val="21"/>
                <w:szCs w:val="21"/>
                <w:highlight w:val="none"/>
                <w:lang w:eastAsia="zh-CN"/>
              </w:rPr>
              <w:t>病区、</w:t>
            </w:r>
            <w:r>
              <w:rPr>
                <w:rFonts w:hint="eastAsia" w:ascii="宋体" w:hAnsi="宋体" w:eastAsia="宋体" w:cs="宋体"/>
                <w:color w:val="auto"/>
                <w:sz w:val="21"/>
                <w:szCs w:val="21"/>
                <w:highlight w:val="none"/>
              </w:rPr>
              <w:t>主诊组、CMI、盈亏等，根据业务量排名，进行科室医师病种运营四种象限维度汇总分析，包括</w:t>
            </w:r>
            <w:r>
              <w:rPr>
                <w:rFonts w:hint="eastAsia" w:ascii="宋体" w:hAnsi="宋体" w:eastAsia="宋体" w:cs="宋体"/>
                <w:color w:val="auto"/>
                <w:sz w:val="21"/>
                <w:szCs w:val="21"/>
                <w:highlight w:val="none"/>
                <w:lang w:val="en-US" w:eastAsia="zh-CN"/>
              </w:rPr>
              <w:t>医保结算</w:t>
            </w:r>
            <w:r>
              <w:rPr>
                <w:rFonts w:hint="eastAsia" w:ascii="宋体" w:hAnsi="宋体" w:eastAsia="宋体" w:cs="宋体"/>
                <w:color w:val="auto"/>
                <w:sz w:val="21"/>
                <w:szCs w:val="21"/>
                <w:highlight w:val="none"/>
              </w:rPr>
              <w:t>类型、平均费用、人次、平均住院日、</w:t>
            </w:r>
            <w:r>
              <w:rPr>
                <w:rFonts w:hint="eastAsia" w:ascii="宋体" w:hAnsi="宋体" w:eastAsia="宋体" w:cs="宋体"/>
                <w:color w:val="auto"/>
                <w:sz w:val="21"/>
                <w:szCs w:val="21"/>
                <w:highlight w:val="none"/>
                <w:lang w:val="en-US" w:eastAsia="zh-CN"/>
              </w:rPr>
              <w:t>病组成本、CMI值、</w:t>
            </w:r>
            <w:r>
              <w:rPr>
                <w:rFonts w:hint="eastAsia" w:ascii="宋体" w:hAnsi="宋体" w:eastAsia="宋体" w:cs="宋体"/>
                <w:color w:val="auto"/>
                <w:sz w:val="21"/>
                <w:szCs w:val="21"/>
                <w:highlight w:val="none"/>
              </w:rPr>
              <w:t>次均盈亏、</w:t>
            </w:r>
            <w:r>
              <w:rPr>
                <w:rFonts w:hint="eastAsia" w:ascii="宋体" w:hAnsi="宋体" w:eastAsia="宋体" w:cs="宋体"/>
                <w:color w:val="auto"/>
                <w:sz w:val="21"/>
                <w:szCs w:val="21"/>
                <w:highlight w:val="none"/>
                <w:lang w:val="en-US" w:eastAsia="zh-CN"/>
              </w:rPr>
              <w:t>药品金额及占比</w:t>
            </w:r>
            <w:r>
              <w:rPr>
                <w:rFonts w:hint="eastAsia" w:ascii="宋体" w:hAnsi="宋体" w:eastAsia="宋体" w:cs="宋体"/>
                <w:color w:val="auto"/>
                <w:sz w:val="21"/>
                <w:szCs w:val="21"/>
                <w:highlight w:val="none"/>
              </w:rPr>
              <w:t>、材料费</w:t>
            </w:r>
            <w:r>
              <w:rPr>
                <w:rFonts w:hint="eastAsia" w:ascii="宋体" w:hAnsi="宋体" w:eastAsia="宋体" w:cs="宋体"/>
                <w:color w:val="auto"/>
                <w:sz w:val="21"/>
                <w:szCs w:val="21"/>
                <w:highlight w:val="none"/>
                <w:lang w:val="en-US" w:eastAsia="zh-CN"/>
              </w:rPr>
              <w:t>金额及占比</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医疗服务收入金额及占比、检验检查费金额及占比、自费比例、死亡率并发症发生率、重返手术率等，支持每一种医疗收入费用类型下钻分析具体</w:t>
            </w:r>
            <w:r>
              <w:rPr>
                <w:rFonts w:hint="eastAsia" w:ascii="宋体" w:hAnsi="宋体" w:eastAsia="宋体" w:cs="宋体"/>
                <w:color w:val="auto"/>
                <w:sz w:val="21"/>
                <w:szCs w:val="21"/>
                <w:highlight w:val="none"/>
              </w:rPr>
              <w:t>。</w:t>
            </w:r>
          </w:p>
          <w:p w14:paraId="6635AEB2">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依据DRG版本(清算、预估)、日期区间、科系、科室、</w:t>
            </w:r>
            <w:r>
              <w:rPr>
                <w:rFonts w:hint="eastAsia" w:ascii="宋体" w:hAnsi="宋体" w:eastAsia="宋体" w:cs="宋体"/>
                <w:color w:val="auto"/>
                <w:sz w:val="21"/>
                <w:szCs w:val="21"/>
                <w:highlight w:val="none"/>
                <w:lang w:eastAsia="zh-CN"/>
              </w:rPr>
              <w:t>病区、</w:t>
            </w:r>
            <w:r>
              <w:rPr>
                <w:rFonts w:hint="eastAsia" w:ascii="宋体" w:hAnsi="宋体" w:eastAsia="宋体" w:cs="宋体"/>
                <w:color w:val="auto"/>
                <w:sz w:val="21"/>
                <w:szCs w:val="21"/>
                <w:highlight w:val="none"/>
              </w:rPr>
              <w:t>主诊组、CMI、盈亏等，根据业务量排名，进行主诊组、个别医师本科、同科系、全院的CMI、药费占比、材料费占比分析。主诊组、个别医师的病种运营四种象限维度汇总分析，包括高倍率/正常倍率、平均费用、人次、平均住院日、次均盈亏、次均药费、药费占率、材料费占率</w:t>
            </w:r>
            <w:r>
              <w:rPr>
                <w:rFonts w:hint="eastAsia" w:ascii="宋体" w:hAnsi="宋体" w:eastAsia="宋体" w:cs="宋体"/>
                <w:color w:val="auto"/>
                <w:sz w:val="21"/>
                <w:szCs w:val="21"/>
                <w:highlight w:val="none"/>
                <w:lang w:eastAsia="zh-CN"/>
              </w:rPr>
              <w:t>、死亡率并发症发生率、重返手术率、CMI值、医疗服务性收入占比、自费比例</w:t>
            </w:r>
            <w:r>
              <w:rPr>
                <w:rFonts w:hint="eastAsia" w:ascii="宋体" w:hAnsi="宋体" w:eastAsia="宋体" w:cs="宋体"/>
                <w:color w:val="auto"/>
                <w:sz w:val="21"/>
                <w:szCs w:val="21"/>
                <w:highlight w:val="none"/>
              </w:rPr>
              <w:t>等。将医院同病种数据与主诊组、个别医师病种数据进行时间与费用消耗指数的运算，提供主诊组及个别医师执行病种的相对性分析。</w:t>
            </w:r>
          </w:p>
          <w:p w14:paraId="56BBB828">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w:t>
            </w:r>
            <w:r>
              <w:rPr>
                <w:rFonts w:hint="eastAsia" w:ascii="宋体" w:hAnsi="宋体" w:eastAsia="宋体" w:cs="宋体"/>
                <w:color w:val="auto"/>
                <w:sz w:val="21"/>
                <w:szCs w:val="21"/>
                <w:highlight w:val="none"/>
                <w:shd w:val="clear" w:color="auto" w:fill="FFFFFF"/>
              </w:rPr>
              <w:t>主要诊断大类(MDC)</w:t>
            </w:r>
            <w:r>
              <w:rPr>
                <w:rFonts w:hint="eastAsia" w:ascii="宋体" w:hAnsi="宋体" w:eastAsia="宋体" w:cs="宋体"/>
                <w:color w:val="auto"/>
                <w:sz w:val="21"/>
                <w:szCs w:val="21"/>
                <w:highlight w:val="none"/>
                <w:shd w:val="clear" w:color="auto" w:fill="FFFFFF"/>
                <w:lang w:eastAsia="zh-CN"/>
              </w:rPr>
              <w:t>、</w:t>
            </w:r>
            <w:r>
              <w:rPr>
                <w:rFonts w:hint="eastAsia" w:ascii="宋体" w:hAnsi="宋体" w:eastAsia="宋体" w:cs="宋体"/>
                <w:color w:val="auto"/>
                <w:sz w:val="21"/>
                <w:szCs w:val="21"/>
                <w:highlight w:val="none"/>
                <w:shd w:val="clear" w:color="auto" w:fill="FFFFFF"/>
                <w:lang w:val="en-US" w:eastAsia="zh-CN"/>
              </w:rPr>
              <w:t>主要手术</w:t>
            </w:r>
            <w:r>
              <w:rPr>
                <w:rFonts w:hint="eastAsia" w:ascii="宋体" w:hAnsi="宋体" w:eastAsia="宋体" w:cs="宋体"/>
                <w:color w:val="auto"/>
                <w:sz w:val="21"/>
                <w:szCs w:val="21"/>
                <w:highlight w:val="none"/>
                <w:shd w:val="clear" w:color="auto" w:fill="FFFFFF"/>
              </w:rPr>
              <w:t>，分析同病种在医院执行的医师间的</w:t>
            </w:r>
            <w:r>
              <w:rPr>
                <w:rFonts w:hint="eastAsia" w:ascii="宋体" w:hAnsi="宋体" w:eastAsia="宋体" w:cs="宋体"/>
                <w:color w:val="auto"/>
                <w:sz w:val="21"/>
                <w:szCs w:val="21"/>
                <w:highlight w:val="none"/>
              </w:rPr>
              <w:t>运营结构四种象限维度汇总分析，包括时间消耗指数、费用消耗指数、清算类别比例等内容。</w:t>
            </w:r>
          </w:p>
          <w:p w14:paraId="5A9CD1F9">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w:t>
            </w:r>
            <w:r>
              <w:rPr>
                <w:rFonts w:hint="eastAsia" w:ascii="宋体" w:hAnsi="宋体" w:eastAsia="宋体" w:cs="宋体"/>
                <w:color w:val="auto"/>
                <w:sz w:val="21"/>
                <w:szCs w:val="21"/>
                <w:highlight w:val="none"/>
                <w:lang w:eastAsia="zh-CN"/>
              </w:rPr>
              <w:t>医保类型、</w:t>
            </w:r>
            <w:r>
              <w:rPr>
                <w:rFonts w:hint="eastAsia" w:ascii="宋体" w:hAnsi="宋体" w:eastAsia="宋体" w:cs="宋体"/>
                <w:color w:val="auto"/>
                <w:sz w:val="21"/>
                <w:szCs w:val="21"/>
                <w:highlight w:val="none"/>
              </w:rPr>
              <w:t>医保支付结果清算类型、分组类型，依据DRG版本(清算、预估)、日期区间、科系、科室，进行科室、主诊组运行分析。</w:t>
            </w:r>
          </w:p>
          <w:p w14:paraId="498BD1CF">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系统上可直接连结BI多维度分析工具进行详细病人的数据分析与应用，以利对科室、主诊组、医师的病人数据的反馈与追踪。</w:t>
            </w:r>
          </w:p>
          <w:p w14:paraId="7960E774">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科系、科室、</w:t>
            </w:r>
            <w:r>
              <w:rPr>
                <w:rFonts w:hint="eastAsia" w:ascii="宋体" w:hAnsi="宋体" w:eastAsia="宋体" w:cs="宋体"/>
                <w:color w:val="auto"/>
                <w:sz w:val="21"/>
                <w:szCs w:val="21"/>
                <w:highlight w:val="none"/>
                <w:lang w:val="en-US" w:eastAsia="zh-CN"/>
              </w:rPr>
              <w:t>病区、</w:t>
            </w:r>
            <w:r>
              <w:rPr>
                <w:rFonts w:hint="eastAsia" w:ascii="宋体" w:hAnsi="宋体" w:eastAsia="宋体" w:cs="宋体"/>
                <w:color w:val="auto"/>
                <w:sz w:val="21"/>
                <w:szCs w:val="21"/>
                <w:highlight w:val="none"/>
              </w:rPr>
              <w:t>主诊组、</w:t>
            </w:r>
            <w:r>
              <w:rPr>
                <w:rFonts w:hint="eastAsia" w:ascii="宋体" w:hAnsi="宋体" w:eastAsia="宋体" w:cs="宋体"/>
                <w:color w:val="auto"/>
                <w:sz w:val="21"/>
                <w:szCs w:val="21"/>
                <w:highlight w:val="none"/>
                <w:lang w:val="en-US" w:eastAsia="zh-CN"/>
              </w:rPr>
              <w:t>医师个人之间，各DRG组与DRG支付标准、全区均费等数据的比较；用饼图、柱状图、折线图等比较分析的结果，而不只是四象限散点图；</w:t>
            </w:r>
          </w:p>
          <w:p w14:paraId="7167F1E9">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能形成数据分析报告，重点突出，不要单纯罗列全部科室或病组数据</w:t>
            </w:r>
            <w:r>
              <w:rPr>
                <w:rFonts w:hint="eastAsia" w:ascii="宋体" w:hAnsi="宋体" w:eastAsia="宋体" w:cs="宋体"/>
                <w:color w:val="auto"/>
                <w:sz w:val="21"/>
                <w:szCs w:val="21"/>
                <w:highlight w:val="none"/>
                <w:lang w:eastAsia="zh-CN"/>
              </w:rPr>
              <w:t>。</w:t>
            </w:r>
          </w:p>
          <w:p w14:paraId="3D741ADC">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分析当期数据和往期数据比较，比如环比、同比的分析，同时希望能实现自定义时间段的分析，如分析2025年1-3月与2024年全年，或2025年1-6月与2025年1-3月的数据分析，并非简单的环比、同比。</w:t>
            </w:r>
          </w:p>
          <w:p w14:paraId="2E0E3CA0">
            <w:pPr>
              <w:pStyle w:val="89"/>
              <w:keepNext w:val="0"/>
              <w:keepLines w:val="0"/>
              <w:pageBreakBefore w:val="0"/>
              <w:widowControl w:val="0"/>
              <w:numPr>
                <w:ilvl w:val="1"/>
                <w:numId w:val="2"/>
              </w:numPr>
              <w:kinsoku/>
              <w:wordWrap/>
              <w:overflowPunct/>
              <w:topLinePunct w:val="0"/>
              <w:autoSpaceDE/>
              <w:autoSpaceDN/>
              <w:bidi w:val="0"/>
              <w:adjustRightInd/>
              <w:snapToGrid/>
              <w:spacing w:line="360" w:lineRule="exact"/>
              <w:ind w:left="770" w:leftChars="0" w:hanging="34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能实现某病组的具体用药、用耗的下钻分析，如某超支病组药耗高，具体是哪些药品费用高、哪些耗材费用高，或某病组的药耗排名。</w:t>
            </w:r>
          </w:p>
        </w:tc>
      </w:tr>
      <w:tr w14:paraId="11241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vMerge w:val="continue"/>
            <w:noWrap w:val="0"/>
            <w:vAlign w:val="center"/>
          </w:tcPr>
          <w:p w14:paraId="517A6CF8">
            <w:pPr>
              <w:spacing w:line="360" w:lineRule="exact"/>
              <w:rPr>
                <w:rFonts w:hint="eastAsia" w:ascii="宋体" w:hAnsi="宋体" w:eastAsia="宋体" w:cs="宋体"/>
                <w:color w:val="auto"/>
                <w:szCs w:val="21"/>
                <w:highlight w:val="none"/>
              </w:rPr>
            </w:pPr>
          </w:p>
        </w:tc>
        <w:tc>
          <w:tcPr>
            <w:tcW w:w="1134" w:type="dxa"/>
            <w:vMerge w:val="continue"/>
            <w:noWrap w:val="0"/>
            <w:vAlign w:val="center"/>
          </w:tcPr>
          <w:p w14:paraId="7F818993">
            <w:pPr>
              <w:spacing w:line="360" w:lineRule="exact"/>
              <w:rPr>
                <w:rFonts w:hint="eastAsia" w:ascii="宋体" w:hAnsi="宋体" w:eastAsia="宋体" w:cs="宋体"/>
                <w:color w:val="auto"/>
                <w:szCs w:val="21"/>
                <w:highlight w:val="none"/>
              </w:rPr>
            </w:pPr>
          </w:p>
        </w:tc>
        <w:tc>
          <w:tcPr>
            <w:tcW w:w="737" w:type="dxa"/>
            <w:vMerge w:val="continue"/>
            <w:noWrap w:val="0"/>
            <w:vAlign w:val="center"/>
          </w:tcPr>
          <w:p w14:paraId="373FF727">
            <w:pPr>
              <w:spacing w:line="360" w:lineRule="exact"/>
              <w:rPr>
                <w:rFonts w:hint="eastAsia" w:ascii="宋体" w:hAnsi="宋体" w:eastAsia="宋体" w:cs="宋体"/>
                <w:color w:val="auto"/>
                <w:szCs w:val="21"/>
                <w:highlight w:val="none"/>
              </w:rPr>
            </w:pPr>
          </w:p>
        </w:tc>
        <w:tc>
          <w:tcPr>
            <w:tcW w:w="1134" w:type="dxa"/>
            <w:vMerge w:val="continue"/>
            <w:tcBorders>
              <w:right w:val="single" w:color="auto" w:sz="4" w:space="0"/>
            </w:tcBorders>
            <w:noWrap w:val="0"/>
            <w:vAlign w:val="center"/>
          </w:tcPr>
          <w:p w14:paraId="055F2886">
            <w:pPr>
              <w:spacing w:line="360" w:lineRule="exact"/>
              <w:rPr>
                <w:rFonts w:hint="eastAsia" w:ascii="宋体" w:hAnsi="宋体" w:eastAsia="宋体" w:cs="宋体"/>
                <w:color w:val="auto"/>
                <w:szCs w:val="21"/>
                <w:highlight w:val="none"/>
              </w:rPr>
            </w:pPr>
          </w:p>
        </w:tc>
        <w:tc>
          <w:tcPr>
            <w:tcW w:w="1267" w:type="dxa"/>
            <w:tcBorders>
              <w:right w:val="single" w:color="auto" w:sz="4" w:space="0"/>
            </w:tcBorders>
            <w:noWrap w:val="0"/>
            <w:vAlign w:val="center"/>
          </w:tcPr>
          <w:p w14:paraId="27E2A0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成本效益分析</w:t>
            </w:r>
          </w:p>
        </w:tc>
        <w:tc>
          <w:tcPr>
            <w:tcW w:w="5871" w:type="dxa"/>
            <w:tcBorders>
              <w:left w:val="single" w:color="auto" w:sz="4" w:space="0"/>
              <w:right w:val="single" w:color="auto" w:sz="4" w:space="0"/>
            </w:tcBorders>
            <w:noWrap w:val="0"/>
            <w:vAlign w:val="center"/>
          </w:tcPr>
          <w:p w14:paraId="467F6EF0">
            <w:pPr>
              <w:pStyle w:val="89"/>
              <w:keepNext w:val="0"/>
              <w:keepLines w:val="0"/>
              <w:pageBreakBefore w:val="0"/>
              <w:widowControl w:val="0"/>
              <w:kinsoku/>
              <w:wordWrap/>
              <w:overflowPunct/>
              <w:topLinePunct w:val="0"/>
              <w:autoSpaceDE/>
              <w:autoSpaceDN/>
              <w:bidi w:val="0"/>
              <w:adjustRightInd/>
              <w:snapToGrid/>
              <w:spacing w:line="360" w:lineRule="exact"/>
              <w:ind w:firstLine="525" w:firstLineChars="2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提供下述成本效益分析模型系统，以协助医院与科室(主诊组)进行成本效益管理：</w:t>
            </w:r>
          </w:p>
          <w:p w14:paraId="6392E2F8">
            <w:pPr>
              <w:pStyle w:val="89"/>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科室(主诊组)可控边际贡献率与损益率分析模型</w:t>
            </w:r>
          </w:p>
          <w:p w14:paraId="7B71BA7A">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77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过结构化财务指标与数据可视化技术，协助管理者从复杂的医疗与财务数据中快速洞察各业务单元的盈亏状况与运营效益。该模型可将抽象的数字转化为具象化图像，能有效提升医院管理者在绩效管理与资源分配上的判断力。主要功能包括：</w:t>
            </w:r>
          </w:p>
          <w:p w14:paraId="4D5C7099">
            <w:pPr>
              <w:pStyle w:val="89"/>
              <w:keepNext w:val="0"/>
              <w:keepLines w:val="0"/>
              <w:pageBreakBefore w:val="0"/>
              <w:widowControl w:val="0"/>
              <w:numPr>
                <w:ilvl w:val="1"/>
                <w:numId w:val="3"/>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关键绩效比率分析</w:t>
            </w:r>
            <w:r>
              <w:rPr>
                <w:rFonts w:hint="eastAsia" w:ascii="宋体" w:hAnsi="宋体" w:eastAsia="宋体" w:cs="宋体"/>
                <w:color w:val="auto"/>
                <w:kern w:val="0"/>
                <w:sz w:val="21"/>
                <w:szCs w:val="21"/>
                <w:highlight w:val="none"/>
              </w:rPr>
              <w:t>：聚焦 “可控边际贡献率”与“损益率”两大核心维度，清楚揭示各科室/主诊组的经营效率与可控财务成果。</w:t>
            </w:r>
          </w:p>
          <w:p w14:paraId="0136CF54">
            <w:pPr>
              <w:pStyle w:val="89"/>
              <w:keepNext w:val="0"/>
              <w:keepLines w:val="0"/>
              <w:pageBreakBefore w:val="0"/>
              <w:widowControl w:val="0"/>
              <w:numPr>
                <w:ilvl w:val="1"/>
                <w:numId w:val="3"/>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可视化发展轨迹：</w:t>
            </w:r>
            <w:r>
              <w:rPr>
                <w:rFonts w:hint="eastAsia" w:ascii="宋体" w:hAnsi="宋体" w:eastAsia="宋体" w:cs="宋体"/>
                <w:color w:val="auto"/>
                <w:kern w:val="0"/>
                <w:sz w:val="21"/>
                <w:szCs w:val="21"/>
                <w:highlight w:val="none"/>
              </w:rPr>
              <w:t>信息导向的可视化呈现单一科室运营管理的发展轨迹。</w:t>
            </w:r>
          </w:p>
          <w:p w14:paraId="4C62B0D4">
            <w:pPr>
              <w:pStyle w:val="89"/>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eastAsia="zh-TW"/>
              </w:rPr>
              <w:t>本量利分析模型</w:t>
            </w:r>
            <w:r>
              <w:rPr>
                <w:rFonts w:hint="eastAsia" w:ascii="宋体" w:hAnsi="宋体" w:eastAsia="宋体" w:cs="宋体"/>
                <w:color w:val="auto"/>
                <w:kern w:val="0"/>
                <w:sz w:val="21"/>
                <w:szCs w:val="21"/>
                <w:highlight w:val="none"/>
                <w:lang w:eastAsia="zh-TW"/>
              </w:rPr>
              <w:t>（Cost-Volume-Profit Analysis Model）</w:t>
            </w:r>
          </w:p>
          <w:p w14:paraId="1908DAA6">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77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过针对各科室(主诊组)历史收支结余（利润）数据进行系统分析，通过月均收入、月均人次、变动/半变动成本、单位边际贡献、固定成本、总成本等多种变量，识别关键影响因素，并据此计算医疗服务的保本点（Break-even Point）与结余额（Target Surplus）。精准掌握各业务单元的财务风险边界，支持医院在资源配置、绩效评估及策略调整上的科学决策。主要功能包括：</w:t>
            </w:r>
          </w:p>
          <w:p w14:paraId="63B479BA">
            <w:pPr>
              <w:pStyle w:val="89"/>
              <w:keepNext w:val="0"/>
              <w:keepLines w:val="0"/>
              <w:pageBreakBefore w:val="0"/>
              <w:widowControl w:val="0"/>
              <w:numPr>
                <w:ilvl w:val="1"/>
                <w:numId w:val="3"/>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保本分析：量化各单位的保本服务量与保本收入额，明确盈亏临界点；</w:t>
            </w:r>
          </w:p>
          <w:p w14:paraId="3B080D40">
            <w:pPr>
              <w:pStyle w:val="89"/>
              <w:keepNext w:val="0"/>
              <w:keepLines w:val="0"/>
              <w:pageBreakBefore w:val="0"/>
              <w:widowControl w:val="0"/>
              <w:numPr>
                <w:ilvl w:val="1"/>
                <w:numId w:val="3"/>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安全边际计算：评估实际业务量相对于保本点的安全区间，衡量经营稳定性；</w:t>
            </w:r>
          </w:p>
          <w:p w14:paraId="32CE4532">
            <w:pPr>
              <w:pStyle w:val="89"/>
              <w:keepNext w:val="0"/>
              <w:keepLines w:val="0"/>
              <w:pageBreakBefore w:val="0"/>
              <w:widowControl w:val="0"/>
              <w:numPr>
                <w:ilvl w:val="1"/>
                <w:numId w:val="3"/>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线性回归分析法：运用历史成本与业务量数据进行趋势预测和成本行为识别，提高预算精度；</w:t>
            </w:r>
          </w:p>
          <w:p w14:paraId="46DF892F">
            <w:pPr>
              <w:pStyle w:val="89"/>
              <w:keepNext w:val="0"/>
              <w:keepLines w:val="0"/>
              <w:pageBreakBefore w:val="0"/>
              <w:widowControl w:val="0"/>
              <w:numPr>
                <w:ilvl w:val="1"/>
                <w:numId w:val="3"/>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目标结余倒推分析：以预设盈余目标为基础，反向推导应达业务量、收入与成本控制目标，辅助制定可执行的运营改善路径。</w:t>
            </w:r>
          </w:p>
          <w:p w14:paraId="175C205D">
            <w:pPr>
              <w:pStyle w:val="89"/>
              <w:keepNext w:val="0"/>
              <w:keepLines w:val="0"/>
              <w:pageBreakBefore w:val="0"/>
              <w:widowControl w:val="0"/>
              <w:numPr>
                <w:ilvl w:val="1"/>
                <w:numId w:val="3"/>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本量利分析模型可广泛应用于绩效改善计划、成本控制策略、服务结构优化与年度预算编制，为医院运营管理提供量化依据和决策支持。</w:t>
            </w:r>
          </w:p>
          <w:p w14:paraId="264C3C60">
            <w:pPr>
              <w:pStyle w:val="89"/>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科室发展潜力分析模型(BCG分析）</w:t>
            </w:r>
          </w:p>
          <w:p w14:paraId="624313AC">
            <w:pPr>
              <w:pStyle w:val="89"/>
              <w:keepNext w:val="0"/>
              <w:keepLines w:val="0"/>
              <w:pageBreakBefore w:val="0"/>
              <w:widowControl w:val="0"/>
              <w:numPr>
                <w:ilvl w:val="1"/>
                <w:numId w:val="3"/>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科室(主诊组)发展潜力分析模型: 通过科室学科发展的各项维度重点，管理者可藉由可视化的模式来表现抽象的数据，让复杂的学科建设、人才根基、创新能力、资源支持与运营效能等内涵更容易了解，为医院管理者提供清楚的决策方向，可用于监控异常状况，协助进行学科例外管理。</w:t>
            </w:r>
          </w:p>
          <w:p w14:paraId="00C961F9">
            <w:pPr>
              <w:pStyle w:val="89"/>
              <w:keepNext w:val="0"/>
              <w:keepLines w:val="0"/>
              <w:pageBreakBefore w:val="0"/>
              <w:widowControl w:val="0"/>
              <w:numPr>
                <w:ilvl w:val="1"/>
                <w:numId w:val="3"/>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以支持医院学科建设与中长期发展规划为目标，通</w:t>
            </w:r>
            <w:r>
              <w:rPr>
                <w:rFonts w:hint="eastAsia" w:ascii="宋体" w:hAnsi="宋体" w:eastAsia="宋体" w:cs="宋体"/>
                <w:color w:val="auto"/>
                <w:sz w:val="21"/>
                <w:szCs w:val="21"/>
                <w:highlight w:val="none"/>
              </w:rPr>
              <w:t>过科室学科发展的各项维度重点，</w:t>
            </w:r>
            <w:r>
              <w:rPr>
                <w:rFonts w:hint="eastAsia" w:ascii="宋体" w:hAnsi="宋体" w:eastAsia="宋体" w:cs="宋体"/>
                <w:color w:val="auto"/>
                <w:kern w:val="0"/>
                <w:sz w:val="21"/>
                <w:szCs w:val="21"/>
                <w:highlight w:val="none"/>
              </w:rPr>
              <w:t>本模型结合财务数据与发展能力评估，建立BCG成长潜力分析图，辅助医院科学识别“重点扶持”与“资源整合”对象。</w:t>
            </w:r>
          </w:p>
          <w:p w14:paraId="7CA3B622">
            <w:pPr>
              <w:pStyle w:val="89"/>
              <w:keepNext w:val="0"/>
              <w:keepLines w:val="0"/>
              <w:pageBreakBefore w:val="0"/>
              <w:widowControl w:val="0"/>
              <w:numPr>
                <w:ilvl w:val="1"/>
                <w:numId w:val="3"/>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根据学科发展综合评估卡体系达标率(反映学科综合竞争力)以及营收增长率的维度，以反映学科成长动能与发展趋势的转变。</w:t>
            </w:r>
          </w:p>
          <w:p w14:paraId="5C84F07C">
            <w:pPr>
              <w:pStyle w:val="89"/>
              <w:keepNext w:val="0"/>
              <w:keepLines w:val="0"/>
              <w:pageBreakBefore w:val="0"/>
              <w:widowControl w:val="0"/>
              <w:numPr>
                <w:ilvl w:val="1"/>
                <w:numId w:val="3"/>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BCG学科发展四象限包括：品牌学科（明星学科） — 高竞争力、高成长，适合重点建设与输出推广；潜力学科（问题学科） — 低竞争力、高成长，建议强化资源支持与机制改善；落后学科（瘦狗学科） — 低竞争力、低成长，需评估是否整合或转型；推广学科（金牛学科） — 高竞争力、低成长，适合稳定经营与经验复制。</w:t>
            </w:r>
          </w:p>
          <w:p w14:paraId="14C17CDC">
            <w:pPr>
              <w:pStyle w:val="89"/>
              <w:keepNext w:val="0"/>
              <w:keepLines w:val="0"/>
              <w:pageBreakBefore w:val="0"/>
              <w:widowControl w:val="0"/>
              <w:numPr>
                <w:ilvl w:val="1"/>
                <w:numId w:val="3"/>
              </w:numPr>
              <w:kinsoku/>
              <w:wordWrap/>
              <w:overflowPunct/>
              <w:topLinePunct w:val="0"/>
              <w:autoSpaceDE/>
              <w:autoSpaceDN/>
              <w:bidi w:val="0"/>
              <w:adjustRightInd/>
              <w:snapToGrid/>
              <w:spacing w:line="360" w:lineRule="exact"/>
              <w:ind w:left="770" w:leftChars="0" w:hanging="34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通过学科发展潜力分析模型，可整合前述的可控边际贡献率与损益率分析模型、本量利分析模型以评估科室在损益贡献、成本效益、学科建设等方面的整体发展。</w:t>
            </w:r>
          </w:p>
        </w:tc>
      </w:tr>
      <w:tr w14:paraId="30146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vMerge w:val="continue"/>
            <w:noWrap w:val="0"/>
            <w:vAlign w:val="center"/>
          </w:tcPr>
          <w:p w14:paraId="34BC9293">
            <w:pPr>
              <w:spacing w:line="360" w:lineRule="exact"/>
              <w:rPr>
                <w:rFonts w:hint="eastAsia" w:ascii="宋体" w:hAnsi="宋体" w:eastAsia="宋体" w:cs="宋体"/>
                <w:color w:val="auto"/>
                <w:szCs w:val="21"/>
                <w:highlight w:val="none"/>
              </w:rPr>
            </w:pPr>
          </w:p>
        </w:tc>
        <w:tc>
          <w:tcPr>
            <w:tcW w:w="1134" w:type="dxa"/>
            <w:vMerge w:val="continue"/>
            <w:noWrap w:val="0"/>
            <w:vAlign w:val="center"/>
          </w:tcPr>
          <w:p w14:paraId="0AEA04EE">
            <w:pPr>
              <w:spacing w:line="360" w:lineRule="exact"/>
              <w:rPr>
                <w:rFonts w:hint="eastAsia" w:ascii="宋体" w:hAnsi="宋体" w:eastAsia="宋体" w:cs="宋体"/>
                <w:color w:val="auto"/>
                <w:szCs w:val="21"/>
                <w:highlight w:val="none"/>
              </w:rPr>
            </w:pPr>
          </w:p>
        </w:tc>
        <w:tc>
          <w:tcPr>
            <w:tcW w:w="737" w:type="dxa"/>
            <w:vMerge w:val="continue"/>
            <w:noWrap w:val="0"/>
            <w:vAlign w:val="center"/>
          </w:tcPr>
          <w:p w14:paraId="216EF16D">
            <w:pPr>
              <w:spacing w:line="360" w:lineRule="exact"/>
              <w:rPr>
                <w:rFonts w:hint="eastAsia" w:ascii="宋体" w:hAnsi="宋体" w:eastAsia="宋体" w:cs="宋体"/>
                <w:color w:val="auto"/>
                <w:szCs w:val="21"/>
                <w:highlight w:val="none"/>
              </w:rPr>
            </w:pPr>
          </w:p>
        </w:tc>
        <w:tc>
          <w:tcPr>
            <w:tcW w:w="1134" w:type="dxa"/>
            <w:vMerge w:val="continue"/>
            <w:tcBorders>
              <w:right w:val="single" w:color="auto" w:sz="4" w:space="0"/>
            </w:tcBorders>
            <w:noWrap w:val="0"/>
            <w:vAlign w:val="center"/>
          </w:tcPr>
          <w:p w14:paraId="64C4E0F2">
            <w:pPr>
              <w:spacing w:line="360" w:lineRule="exact"/>
              <w:rPr>
                <w:rFonts w:hint="eastAsia" w:ascii="宋体" w:hAnsi="宋体" w:eastAsia="宋体" w:cs="宋体"/>
                <w:color w:val="auto"/>
                <w:szCs w:val="21"/>
                <w:highlight w:val="none"/>
              </w:rPr>
            </w:pPr>
          </w:p>
        </w:tc>
        <w:tc>
          <w:tcPr>
            <w:tcW w:w="1267" w:type="dxa"/>
            <w:tcBorders>
              <w:right w:val="single" w:color="auto" w:sz="4" w:space="0"/>
            </w:tcBorders>
            <w:noWrap w:val="0"/>
            <w:vAlign w:val="center"/>
          </w:tcPr>
          <w:p w14:paraId="06695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控制图模型</w:t>
            </w:r>
          </w:p>
        </w:tc>
        <w:tc>
          <w:tcPr>
            <w:tcW w:w="5871" w:type="dxa"/>
            <w:tcBorders>
              <w:left w:val="single" w:color="auto" w:sz="4" w:space="0"/>
              <w:right w:val="single" w:color="auto" w:sz="4" w:space="0"/>
            </w:tcBorders>
            <w:noWrap w:val="0"/>
            <w:vAlign w:val="center"/>
          </w:tcPr>
          <w:p w14:paraId="36BC4116">
            <w:pPr>
              <w:pStyle w:val="89"/>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控制图模型可与医院现有信息管理平台上的指标系统相结合，同时整合指标数据以进行判别应用。</w:t>
            </w:r>
          </w:p>
          <w:p w14:paraId="023B829A">
            <w:pPr>
              <w:pStyle w:val="89"/>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可由使用者选择以下控制图类型，自动产生绘制内容，包括不合格控制图P-Chart、不合格数控制图PN-Chart、单位缺点数控制图U-Chart、缺点数控制图C-Chart、个别值与移动全距控制图I-Chart、移动全距控制图XMR-Chart等。</w:t>
            </w:r>
          </w:p>
          <w:p w14:paraId="073BD286">
            <w:pPr>
              <w:pStyle w:val="89"/>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TW"/>
              </w:rPr>
              <w:t>依据W</w:t>
            </w:r>
            <w:r>
              <w:rPr>
                <w:rFonts w:hint="eastAsia" w:ascii="宋体" w:hAnsi="宋体" w:eastAsia="宋体" w:cs="宋体"/>
                <w:color w:val="auto"/>
                <w:sz w:val="21"/>
                <w:szCs w:val="21"/>
                <w:highlight w:val="none"/>
              </w:rPr>
              <w:t>estern Electric Rules、Nelson Rules提供不少于五种的异常点判断规则，并对于期间</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异常数据进行颜色</w:t>
            </w:r>
            <w:r>
              <w:rPr>
                <w:rFonts w:hint="eastAsia" w:ascii="宋体" w:hAnsi="宋体" w:eastAsia="宋体" w:cs="宋体"/>
                <w:color w:val="auto"/>
                <w:sz w:val="21"/>
                <w:szCs w:val="21"/>
                <w:highlight w:val="none"/>
                <w:lang w:eastAsia="zh-CN"/>
              </w:rPr>
              <w:t>标识</w:t>
            </w:r>
            <w:r>
              <w:rPr>
                <w:rFonts w:hint="eastAsia" w:ascii="宋体" w:hAnsi="宋体" w:eastAsia="宋体" w:cs="宋体"/>
                <w:color w:val="auto"/>
                <w:sz w:val="21"/>
                <w:szCs w:val="21"/>
                <w:highlight w:val="none"/>
              </w:rPr>
              <w:t>管理与说明。</w:t>
            </w:r>
          </w:p>
        </w:tc>
      </w:tr>
      <w:tr w14:paraId="5C094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vMerge w:val="continue"/>
            <w:noWrap w:val="0"/>
            <w:vAlign w:val="center"/>
          </w:tcPr>
          <w:p w14:paraId="0EAA1BC7">
            <w:pPr>
              <w:spacing w:line="360" w:lineRule="exact"/>
              <w:rPr>
                <w:rFonts w:hint="eastAsia" w:ascii="宋体" w:hAnsi="宋体" w:eastAsia="宋体" w:cs="宋体"/>
                <w:color w:val="auto"/>
                <w:szCs w:val="21"/>
                <w:highlight w:val="none"/>
              </w:rPr>
            </w:pPr>
          </w:p>
        </w:tc>
        <w:tc>
          <w:tcPr>
            <w:tcW w:w="1134" w:type="dxa"/>
            <w:vMerge w:val="continue"/>
            <w:noWrap w:val="0"/>
            <w:vAlign w:val="center"/>
          </w:tcPr>
          <w:p w14:paraId="215BC4F2">
            <w:pPr>
              <w:spacing w:line="360" w:lineRule="exact"/>
              <w:rPr>
                <w:rFonts w:hint="eastAsia" w:ascii="宋体" w:hAnsi="宋体" w:eastAsia="宋体" w:cs="宋体"/>
                <w:color w:val="auto"/>
                <w:szCs w:val="21"/>
                <w:highlight w:val="none"/>
              </w:rPr>
            </w:pPr>
          </w:p>
        </w:tc>
        <w:tc>
          <w:tcPr>
            <w:tcW w:w="737" w:type="dxa"/>
            <w:vMerge w:val="continue"/>
            <w:noWrap w:val="0"/>
            <w:vAlign w:val="center"/>
          </w:tcPr>
          <w:p w14:paraId="285AEA50">
            <w:pPr>
              <w:spacing w:line="360" w:lineRule="exact"/>
              <w:rPr>
                <w:rFonts w:hint="eastAsia" w:ascii="宋体" w:hAnsi="宋体" w:eastAsia="宋体" w:cs="宋体"/>
                <w:color w:val="auto"/>
                <w:szCs w:val="21"/>
                <w:highlight w:val="none"/>
              </w:rPr>
            </w:pPr>
          </w:p>
        </w:tc>
        <w:tc>
          <w:tcPr>
            <w:tcW w:w="1134" w:type="dxa"/>
            <w:vMerge w:val="continue"/>
            <w:tcBorders>
              <w:right w:val="single" w:color="auto" w:sz="4" w:space="0"/>
            </w:tcBorders>
            <w:noWrap w:val="0"/>
            <w:vAlign w:val="center"/>
          </w:tcPr>
          <w:p w14:paraId="4F8F203D">
            <w:pPr>
              <w:spacing w:line="360" w:lineRule="exact"/>
              <w:rPr>
                <w:rFonts w:hint="eastAsia" w:ascii="宋体" w:hAnsi="宋体" w:eastAsia="宋体" w:cs="宋体"/>
                <w:color w:val="auto"/>
                <w:szCs w:val="21"/>
                <w:highlight w:val="none"/>
              </w:rPr>
            </w:pPr>
          </w:p>
        </w:tc>
        <w:tc>
          <w:tcPr>
            <w:tcW w:w="1267" w:type="dxa"/>
            <w:tcBorders>
              <w:right w:val="single" w:color="auto" w:sz="4" w:space="0"/>
            </w:tcBorders>
            <w:noWrap w:val="0"/>
            <w:vAlign w:val="center"/>
          </w:tcPr>
          <w:p w14:paraId="5A6C57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运营仪表盘</w:t>
            </w:r>
          </w:p>
        </w:tc>
        <w:tc>
          <w:tcPr>
            <w:tcW w:w="5871" w:type="dxa"/>
            <w:tcBorders>
              <w:left w:val="single" w:color="auto" w:sz="4" w:space="0"/>
              <w:right w:val="single" w:color="auto" w:sz="4" w:space="0"/>
            </w:tcBorders>
            <w:noWrap w:val="0"/>
            <w:vAlign w:val="center"/>
          </w:tcPr>
          <w:p w14:paraId="34150BFE">
            <w:pPr>
              <w:pStyle w:val="89"/>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可于系统首页进行监测</w:t>
            </w:r>
          </w:p>
          <w:p w14:paraId="11F6851A">
            <w:pPr>
              <w:pStyle w:val="89"/>
              <w:keepNext w:val="0"/>
              <w:keepLines w:val="0"/>
              <w:pageBreakBefore w:val="0"/>
              <w:widowControl w:val="0"/>
              <w:numPr>
                <w:ilvl w:val="1"/>
                <w:numId w:val="5"/>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可依据医院发展规划、编制、床位、医院人力、工作目标等引入全院重点监测的指标，设计需要的版型格式，同时可于系统首页进行监测。</w:t>
            </w:r>
          </w:p>
          <w:p w14:paraId="1A9FFDD1">
            <w:pPr>
              <w:pStyle w:val="89"/>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可提供指标卡版型</w:t>
            </w:r>
          </w:p>
          <w:p w14:paraId="6BF66FF2">
            <w:pPr>
              <w:pStyle w:val="89"/>
              <w:keepNext w:val="0"/>
              <w:keepLines w:val="0"/>
              <w:pageBreakBefore w:val="0"/>
              <w:widowControl w:val="0"/>
              <w:numPr>
                <w:ilvl w:val="1"/>
                <w:numId w:val="5"/>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能支持结合指标管理功能，设计指标卡版型，通过区块方式呈现指标重点数据。同时运用数据颜色管理，实时了解重点指标的灯号情况，并提供超链接点击方式进入指标详细了解数据趋势。</w:t>
            </w:r>
          </w:p>
          <w:p w14:paraId="118B9A1B">
            <w:pPr>
              <w:pStyle w:val="89"/>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提供多样性图表与指标列表模式</w:t>
            </w:r>
          </w:p>
          <w:p w14:paraId="25D8E762">
            <w:pPr>
              <w:pStyle w:val="89"/>
              <w:keepNext w:val="0"/>
              <w:keepLines w:val="0"/>
              <w:pageBreakBefore w:val="0"/>
              <w:widowControl w:val="0"/>
              <w:numPr>
                <w:ilvl w:val="1"/>
                <w:numId w:val="5"/>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能支持多内容版型，除了可加入指标卡版型，也可结合所需要的指标图表，如折线图、</w:t>
            </w:r>
            <w:r>
              <w:rPr>
                <w:rFonts w:hint="eastAsia" w:ascii="宋体" w:hAnsi="宋体" w:eastAsia="宋体" w:cs="宋体"/>
                <w:color w:val="auto"/>
                <w:sz w:val="21"/>
                <w:szCs w:val="21"/>
                <w:highlight w:val="none"/>
                <w:lang w:eastAsia="zh-CN"/>
              </w:rPr>
              <w:t>柱形图</w:t>
            </w:r>
            <w:r>
              <w:rPr>
                <w:rFonts w:hint="eastAsia" w:ascii="宋体" w:hAnsi="宋体" w:eastAsia="宋体" w:cs="宋体"/>
                <w:color w:val="auto"/>
                <w:sz w:val="21"/>
                <w:szCs w:val="21"/>
                <w:highlight w:val="none"/>
              </w:rPr>
              <w:t>、区域图、堆栈区域图、雷达图等，提供视觉化</w:t>
            </w:r>
            <w:r>
              <w:rPr>
                <w:rFonts w:hint="eastAsia" w:ascii="宋体" w:hAnsi="宋体" w:eastAsia="宋体" w:cs="宋体"/>
                <w:color w:val="auto"/>
                <w:sz w:val="21"/>
                <w:szCs w:val="21"/>
                <w:highlight w:val="none"/>
                <w:lang w:eastAsia="zh-CN"/>
              </w:rPr>
              <w:t>图形</w:t>
            </w:r>
            <w:r>
              <w:rPr>
                <w:rFonts w:hint="eastAsia" w:ascii="宋体" w:hAnsi="宋体" w:eastAsia="宋体" w:cs="宋体"/>
                <w:color w:val="auto"/>
                <w:sz w:val="21"/>
                <w:szCs w:val="21"/>
                <w:highlight w:val="none"/>
              </w:rPr>
              <w:t>监看方式。</w:t>
            </w:r>
          </w:p>
          <w:p w14:paraId="47A694EA">
            <w:pPr>
              <w:pStyle w:val="89"/>
              <w:keepNext w:val="0"/>
              <w:keepLines w:val="0"/>
              <w:pageBreakBefore w:val="0"/>
              <w:widowControl w:val="0"/>
              <w:numPr>
                <w:ilvl w:val="1"/>
                <w:numId w:val="5"/>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提供指标列表模式，可呈现重点指标的灯号、实际值、同比与环比等趋势状况，让目标管理者便于分析与管理。</w:t>
            </w:r>
          </w:p>
          <w:p w14:paraId="673175CE">
            <w:pPr>
              <w:pStyle w:val="89"/>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支持结合不同运营分析功能，提供多种分析图表</w:t>
            </w:r>
          </w:p>
          <w:p w14:paraId="312A7B5B">
            <w:pPr>
              <w:pStyle w:val="89"/>
              <w:keepNext w:val="0"/>
              <w:keepLines w:val="0"/>
              <w:pageBreakBefore w:val="0"/>
              <w:widowControl w:val="0"/>
              <w:numPr>
                <w:ilvl w:val="1"/>
                <w:numId w:val="5"/>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可结合运营分析功能，提供各类分析图表，包含评价专科发展数据、科室及主诊组服务分析表、科室及主诊组运营分布图、本量利分析图、科室及主诊组营运排行、科室及主诊组发展演变趋势等，协助使用者进行相关项目的调控，落实科室或全院发展目标。</w:t>
            </w:r>
          </w:p>
          <w:p w14:paraId="5FA62758">
            <w:pPr>
              <w:pStyle w:val="89"/>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各科室可创建</w:t>
            </w:r>
            <w:r>
              <w:rPr>
                <w:rFonts w:hint="eastAsia" w:ascii="宋体" w:hAnsi="宋体" w:eastAsia="宋体" w:cs="宋体"/>
                <w:color w:val="auto"/>
                <w:sz w:val="21"/>
                <w:szCs w:val="21"/>
                <w:highlight w:val="none"/>
                <w:lang w:val="en-US" w:eastAsia="zh-CN"/>
              </w:rPr>
              <w:t>定制</w:t>
            </w:r>
            <w:r>
              <w:rPr>
                <w:rFonts w:hint="eastAsia" w:ascii="宋体" w:hAnsi="宋体" w:eastAsia="宋体" w:cs="宋体"/>
                <w:color w:val="auto"/>
                <w:sz w:val="21"/>
                <w:szCs w:val="21"/>
                <w:highlight w:val="none"/>
              </w:rPr>
              <w:t>仪表盘：</w:t>
            </w:r>
          </w:p>
          <w:p w14:paraId="7DCC06B3">
            <w:pPr>
              <w:pStyle w:val="89"/>
              <w:keepNext w:val="0"/>
              <w:keepLines w:val="0"/>
              <w:pageBreakBefore w:val="0"/>
              <w:widowControl w:val="0"/>
              <w:numPr>
                <w:ilvl w:val="1"/>
                <w:numId w:val="5"/>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提供各仪表盘发布群组功能，各单位可自行设计需要的仪表盘进行监测，不同权限单位彼此互相独立，而系统管理者可统一管理所有单位的仪表盘。</w:t>
            </w:r>
          </w:p>
          <w:p w14:paraId="166E95DC">
            <w:pPr>
              <w:pStyle w:val="89"/>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系统支持设定完成的仪表盘在移动端使用。</w:t>
            </w:r>
          </w:p>
        </w:tc>
      </w:tr>
      <w:tr w14:paraId="7AC6A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vMerge w:val="continue"/>
            <w:noWrap w:val="0"/>
            <w:vAlign w:val="center"/>
          </w:tcPr>
          <w:p w14:paraId="7AA631E8">
            <w:pPr>
              <w:spacing w:line="360" w:lineRule="exact"/>
              <w:rPr>
                <w:rFonts w:hint="eastAsia" w:ascii="宋体" w:hAnsi="宋体" w:eastAsia="宋体" w:cs="宋体"/>
                <w:color w:val="auto"/>
                <w:szCs w:val="21"/>
                <w:highlight w:val="none"/>
              </w:rPr>
            </w:pPr>
          </w:p>
        </w:tc>
        <w:tc>
          <w:tcPr>
            <w:tcW w:w="1134" w:type="dxa"/>
            <w:vMerge w:val="continue"/>
            <w:noWrap w:val="0"/>
            <w:vAlign w:val="center"/>
          </w:tcPr>
          <w:p w14:paraId="6F84A544">
            <w:pPr>
              <w:spacing w:line="360" w:lineRule="exact"/>
              <w:rPr>
                <w:rFonts w:hint="eastAsia" w:ascii="宋体" w:hAnsi="宋体" w:eastAsia="宋体" w:cs="宋体"/>
                <w:color w:val="auto"/>
                <w:szCs w:val="21"/>
                <w:highlight w:val="none"/>
              </w:rPr>
            </w:pPr>
          </w:p>
        </w:tc>
        <w:tc>
          <w:tcPr>
            <w:tcW w:w="737" w:type="dxa"/>
            <w:vMerge w:val="continue"/>
            <w:noWrap w:val="0"/>
            <w:vAlign w:val="center"/>
          </w:tcPr>
          <w:p w14:paraId="5D08E5D3">
            <w:pPr>
              <w:spacing w:line="360" w:lineRule="exact"/>
              <w:rPr>
                <w:rFonts w:hint="eastAsia" w:ascii="宋体" w:hAnsi="宋体" w:eastAsia="宋体" w:cs="宋体"/>
                <w:color w:val="auto"/>
                <w:szCs w:val="21"/>
                <w:highlight w:val="none"/>
              </w:rPr>
            </w:pPr>
          </w:p>
        </w:tc>
        <w:tc>
          <w:tcPr>
            <w:tcW w:w="1134" w:type="dxa"/>
            <w:vMerge w:val="continue"/>
            <w:tcBorders>
              <w:right w:val="single" w:color="auto" w:sz="4" w:space="0"/>
            </w:tcBorders>
            <w:noWrap w:val="0"/>
            <w:vAlign w:val="center"/>
          </w:tcPr>
          <w:p w14:paraId="746F6AE5">
            <w:pPr>
              <w:spacing w:line="360" w:lineRule="exact"/>
              <w:rPr>
                <w:rFonts w:hint="eastAsia" w:ascii="宋体" w:hAnsi="宋体" w:eastAsia="宋体" w:cs="宋体"/>
                <w:color w:val="auto"/>
                <w:szCs w:val="21"/>
                <w:highlight w:val="none"/>
              </w:rPr>
            </w:pPr>
          </w:p>
        </w:tc>
        <w:tc>
          <w:tcPr>
            <w:tcW w:w="1267" w:type="dxa"/>
            <w:tcBorders>
              <w:right w:val="single" w:color="auto" w:sz="4" w:space="0"/>
            </w:tcBorders>
            <w:noWrap w:val="0"/>
            <w:vAlign w:val="center"/>
          </w:tcPr>
          <w:p w14:paraId="5F667B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BI多维分析应用</w:t>
            </w:r>
          </w:p>
        </w:tc>
        <w:tc>
          <w:tcPr>
            <w:tcW w:w="5871" w:type="dxa"/>
            <w:tcBorders>
              <w:left w:val="single" w:color="auto" w:sz="4" w:space="0"/>
              <w:right w:val="single" w:color="auto" w:sz="4" w:space="0"/>
            </w:tcBorders>
            <w:noWrap w:val="0"/>
            <w:vAlign w:val="center"/>
          </w:tcPr>
          <w:p w14:paraId="201E5AA9">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leftChars="0" w:hanging="44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可选择多种数据集来源：如门诊数据集、</w:t>
            </w:r>
            <w:r>
              <w:rPr>
                <w:rFonts w:hint="eastAsia" w:ascii="宋体" w:hAnsi="宋体" w:eastAsia="宋体" w:cs="宋体"/>
                <w:color w:val="auto"/>
                <w:sz w:val="21"/>
                <w:szCs w:val="21"/>
                <w:highlight w:val="none"/>
                <w:lang w:val="en-US" w:eastAsia="zh-CN"/>
              </w:rPr>
              <w:t>体检数据集、病种数据集、</w:t>
            </w:r>
            <w:r>
              <w:rPr>
                <w:rFonts w:hint="eastAsia" w:ascii="宋体" w:hAnsi="宋体" w:eastAsia="宋体" w:cs="宋体"/>
                <w:color w:val="auto"/>
                <w:sz w:val="21"/>
                <w:szCs w:val="21"/>
                <w:highlight w:val="none"/>
              </w:rPr>
              <w:t>住院数据集、DRG数据集等，进行动态图文并存方式的多维分析应用。</w:t>
            </w:r>
          </w:p>
          <w:p w14:paraId="13C4F80C">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leftChars="0" w:hanging="44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提供多维分析枢纽分析表工具：本功能所产生的枢纽分析表，可拖曳所需维度（Dimension）至 X轴或 Y轴，或设定条件，以进行下钻（Drill down）分析。</w:t>
            </w:r>
          </w:p>
          <w:p w14:paraId="383DDAB1">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leftChars="0" w:hanging="44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提供各类分析图表：支持选择适当图形呈现，如横向条形图、折线图、圆饼图、区域图、</w:t>
            </w:r>
            <w:r>
              <w:rPr>
                <w:rFonts w:hint="eastAsia" w:ascii="宋体" w:hAnsi="宋体" w:eastAsia="宋体" w:cs="宋体"/>
                <w:color w:val="auto"/>
                <w:sz w:val="21"/>
                <w:szCs w:val="21"/>
                <w:highlight w:val="none"/>
                <w:lang w:eastAsia="zh-CN"/>
              </w:rPr>
              <w:t>堆叠</w:t>
            </w:r>
            <w:r>
              <w:rPr>
                <w:rFonts w:hint="eastAsia" w:ascii="宋体" w:hAnsi="宋体" w:eastAsia="宋体" w:cs="宋体"/>
                <w:color w:val="auto"/>
                <w:sz w:val="21"/>
                <w:szCs w:val="21"/>
                <w:highlight w:val="none"/>
              </w:rPr>
              <w:t>区域图等多种图形表示。</w:t>
            </w:r>
          </w:p>
          <w:p w14:paraId="70375801">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leftChars="0" w:hanging="44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多字段数据互相比较与自定义比较规则：可支持指定多个字段数据间互相比较，设计相关的自定义比较规则，得到结果灯号。</w:t>
            </w:r>
          </w:p>
          <w:p w14:paraId="38DB6EE8">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leftChars="0" w:hanging="44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明细方式直接呈现：除了枢纽分析表的统计值方式，能支持布局方式与提供扁平模式，清楚呈现各字段明细结果。</w:t>
            </w:r>
          </w:p>
          <w:p w14:paraId="51235F62">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leftChars="0" w:hanging="44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指定的字段排序状况：可将各字段数据进行升序或递减排序，呈现指定数据排序状况。</w:t>
            </w:r>
          </w:p>
          <w:p w14:paraId="3CDB1811">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leftChars="0" w:hanging="44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维度（Dimension）的筛选功能：能支持提供用户在各维度（Dimension）输入相关的关键词或是比较条件，进行结果筛选。</w:t>
            </w:r>
          </w:p>
          <w:p w14:paraId="2311AB31">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leftChars="0" w:hanging="44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自行建立小计或</w:t>
            </w:r>
            <w:r>
              <w:rPr>
                <w:rFonts w:hint="eastAsia" w:ascii="宋体" w:hAnsi="宋体" w:eastAsia="宋体" w:cs="宋体"/>
                <w:color w:val="auto"/>
                <w:sz w:val="21"/>
                <w:szCs w:val="21"/>
                <w:highlight w:val="none"/>
                <w:lang w:val="en-US" w:eastAsia="zh-CN"/>
              </w:rPr>
              <w:t>总计</w:t>
            </w:r>
            <w:r>
              <w:rPr>
                <w:rFonts w:hint="eastAsia" w:ascii="宋体" w:hAnsi="宋体" w:eastAsia="宋体" w:cs="宋体"/>
                <w:color w:val="auto"/>
                <w:sz w:val="21"/>
                <w:szCs w:val="21"/>
                <w:highlight w:val="none"/>
              </w:rPr>
              <w:t>字段：支持可进行小计或建立计算</w:t>
            </w:r>
            <w:r>
              <w:rPr>
                <w:rFonts w:hint="eastAsia" w:ascii="宋体" w:hAnsi="宋体" w:eastAsia="宋体" w:cs="宋体"/>
                <w:color w:val="auto"/>
                <w:sz w:val="21"/>
                <w:szCs w:val="21"/>
                <w:highlight w:val="none"/>
                <w:lang w:val="en-US" w:eastAsia="zh-CN"/>
              </w:rPr>
              <w:t>总计</w:t>
            </w:r>
            <w:r>
              <w:rPr>
                <w:rFonts w:hint="eastAsia" w:ascii="宋体" w:hAnsi="宋体" w:eastAsia="宋体" w:cs="宋体"/>
                <w:color w:val="auto"/>
                <w:sz w:val="21"/>
                <w:szCs w:val="21"/>
                <w:highlight w:val="none"/>
              </w:rPr>
              <w:t>字段，使用者可将数据资料值显示成数值或百分比。</w:t>
            </w:r>
          </w:p>
          <w:p w14:paraId="36B85184">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leftChars="0" w:hanging="44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各单元格格式化：支持各单元格可选择需要的文字格式、也可依据所选择的值，设定百分比格式、小数位数等</w:t>
            </w:r>
          </w:p>
          <w:p w14:paraId="45042CE9">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leftChars="0" w:hanging="44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提供各种格式汇出：针对多维分析结果提供Excel格式、CSV格式、HTML格式、PDF</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ODF</w:t>
            </w:r>
            <w:r>
              <w:rPr>
                <w:rFonts w:hint="eastAsia" w:ascii="宋体" w:hAnsi="宋体" w:eastAsia="宋体" w:cs="宋体"/>
                <w:color w:val="auto"/>
                <w:sz w:val="21"/>
                <w:szCs w:val="21"/>
                <w:highlight w:val="none"/>
              </w:rPr>
              <w:t>格式进行汇出。</w:t>
            </w:r>
          </w:p>
        </w:tc>
      </w:tr>
      <w:tr w14:paraId="5151E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34" w:type="dxa"/>
            <w:vMerge w:val="continue"/>
            <w:noWrap w:val="0"/>
            <w:vAlign w:val="center"/>
          </w:tcPr>
          <w:p w14:paraId="3E7D29A1">
            <w:pPr>
              <w:spacing w:line="360" w:lineRule="exact"/>
              <w:rPr>
                <w:rFonts w:hint="eastAsia" w:ascii="宋体" w:hAnsi="宋体" w:eastAsia="宋体" w:cs="宋体"/>
                <w:color w:val="auto"/>
                <w:szCs w:val="21"/>
                <w:highlight w:val="none"/>
              </w:rPr>
            </w:pPr>
          </w:p>
        </w:tc>
        <w:tc>
          <w:tcPr>
            <w:tcW w:w="1134" w:type="dxa"/>
            <w:vMerge w:val="continue"/>
            <w:noWrap w:val="0"/>
            <w:vAlign w:val="center"/>
          </w:tcPr>
          <w:p w14:paraId="7ED567CF">
            <w:pPr>
              <w:spacing w:line="360" w:lineRule="exact"/>
              <w:rPr>
                <w:rFonts w:hint="eastAsia" w:ascii="宋体" w:hAnsi="宋体" w:eastAsia="宋体" w:cs="宋体"/>
                <w:color w:val="auto"/>
                <w:szCs w:val="21"/>
                <w:highlight w:val="none"/>
              </w:rPr>
            </w:pPr>
          </w:p>
        </w:tc>
        <w:tc>
          <w:tcPr>
            <w:tcW w:w="737" w:type="dxa"/>
            <w:vMerge w:val="continue"/>
            <w:noWrap w:val="0"/>
            <w:vAlign w:val="center"/>
          </w:tcPr>
          <w:p w14:paraId="3F991C7D">
            <w:pPr>
              <w:spacing w:line="360" w:lineRule="exact"/>
              <w:rPr>
                <w:rFonts w:hint="eastAsia" w:ascii="宋体" w:hAnsi="宋体" w:eastAsia="宋体" w:cs="宋体"/>
                <w:color w:val="auto"/>
                <w:szCs w:val="21"/>
                <w:highlight w:val="none"/>
              </w:rPr>
            </w:pPr>
          </w:p>
        </w:tc>
        <w:tc>
          <w:tcPr>
            <w:tcW w:w="1134" w:type="dxa"/>
            <w:vMerge w:val="continue"/>
            <w:tcBorders>
              <w:right w:val="single" w:color="auto" w:sz="4" w:space="0"/>
            </w:tcBorders>
            <w:noWrap w:val="0"/>
            <w:vAlign w:val="center"/>
          </w:tcPr>
          <w:p w14:paraId="043C7C2F">
            <w:pPr>
              <w:spacing w:line="360" w:lineRule="exact"/>
              <w:rPr>
                <w:rFonts w:hint="eastAsia" w:ascii="宋体" w:hAnsi="宋体" w:eastAsia="宋体" w:cs="宋体"/>
                <w:color w:val="auto"/>
                <w:szCs w:val="21"/>
                <w:highlight w:val="none"/>
              </w:rPr>
            </w:pPr>
          </w:p>
        </w:tc>
        <w:tc>
          <w:tcPr>
            <w:tcW w:w="1267" w:type="dxa"/>
            <w:tcBorders>
              <w:right w:val="single" w:color="auto" w:sz="4" w:space="0"/>
            </w:tcBorders>
            <w:noWrap w:val="0"/>
            <w:vAlign w:val="center"/>
          </w:tcPr>
          <w:p w14:paraId="564CFA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维保服务</w:t>
            </w:r>
          </w:p>
        </w:tc>
        <w:tc>
          <w:tcPr>
            <w:tcW w:w="5871" w:type="dxa"/>
            <w:tcBorders>
              <w:left w:val="single" w:color="auto" w:sz="4" w:space="0"/>
              <w:right w:val="single" w:color="auto" w:sz="4" w:space="0"/>
            </w:tcBorders>
            <w:noWrap w:val="0"/>
            <w:vAlign w:val="center"/>
          </w:tcPr>
          <w:p w14:paraId="27AB547A">
            <w:pPr>
              <w:pStyle w:val="89"/>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报价需包含: 实现上述技术参数的所需接口费用，与将本项目数据对接至其他数据集成平台所需的开发费用。</w:t>
            </w:r>
          </w:p>
          <w:p w14:paraId="27A89FB3">
            <w:pPr>
              <w:pStyle w:val="89"/>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该系统要建立在医院现有信息管理平台上。</w:t>
            </w:r>
          </w:p>
          <w:p w14:paraId="516CF0BA">
            <w:pPr>
              <w:pStyle w:val="89"/>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医院开放现有信息管理平台接口，该系统需从医院现有管理平台或医院数据集成平台获取所需数据。</w:t>
            </w:r>
          </w:p>
          <w:p w14:paraId="3A45554A">
            <w:pPr>
              <w:pStyle w:val="89"/>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系统安全支持：具有系统安全的机制，系统用户密码须加密保存，具有密码强度检测和提醒修改为强密码功能，具备系统操作日志记录功能。</w:t>
            </w:r>
          </w:p>
          <w:p w14:paraId="2C99913A">
            <w:pPr>
              <w:pStyle w:val="89"/>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安全相关要求：</w:t>
            </w:r>
          </w:p>
          <w:p w14:paraId="4ED2F9F5">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5.1系统满足网络安全等级保护测评要求（GB∕T 28448-2019）（二级）相关条款</w:t>
            </w:r>
          </w:p>
          <w:p w14:paraId="70F16AB8">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5.2支持使用SHA512或AES256加密算法对数据进行加密存储和传输，并支持使用国密加密算法对数据进行加密存储和传输</w:t>
            </w:r>
          </w:p>
          <w:p w14:paraId="7B48B268">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5.3对重要的用户行为和重要安全事件（包括但不限于登录登出、账号权限变更、数据导出操作等）进行日志记录</w:t>
            </w:r>
          </w:p>
          <w:p w14:paraId="573FE84F">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5.4及时修复系统运行过程中所发现的各类安全风险项</w:t>
            </w:r>
          </w:p>
          <w:p w14:paraId="3D30FDA4">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 API接口具有身份验证和授权机制，防止未授权访问</w:t>
            </w:r>
          </w:p>
          <w:p w14:paraId="7F329FD6">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 API在数据传输过程中采用加密协议，如HTTPS（SSL/TLS协议），以保护数据不受中间人攻击</w:t>
            </w:r>
          </w:p>
          <w:p w14:paraId="3B1D1158">
            <w:pPr>
              <w:pStyle w:val="8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5.7系统设置有效的日志记录，记录下所有的API调用细节，包括访问时间、来源IP地址、调用的API端点、传输的数据等信息</w:t>
            </w:r>
            <w:r>
              <w:rPr>
                <w:rFonts w:hint="eastAsia" w:ascii="宋体" w:hAnsi="宋体" w:eastAsia="宋体" w:cs="宋体"/>
                <w:color w:val="auto"/>
                <w:sz w:val="21"/>
                <w:szCs w:val="21"/>
                <w:highlight w:val="none"/>
                <w:lang w:eastAsia="zh-CN"/>
              </w:rPr>
              <w:t>。</w:t>
            </w:r>
          </w:p>
          <w:p w14:paraId="35CAADC0">
            <w:pPr>
              <w:pStyle w:val="89"/>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具有完善的用户管理功能，对访问人数不设限制，在权限功能方面可实现权限分级。</w:t>
            </w:r>
          </w:p>
          <w:p w14:paraId="6A914FE3">
            <w:pPr>
              <w:pStyle w:val="89"/>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免费维保服务期限：3年。维保服务至少包括以下内容</w:t>
            </w:r>
          </w:p>
          <w:p w14:paraId="7ED869B6">
            <w:pPr>
              <w:pStyle w:val="89"/>
              <w:keepNext w:val="0"/>
              <w:keepLines w:val="0"/>
              <w:pageBreakBefore w:val="0"/>
              <w:widowControl w:val="0"/>
              <w:numPr>
                <w:ilvl w:val="1"/>
                <w:numId w:val="6"/>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对软件使用中发现的系统BUG修复更新；</w:t>
            </w:r>
          </w:p>
          <w:p w14:paraId="12E0BA61">
            <w:pPr>
              <w:pStyle w:val="89"/>
              <w:keepNext w:val="0"/>
              <w:keepLines w:val="0"/>
              <w:pageBreakBefore w:val="0"/>
              <w:widowControl w:val="0"/>
              <w:numPr>
                <w:ilvl w:val="1"/>
                <w:numId w:val="6"/>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对软件使用过程中，系统异常访问排查处理；</w:t>
            </w:r>
          </w:p>
          <w:p w14:paraId="05FD7554">
            <w:pPr>
              <w:pStyle w:val="89"/>
              <w:keepNext w:val="0"/>
              <w:keepLines w:val="0"/>
              <w:pageBreakBefore w:val="0"/>
              <w:widowControl w:val="0"/>
              <w:numPr>
                <w:ilvl w:val="1"/>
                <w:numId w:val="6"/>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按甲方经营调整需求，经协商讨论后，提供系统配置调整；</w:t>
            </w:r>
          </w:p>
          <w:p w14:paraId="1192DE80">
            <w:pPr>
              <w:pStyle w:val="89"/>
              <w:keepNext w:val="0"/>
              <w:keepLines w:val="0"/>
              <w:pageBreakBefore w:val="0"/>
              <w:widowControl w:val="0"/>
              <w:numPr>
                <w:ilvl w:val="1"/>
                <w:numId w:val="6"/>
              </w:numPr>
              <w:kinsoku/>
              <w:wordWrap/>
              <w:overflowPunct/>
              <w:topLinePunct w:val="0"/>
              <w:autoSpaceDE/>
              <w:autoSpaceDN/>
              <w:bidi w:val="0"/>
              <w:adjustRightInd/>
              <w:snapToGrid/>
              <w:spacing w:line="360" w:lineRule="exact"/>
              <w:ind w:left="770" w:hanging="34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应急问题，第一时间提供应急方案，降低影响。</w:t>
            </w:r>
          </w:p>
          <w:p w14:paraId="433525EE">
            <w:pPr>
              <w:pStyle w:val="89"/>
              <w:keepNext w:val="0"/>
              <w:keepLines w:val="0"/>
              <w:pageBreakBefore w:val="0"/>
              <w:widowControl w:val="0"/>
              <w:numPr>
                <w:ilvl w:val="1"/>
                <w:numId w:val="6"/>
              </w:numPr>
              <w:kinsoku/>
              <w:wordWrap/>
              <w:overflowPunct/>
              <w:topLinePunct w:val="0"/>
              <w:autoSpaceDE/>
              <w:autoSpaceDN/>
              <w:bidi w:val="0"/>
              <w:adjustRightInd/>
              <w:snapToGrid/>
              <w:spacing w:line="360" w:lineRule="exact"/>
              <w:ind w:left="770" w:leftChars="0" w:hanging="34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后续维保费用限定：每年收取维保费用金额不超过本期系统采购费用的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%（后续有新增模块或服务要求的除外）。</w:t>
            </w:r>
          </w:p>
        </w:tc>
      </w:tr>
    </w:tbl>
    <w:p w14:paraId="6EC3C4ED">
      <w:pPr>
        <w:pStyle w:val="23"/>
        <w:rPr>
          <w:rFonts w:hint="eastAsia" w:ascii="宋体" w:hAnsi="宋体" w:eastAsia="宋体" w:cs="宋体"/>
          <w:color w:val="auto"/>
          <w:highlight w:val="none"/>
        </w:rPr>
      </w:pPr>
    </w:p>
    <w:p w14:paraId="4C649D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二</w:t>
      </w:r>
      <w:r>
        <w:rPr>
          <w:rFonts w:hint="eastAsia" w:ascii="宋体" w:hAnsi="宋体" w:eastAsia="宋体" w:cs="宋体"/>
          <w:b/>
          <w:color w:val="auto"/>
          <w:kern w:val="0"/>
          <w:sz w:val="21"/>
          <w:szCs w:val="21"/>
          <w:highlight w:val="none"/>
        </w:rPr>
        <w:t>、商务要求</w:t>
      </w:r>
    </w:p>
    <w:p w14:paraId="251117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1．报价要求</w:t>
      </w:r>
    </w:p>
    <w:p w14:paraId="2093D5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报价须为人民币报价，包含产品价、实现项目需要的接口费用、保险费、安装调试费、税费、培训费、产品检测费、产品维保期内维护费等费用。对于本文件中明确列明必须报价的货物或服务，供应商应分别报价。对于本文件中未列明，而供应商认为必需的费用也需列入总报价。在合同实施时，采购人将不予支付成交</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没有列入的项目费用，并认为此项目的费用已包括在响应总报价中。</w:t>
      </w:r>
    </w:p>
    <w:p w14:paraId="43E66A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2.合同签订日期</w:t>
      </w:r>
    </w:p>
    <w:p w14:paraId="1878F0E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成交通知书发出后25日内。</w:t>
      </w:r>
    </w:p>
    <w:p w14:paraId="49510E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3.交货（实施）时间</w:t>
      </w:r>
    </w:p>
    <w:p w14:paraId="144C0A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合同签订后，按采购人要求90个工作日内交货并完成安装调试。</w:t>
      </w:r>
    </w:p>
    <w:p w14:paraId="3C546E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4.交货地点或服务地点</w:t>
      </w:r>
    </w:p>
    <w:p w14:paraId="58F654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广西医科大学第二附属医院指定地点，南宁市内。</w:t>
      </w:r>
    </w:p>
    <w:p w14:paraId="1EFDB2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5.验收标准</w:t>
      </w:r>
    </w:p>
    <w:p w14:paraId="5A7D60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5.1成交</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需承担供货时产品质量抽样检测的相关费用以及项目验收时发生的一切费用。</w:t>
      </w:r>
    </w:p>
    <w:p w14:paraId="4020785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5.2采购人将依据采购文件上的技术要求和国家有关质量标准对成交人提交的</w:t>
      </w:r>
      <w:r>
        <w:rPr>
          <w:rFonts w:hint="eastAsia" w:ascii="宋体" w:hAnsi="宋体" w:eastAsia="宋体" w:cs="宋体"/>
          <w:color w:val="auto"/>
          <w:sz w:val="21"/>
          <w:szCs w:val="21"/>
          <w:highlight w:val="none"/>
          <w:lang w:val="en-US" w:eastAsia="zh-CN"/>
        </w:rPr>
        <w:t>标的内容</w:t>
      </w:r>
      <w:r>
        <w:rPr>
          <w:rFonts w:hint="eastAsia" w:ascii="宋体" w:hAnsi="宋体" w:eastAsia="宋体" w:cs="宋体"/>
          <w:color w:val="auto"/>
          <w:sz w:val="21"/>
          <w:szCs w:val="21"/>
          <w:highlight w:val="none"/>
        </w:rPr>
        <w:t>进行初步验收，初步验收不合格的，采购人有权不予签收；在本项目验收时，成交人如提供不符合采购文件、响应文件和采购合同规定的服务，采购人有权拒绝接受，由此产生的一切损失均由成交人自行承担。</w:t>
      </w:r>
    </w:p>
    <w:p w14:paraId="0A3206E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当项目完成后，由成交人向采购人提出项目竣工测试申请，并于验收前向采购人提供一切有关技术文件、资料、图纸和相关记录等竣工材料，并在竣工前3个工作日通知采购人及有关部门准备验收。拟竣工项目的实施总体功能、性能符合采购人认可的技术设计方案及合同规定的，予以验收，并作出验收结果报告。供需双方签署项目终验验收证书，并自正式交付使用之日起，整体项目才视为接受，并开始计算维保期。</w:t>
      </w:r>
    </w:p>
    <w:p w14:paraId="1D93F1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5.4验收标准</w:t>
      </w:r>
    </w:p>
    <w:p w14:paraId="4FEBC44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1）项目采购文件及成交人响应文件中的“</w:t>
      </w:r>
      <w:r>
        <w:rPr>
          <w:rFonts w:hint="eastAsia" w:ascii="宋体" w:hAnsi="宋体" w:cs="宋体"/>
          <w:color w:val="auto"/>
          <w:sz w:val="21"/>
          <w:szCs w:val="21"/>
          <w:highlight w:val="none"/>
          <w:lang w:eastAsia="zh-CN"/>
        </w:rPr>
        <w:t>服务需求偏离表</w:t>
      </w:r>
      <w:r>
        <w:rPr>
          <w:rFonts w:hint="eastAsia" w:ascii="宋体" w:hAnsi="宋体" w:eastAsia="宋体" w:cs="宋体"/>
          <w:color w:val="auto"/>
          <w:sz w:val="21"/>
          <w:szCs w:val="21"/>
          <w:highlight w:val="none"/>
        </w:rPr>
        <w:t>”，逐条验收；</w:t>
      </w:r>
    </w:p>
    <w:p w14:paraId="222AFC1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2）项目采购文件及成交人响应文件中的“</w:t>
      </w:r>
      <w:r>
        <w:rPr>
          <w:rFonts w:hint="eastAsia" w:ascii="宋体" w:hAnsi="宋体" w:cs="宋体"/>
          <w:color w:val="auto"/>
          <w:sz w:val="21"/>
          <w:szCs w:val="21"/>
          <w:highlight w:val="none"/>
          <w:lang w:eastAsia="zh-CN"/>
        </w:rPr>
        <w:t>商务条款偏离表</w:t>
      </w:r>
      <w:r>
        <w:rPr>
          <w:rFonts w:hint="eastAsia" w:ascii="宋体" w:hAnsi="宋体" w:eastAsia="宋体" w:cs="宋体"/>
          <w:color w:val="auto"/>
          <w:sz w:val="21"/>
          <w:szCs w:val="21"/>
          <w:highlight w:val="none"/>
        </w:rPr>
        <w:t>”，逐条验收；</w:t>
      </w:r>
    </w:p>
    <w:p w14:paraId="5A097CA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3）成交人响应文件中其他技术、服务、商务性的说明、承诺事项，逐条验收；</w:t>
      </w:r>
    </w:p>
    <w:p w14:paraId="0688230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4）国家相关法律、法规、标准和规范等。</w:t>
      </w:r>
    </w:p>
    <w:p w14:paraId="4EBB703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其余内容详见采购文件合同主要条款格式部分</w:t>
      </w:r>
    </w:p>
    <w:p w14:paraId="5E6F833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6.服务标准、期限、效率</w:t>
      </w:r>
    </w:p>
    <w:p w14:paraId="6CE6BD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6.1维保期：维保服务期限：≥3年</w:t>
      </w:r>
    </w:p>
    <w:p w14:paraId="3BD717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6.2维保服务内容（包括但不限于）：</w:t>
      </w:r>
    </w:p>
    <w:p w14:paraId="3D86D2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1）对软件使用中发现的系统BUG修复更新；</w:t>
      </w:r>
    </w:p>
    <w:p w14:paraId="2F88B6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2）对软件使用过程中，系统异常访问排查处理；</w:t>
      </w:r>
    </w:p>
    <w:p w14:paraId="01DFCC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3）按采购人经营调整需求，提供系统配置调整；</w:t>
      </w:r>
    </w:p>
    <w:p w14:paraId="3FC56A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4）应急问题，第一时间提供应急方案，降低影响。</w:t>
      </w:r>
    </w:p>
    <w:p w14:paraId="126B4D3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6.3后续维保费用限定：每年收取维保费用金额不超过本期系统采购费用的5%（后续有新增模块或服务要求的除外）。</w:t>
      </w:r>
    </w:p>
    <w:p w14:paraId="5164905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7.培训</w:t>
      </w:r>
    </w:p>
    <w:p w14:paraId="68D6C14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p w14:paraId="3AF59C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8.付款方式、时间及条件</w:t>
      </w:r>
    </w:p>
    <w:p w14:paraId="7E9877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合同签订后，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对付款材料审核无误后向</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支付合同金额的</w:t>
      </w:r>
      <w:r>
        <w:rPr>
          <w:rFonts w:hint="eastAsia" w:ascii="宋体" w:hAnsi="宋体" w:eastAsia="宋体" w:cs="宋体"/>
          <w:color w:val="auto"/>
          <w:sz w:val="21"/>
          <w:szCs w:val="21"/>
          <w:highlight w:val="none"/>
          <w:u w:val="single"/>
        </w:rPr>
        <w:t xml:space="preserve"> 20% </w:t>
      </w:r>
      <w:r>
        <w:rPr>
          <w:rFonts w:hint="eastAsia" w:ascii="宋体" w:hAnsi="宋体" w:eastAsia="宋体" w:cs="宋体"/>
          <w:color w:val="auto"/>
          <w:sz w:val="21"/>
          <w:szCs w:val="21"/>
          <w:highlight w:val="none"/>
        </w:rPr>
        <w:t>作为预付款；</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的服务成果经验收合格后，</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提交付款所需的所有材料，</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对付款材料审核无误后的</w:t>
      </w:r>
      <w:r>
        <w:rPr>
          <w:rFonts w:hint="eastAsia" w:ascii="宋体" w:hAnsi="宋体" w:eastAsia="宋体" w:cs="宋体"/>
          <w:color w:val="auto"/>
          <w:sz w:val="21"/>
          <w:szCs w:val="21"/>
          <w:highlight w:val="none"/>
          <w:u w:val="single"/>
        </w:rPr>
        <w:t xml:space="preserve"> 10 </w:t>
      </w:r>
      <w:r>
        <w:rPr>
          <w:rFonts w:hint="eastAsia" w:ascii="宋体" w:hAnsi="宋体" w:eastAsia="宋体" w:cs="宋体"/>
          <w:color w:val="auto"/>
          <w:sz w:val="21"/>
          <w:szCs w:val="21"/>
          <w:highlight w:val="none"/>
        </w:rPr>
        <w:t>个工作日内支付全部剩余合同货款</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付款前</w:t>
      </w:r>
      <w:r>
        <w:rPr>
          <w:rFonts w:hint="eastAsia" w:ascii="宋体" w:hAnsi="宋体" w:cs="宋体"/>
          <w:b w:val="0"/>
          <w:bCs w:val="0"/>
          <w:color w:val="auto"/>
          <w:sz w:val="21"/>
          <w:szCs w:val="21"/>
          <w:highlight w:val="none"/>
          <w:lang w:val="en-US" w:eastAsia="zh-CN"/>
        </w:rPr>
        <w:t>成交人</w:t>
      </w:r>
      <w:r>
        <w:rPr>
          <w:rFonts w:hint="eastAsia" w:ascii="宋体" w:hAnsi="宋体" w:eastAsia="宋体" w:cs="宋体"/>
          <w:b w:val="0"/>
          <w:bCs w:val="0"/>
          <w:color w:val="auto"/>
          <w:sz w:val="21"/>
          <w:szCs w:val="21"/>
          <w:highlight w:val="none"/>
          <w:lang w:val="en-US" w:eastAsia="zh-CN"/>
        </w:rPr>
        <w:t>需提供全额发票，如</w:t>
      </w:r>
      <w:r>
        <w:rPr>
          <w:rFonts w:hint="eastAsia" w:ascii="宋体" w:hAnsi="宋体" w:cs="宋体"/>
          <w:b w:val="0"/>
          <w:bCs w:val="0"/>
          <w:color w:val="auto"/>
          <w:sz w:val="21"/>
          <w:szCs w:val="21"/>
          <w:highlight w:val="none"/>
          <w:lang w:val="en-US" w:eastAsia="zh-CN"/>
        </w:rPr>
        <w:t>成交人</w:t>
      </w:r>
      <w:r>
        <w:rPr>
          <w:rFonts w:hint="eastAsia" w:ascii="宋体" w:hAnsi="宋体" w:eastAsia="宋体" w:cs="宋体"/>
          <w:b w:val="0"/>
          <w:bCs w:val="0"/>
          <w:color w:val="auto"/>
          <w:sz w:val="21"/>
          <w:szCs w:val="21"/>
          <w:highlight w:val="none"/>
          <w:lang w:val="en-US" w:eastAsia="zh-CN"/>
        </w:rPr>
        <w:t>未按照要求提供发票，</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有权暂不予支付货款</w:t>
      </w:r>
      <w:r>
        <w:rPr>
          <w:rFonts w:hint="eastAsia" w:ascii="宋体" w:hAnsi="宋体" w:cs="宋体"/>
          <w:b w:val="0"/>
          <w:bCs w:val="0"/>
          <w:color w:val="auto"/>
          <w:sz w:val="21"/>
          <w:szCs w:val="21"/>
          <w:highlight w:val="none"/>
          <w:lang w:val="en-US" w:eastAsia="zh-CN"/>
        </w:rPr>
        <w:t>。</w:t>
      </w:r>
    </w:p>
    <w:p w14:paraId="120A75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9.履约保证金</w:t>
      </w:r>
    </w:p>
    <w:p w14:paraId="4F113E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9.1履约保证金金额：</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rPr>
        <w:t>成交金额的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收取</w:t>
      </w:r>
      <w:r>
        <w:rPr>
          <w:rFonts w:hint="eastAsia" w:ascii="宋体" w:hAnsi="宋体" w:eastAsia="宋体" w:cs="宋体"/>
          <w:color w:val="auto"/>
          <w:sz w:val="21"/>
          <w:szCs w:val="21"/>
          <w:highlight w:val="none"/>
        </w:rPr>
        <w:t>。</w:t>
      </w:r>
    </w:p>
    <w:p w14:paraId="4D6ABAD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9.2履约保证金递交方式：转账或电汇形式</w:t>
      </w:r>
    </w:p>
    <w:p w14:paraId="6248E02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保证金缴纳的账号信息：</w:t>
      </w:r>
    </w:p>
    <w:p w14:paraId="613170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 广西医科大学第二附属医院</w:t>
      </w:r>
    </w:p>
    <w:p w14:paraId="1C5F29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中国建设银行南宁医科大支行</w:t>
      </w:r>
    </w:p>
    <w:p w14:paraId="4DCCF0B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 45050 1604 5600 9666 888</w:t>
      </w:r>
    </w:p>
    <w:p w14:paraId="67E7C1B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履约保证金退付方式、时间及条件：待维保服务期限届满及无违约问题，由成交人向采购人提供项目履约保证金退付申请，采购人在收到合格材料后进行核对，如有违约或赔偿的，涉及违约的违约金和损失赔偿从履约保证金中扣减后，采购人审核后转账退还（无息）。</w:t>
      </w:r>
    </w:p>
    <w:p w14:paraId="5465C1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10.包装和运输要求</w:t>
      </w:r>
    </w:p>
    <w:p w14:paraId="2C88CB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14:paraId="464E18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运输要求详见采购文件合同主要条款格式部分。</w:t>
      </w:r>
    </w:p>
    <w:p w14:paraId="0DD0952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leftChars="0" w:hanging="44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保险</w:t>
      </w:r>
    </w:p>
    <w:p w14:paraId="2D1265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40" w:leftChars="0" w:hanging="440" w:firstLineChars="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供应商负责办理运输和保险，将货物运抵交货地点。与运输、保险相关的费用由供应商承担。</w:t>
      </w:r>
    </w:p>
    <w:p w14:paraId="7247FF9D">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1D98D41C">
      <w:pPr>
        <w:ind w:left="119"/>
        <w:rPr>
          <w:rFonts w:hint="eastAsia" w:ascii="宋体" w:hAnsi="宋体" w:eastAsia="宋体" w:cs="宋体"/>
          <w:color w:val="auto"/>
          <w:sz w:val="32"/>
          <w:szCs w:val="32"/>
          <w:highlight w:val="none"/>
        </w:rPr>
      </w:pPr>
      <w:bookmarkStart w:id="58" w:name="_Toc80886927"/>
      <w:bookmarkStart w:id="59" w:name="_Toc3319"/>
      <w:r>
        <w:rPr>
          <w:rFonts w:hint="eastAsia" w:ascii="宋体" w:hAnsi="宋体" w:eastAsia="宋体" w:cs="宋体"/>
          <w:color w:val="auto"/>
          <w:sz w:val="32"/>
          <w:szCs w:val="32"/>
          <w:highlight w:val="none"/>
        </w:rPr>
        <w:t>附件1：</w:t>
      </w:r>
    </w:p>
    <w:p w14:paraId="102DB190">
      <w:pPr>
        <w:widowControl/>
        <w:jc w:val="center"/>
        <w:rPr>
          <w:rFonts w:hint="eastAsia" w:ascii="宋体" w:hAnsi="宋体" w:eastAsia="宋体" w:cs="宋体"/>
          <w:b/>
          <w:bCs/>
          <w:color w:val="auto"/>
          <w:kern w:val="0"/>
          <w:sz w:val="30"/>
          <w:szCs w:val="30"/>
          <w:highlight w:val="none"/>
        </w:rPr>
      </w:pPr>
      <w:bookmarkStart w:id="60" w:name="_Toc28361_WPSOffice_Level2"/>
      <w:r>
        <w:rPr>
          <w:rFonts w:hint="eastAsia" w:ascii="宋体" w:hAnsi="宋体" w:eastAsia="宋体" w:cs="宋体"/>
          <w:b/>
          <w:bCs/>
          <w:color w:val="auto"/>
          <w:kern w:val="0"/>
          <w:sz w:val="30"/>
          <w:szCs w:val="30"/>
          <w:highlight w:val="none"/>
        </w:rPr>
        <w:t>统计上大中小微型企业划分标准</w:t>
      </w:r>
      <w:bookmarkEnd w:id="60"/>
    </w:p>
    <w:tbl>
      <w:tblPr>
        <w:tblStyle w:val="3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A5C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14:paraId="1480A267">
            <w:pPr>
              <w:widowControl/>
              <w:spacing w:line="280" w:lineRule="exact"/>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noWrap/>
            <w:vAlign w:val="center"/>
          </w:tcPr>
          <w:p w14:paraId="58FF7E8B">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noWrap/>
            <w:vAlign w:val="center"/>
          </w:tcPr>
          <w:p w14:paraId="16584208">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计量单位</w:t>
            </w:r>
          </w:p>
        </w:tc>
        <w:tc>
          <w:tcPr>
            <w:tcW w:w="1125" w:type="dxa"/>
            <w:noWrap/>
            <w:vAlign w:val="center"/>
          </w:tcPr>
          <w:p w14:paraId="20B87FEF">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noWrap/>
            <w:vAlign w:val="center"/>
          </w:tcPr>
          <w:p w14:paraId="3B5C00A5">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noWrap/>
            <w:vAlign w:val="center"/>
          </w:tcPr>
          <w:p w14:paraId="564A81FF">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noWrap/>
            <w:vAlign w:val="center"/>
          </w:tcPr>
          <w:p w14:paraId="32247C33">
            <w:pPr>
              <w:widowControl/>
              <w:spacing w:line="280" w:lineRule="exact"/>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0D42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6D02C156">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农、林、牧、渔业</w:t>
            </w:r>
          </w:p>
        </w:tc>
        <w:tc>
          <w:tcPr>
            <w:tcW w:w="1369" w:type="dxa"/>
            <w:noWrap/>
            <w:vAlign w:val="center"/>
          </w:tcPr>
          <w:p w14:paraId="5ABB085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615C4D3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40829FD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ign w:val="center"/>
          </w:tcPr>
          <w:p w14:paraId="330D008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ign w:val="center"/>
          </w:tcPr>
          <w:p w14:paraId="165153D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ign w:val="center"/>
          </w:tcPr>
          <w:p w14:paraId="3881C91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7EE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C7D9DAF">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工业 *</w:t>
            </w:r>
          </w:p>
        </w:tc>
        <w:tc>
          <w:tcPr>
            <w:tcW w:w="1369" w:type="dxa"/>
            <w:noWrap/>
            <w:vAlign w:val="center"/>
          </w:tcPr>
          <w:p w14:paraId="3A021B2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5D35B6A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52561DC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14:paraId="6B0ED1D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14:paraId="6A5CA0D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ign w:val="center"/>
          </w:tcPr>
          <w:p w14:paraId="10246F6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1B8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FE9844D">
            <w:pPr>
              <w:rPr>
                <w:rFonts w:hint="eastAsia" w:ascii="宋体" w:hAnsi="宋体" w:eastAsia="宋体" w:cs="宋体"/>
                <w:color w:val="auto"/>
                <w:sz w:val="18"/>
                <w:szCs w:val="21"/>
                <w:highlight w:val="none"/>
              </w:rPr>
            </w:pPr>
          </w:p>
        </w:tc>
        <w:tc>
          <w:tcPr>
            <w:tcW w:w="1369" w:type="dxa"/>
            <w:noWrap/>
            <w:vAlign w:val="center"/>
          </w:tcPr>
          <w:p w14:paraId="4DC316B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3B01952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53B1EC0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ign w:val="center"/>
          </w:tcPr>
          <w:p w14:paraId="6D1AAF3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ign w:val="center"/>
          </w:tcPr>
          <w:p w14:paraId="4F6146C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ign w:val="center"/>
          </w:tcPr>
          <w:p w14:paraId="1A6E5AF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667F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36DC1A5">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建筑业</w:t>
            </w:r>
          </w:p>
        </w:tc>
        <w:tc>
          <w:tcPr>
            <w:tcW w:w="1369" w:type="dxa"/>
            <w:noWrap/>
            <w:vAlign w:val="center"/>
          </w:tcPr>
          <w:p w14:paraId="14EFCC7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36B51D9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127C46A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ign w:val="center"/>
          </w:tcPr>
          <w:p w14:paraId="1E5254E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ign w:val="center"/>
          </w:tcPr>
          <w:p w14:paraId="138392F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ign w:val="center"/>
          </w:tcPr>
          <w:p w14:paraId="0D3BF3D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648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FA1992E">
            <w:pPr>
              <w:rPr>
                <w:rFonts w:hint="eastAsia" w:ascii="宋体" w:hAnsi="宋体" w:eastAsia="宋体" w:cs="宋体"/>
                <w:color w:val="auto"/>
                <w:sz w:val="18"/>
                <w:szCs w:val="21"/>
                <w:highlight w:val="none"/>
              </w:rPr>
            </w:pPr>
          </w:p>
        </w:tc>
        <w:tc>
          <w:tcPr>
            <w:tcW w:w="1369" w:type="dxa"/>
            <w:noWrap/>
            <w:vAlign w:val="center"/>
          </w:tcPr>
          <w:p w14:paraId="65500C7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ign w:val="center"/>
          </w:tcPr>
          <w:p w14:paraId="68C71E9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09138EF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ign w:val="center"/>
          </w:tcPr>
          <w:p w14:paraId="22B83C2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ign w:val="center"/>
          </w:tcPr>
          <w:p w14:paraId="4E71528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ign w:val="center"/>
          </w:tcPr>
          <w:p w14:paraId="09DD2DF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66D5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3F5A7D6">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批发业</w:t>
            </w:r>
          </w:p>
        </w:tc>
        <w:tc>
          <w:tcPr>
            <w:tcW w:w="1369" w:type="dxa"/>
            <w:noWrap/>
            <w:vAlign w:val="center"/>
          </w:tcPr>
          <w:p w14:paraId="2D1D7CF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7419848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08A1013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ign w:val="center"/>
          </w:tcPr>
          <w:p w14:paraId="7844694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ign w:val="center"/>
          </w:tcPr>
          <w:p w14:paraId="66C300D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ign w:val="center"/>
          </w:tcPr>
          <w:p w14:paraId="51080B5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2230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9639363">
            <w:pPr>
              <w:rPr>
                <w:rFonts w:hint="eastAsia" w:ascii="宋体" w:hAnsi="宋体" w:eastAsia="宋体" w:cs="宋体"/>
                <w:color w:val="auto"/>
                <w:sz w:val="18"/>
                <w:szCs w:val="21"/>
                <w:highlight w:val="none"/>
              </w:rPr>
            </w:pPr>
          </w:p>
        </w:tc>
        <w:tc>
          <w:tcPr>
            <w:tcW w:w="1369" w:type="dxa"/>
            <w:noWrap/>
            <w:vAlign w:val="center"/>
          </w:tcPr>
          <w:p w14:paraId="3CCC770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3C599BC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5AD4195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ign w:val="center"/>
          </w:tcPr>
          <w:p w14:paraId="7152C00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ign w:val="center"/>
          </w:tcPr>
          <w:p w14:paraId="64F5D037">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ign w:val="center"/>
          </w:tcPr>
          <w:p w14:paraId="069C02C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0A6D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3E21AEE">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零售业</w:t>
            </w:r>
          </w:p>
        </w:tc>
        <w:tc>
          <w:tcPr>
            <w:tcW w:w="1369" w:type="dxa"/>
            <w:noWrap/>
            <w:vAlign w:val="center"/>
          </w:tcPr>
          <w:p w14:paraId="558982D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0A2D399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240AB1D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14:paraId="0E0C1A4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ign w:val="center"/>
          </w:tcPr>
          <w:p w14:paraId="59A371F9">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ign w:val="center"/>
          </w:tcPr>
          <w:p w14:paraId="333152C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304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D4BB800">
            <w:pPr>
              <w:rPr>
                <w:rFonts w:hint="eastAsia" w:ascii="宋体" w:hAnsi="宋体" w:eastAsia="宋体" w:cs="宋体"/>
                <w:color w:val="auto"/>
                <w:sz w:val="18"/>
                <w:szCs w:val="21"/>
                <w:highlight w:val="none"/>
              </w:rPr>
            </w:pPr>
          </w:p>
        </w:tc>
        <w:tc>
          <w:tcPr>
            <w:tcW w:w="1369" w:type="dxa"/>
            <w:noWrap/>
            <w:vAlign w:val="center"/>
          </w:tcPr>
          <w:p w14:paraId="3189F88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77FB33B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4205FDB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ign w:val="center"/>
          </w:tcPr>
          <w:p w14:paraId="5E3E2D6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ign w:val="center"/>
          </w:tcPr>
          <w:p w14:paraId="5C12AD1A">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ign w:val="center"/>
          </w:tcPr>
          <w:p w14:paraId="0402216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800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E8F4A92">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交通运输业 *</w:t>
            </w:r>
          </w:p>
        </w:tc>
        <w:tc>
          <w:tcPr>
            <w:tcW w:w="1369" w:type="dxa"/>
            <w:noWrap/>
            <w:vAlign w:val="center"/>
          </w:tcPr>
          <w:p w14:paraId="466398B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5DF444C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0D63049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14:paraId="3D94FE9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14:paraId="749407A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ign w:val="center"/>
          </w:tcPr>
          <w:p w14:paraId="5256814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E7F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E74320B">
            <w:pPr>
              <w:rPr>
                <w:rFonts w:hint="eastAsia" w:ascii="宋体" w:hAnsi="宋体" w:eastAsia="宋体" w:cs="宋体"/>
                <w:color w:val="auto"/>
                <w:sz w:val="18"/>
                <w:szCs w:val="21"/>
                <w:highlight w:val="none"/>
              </w:rPr>
            </w:pPr>
          </w:p>
        </w:tc>
        <w:tc>
          <w:tcPr>
            <w:tcW w:w="1369" w:type="dxa"/>
            <w:noWrap/>
            <w:vAlign w:val="center"/>
          </w:tcPr>
          <w:p w14:paraId="1E45FB2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09F3E01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22AD6A8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ign w:val="center"/>
          </w:tcPr>
          <w:p w14:paraId="1629507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ign w:val="center"/>
          </w:tcPr>
          <w:p w14:paraId="5646E12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ign w:val="center"/>
          </w:tcPr>
          <w:p w14:paraId="63FEC24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236E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6CBFA12">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仓储业*</w:t>
            </w:r>
          </w:p>
        </w:tc>
        <w:tc>
          <w:tcPr>
            <w:tcW w:w="1369" w:type="dxa"/>
            <w:noWrap/>
            <w:vAlign w:val="center"/>
          </w:tcPr>
          <w:p w14:paraId="0F7CFFE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791AC10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0553F85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ign w:val="center"/>
          </w:tcPr>
          <w:p w14:paraId="2EB8851F">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ign w:val="center"/>
          </w:tcPr>
          <w:p w14:paraId="3C954B6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ign w:val="center"/>
          </w:tcPr>
          <w:p w14:paraId="3FDCF01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590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F822F5D">
            <w:pPr>
              <w:rPr>
                <w:rFonts w:hint="eastAsia" w:ascii="宋体" w:hAnsi="宋体" w:eastAsia="宋体" w:cs="宋体"/>
                <w:color w:val="auto"/>
                <w:sz w:val="18"/>
                <w:szCs w:val="21"/>
                <w:highlight w:val="none"/>
              </w:rPr>
            </w:pPr>
          </w:p>
        </w:tc>
        <w:tc>
          <w:tcPr>
            <w:tcW w:w="1369" w:type="dxa"/>
            <w:noWrap/>
            <w:vAlign w:val="center"/>
          </w:tcPr>
          <w:p w14:paraId="5ACF1FC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582401C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05E9A16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ign w:val="center"/>
          </w:tcPr>
          <w:p w14:paraId="4AEC520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ign w:val="center"/>
          </w:tcPr>
          <w:p w14:paraId="38FAB76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ign w:val="center"/>
          </w:tcPr>
          <w:p w14:paraId="37B16FB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EB4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C751EE8">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邮政业</w:t>
            </w:r>
          </w:p>
        </w:tc>
        <w:tc>
          <w:tcPr>
            <w:tcW w:w="1369" w:type="dxa"/>
            <w:noWrap/>
            <w:vAlign w:val="center"/>
          </w:tcPr>
          <w:p w14:paraId="5AE648B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61A1786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70792F5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14:paraId="4125782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14:paraId="2E2D18B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ign w:val="center"/>
          </w:tcPr>
          <w:p w14:paraId="52E6997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96AF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64E7528">
            <w:pPr>
              <w:rPr>
                <w:rFonts w:hint="eastAsia" w:ascii="宋体" w:hAnsi="宋体" w:eastAsia="宋体" w:cs="宋体"/>
                <w:color w:val="auto"/>
                <w:sz w:val="18"/>
                <w:szCs w:val="21"/>
                <w:highlight w:val="none"/>
              </w:rPr>
            </w:pPr>
          </w:p>
        </w:tc>
        <w:tc>
          <w:tcPr>
            <w:tcW w:w="1369" w:type="dxa"/>
            <w:noWrap/>
            <w:vAlign w:val="center"/>
          </w:tcPr>
          <w:p w14:paraId="2626882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1EF830B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1F97D37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ign w:val="center"/>
          </w:tcPr>
          <w:p w14:paraId="1585FAD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ign w:val="center"/>
          </w:tcPr>
          <w:p w14:paraId="19EAFEF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ign w:val="center"/>
          </w:tcPr>
          <w:p w14:paraId="4716233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1AC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11CA671">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住宿业</w:t>
            </w:r>
          </w:p>
        </w:tc>
        <w:tc>
          <w:tcPr>
            <w:tcW w:w="1369" w:type="dxa"/>
            <w:noWrap/>
            <w:vAlign w:val="center"/>
          </w:tcPr>
          <w:p w14:paraId="7CC4D24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1B98A80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44D85C5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14:paraId="6F46CEE9">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ign w:val="center"/>
          </w:tcPr>
          <w:p w14:paraId="2FC263E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14:paraId="3F3D52E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8C3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268EB76">
            <w:pPr>
              <w:rPr>
                <w:rFonts w:hint="eastAsia" w:ascii="宋体" w:hAnsi="宋体" w:eastAsia="宋体" w:cs="宋体"/>
                <w:color w:val="auto"/>
                <w:sz w:val="18"/>
                <w:szCs w:val="21"/>
                <w:highlight w:val="none"/>
              </w:rPr>
            </w:pPr>
          </w:p>
        </w:tc>
        <w:tc>
          <w:tcPr>
            <w:tcW w:w="1369" w:type="dxa"/>
            <w:noWrap/>
            <w:vAlign w:val="center"/>
          </w:tcPr>
          <w:p w14:paraId="6F34B72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38AA2F5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5F0D463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ign w:val="center"/>
          </w:tcPr>
          <w:p w14:paraId="73607D3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ign w:val="center"/>
          </w:tcPr>
          <w:p w14:paraId="46A1321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ign w:val="center"/>
          </w:tcPr>
          <w:p w14:paraId="5515641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D47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3D5810B">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餐饮业</w:t>
            </w:r>
          </w:p>
        </w:tc>
        <w:tc>
          <w:tcPr>
            <w:tcW w:w="1369" w:type="dxa"/>
            <w:noWrap/>
            <w:vAlign w:val="center"/>
          </w:tcPr>
          <w:p w14:paraId="208B692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2791329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28EAC73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14:paraId="41B46E88">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ign w:val="center"/>
          </w:tcPr>
          <w:p w14:paraId="6B1DB10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14:paraId="244361B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4EC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98B1B43">
            <w:pPr>
              <w:rPr>
                <w:rFonts w:hint="eastAsia" w:ascii="宋体" w:hAnsi="宋体" w:eastAsia="宋体" w:cs="宋体"/>
                <w:color w:val="auto"/>
                <w:sz w:val="18"/>
                <w:szCs w:val="21"/>
                <w:highlight w:val="none"/>
              </w:rPr>
            </w:pPr>
          </w:p>
        </w:tc>
        <w:tc>
          <w:tcPr>
            <w:tcW w:w="1369" w:type="dxa"/>
            <w:noWrap/>
            <w:vAlign w:val="center"/>
          </w:tcPr>
          <w:p w14:paraId="57F4A77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3C90981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65B2F7F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ign w:val="center"/>
          </w:tcPr>
          <w:p w14:paraId="3B9A5D0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ign w:val="center"/>
          </w:tcPr>
          <w:p w14:paraId="3C341F4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ign w:val="center"/>
          </w:tcPr>
          <w:p w14:paraId="18AA6F8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81D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BAF7437">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信息传输业 *</w:t>
            </w:r>
          </w:p>
        </w:tc>
        <w:tc>
          <w:tcPr>
            <w:tcW w:w="1369" w:type="dxa"/>
            <w:noWrap/>
            <w:vAlign w:val="center"/>
          </w:tcPr>
          <w:p w14:paraId="2B51C6E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361F9F3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4213107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ign w:val="center"/>
          </w:tcPr>
          <w:p w14:paraId="253F057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ign w:val="center"/>
          </w:tcPr>
          <w:p w14:paraId="100C318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14:paraId="1001BE6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DBF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D30C386">
            <w:pPr>
              <w:rPr>
                <w:rFonts w:hint="eastAsia" w:ascii="宋体" w:hAnsi="宋体" w:eastAsia="宋体" w:cs="宋体"/>
                <w:color w:val="auto"/>
                <w:sz w:val="18"/>
                <w:szCs w:val="21"/>
                <w:highlight w:val="none"/>
              </w:rPr>
            </w:pPr>
          </w:p>
        </w:tc>
        <w:tc>
          <w:tcPr>
            <w:tcW w:w="1369" w:type="dxa"/>
            <w:noWrap/>
            <w:vAlign w:val="center"/>
          </w:tcPr>
          <w:p w14:paraId="4972204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773DCD9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2BB4AF2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ign w:val="center"/>
          </w:tcPr>
          <w:p w14:paraId="7FDDCB3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ign w:val="center"/>
          </w:tcPr>
          <w:p w14:paraId="69FFFEB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ign w:val="center"/>
          </w:tcPr>
          <w:p w14:paraId="708331B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96C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84343E6">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软件和信息技术服务业</w:t>
            </w:r>
          </w:p>
        </w:tc>
        <w:tc>
          <w:tcPr>
            <w:tcW w:w="1369" w:type="dxa"/>
            <w:noWrap/>
            <w:vAlign w:val="center"/>
          </w:tcPr>
          <w:p w14:paraId="02A33A4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46AC038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5348939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14:paraId="1A512BD7">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ign w:val="center"/>
          </w:tcPr>
          <w:p w14:paraId="04EE86D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14:paraId="0EAA1FF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549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AA38A4A">
            <w:pPr>
              <w:rPr>
                <w:rFonts w:hint="eastAsia" w:ascii="宋体" w:hAnsi="宋体" w:eastAsia="宋体" w:cs="宋体"/>
                <w:color w:val="auto"/>
                <w:sz w:val="18"/>
                <w:szCs w:val="21"/>
                <w:highlight w:val="none"/>
              </w:rPr>
            </w:pPr>
          </w:p>
        </w:tc>
        <w:tc>
          <w:tcPr>
            <w:tcW w:w="1369" w:type="dxa"/>
            <w:noWrap/>
            <w:vAlign w:val="center"/>
          </w:tcPr>
          <w:p w14:paraId="7F314AF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14753BD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1794B15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ign w:val="center"/>
          </w:tcPr>
          <w:p w14:paraId="1D6AA64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ign w:val="center"/>
          </w:tcPr>
          <w:p w14:paraId="4FB2DAC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ign w:val="center"/>
          </w:tcPr>
          <w:p w14:paraId="4421FA6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1DA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B3106C9">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房地产开发经营</w:t>
            </w:r>
          </w:p>
        </w:tc>
        <w:tc>
          <w:tcPr>
            <w:tcW w:w="1369" w:type="dxa"/>
            <w:noWrap/>
            <w:vAlign w:val="center"/>
          </w:tcPr>
          <w:p w14:paraId="6F9BEC5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3460126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1E9BD80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ign w:val="center"/>
          </w:tcPr>
          <w:p w14:paraId="4F2EFBB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ign w:val="center"/>
          </w:tcPr>
          <w:p w14:paraId="2A058D7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ign w:val="center"/>
          </w:tcPr>
          <w:p w14:paraId="723237B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B7C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4F6852D">
            <w:pPr>
              <w:rPr>
                <w:rFonts w:hint="eastAsia" w:ascii="宋体" w:hAnsi="宋体" w:eastAsia="宋体" w:cs="宋体"/>
                <w:color w:val="auto"/>
                <w:sz w:val="18"/>
                <w:szCs w:val="21"/>
                <w:highlight w:val="none"/>
              </w:rPr>
            </w:pPr>
          </w:p>
        </w:tc>
        <w:tc>
          <w:tcPr>
            <w:tcW w:w="1369" w:type="dxa"/>
            <w:noWrap/>
            <w:vAlign w:val="center"/>
          </w:tcPr>
          <w:p w14:paraId="384D579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ign w:val="center"/>
          </w:tcPr>
          <w:p w14:paraId="432CB07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352D2BF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ign w:val="center"/>
          </w:tcPr>
          <w:p w14:paraId="72E5316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ign w:val="center"/>
          </w:tcPr>
          <w:p w14:paraId="45C9241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ign w:val="center"/>
          </w:tcPr>
          <w:p w14:paraId="689AF34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39C0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7CA0616">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物业管理</w:t>
            </w:r>
          </w:p>
        </w:tc>
        <w:tc>
          <w:tcPr>
            <w:tcW w:w="1369" w:type="dxa"/>
            <w:noWrap/>
            <w:vAlign w:val="center"/>
          </w:tcPr>
          <w:p w14:paraId="4881E8D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677594E0">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7186328D">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ign w:val="center"/>
          </w:tcPr>
          <w:p w14:paraId="45A8AD6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ign w:val="center"/>
          </w:tcPr>
          <w:p w14:paraId="3807630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ign w:val="center"/>
          </w:tcPr>
          <w:p w14:paraId="63E3E836">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ED6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36F8C83">
            <w:pPr>
              <w:rPr>
                <w:rFonts w:hint="eastAsia" w:ascii="宋体" w:hAnsi="宋体" w:eastAsia="宋体" w:cs="宋体"/>
                <w:color w:val="auto"/>
                <w:sz w:val="18"/>
                <w:szCs w:val="21"/>
                <w:highlight w:val="none"/>
              </w:rPr>
            </w:pPr>
          </w:p>
        </w:tc>
        <w:tc>
          <w:tcPr>
            <w:tcW w:w="1369" w:type="dxa"/>
            <w:noWrap/>
            <w:vAlign w:val="center"/>
          </w:tcPr>
          <w:p w14:paraId="74B811E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ign w:val="center"/>
          </w:tcPr>
          <w:p w14:paraId="02E0BD2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2F609CA4">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ign w:val="center"/>
          </w:tcPr>
          <w:p w14:paraId="1698F79B">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ign w:val="center"/>
          </w:tcPr>
          <w:p w14:paraId="61DC0E9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ign w:val="center"/>
          </w:tcPr>
          <w:p w14:paraId="586CCB9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4A0F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D162B31">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租赁和商务服务业</w:t>
            </w:r>
          </w:p>
        </w:tc>
        <w:tc>
          <w:tcPr>
            <w:tcW w:w="1369" w:type="dxa"/>
            <w:noWrap/>
            <w:vAlign w:val="center"/>
          </w:tcPr>
          <w:p w14:paraId="69CCB7EB">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0F763A7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130CA0A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14:paraId="443F43D5">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ign w:val="center"/>
          </w:tcPr>
          <w:p w14:paraId="4CDE0FC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14:paraId="41D7523E">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A94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644C50A">
            <w:pPr>
              <w:rPr>
                <w:rFonts w:hint="eastAsia" w:ascii="宋体" w:hAnsi="宋体" w:eastAsia="宋体" w:cs="宋体"/>
                <w:color w:val="auto"/>
                <w:sz w:val="18"/>
                <w:szCs w:val="21"/>
                <w:highlight w:val="none"/>
              </w:rPr>
            </w:pPr>
          </w:p>
        </w:tc>
        <w:tc>
          <w:tcPr>
            <w:tcW w:w="1369" w:type="dxa"/>
            <w:noWrap/>
            <w:vAlign w:val="center"/>
          </w:tcPr>
          <w:p w14:paraId="32A221C7">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ign w:val="center"/>
          </w:tcPr>
          <w:p w14:paraId="1B75E5A2">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ign w:val="center"/>
          </w:tcPr>
          <w:p w14:paraId="56D3E65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ign w:val="center"/>
          </w:tcPr>
          <w:p w14:paraId="0CF69785">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ign w:val="center"/>
          </w:tcPr>
          <w:p w14:paraId="5602BBCC">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ign w:val="center"/>
          </w:tcPr>
          <w:p w14:paraId="6ADC9CD1">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64C7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42110A3C">
            <w:pP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其他未列明行业 *</w:t>
            </w:r>
          </w:p>
        </w:tc>
        <w:tc>
          <w:tcPr>
            <w:tcW w:w="1369" w:type="dxa"/>
            <w:noWrap/>
            <w:vAlign w:val="center"/>
          </w:tcPr>
          <w:p w14:paraId="0CD35ED3">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ign w:val="center"/>
          </w:tcPr>
          <w:p w14:paraId="1B1BDBEA">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ign w:val="center"/>
          </w:tcPr>
          <w:p w14:paraId="4B87BAC9">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ign w:val="center"/>
          </w:tcPr>
          <w:p w14:paraId="0F4EFC31">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ign w:val="center"/>
          </w:tcPr>
          <w:p w14:paraId="6E2A76A8">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ign w:val="center"/>
          </w:tcPr>
          <w:p w14:paraId="049CB86F">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3DF9672D">
      <w:pPr>
        <w:widowControl/>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w:t>
      </w:r>
    </w:p>
    <w:p w14:paraId="7915F140">
      <w:pPr>
        <w:adjustRightInd w:val="0"/>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1.大型、中型和小型企业须同时满足所列指标的下限，否则下划一档。微型企业只须满足所列指标中的一项即可。</w:t>
      </w:r>
    </w:p>
    <w:p w14:paraId="2134EEA7">
      <w:pPr>
        <w:adjustRightInd w:val="0"/>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F535233">
      <w:pPr>
        <w:ind w:firstLine="42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5662D3C">
      <w:pPr>
        <w:pStyle w:val="2"/>
        <w:spacing w:line="240" w:lineRule="auto"/>
        <w:jc w:val="center"/>
        <w:rPr>
          <w:rFonts w:hint="eastAsia" w:ascii="宋体" w:hAnsi="宋体" w:eastAsia="宋体" w:cs="宋体"/>
          <w:color w:val="auto"/>
          <w:highlight w:val="none"/>
        </w:rPr>
      </w:pPr>
      <w:bookmarkStart w:id="61" w:name="_Toc9239"/>
      <w:bookmarkStart w:id="62" w:name="_Toc19152"/>
      <w:bookmarkStart w:id="63" w:name="_Toc7704"/>
      <w:bookmarkStart w:id="64" w:name="_Toc13614"/>
      <w:bookmarkStart w:id="65" w:name="_Toc2072"/>
      <w:bookmarkStart w:id="66" w:name="_Toc24174"/>
      <w:r>
        <w:rPr>
          <w:rFonts w:hint="eastAsia" w:ascii="宋体" w:hAnsi="宋体" w:eastAsia="宋体" w:cs="宋体"/>
          <w:bCs w:val="0"/>
          <w:color w:val="auto"/>
          <w:sz w:val="32"/>
          <w:szCs w:val="32"/>
          <w:highlight w:val="none"/>
        </w:rPr>
        <w:t>第三章 供应商须知</w:t>
      </w:r>
      <w:bookmarkEnd w:id="58"/>
      <w:bookmarkEnd w:id="59"/>
      <w:bookmarkEnd w:id="61"/>
      <w:bookmarkEnd w:id="62"/>
      <w:bookmarkEnd w:id="63"/>
      <w:bookmarkEnd w:id="64"/>
      <w:bookmarkEnd w:id="65"/>
      <w:bookmarkEnd w:id="66"/>
    </w:p>
    <w:p w14:paraId="2935450A">
      <w:pPr>
        <w:pStyle w:val="3"/>
        <w:spacing w:line="240" w:lineRule="auto"/>
        <w:jc w:val="center"/>
        <w:rPr>
          <w:rFonts w:hint="eastAsia" w:ascii="宋体" w:hAnsi="宋体" w:eastAsia="宋体" w:cs="宋体"/>
          <w:b w:val="0"/>
          <w:color w:val="auto"/>
          <w:highlight w:val="none"/>
        </w:rPr>
      </w:pPr>
      <w:bookmarkStart w:id="67" w:name="_Toc80886928"/>
      <w:bookmarkStart w:id="68" w:name="_Toc30660"/>
      <w:bookmarkStart w:id="69" w:name="_Toc9482"/>
      <w:r>
        <w:rPr>
          <w:rFonts w:hint="eastAsia" w:ascii="宋体" w:hAnsi="宋体" w:eastAsia="宋体" w:cs="宋体"/>
          <w:b w:val="0"/>
          <w:color w:val="auto"/>
          <w:highlight w:val="none"/>
        </w:rPr>
        <w:t>第一节 供应商须知前附表</w:t>
      </w:r>
      <w:bookmarkEnd w:id="67"/>
      <w:bookmarkEnd w:id="68"/>
      <w:bookmarkEnd w:id="69"/>
    </w:p>
    <w:tbl>
      <w:tblPr>
        <w:tblStyle w:val="32"/>
        <w:tblW w:w="99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636"/>
      </w:tblGrid>
      <w:tr w14:paraId="575DC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14:paraId="7676004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90" w:type="dxa"/>
            <w:vAlign w:val="center"/>
          </w:tcPr>
          <w:p w14:paraId="6EC9563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636" w:type="dxa"/>
          </w:tcPr>
          <w:p w14:paraId="030C19E8">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43F41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FF091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90" w:type="dxa"/>
            <w:vAlign w:val="center"/>
          </w:tcPr>
          <w:p w14:paraId="79C8991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636" w:type="dxa"/>
          </w:tcPr>
          <w:p w14:paraId="2B4D4AD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2B665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31D47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90" w:type="dxa"/>
            <w:vAlign w:val="center"/>
          </w:tcPr>
          <w:p w14:paraId="1706A8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636" w:type="dxa"/>
            <w:vAlign w:val="center"/>
          </w:tcPr>
          <w:p w14:paraId="6D4C729D">
            <w:pPr>
              <w:spacing w:line="360" w:lineRule="auto"/>
              <w:rPr>
                <w:rFonts w:hint="eastAsia" w:ascii="宋体" w:hAnsi="宋体" w:eastAsia="宋体" w:cs="宋体"/>
                <w:color w:val="auto"/>
                <w:szCs w:val="21"/>
                <w:highlight w:val="none"/>
              </w:rPr>
            </w:pPr>
            <w:bookmarkStart w:id="70" w:name="PO_3000001868_PM007"/>
            <w:r>
              <w:rPr>
                <w:rFonts w:hint="eastAsia" w:ascii="宋体" w:hAnsi="宋体" w:eastAsia="宋体" w:cs="宋体"/>
                <w:color w:val="auto"/>
                <w:szCs w:val="21"/>
                <w:highlight w:val="none"/>
              </w:rPr>
              <w:t>详见竞争性磋商公告</w:t>
            </w:r>
            <w:bookmarkEnd w:id="70"/>
          </w:p>
        </w:tc>
      </w:tr>
      <w:tr w14:paraId="59F1F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AD8DFC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390" w:type="dxa"/>
            <w:vAlign w:val="center"/>
          </w:tcPr>
          <w:p w14:paraId="62699D0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636" w:type="dxa"/>
            <w:vAlign w:val="center"/>
          </w:tcPr>
          <w:p w14:paraId="79411ED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19FEC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79B77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90" w:type="dxa"/>
            <w:vAlign w:val="center"/>
          </w:tcPr>
          <w:p w14:paraId="0FF4E63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636" w:type="dxa"/>
            <w:vAlign w:val="center"/>
          </w:tcPr>
          <w:p w14:paraId="16940FE1">
            <w:pPr>
              <w:pStyle w:val="13"/>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不允许分包</w:t>
            </w:r>
          </w:p>
        </w:tc>
      </w:tr>
      <w:tr w14:paraId="54E61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24A23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390" w:type="dxa"/>
            <w:vAlign w:val="center"/>
          </w:tcPr>
          <w:p w14:paraId="0C106A9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636" w:type="dxa"/>
            <w:vAlign w:val="center"/>
          </w:tcPr>
          <w:p w14:paraId="72B79160">
            <w:pPr>
              <w:pStyle w:val="13"/>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5A83E4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提供税款所属时期为2025年1月至首次响应文件提交截止时间止的任意3个月的依法缴纳税收的凭据复印件；依法免税的供应商，必须提供相应文件证明其依法免税。从取得营业执照时间起到首次响应文件提交截</w:t>
            </w:r>
            <w:bookmarkStart w:id="166" w:name="_GoBack"/>
            <w:bookmarkEnd w:id="166"/>
            <w:r>
              <w:rPr>
                <w:rFonts w:hint="eastAsia" w:ascii="宋体" w:hAnsi="宋体" w:eastAsia="宋体" w:cs="宋体"/>
                <w:color w:val="auto"/>
                <w:szCs w:val="21"/>
                <w:highlight w:val="none"/>
              </w:rPr>
              <w:t>止时间为止不足要求月数的，只需提供从取得营业执照起的依法缴纳税收相应证明文件）；（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71342E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提供税款所属时期或缴费起始时间为2025年1月至首次响应文件提交截止时间止的任意3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B2A2F4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4.供应商财务状况报告（提供2024年度经审计的财务报告复印件或者截标时间前半年内至少一个月能反映财务状况的报表或者供应商自拟的截标时间前半年内至少一个月的财务情况说明）；</w:t>
            </w:r>
            <w:r>
              <w:rPr>
                <w:rFonts w:hint="eastAsia" w:ascii="宋体" w:hAnsi="宋体" w:eastAsia="宋体" w:cs="宋体"/>
                <w:bCs/>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bCs/>
                <w:color w:val="auto"/>
                <w:szCs w:val="21"/>
                <w:highlight w:val="none"/>
              </w:rPr>
              <w:t>）</w:t>
            </w:r>
          </w:p>
          <w:p w14:paraId="0A95C82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本项目为专门面向</w:t>
            </w:r>
            <w:r>
              <w:rPr>
                <w:rFonts w:hint="eastAsia" w:ascii="宋体" w:hAnsi="宋体" w:eastAsia="宋体" w:cs="宋体"/>
                <w:color w:val="auto"/>
                <w:szCs w:val="21"/>
                <w:highlight w:val="none"/>
                <w:lang w:val="en-US" w:eastAsia="zh-CN"/>
              </w:rPr>
              <w:t>中小</w:t>
            </w:r>
            <w:r>
              <w:rPr>
                <w:rFonts w:hint="eastAsia" w:ascii="宋体" w:hAnsi="宋体" w:eastAsia="宋体" w:cs="宋体"/>
                <w:color w:val="auto"/>
                <w:szCs w:val="21"/>
                <w:highlight w:val="none"/>
                <w:lang w:eastAsia="zh-CN"/>
              </w:rPr>
              <w:t>企业采购的项目。</w:t>
            </w:r>
            <w:r>
              <w:rPr>
                <w:rFonts w:hint="eastAsia" w:ascii="宋体" w:hAnsi="宋体" w:eastAsia="宋体" w:cs="宋体"/>
                <w:color w:val="auto"/>
                <w:szCs w:val="21"/>
                <w:highlight w:val="none"/>
                <w:lang w:val="en-US" w:eastAsia="zh-CN"/>
              </w:rPr>
              <w:t>供应商必须</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lang w:val="en-US" w:eastAsia="zh-CN"/>
              </w:rPr>
              <w:t>中小</w:t>
            </w:r>
            <w:r>
              <w:rPr>
                <w:rFonts w:hint="eastAsia" w:ascii="宋体" w:hAnsi="宋体" w:eastAsia="宋体" w:cs="宋体"/>
                <w:color w:val="auto"/>
                <w:szCs w:val="21"/>
                <w:highlight w:val="none"/>
                <w:lang w:eastAsia="zh-CN"/>
              </w:rPr>
              <w:t>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r>
              <w:rPr>
                <w:rFonts w:hint="eastAsia" w:ascii="宋体" w:hAnsi="宋体" w:eastAsia="宋体" w:cs="宋体"/>
                <w:color w:val="auto"/>
                <w:szCs w:val="21"/>
                <w:highlight w:val="none"/>
              </w:rPr>
              <w:t>）</w:t>
            </w:r>
          </w:p>
          <w:p w14:paraId="364B3E4F">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6.本项目的特定资格要求：无；（</w:t>
            </w:r>
            <w:r>
              <w:rPr>
                <w:rFonts w:hint="eastAsia" w:ascii="宋体" w:hAnsi="宋体" w:eastAsia="宋体" w:cs="宋体"/>
                <w:b/>
                <w:bCs/>
                <w:color w:val="auto"/>
                <w:szCs w:val="21"/>
                <w:highlight w:val="none"/>
                <w:lang w:val="en-US" w:eastAsia="zh-CN"/>
              </w:rPr>
              <w:t>如有则必须提供，否则响应文件按无效响应处理</w:t>
            </w:r>
            <w:r>
              <w:rPr>
                <w:rFonts w:hint="eastAsia" w:ascii="宋体" w:hAnsi="宋体" w:eastAsia="宋体" w:cs="宋体"/>
                <w:color w:val="auto"/>
                <w:szCs w:val="21"/>
                <w:highlight w:val="none"/>
                <w:lang w:val="en-US" w:eastAsia="zh-CN"/>
              </w:rPr>
              <w:t>）</w:t>
            </w:r>
          </w:p>
          <w:p w14:paraId="765528E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声明函（格式后附）；（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BDA2B7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.供应商直接控股股东信息表（格式后附）；（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CFE0C9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.供应商直接管理关系信息表（格式后附）；（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E443BB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.联合体竞标协议书（格式后附）；（</w:t>
            </w:r>
            <w:r>
              <w:rPr>
                <w:rFonts w:hint="eastAsia" w:ascii="宋体" w:hAnsi="宋体" w:eastAsia="宋体" w:cs="宋体"/>
                <w:b/>
                <w:color w:val="auto"/>
                <w:szCs w:val="21"/>
                <w:highlight w:val="none"/>
              </w:rPr>
              <w:t>联合体竞标时必须提供，否则响应文件按无效响应处理</w:t>
            </w:r>
            <w:r>
              <w:rPr>
                <w:rFonts w:hint="eastAsia" w:ascii="宋体" w:hAnsi="宋体" w:eastAsia="宋体" w:cs="宋体"/>
                <w:color w:val="auto"/>
                <w:szCs w:val="21"/>
                <w:highlight w:val="none"/>
              </w:rPr>
              <w:t>）</w:t>
            </w:r>
          </w:p>
          <w:p w14:paraId="3BB6635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.除竞争性磋商文件规定必须提供以外，供应商认为需要提供的其他证明材料（格式自拟）。（</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14:paraId="6889937B">
            <w:pPr>
              <w:pStyle w:val="13"/>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5DA7077D">
            <w:pPr>
              <w:pStyle w:val="13"/>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1.以上标明“必须提供”的材料属于复印件的扫描件的，必须加盖供应商公章，否则响应文件按无效响应处理。</w:t>
            </w:r>
          </w:p>
          <w:p w14:paraId="737E72C0">
            <w:pPr>
              <w:pStyle w:val="13"/>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2.联合体竞标时，第1-4项资格证明文件联合体各方均必须分别提供，联合体各方分别盖章，否则响应文件按无效响应处理。</w:t>
            </w:r>
          </w:p>
        </w:tc>
      </w:tr>
      <w:tr w14:paraId="701D6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307398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390" w:type="dxa"/>
            <w:vAlign w:val="center"/>
          </w:tcPr>
          <w:p w14:paraId="59616B55">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636" w:type="dxa"/>
            <w:vAlign w:val="center"/>
          </w:tcPr>
          <w:p w14:paraId="60A8281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19D172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D54019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4E26E92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4.磋商保证金提交凭证；（</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BD7D33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5.商务条款偏离表（格式后附）；（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27296A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6.供应商情况介绍（格式自拟）；（</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14:paraId="0714BF6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7.对应采购需求的商务条款提供的其他文件资料（格式自拟）；（</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14:paraId="77FF16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8.供应商认为需要提供的其他有关资料（格式自拟）。（</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14:paraId="2C595B40">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6CE49634">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1.法定代表人授权委托书必须由法定代表人及其委托代理人签字，并加盖供应商公章，否则响应文件按无效响应处理。</w:t>
            </w:r>
          </w:p>
          <w:p w14:paraId="491B1D6F">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2.以上标明“必须提供”的材料属于复印件的扫描件的，必须加盖供应商公章，否则响应文件按无效响应处理。</w:t>
            </w:r>
          </w:p>
        </w:tc>
      </w:tr>
      <w:tr w14:paraId="07EC2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14:paraId="447FA8AB">
            <w:pPr>
              <w:spacing w:line="360" w:lineRule="auto"/>
              <w:jc w:val="center"/>
              <w:rPr>
                <w:rFonts w:hint="eastAsia" w:ascii="宋体" w:hAnsi="宋体" w:eastAsia="宋体" w:cs="宋体"/>
                <w:color w:val="auto"/>
                <w:szCs w:val="21"/>
                <w:highlight w:val="none"/>
              </w:rPr>
            </w:pPr>
          </w:p>
        </w:tc>
        <w:tc>
          <w:tcPr>
            <w:tcW w:w="2390" w:type="dxa"/>
            <w:vAlign w:val="center"/>
          </w:tcPr>
          <w:p w14:paraId="3C5561CA">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636" w:type="dxa"/>
            <w:vAlign w:val="center"/>
          </w:tcPr>
          <w:p w14:paraId="2089C37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4197F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2.项目方案（格式自拟）；（</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14:paraId="4FBBA41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3.对应采购需求的服务需求提供的其他文件资料（格式自拟）；（</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14:paraId="780504B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4.供应商认为需要提供的其他有关资料（格式自拟）。（</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p w14:paraId="628C4A89">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注：以上标明“必须提供”的材料属于复印件的扫描件的，必须加盖供应商公章，否则响应文件按无效响应处理。</w:t>
            </w:r>
          </w:p>
        </w:tc>
      </w:tr>
      <w:tr w14:paraId="37433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87DC4D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2390" w:type="dxa"/>
            <w:vAlign w:val="center"/>
          </w:tcPr>
          <w:p w14:paraId="6460BE07">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636" w:type="dxa"/>
            <w:vAlign w:val="center"/>
          </w:tcPr>
          <w:p w14:paraId="4B0177F0">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1.响应函（格式后附）；</w:t>
            </w:r>
            <w:r>
              <w:rPr>
                <w:rFonts w:hint="eastAsia" w:ascii="宋体" w:hAnsi="宋体" w:eastAsia="宋体" w:cs="宋体"/>
                <w:b/>
                <w:color w:val="auto"/>
                <w:szCs w:val="21"/>
                <w:highlight w:val="none"/>
              </w:rPr>
              <w:t>（必须提供，否则响应文件按无效响应处理）</w:t>
            </w:r>
          </w:p>
          <w:p w14:paraId="23A6408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2.响应报价表（格式后附）；（</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8DE2B6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3.供应商针对报价需要说明的其他文件和说明（格式自拟）。（</w:t>
            </w:r>
            <w:r>
              <w:rPr>
                <w:rFonts w:hint="eastAsia" w:ascii="宋体" w:hAnsi="宋体" w:eastAsia="宋体" w:cs="宋体"/>
                <w:b/>
                <w:bCs/>
                <w:color w:val="auto"/>
                <w:szCs w:val="21"/>
                <w:highlight w:val="none"/>
              </w:rPr>
              <w:t>如有，请提供</w:t>
            </w:r>
            <w:r>
              <w:rPr>
                <w:rFonts w:hint="eastAsia" w:ascii="宋体" w:hAnsi="宋体" w:eastAsia="宋体" w:cs="宋体"/>
                <w:color w:val="auto"/>
                <w:szCs w:val="21"/>
                <w:highlight w:val="none"/>
              </w:rPr>
              <w:t>）</w:t>
            </w:r>
          </w:p>
        </w:tc>
      </w:tr>
      <w:tr w14:paraId="6E815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4326B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390" w:type="dxa"/>
            <w:vAlign w:val="center"/>
          </w:tcPr>
          <w:p w14:paraId="6FB7DB68">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响应文件电子版要求</w:t>
            </w:r>
          </w:p>
        </w:tc>
        <w:tc>
          <w:tcPr>
            <w:tcW w:w="6636" w:type="dxa"/>
            <w:vAlign w:val="center"/>
          </w:tcPr>
          <w:p w14:paraId="31DDFFF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1.响应文件电子版要求：按照本竞争性磋商文件“第五章 响应文件格式”编写，第五章未附格式的，由供应商自行拟定。</w:t>
            </w:r>
          </w:p>
          <w:p w14:paraId="105ADD9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2.响应文件电子版密封方式：电子响应文件通过平台有效CA加密后在广西政府采购云平台投送。</w:t>
            </w:r>
          </w:p>
        </w:tc>
      </w:tr>
      <w:tr w14:paraId="31566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F6D697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90" w:type="dxa"/>
            <w:vAlign w:val="center"/>
          </w:tcPr>
          <w:p w14:paraId="354D36EA">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响应报价要求</w:t>
            </w:r>
          </w:p>
        </w:tc>
        <w:tc>
          <w:tcPr>
            <w:tcW w:w="6636" w:type="dxa"/>
            <w:vAlign w:val="center"/>
          </w:tcPr>
          <w:p w14:paraId="73E26FE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1.供应商的报价应包含为完成本磋商文件提出的服务等全部相关工作所有可能发生的费用。对在合同实施过程中可能发生的其他费用，采购人概不负责。</w:t>
            </w:r>
          </w:p>
          <w:p w14:paraId="67B97BE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2.对本文件未列明，而供应商认为必需的费用也需列入磋商总报价。在合同实施时，采购人将不予支付成交供应商没有列入的项目费用，并认为此项目的费用已包含在磋商总报价中。</w:t>
            </w:r>
          </w:p>
          <w:p w14:paraId="47317BCA">
            <w:pPr>
              <w:pStyle w:val="15"/>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响应报价包含验收费用。</w:t>
            </w:r>
          </w:p>
        </w:tc>
      </w:tr>
      <w:tr w14:paraId="26F9D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9D927E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390" w:type="dxa"/>
            <w:vAlign w:val="center"/>
          </w:tcPr>
          <w:p w14:paraId="1196B4F3">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竞标有效期</w:t>
            </w:r>
          </w:p>
        </w:tc>
        <w:tc>
          <w:tcPr>
            <w:tcW w:w="6636" w:type="dxa"/>
            <w:vAlign w:val="center"/>
          </w:tcPr>
          <w:p w14:paraId="3D912C7A">
            <w:pPr>
              <w:pStyle w:val="11"/>
              <w:widowControl w:val="0"/>
              <w:tabs>
                <w:tab w:val="clear" w:pos="454"/>
              </w:tabs>
              <w:snapToGrid w:val="0"/>
              <w:spacing w:afterLines="0" w:line="360" w:lineRule="auto"/>
              <w:ind w:left="283" w:hanging="283" w:hangingChars="13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14:paraId="78A46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488CB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90" w:type="dxa"/>
            <w:vAlign w:val="center"/>
          </w:tcPr>
          <w:p w14:paraId="1664E0F2">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磋商保证金</w:t>
            </w:r>
          </w:p>
        </w:tc>
        <w:tc>
          <w:tcPr>
            <w:tcW w:w="6636" w:type="dxa"/>
            <w:shd w:val="clear" w:color="auto" w:fill="auto"/>
            <w:vAlign w:val="center"/>
          </w:tcPr>
          <w:p w14:paraId="1C76E9E0">
            <w:pPr>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磋商保证金，相关要求如下：</w:t>
            </w:r>
          </w:p>
          <w:p w14:paraId="24DB9F3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1.磋商保证金的缴纳方式：详见竞争性磋商公告。</w:t>
            </w:r>
          </w:p>
          <w:p w14:paraId="79DC17E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2.磋商保证金的金额：详见竞争性磋商公告。</w:t>
            </w:r>
          </w:p>
          <w:p w14:paraId="4145D55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3.磋商保证金采用银行转账缴纳方式的，在首次响应文件提交截止时间前交至采购代理机构指定账户并且到账，供应商应将银行转账底单的复印件作为磋商保证金提交凭证，放置于商务文件中，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24954B27">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保证金采用支票、汇票、本票或者金融机构、担保机构出具的保函等缴纳方式的，供应商应将支票、汇票、本票或者金融机构、担保机构出具的保函等的复印件或者金融机构、担保机构出具的电子保函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。供应商必须在</w:t>
            </w:r>
            <w:r>
              <w:rPr>
                <w:rFonts w:hint="eastAsia" w:ascii="宋体" w:hAnsi="宋体" w:eastAsia="宋体" w:cs="宋体"/>
                <w:color w:val="auto"/>
                <w:kern w:val="0"/>
                <w:szCs w:val="21"/>
                <w:highlight w:val="none"/>
              </w:rPr>
              <w:t>首次响应文件提交截止时间前</w:t>
            </w:r>
            <w:r>
              <w:rPr>
                <w:rFonts w:hint="eastAsia" w:ascii="宋体" w:hAnsi="宋体" w:eastAsia="宋体" w:cs="宋体"/>
                <w:color w:val="auto"/>
                <w:szCs w:val="21"/>
                <w:highlight w:val="none"/>
              </w:rPr>
              <w:t>将支票、汇票、本票或者金融机构、担保机构出具的保函（电子保函除外）等原件提交给采购代理机构。</w:t>
            </w:r>
          </w:p>
          <w:p w14:paraId="375403A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5.磋商保证金指定账户：详见竞争性磋商公告。</w:t>
            </w:r>
          </w:p>
          <w:p w14:paraId="13DC2A42">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5590FE4F">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1.磋商保证金在首次响应文件提交截止时间后提交的，或者不按规定缴纳方式缴纳的，或者未足额缴纳的（包含保函额度不足的），视为无效磋商保证金。</w:t>
            </w:r>
          </w:p>
          <w:p w14:paraId="6EA8EC52">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2.供应商采用现金方式或者从个人账户（自然人竞标除外）转出的磋商保证金，视为无效磋商保证金。</w:t>
            </w:r>
          </w:p>
          <w:p w14:paraId="0E94184D">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14:paraId="03977B7D">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14:paraId="6A2889B0">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5.采用金融、担保机构出具保函的，必须为无条件保函，否则视为无效磋商保证金。</w:t>
            </w:r>
          </w:p>
        </w:tc>
      </w:tr>
      <w:tr w14:paraId="7D121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14:paraId="09C17D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90" w:type="dxa"/>
            <w:vAlign w:val="center"/>
          </w:tcPr>
          <w:p w14:paraId="6CE54FAA">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首次响应文件提交截止时间</w:t>
            </w:r>
          </w:p>
        </w:tc>
        <w:tc>
          <w:tcPr>
            <w:tcW w:w="6636" w:type="dxa"/>
            <w:vAlign w:val="center"/>
          </w:tcPr>
          <w:p w14:paraId="685E90ED">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30E5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14:paraId="1B34969F">
            <w:pPr>
              <w:spacing w:line="360" w:lineRule="auto"/>
              <w:jc w:val="center"/>
              <w:rPr>
                <w:rFonts w:hint="eastAsia" w:ascii="宋体" w:hAnsi="宋体" w:eastAsia="宋体" w:cs="宋体"/>
                <w:color w:val="auto"/>
                <w:szCs w:val="21"/>
                <w:highlight w:val="none"/>
              </w:rPr>
            </w:pPr>
          </w:p>
        </w:tc>
        <w:tc>
          <w:tcPr>
            <w:tcW w:w="2390" w:type="dxa"/>
            <w:vAlign w:val="center"/>
          </w:tcPr>
          <w:p w14:paraId="18B15B1D">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首次响应文件开启时间</w:t>
            </w:r>
          </w:p>
        </w:tc>
        <w:tc>
          <w:tcPr>
            <w:tcW w:w="6636" w:type="dxa"/>
            <w:vAlign w:val="center"/>
          </w:tcPr>
          <w:p w14:paraId="5DF189E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22D65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14:paraId="6925AB05">
            <w:pPr>
              <w:spacing w:line="360" w:lineRule="auto"/>
              <w:jc w:val="center"/>
              <w:rPr>
                <w:rFonts w:hint="eastAsia" w:ascii="宋体" w:hAnsi="宋体" w:eastAsia="宋体" w:cs="宋体"/>
                <w:color w:val="auto"/>
                <w:szCs w:val="21"/>
                <w:highlight w:val="none"/>
              </w:rPr>
            </w:pPr>
          </w:p>
        </w:tc>
        <w:tc>
          <w:tcPr>
            <w:tcW w:w="2390" w:type="dxa"/>
            <w:vAlign w:val="center"/>
          </w:tcPr>
          <w:p w14:paraId="51F2F118">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首次响应文件提交地点</w:t>
            </w:r>
          </w:p>
        </w:tc>
        <w:tc>
          <w:tcPr>
            <w:tcW w:w="6636" w:type="dxa"/>
            <w:vAlign w:val="center"/>
          </w:tcPr>
          <w:p w14:paraId="3D09AB53">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2F5E7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14:paraId="7B617CE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90" w:type="dxa"/>
            <w:vAlign w:val="center"/>
          </w:tcPr>
          <w:p w14:paraId="30953EB9">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备份响应文件</w:t>
            </w:r>
          </w:p>
        </w:tc>
        <w:tc>
          <w:tcPr>
            <w:tcW w:w="6636" w:type="dxa"/>
            <w:vAlign w:val="center"/>
          </w:tcPr>
          <w:p w14:paraId="102F5F0B">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4ACB7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14:paraId="42B797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2390" w:type="dxa"/>
            <w:vAlign w:val="center"/>
          </w:tcPr>
          <w:p w14:paraId="5516461C">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负偏离要求</w:t>
            </w:r>
          </w:p>
        </w:tc>
        <w:tc>
          <w:tcPr>
            <w:tcW w:w="6636" w:type="dxa"/>
            <w:vAlign w:val="center"/>
          </w:tcPr>
          <w:p w14:paraId="665C411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1BED691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技术要求中允许负偏离的条款数为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1615A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14:paraId="63D00FAA">
            <w:pPr>
              <w:spacing w:line="360" w:lineRule="auto"/>
              <w:jc w:val="center"/>
              <w:rPr>
                <w:rFonts w:hint="eastAsia" w:ascii="宋体" w:hAnsi="宋体" w:eastAsia="宋体" w:cs="宋体"/>
                <w:color w:val="auto"/>
                <w:szCs w:val="21"/>
                <w:highlight w:val="none"/>
              </w:rPr>
            </w:pPr>
          </w:p>
        </w:tc>
        <w:tc>
          <w:tcPr>
            <w:tcW w:w="2390" w:type="dxa"/>
            <w:vAlign w:val="center"/>
          </w:tcPr>
          <w:p w14:paraId="4E0BCD3D">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评审方法</w:t>
            </w:r>
          </w:p>
        </w:tc>
        <w:tc>
          <w:tcPr>
            <w:tcW w:w="6636" w:type="dxa"/>
            <w:vAlign w:val="center"/>
          </w:tcPr>
          <w:p w14:paraId="6032E922">
            <w:pPr>
              <w:pStyle w:val="13"/>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本项目采用综合评分法。综合评分法是指响应文件满足竞争性磋商文件全部实质性要求且按评审因素的量化指标评审得分最高的供应商为成交候选供应商的评审方法。</w:t>
            </w:r>
          </w:p>
        </w:tc>
      </w:tr>
      <w:tr w14:paraId="61266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67B47532">
            <w:pPr>
              <w:spacing w:line="360" w:lineRule="auto"/>
              <w:jc w:val="center"/>
              <w:rPr>
                <w:rFonts w:hint="eastAsia" w:ascii="宋体" w:hAnsi="宋体" w:eastAsia="宋体" w:cs="宋体"/>
                <w:color w:val="auto"/>
                <w:szCs w:val="21"/>
                <w:highlight w:val="none"/>
              </w:rPr>
            </w:pPr>
          </w:p>
        </w:tc>
        <w:tc>
          <w:tcPr>
            <w:tcW w:w="2390" w:type="dxa"/>
            <w:vAlign w:val="center"/>
          </w:tcPr>
          <w:p w14:paraId="349382C3">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磋商的顺序</w:t>
            </w:r>
          </w:p>
        </w:tc>
        <w:tc>
          <w:tcPr>
            <w:tcW w:w="6636" w:type="dxa"/>
            <w:vAlign w:val="center"/>
          </w:tcPr>
          <w:p w14:paraId="7214A5FC">
            <w:pPr>
              <w:pStyle w:val="13"/>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如采用视频会议形式进行磋商，将按照提交首次响应文件的顺序，通知磋商时，若某供应商不在通知现场时，该供应商排序到最后磋商，按照签到的顺序由其下一位供应商先参与磋商。</w:t>
            </w:r>
          </w:p>
          <w:p w14:paraId="4411DE75">
            <w:pPr>
              <w:pStyle w:val="13"/>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D1E0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70BA4E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390" w:type="dxa"/>
            <w:vAlign w:val="center"/>
          </w:tcPr>
          <w:p w14:paraId="4962C4E0">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履约保证金</w:t>
            </w:r>
          </w:p>
        </w:tc>
        <w:tc>
          <w:tcPr>
            <w:tcW w:w="6636" w:type="dxa"/>
            <w:shd w:val="clear" w:color="auto" w:fill="auto"/>
            <w:vAlign w:val="center"/>
          </w:tcPr>
          <w:p w14:paraId="345EAA8B">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履约保证金。</w:t>
            </w:r>
          </w:p>
          <w:p w14:paraId="6FB1C468">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rPr>
              <w:t>履约保证金，相关要求如下：</w:t>
            </w:r>
          </w:p>
          <w:p w14:paraId="225980F6">
            <w:pPr>
              <w:numPr>
                <w:ilvl w:val="0"/>
                <w:numId w:val="7"/>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履约保证金金额：按项目</w:t>
            </w:r>
            <w:r>
              <w:rPr>
                <w:rFonts w:hint="eastAsia" w:ascii="宋体" w:hAnsi="宋体" w:eastAsia="宋体" w:cs="宋体"/>
                <w:i/>
                <w:iCs/>
                <w:color w:val="auto"/>
                <w:szCs w:val="21"/>
                <w:highlight w:val="none"/>
              </w:rPr>
              <w:t>/</w:t>
            </w:r>
            <w:r>
              <w:rPr>
                <w:rFonts w:hint="eastAsia" w:ascii="宋体" w:hAnsi="宋体" w:eastAsia="宋体" w:cs="宋体"/>
                <w:color w:val="auto"/>
                <w:szCs w:val="21"/>
                <w:highlight w:val="none"/>
              </w:rPr>
              <w:t>每分标成交总金额的</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p>
          <w:p w14:paraId="114C1A1A">
            <w:pPr>
              <w:numPr>
                <w:ilvl w:val="0"/>
                <w:numId w:val="7"/>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2.履约保证金提交方式：成交供应商在</w:t>
            </w:r>
            <w:r>
              <w:rPr>
                <w:rFonts w:hint="eastAsia" w:ascii="宋体" w:hAnsi="宋体" w:eastAsia="宋体" w:cs="宋体"/>
                <w:color w:val="auto"/>
                <w:kern w:val="0"/>
                <w:szCs w:val="21"/>
                <w:highlight w:val="none"/>
                <w:u w:val="single"/>
              </w:rPr>
              <w:t>签订合同</w:t>
            </w:r>
            <w:r>
              <w:rPr>
                <w:rFonts w:hint="eastAsia" w:ascii="宋体" w:hAnsi="宋体" w:eastAsia="宋体" w:cs="宋体"/>
                <w:color w:val="auto"/>
                <w:szCs w:val="21"/>
                <w:highlight w:val="none"/>
                <w:u w:val="single"/>
              </w:rPr>
              <w:t>前</w:t>
            </w:r>
            <w:r>
              <w:rPr>
                <w:rFonts w:hint="eastAsia" w:ascii="宋体" w:hAnsi="宋体" w:eastAsia="宋体" w:cs="宋体"/>
                <w:color w:val="auto"/>
                <w:szCs w:val="21"/>
                <w:highlight w:val="none"/>
              </w:rPr>
              <w:t>以银行转账、支票、汇票、本票或者金融机构、担保机构出具的保函等非现金方式向</w:t>
            </w: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提交。</w:t>
            </w:r>
          </w:p>
          <w:p w14:paraId="092E2A8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3.履约保证金退付方式、时间及条件：</w:t>
            </w:r>
            <w:r>
              <w:rPr>
                <w:rFonts w:hint="eastAsia" w:ascii="宋体" w:hAnsi="宋体" w:eastAsia="宋体" w:cs="宋体"/>
                <w:color w:val="auto"/>
                <w:szCs w:val="21"/>
                <w:highlight w:val="none"/>
                <w:u w:val="single"/>
              </w:rPr>
              <w:t xml:space="preserve"> </w:t>
            </w:r>
            <w:r>
              <w:rPr>
                <w:rFonts w:hint="eastAsia" w:ascii="宋体" w:hAnsi="宋体" w:eastAsia="宋体" w:cs="宋体"/>
                <w:i/>
                <w:iCs/>
                <w:color w:val="auto"/>
                <w:szCs w:val="21"/>
                <w:highlight w:val="none"/>
                <w:u w:val="single"/>
              </w:rPr>
              <w:t>按照合同约定的退还方式</w:t>
            </w:r>
            <w:r>
              <w:rPr>
                <w:rFonts w:hint="eastAsia" w:ascii="宋体" w:hAnsi="宋体" w:eastAsia="宋体" w:cs="宋体"/>
                <w:color w:val="auto"/>
                <w:szCs w:val="21"/>
                <w:highlight w:val="none"/>
                <w:u w:val="single"/>
              </w:rPr>
              <w:t xml:space="preserve"> 。</w:t>
            </w:r>
          </w:p>
          <w:p w14:paraId="31987B0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4.缴纳履约保证金指定账户的信息：</w:t>
            </w:r>
          </w:p>
          <w:p w14:paraId="4917D6C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 广西医科大学第二附属医院</w:t>
            </w:r>
          </w:p>
          <w:p w14:paraId="3FF2C5B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中国建设银行南宁医科大支行</w:t>
            </w:r>
          </w:p>
          <w:p w14:paraId="639227C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 45050 1604 5600 9666 888</w:t>
            </w:r>
          </w:p>
          <w:p w14:paraId="529A0545">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备注：</w:t>
            </w:r>
            <w:r>
              <w:rPr>
                <w:rFonts w:hint="eastAsia" w:ascii="宋体" w:hAnsi="宋体" w:eastAsia="宋体" w:cs="宋体"/>
                <w:color w:val="auto"/>
                <w:szCs w:val="21"/>
                <w:highlight w:val="none"/>
              </w:rPr>
              <w:br w:type="textWrapping"/>
            </w:r>
            <w:r>
              <w:rPr>
                <w:rFonts w:hint="eastAsia" w:ascii="宋体" w:hAnsi="宋体" w:eastAsia="宋体" w:cs="宋体"/>
                <w:b/>
                <w:color w:val="auto"/>
                <w:szCs w:val="21"/>
                <w:highlight w:val="none"/>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r>
              <w:rPr>
                <w:rFonts w:hint="eastAsia" w:ascii="宋体" w:hAnsi="宋体" w:eastAsia="宋体" w:cs="宋体"/>
                <w:color w:val="auto"/>
                <w:szCs w:val="21"/>
                <w:highlight w:val="none"/>
              </w:rPr>
              <w:br w:type="textWrapping"/>
            </w:r>
            <w:r>
              <w:rPr>
                <w:rFonts w:hint="eastAsia" w:ascii="宋体" w:hAnsi="宋体" w:eastAsia="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eastAsia="宋体" w:cs="宋体"/>
                <w:b/>
                <w:color w:val="auto"/>
                <w:szCs w:val="21"/>
                <w:highlight w:val="none"/>
              </w:rPr>
              <w:br w:type="textWrapping"/>
            </w:r>
            <w:r>
              <w:rPr>
                <w:rFonts w:hint="eastAsia" w:ascii="宋体" w:hAnsi="宋体" w:eastAsia="宋体" w:cs="宋体"/>
                <w:b/>
                <w:color w:val="auto"/>
                <w:szCs w:val="21"/>
                <w:highlight w:val="none"/>
              </w:rPr>
              <w:t>3.采用金融、担保机构出具保函的，必须为无条件保函，否则视为未按规定提交履约保证金。</w:t>
            </w:r>
          </w:p>
          <w:p w14:paraId="426A4AC9">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4.供应商为联合体的，可由联合体任意一方或者联合体各方共同提交的履约保证金，视为有效履约保证金。</w:t>
            </w:r>
            <w:r>
              <w:rPr>
                <w:rFonts w:hint="eastAsia" w:ascii="宋体" w:hAnsi="宋体" w:eastAsia="宋体" w:cs="宋体"/>
                <w:color w:val="auto"/>
                <w:szCs w:val="21"/>
                <w:highlight w:val="none"/>
              </w:rPr>
              <w:t xml:space="preserve"> </w:t>
            </w:r>
          </w:p>
        </w:tc>
      </w:tr>
      <w:tr w14:paraId="1FF7E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30271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390" w:type="dxa"/>
            <w:vAlign w:val="center"/>
          </w:tcPr>
          <w:p w14:paraId="7BADB018">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签订合同携带的材料</w:t>
            </w:r>
          </w:p>
        </w:tc>
        <w:tc>
          <w:tcPr>
            <w:tcW w:w="6636" w:type="dxa"/>
            <w:vAlign w:val="center"/>
          </w:tcPr>
          <w:p w14:paraId="7C702DAB">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委托代理人负责签订合同的，须携带有效的法定代表人授权委托书及其委托代理人身份证原件等其他资格证件。</w:t>
            </w:r>
          </w:p>
          <w:p w14:paraId="69D93EFD">
            <w:pPr>
              <w:snapToGrid w:val="0"/>
              <w:spacing w:line="360" w:lineRule="auto"/>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rPr>
              <w:t>法定代表人负责签订合同的，须携带法定代表人身份证明原件及身份证原件等其他证明材料。</w:t>
            </w:r>
          </w:p>
        </w:tc>
      </w:tr>
      <w:tr w14:paraId="7D8B7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7E9A869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390" w:type="dxa"/>
            <w:vAlign w:val="center"/>
          </w:tcPr>
          <w:p w14:paraId="6EA11032">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接收质疑函方式</w:t>
            </w:r>
          </w:p>
        </w:tc>
        <w:tc>
          <w:tcPr>
            <w:tcW w:w="6636" w:type="dxa"/>
            <w:vAlign w:val="center"/>
          </w:tcPr>
          <w:p w14:paraId="6147428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7BDF7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7B2FE6BD">
            <w:pPr>
              <w:spacing w:line="360" w:lineRule="auto"/>
              <w:jc w:val="center"/>
              <w:rPr>
                <w:rFonts w:hint="eastAsia" w:ascii="宋体" w:hAnsi="宋体" w:eastAsia="宋体" w:cs="宋体"/>
                <w:color w:val="auto"/>
                <w:szCs w:val="21"/>
                <w:highlight w:val="none"/>
              </w:rPr>
            </w:pPr>
          </w:p>
        </w:tc>
        <w:tc>
          <w:tcPr>
            <w:tcW w:w="2390" w:type="dxa"/>
            <w:vAlign w:val="center"/>
          </w:tcPr>
          <w:p w14:paraId="42820CD2">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质疑联系部门及联系</w:t>
            </w:r>
          </w:p>
          <w:p w14:paraId="51CA8C09">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方式</w:t>
            </w:r>
          </w:p>
        </w:tc>
        <w:tc>
          <w:tcPr>
            <w:tcW w:w="6636" w:type="dxa"/>
            <w:vAlign w:val="center"/>
          </w:tcPr>
          <w:p w14:paraId="5D385423">
            <w:pPr>
              <w:snapToGrid w:val="0"/>
              <w:spacing w:line="360" w:lineRule="auto"/>
              <w:rPr>
                <w:rFonts w:hint="eastAsia" w:ascii="宋体" w:hAnsi="宋体" w:eastAsia="宋体" w:cs="宋体"/>
                <w:color w:val="auto"/>
                <w:szCs w:val="21"/>
                <w:highlight w:val="none"/>
                <w:lang w:eastAsia="zh-CN"/>
              </w:rPr>
            </w:pPr>
            <w:bookmarkStart w:id="71" w:name="PO_3000001868_PM031_3"/>
            <w:r>
              <w:rPr>
                <w:rFonts w:hint="eastAsia" w:ascii="宋体" w:hAnsi="宋体" w:eastAsia="宋体" w:cs="宋体"/>
                <w:color w:val="auto"/>
                <w:szCs w:val="21"/>
                <w:highlight w:val="none"/>
              </w:rPr>
              <w:t>（1）名称：</w:t>
            </w:r>
            <w:bookmarkEnd w:id="71"/>
            <w:r>
              <w:rPr>
                <w:rFonts w:hint="eastAsia" w:ascii="宋体" w:hAnsi="宋体" w:eastAsia="宋体" w:cs="宋体"/>
                <w:color w:val="auto"/>
                <w:szCs w:val="21"/>
                <w:highlight w:val="none"/>
                <w:lang w:eastAsia="zh-CN"/>
              </w:rPr>
              <w:t>广西医科大学第二附属医院</w:t>
            </w:r>
          </w:p>
          <w:p w14:paraId="5961D4E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联系电话：0771-3373768</w:t>
            </w:r>
          </w:p>
          <w:p w14:paraId="3BC1E08E">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通讯地址：广西南宁市大学东路166号</w:t>
            </w:r>
          </w:p>
          <w:p w14:paraId="5051BB6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（2）名称：广西科联招标中心有限公司</w:t>
            </w:r>
          </w:p>
          <w:p w14:paraId="03BD1B4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联系地址：广西南宁市大学东路170号广西科联招标中心有限公司103室</w:t>
            </w:r>
          </w:p>
          <w:p w14:paraId="16A912C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联系电话：0771-3486228</w:t>
            </w:r>
          </w:p>
        </w:tc>
      </w:tr>
      <w:tr w14:paraId="2D7BA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53984B12">
            <w:pPr>
              <w:spacing w:line="360" w:lineRule="auto"/>
              <w:jc w:val="center"/>
              <w:rPr>
                <w:rFonts w:hint="eastAsia" w:ascii="宋体" w:hAnsi="宋体" w:eastAsia="宋体" w:cs="宋体"/>
                <w:color w:val="auto"/>
                <w:szCs w:val="21"/>
                <w:highlight w:val="none"/>
              </w:rPr>
            </w:pPr>
          </w:p>
        </w:tc>
        <w:tc>
          <w:tcPr>
            <w:tcW w:w="2390" w:type="dxa"/>
            <w:vAlign w:val="center"/>
          </w:tcPr>
          <w:p w14:paraId="2F1053A8">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现场提交质疑办理业务</w:t>
            </w:r>
          </w:p>
          <w:p w14:paraId="5C0BFADA">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时间</w:t>
            </w:r>
          </w:p>
        </w:tc>
        <w:tc>
          <w:tcPr>
            <w:tcW w:w="6636" w:type="dxa"/>
            <w:vAlign w:val="center"/>
          </w:tcPr>
          <w:p w14:paraId="0EC856A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质疑期内每个工作日（北京时间）上午8时00分到12时00分，下午15时00分到18时00分。</w:t>
            </w:r>
          </w:p>
        </w:tc>
      </w:tr>
      <w:tr w14:paraId="50624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E8CC9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390" w:type="dxa"/>
            <w:vAlign w:val="center"/>
          </w:tcPr>
          <w:p w14:paraId="66729543">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受理投诉方式</w:t>
            </w:r>
          </w:p>
        </w:tc>
        <w:tc>
          <w:tcPr>
            <w:tcW w:w="6636" w:type="dxa"/>
            <w:vAlign w:val="center"/>
          </w:tcPr>
          <w:p w14:paraId="75B4854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46DDDCD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2、通讯方式</w:t>
            </w:r>
          </w:p>
          <w:p w14:paraId="3BA2B6A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名称： 广西壮族自治区财政厅 </w:t>
            </w:r>
          </w:p>
          <w:p w14:paraId="5D0D7BC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南宁市青秀区桃源路69号</w:t>
            </w:r>
          </w:p>
          <w:p w14:paraId="33396B2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联系电话：0771-5331544</w:t>
            </w:r>
          </w:p>
        </w:tc>
      </w:tr>
      <w:tr w14:paraId="5D28F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24388C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390" w:type="dxa"/>
            <w:vAlign w:val="center"/>
          </w:tcPr>
          <w:p w14:paraId="468942AA">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采购代理服务费</w:t>
            </w:r>
          </w:p>
        </w:tc>
        <w:tc>
          <w:tcPr>
            <w:tcW w:w="6636" w:type="dxa"/>
            <w:vAlign w:val="center"/>
          </w:tcPr>
          <w:p w14:paraId="36C3157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1.本项目收取采购代理服务费</w:t>
            </w:r>
          </w:p>
          <w:p w14:paraId="3CD8277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2.采购代理服务费支付方式：</w:t>
            </w:r>
          </w:p>
          <w:p w14:paraId="52506CF9">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本项目采购代理服务费由</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在签订合同前，</w:t>
            </w:r>
            <w:r>
              <w:rPr>
                <w:rFonts w:hint="eastAsia" w:ascii="宋体" w:hAnsi="宋体" w:eastAsia="宋体" w:cs="宋体"/>
                <w:color w:val="auto"/>
                <w:szCs w:val="21"/>
                <w:highlight w:val="none"/>
              </w:rPr>
              <w:t>以银行转账、电汇等方式</w:t>
            </w:r>
            <w:r>
              <w:rPr>
                <w:rFonts w:hint="eastAsia" w:ascii="宋体" w:hAnsi="宋体" w:eastAsia="宋体" w:cs="宋体"/>
                <w:color w:val="auto"/>
                <w:szCs w:val="21"/>
                <w:highlight w:val="none"/>
                <w:lang w:eastAsia="zh-CN"/>
              </w:rPr>
              <w:t>一次性</w:t>
            </w:r>
            <w:r>
              <w:rPr>
                <w:rFonts w:hint="eastAsia" w:ascii="宋体" w:hAnsi="宋体" w:eastAsia="宋体" w:cs="宋体"/>
                <w:color w:val="auto"/>
                <w:kern w:val="0"/>
                <w:szCs w:val="21"/>
                <w:highlight w:val="none"/>
              </w:rPr>
              <w:t>向采购代理机构支付。</w:t>
            </w:r>
          </w:p>
          <w:p w14:paraId="03D25AF4">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3.采购代理服务费收取标准：</w:t>
            </w:r>
          </w:p>
          <w:p w14:paraId="44459BAD">
            <w:pPr>
              <w:snapToGrid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以项目成交金额为计费额，按</w:t>
            </w:r>
            <w:r>
              <w:rPr>
                <w:rFonts w:hint="eastAsia" w:ascii="宋体" w:hAnsi="宋体" w:eastAsia="宋体" w:cs="宋体"/>
                <w:color w:val="auto"/>
                <w:szCs w:val="21"/>
                <w:highlight w:val="none"/>
              </w:rPr>
              <w:t>本须知正文第33.2条规定的收费计算标准（</w:t>
            </w:r>
            <w:r>
              <w:rPr>
                <w:rFonts w:hint="eastAsia" w:ascii="宋体" w:hAnsi="宋体" w:eastAsia="宋体" w:cs="宋体"/>
                <w:b/>
                <w:bCs/>
                <w:color w:val="auto"/>
                <w:kern w:val="0"/>
                <w:szCs w:val="21"/>
                <w:highlight w:val="none"/>
                <w:u w:val="single"/>
              </w:rPr>
              <w:t>服务类</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下浮10%，</w:t>
            </w:r>
            <w:r>
              <w:rPr>
                <w:rFonts w:hint="eastAsia" w:ascii="宋体" w:hAnsi="宋体" w:eastAsia="宋体" w:cs="宋体"/>
                <w:color w:val="auto"/>
                <w:kern w:val="0"/>
                <w:szCs w:val="21"/>
                <w:highlight w:val="none"/>
              </w:rPr>
              <w:t>采用差额定率累进法计算出收费基准价格，采购代理机构收费以收费基准价格收取。</w:t>
            </w:r>
          </w:p>
          <w:p w14:paraId="6877224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4.采购代理服务费收取银行账户的信息</w:t>
            </w:r>
          </w:p>
          <w:p w14:paraId="696037B9">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开户名称：广西科联招标中心有限公司</w:t>
            </w:r>
          </w:p>
          <w:p w14:paraId="0D19795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开户银行：中国工商银行南宁市高新科技支行</w:t>
            </w:r>
          </w:p>
          <w:p w14:paraId="7EE4C5B7">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银行账号：2102111229300032105</w:t>
            </w:r>
          </w:p>
          <w:p w14:paraId="5C0525E3">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开户行行号：102611011101</w:t>
            </w:r>
          </w:p>
        </w:tc>
      </w:tr>
      <w:tr w14:paraId="7C341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87C28A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390" w:type="dxa"/>
            <w:vAlign w:val="center"/>
          </w:tcPr>
          <w:p w14:paraId="5DA1909C">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解释</w:t>
            </w:r>
          </w:p>
        </w:tc>
        <w:tc>
          <w:tcPr>
            <w:tcW w:w="6636" w:type="dxa"/>
            <w:vAlign w:val="center"/>
          </w:tcPr>
          <w:p w14:paraId="5BFF48C6">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解释：</w:t>
            </w:r>
            <w:r>
              <w:rPr>
                <w:rFonts w:hint="eastAsia" w:ascii="宋体" w:hAnsi="宋体" w:eastAsia="宋体" w:cs="宋体"/>
                <w:color w:val="auto"/>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kern w:val="0"/>
                <w:szCs w:val="21"/>
                <w:highlight w:val="none"/>
              </w:rPr>
              <w:t>由采购人或者采购代理机构负责解释。</w:t>
            </w:r>
          </w:p>
          <w:p w14:paraId="00AEA2CC">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法律责任：</w:t>
            </w:r>
          </w:p>
          <w:p w14:paraId="6AB3EB38">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5DAA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D0B477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390" w:type="dxa"/>
            <w:vAlign w:val="center"/>
          </w:tcPr>
          <w:p w14:paraId="626596C2">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w:t>
            </w:r>
          </w:p>
        </w:tc>
        <w:tc>
          <w:tcPr>
            <w:tcW w:w="6636" w:type="dxa"/>
            <w:vAlign w:val="center"/>
          </w:tcPr>
          <w:p w14:paraId="50D8B0F0">
            <w:pPr>
              <w:pStyle w:val="1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14:paraId="60A52A64">
            <w:pPr>
              <w:pStyle w:val="1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2.本竞争性磋商文件中描述供应商的“签字”是指供应商通过指定电子化政府采购平台办理数字证书（CA认证）获得的以供应商法定代表人或者委托代理人姓名制作的电子印章或手写签字。</w:t>
            </w:r>
          </w:p>
          <w:p w14:paraId="328A5D2B">
            <w:pPr>
              <w:pStyle w:val="13"/>
              <w:tabs>
                <w:tab w:val="center" w:pos="4153"/>
                <w:tab w:val="right" w:pos="8306"/>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3A87DA98">
            <w:pPr>
              <w:pStyle w:val="1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4.供应商为其他组织、自然人时，本磋商文件规定的法定代表人指负责人或者自然人。本磋商文件所称负责人是指参加竞标的其他组织营业执照上的负责人，本磋商文件所称自然人指参与竞标的自然人本人。</w:t>
            </w:r>
          </w:p>
          <w:p w14:paraId="3F5A024E">
            <w:pPr>
              <w:pStyle w:val="13"/>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5.自然人竞标的，竞争性磋商文件规定盖公章处由自然人摁手指指印。</w:t>
            </w:r>
          </w:p>
          <w:p w14:paraId="39288E4B">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6.本竞争性磋商文件所称的“以上”“以下”“以内”“届满”，包括本数；所称的“不满”“超过”“以外”，不包括本数。</w:t>
            </w:r>
          </w:p>
        </w:tc>
      </w:tr>
    </w:tbl>
    <w:p w14:paraId="7C52187B">
      <w:pPr>
        <w:pStyle w:val="3"/>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72" w:name="_Toc80886929"/>
      <w:bookmarkStart w:id="73" w:name="_Toc27094"/>
      <w:bookmarkStart w:id="74" w:name="_Toc30957"/>
      <w:r>
        <w:rPr>
          <w:rFonts w:hint="eastAsia" w:ascii="宋体" w:hAnsi="宋体" w:eastAsia="宋体" w:cs="宋体"/>
          <w:b w:val="0"/>
          <w:color w:val="auto"/>
          <w:highlight w:val="none"/>
        </w:rPr>
        <w:t>第二节 供应商须知正文</w:t>
      </w:r>
      <w:bookmarkEnd w:id="72"/>
      <w:bookmarkEnd w:id="73"/>
      <w:bookmarkEnd w:id="74"/>
    </w:p>
    <w:p w14:paraId="4E847E91">
      <w:pPr>
        <w:pStyle w:val="4"/>
        <w:spacing w:before="0" w:after="0" w:line="360" w:lineRule="auto"/>
        <w:ind w:firstLine="640" w:firstLineChars="200"/>
        <w:rPr>
          <w:rFonts w:hint="eastAsia" w:ascii="宋体" w:hAnsi="宋体" w:eastAsia="宋体" w:cs="宋体"/>
          <w:b w:val="0"/>
          <w:color w:val="auto"/>
          <w:highlight w:val="none"/>
        </w:rPr>
      </w:pPr>
      <w:bookmarkStart w:id="75" w:name="_Toc26166"/>
      <w:bookmarkStart w:id="76" w:name="_Toc80886930"/>
      <w:bookmarkStart w:id="77" w:name="_Toc6457"/>
      <w:r>
        <w:rPr>
          <w:rFonts w:hint="eastAsia" w:ascii="宋体" w:hAnsi="宋体" w:eastAsia="宋体" w:cs="宋体"/>
          <w:b w:val="0"/>
          <w:color w:val="auto"/>
          <w:highlight w:val="none"/>
        </w:rPr>
        <w:t>一、总则</w:t>
      </w:r>
      <w:bookmarkEnd w:id="75"/>
      <w:bookmarkEnd w:id="76"/>
      <w:bookmarkEnd w:id="77"/>
    </w:p>
    <w:p w14:paraId="4E0E323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5168EE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D9C8C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56C6156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2A1A62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592D17FC">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47944B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47270B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3DE87B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2.5“竞标”是指供应商按照本项目竞争性磋商公告规定的方式获取磋商文件、提交响应文件并希望获得标的的行为。</w:t>
      </w:r>
    </w:p>
    <w:p w14:paraId="2E569E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w:t>
      </w:r>
      <w:r>
        <w:rPr>
          <w:rFonts w:hint="eastAsia" w:ascii="宋体" w:hAnsi="宋体" w:eastAsia="宋体" w:cs="宋体"/>
          <w:color w:val="auto"/>
          <w:szCs w:val="21"/>
          <w:highlight w:val="none"/>
        </w:rPr>
        <w:t>报价文件、商务和技术文件</w:t>
      </w:r>
      <w:r>
        <w:rPr>
          <w:rFonts w:hint="eastAsia" w:ascii="宋体" w:hAnsi="宋体" w:eastAsia="宋体" w:cs="宋体"/>
          <w:color w:val="auto"/>
          <w:spacing w:val="-6"/>
          <w:szCs w:val="21"/>
          <w:highlight w:val="none"/>
        </w:rPr>
        <w:t>等所有内容的文件。</w:t>
      </w:r>
    </w:p>
    <w:p w14:paraId="2ADA49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2BCF0F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094221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148BA6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02C80A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2F2D63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7717B8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78B4AF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07F7D3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03B1A45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6CFE5A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6636E50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D95FD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4E943E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1BB8620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9C005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14:paraId="513C4D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14:paraId="1EFB8374">
      <w:pPr>
        <w:spacing w:line="360" w:lineRule="auto"/>
        <w:ind w:firstLine="482" w:firstLineChars="200"/>
        <w:rPr>
          <w:rFonts w:hint="eastAsia" w:ascii="宋体" w:hAnsi="宋体" w:eastAsia="宋体" w:cs="宋体"/>
          <w:b/>
          <w:bCs/>
          <w:color w:val="auto"/>
          <w:sz w:val="24"/>
          <w:highlight w:val="none"/>
        </w:rPr>
      </w:pPr>
      <w:bookmarkStart w:id="78" w:name="_Toc254970673"/>
      <w:bookmarkStart w:id="79" w:name="_Toc254970532"/>
      <w:r>
        <w:rPr>
          <w:rFonts w:hint="eastAsia" w:ascii="宋体" w:hAnsi="宋体" w:eastAsia="宋体" w:cs="宋体"/>
          <w:b/>
          <w:bCs/>
          <w:color w:val="auto"/>
          <w:sz w:val="24"/>
          <w:highlight w:val="none"/>
        </w:rPr>
        <w:t>7.特别说明</w:t>
      </w:r>
      <w:bookmarkEnd w:id="78"/>
      <w:bookmarkEnd w:id="79"/>
    </w:p>
    <w:p w14:paraId="45364268">
      <w:pPr>
        <w:spacing w:line="360" w:lineRule="auto"/>
        <w:ind w:firstLine="420" w:firstLineChars="200"/>
        <w:rPr>
          <w:rFonts w:hint="eastAsia" w:ascii="宋体" w:hAnsi="宋体" w:eastAsia="宋体" w:cs="宋体"/>
          <w:color w:val="auto"/>
          <w:szCs w:val="21"/>
          <w:highlight w:val="none"/>
        </w:rPr>
      </w:pPr>
      <w:bookmarkStart w:id="80" w:name="_8.1提供相同品牌产品且通过资格审查、符合性审查的不同投标人参加同一合"/>
      <w:bookmarkEnd w:id="80"/>
      <w:r>
        <w:rPr>
          <w:rFonts w:hint="eastAsia" w:ascii="宋体" w:hAnsi="宋体" w:eastAsia="宋体" w:cs="宋体"/>
          <w:color w:val="auto"/>
          <w:szCs w:val="21"/>
          <w:highlight w:val="none"/>
        </w:rPr>
        <w:t>7.1</w:t>
      </w:r>
      <w:bookmarkStart w:id="81"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1"/>
    <w:p w14:paraId="1D519E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5049DD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F63B63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14:paraId="230609D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14:paraId="095B76D9">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14:paraId="0668CE5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14:paraId="07FDDE5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14:paraId="5A9A597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14:paraId="662433D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F1E0CA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14:paraId="135D2FB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（1）不同供应商的响应文件由同一单位或者个人编制；或不同供应商报名的IP地址一致的； </w:t>
      </w:r>
    </w:p>
    <w:p w14:paraId="09E3EB5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14:paraId="1478C50F">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14:paraId="6552609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14:paraId="10117385">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14:paraId="5F72F9F2">
      <w:pPr>
        <w:tabs>
          <w:tab w:val="left" w:pos="6931"/>
        </w:tabs>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（6）不同供应商的磋商保证金从同一单位或者个人账户转出。</w:t>
      </w:r>
      <w:r>
        <w:rPr>
          <w:rFonts w:hint="eastAsia" w:ascii="宋体" w:hAnsi="宋体" w:eastAsia="宋体" w:cs="宋体"/>
          <w:b/>
          <w:bCs/>
          <w:color w:val="auto"/>
          <w:szCs w:val="21"/>
          <w:highlight w:val="none"/>
        </w:rPr>
        <w:tab/>
      </w:r>
    </w:p>
    <w:p w14:paraId="3764C8D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7.6供应商有下列情形之一的，属于恶意串通行为，将报同级监督管理部门：</w:t>
      </w:r>
    </w:p>
    <w:p w14:paraId="01F77F2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14:paraId="10BA8ED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14:paraId="5FB738C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14:paraId="43F0E7C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14:paraId="6A94DE3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AD50876">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14:paraId="7020BDD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（7）供应商与采购人或者采购代理机构之间、供应商相互之间，为谋求特定供应商成交或者排斥其他供应商的其他串通行为。</w:t>
      </w:r>
    </w:p>
    <w:p w14:paraId="69B3165B">
      <w:pPr>
        <w:pStyle w:val="4"/>
        <w:spacing w:before="0" w:after="0" w:line="360" w:lineRule="auto"/>
        <w:ind w:firstLine="640" w:firstLineChars="200"/>
        <w:rPr>
          <w:rFonts w:hint="eastAsia" w:ascii="宋体" w:hAnsi="宋体" w:eastAsia="宋体" w:cs="宋体"/>
          <w:b w:val="0"/>
          <w:bCs w:val="0"/>
          <w:color w:val="auto"/>
          <w:highlight w:val="none"/>
        </w:rPr>
      </w:pPr>
      <w:bookmarkStart w:id="82" w:name="_Toc254970675"/>
      <w:bookmarkStart w:id="83" w:name="_Toc254970534"/>
      <w:bookmarkStart w:id="84" w:name="_Toc12713"/>
      <w:bookmarkStart w:id="85" w:name="_Toc80886931"/>
      <w:bookmarkStart w:id="86" w:name="_Toc27583"/>
    </w:p>
    <w:p w14:paraId="6DA4DFEC">
      <w:pPr>
        <w:pStyle w:val="4"/>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二、磋商文件</w:t>
      </w:r>
      <w:bookmarkEnd w:id="82"/>
      <w:bookmarkEnd w:id="83"/>
      <w:bookmarkEnd w:id="84"/>
      <w:bookmarkEnd w:id="85"/>
      <w:bookmarkEnd w:id="86"/>
    </w:p>
    <w:p w14:paraId="5387E52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38E58E8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03C6E61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218AADC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30E309F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7CA6068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673CC48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5B1F72A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245DF42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6D76B0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供应商应认真阅读磋商文件的采购需求，如供应商对磋商文件有疑问的，如要求采购人作出澄清或者修改的，供应商应在提交首次响应文件截止之日前，以书面形式向采购人、采购代理机构提出。</w:t>
      </w:r>
    </w:p>
    <w:p w14:paraId="183818C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1473FB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17810B1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59F0C9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1E9299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58D32F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14:paraId="5E368CC1">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响应文件未按磋商文件的澄清、修改的内容编制，又不符合实质性要求的，其响应文件按无效处理。</w:t>
      </w:r>
    </w:p>
    <w:p w14:paraId="4A992D4E">
      <w:pPr>
        <w:pStyle w:val="4"/>
        <w:spacing w:before="0" w:after="0" w:line="360" w:lineRule="auto"/>
        <w:ind w:firstLine="32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p>
    <w:p w14:paraId="73729941">
      <w:pPr>
        <w:pStyle w:val="4"/>
        <w:spacing w:before="0" w:after="0" w:line="360" w:lineRule="auto"/>
        <w:ind w:firstLine="32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87" w:name="_Toc80886932"/>
      <w:bookmarkStart w:id="88" w:name="_Toc21480"/>
      <w:bookmarkStart w:id="89" w:name="_Toc21690"/>
      <w:r>
        <w:rPr>
          <w:rFonts w:hint="eastAsia" w:ascii="宋体" w:hAnsi="宋体" w:eastAsia="宋体" w:cs="宋体"/>
          <w:b w:val="0"/>
          <w:bCs w:val="0"/>
          <w:color w:val="auto"/>
          <w:highlight w:val="none"/>
        </w:rPr>
        <w:t>三、响应文件的编制</w:t>
      </w:r>
      <w:bookmarkEnd w:id="87"/>
      <w:bookmarkEnd w:id="88"/>
      <w:bookmarkEnd w:id="89"/>
    </w:p>
    <w:p w14:paraId="3B8441C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4F8E00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1CEAEAE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12A5B2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328B19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12.1.1资格证明文件：详见供应商须知前附表</w:t>
      </w:r>
    </w:p>
    <w:p w14:paraId="2AA627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12.1.2商务技术文件：详见供应商须知前附表</w:t>
      </w:r>
    </w:p>
    <w:p w14:paraId="01DF44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12.1.3报价文件：详见供应商须知前附表</w:t>
      </w:r>
    </w:p>
    <w:p w14:paraId="66555B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12.2响应文件电子版：详见供应商须知前附表</w:t>
      </w:r>
    </w:p>
    <w:p w14:paraId="3D77519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47C0E6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039BF5D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25E78F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64D1C3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2EF7B4DB">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573A8806">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43575C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4777DE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731869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（1）供应商必须就“采购需求”中所竞标的项目/每个分标的全部内容分别作完整唯一总价报价，不得存在漏项报价；</w:t>
      </w:r>
    </w:p>
    <w:p w14:paraId="6300D9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（2）供应商必须就所竞标的项目/分标的单项内容作唯一报价。</w:t>
      </w:r>
    </w:p>
    <w:p w14:paraId="4509B0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15.3.2响应报价（包含首次报价、最后报价）超过所竞标项目/分标规定的采购预算金额或者最高限价的（如本项目公布了最高限价），其响应文件将按无效处理。</w:t>
      </w:r>
    </w:p>
    <w:p w14:paraId="0E9656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90"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响应报价（包含首次报价、最后报价）超过分项采购预算金额或者最高限价的（如本项目公布了最高限价），其响应文件将按无效处理。</w:t>
      </w:r>
    </w:p>
    <w:bookmarkEnd w:id="90"/>
    <w:p w14:paraId="1C3F48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02C0D9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94662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7C62FF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6E36D70">
      <w:pPr>
        <w:spacing w:line="360" w:lineRule="auto"/>
        <w:ind w:firstLine="482" w:firstLineChars="200"/>
        <w:rPr>
          <w:rFonts w:hint="eastAsia" w:ascii="宋体" w:hAnsi="宋体" w:eastAsia="宋体" w:cs="宋体"/>
          <w:b/>
          <w:bCs/>
          <w:i/>
          <w:iCs/>
          <w:color w:val="auto"/>
          <w:sz w:val="24"/>
          <w:highlight w:val="none"/>
        </w:rPr>
      </w:pPr>
      <w:r>
        <w:rPr>
          <w:rFonts w:hint="eastAsia" w:ascii="宋体" w:hAnsi="宋体" w:eastAsia="宋体" w:cs="宋体"/>
          <w:b/>
          <w:bCs/>
          <w:color w:val="auto"/>
          <w:sz w:val="24"/>
          <w:highlight w:val="none"/>
        </w:rPr>
        <w:t>17.磋商保证金</w:t>
      </w:r>
    </w:p>
    <w:p w14:paraId="48F8393B">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028EC0EC">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1AE67F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成交供应商的磋商保证金自成交通知书发出之日起5个工作日内退还，退还方式如下：</w:t>
      </w:r>
    </w:p>
    <w:p w14:paraId="4FC02D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14:paraId="7035A423">
      <w:pPr>
        <w:pStyle w:val="7"/>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14:paraId="325387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17.2.2成交供应商的磋商保证金自签订合同之日起5个工作日内退还，退还方式同未成交供应商的磋商保证金的退还方式；或者转为成交供应商的履约保证金。 </w:t>
      </w:r>
    </w:p>
    <w:p w14:paraId="1B86A49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14:paraId="73C71F7B">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191929FE">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3BEF3286">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72D7EA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14:paraId="288C82B5">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14:paraId="78DBC8C5">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14:paraId="6FC5DF2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553DD8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6966A5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18.2响应文件应按资格证明文件、报价文件分别编制，商务技术文件合并编制，本磋商只接受电子版响应文件，要求见本章“12.2响应文件电子版要求”。</w:t>
      </w:r>
    </w:p>
    <w:p w14:paraId="400702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91" w:name="_Hlk65832699"/>
      <w:r>
        <w:rPr>
          <w:rFonts w:hint="eastAsia" w:ascii="宋体" w:hAnsi="宋体" w:eastAsia="宋体" w:cs="宋体"/>
          <w:color w:val="auto"/>
          <w:szCs w:val="21"/>
          <w:highlight w:val="none"/>
        </w:rPr>
        <w:t>3响应文件须由供应商按</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要求进行签署、盖章</w:t>
      </w:r>
      <w:bookmarkEnd w:id="91"/>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否则其响应文件按无效响应处理</w:t>
      </w:r>
      <w:r>
        <w:rPr>
          <w:rFonts w:hint="eastAsia" w:ascii="宋体" w:hAnsi="宋体" w:eastAsia="宋体" w:cs="宋体"/>
          <w:color w:val="auto"/>
          <w:szCs w:val="21"/>
          <w:highlight w:val="none"/>
        </w:rPr>
        <w:t>。</w:t>
      </w:r>
    </w:p>
    <w:p w14:paraId="7D9734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18.4响应文件中标注的供应商名称应与营业执照（事业单位法人证书、执业许可证、自然人身份证）及供应商公章一致，</w:t>
      </w:r>
      <w:r>
        <w:rPr>
          <w:rFonts w:hint="eastAsia" w:ascii="宋体" w:hAnsi="宋体" w:eastAsia="宋体" w:cs="宋体"/>
          <w:b/>
          <w:bCs/>
          <w:color w:val="auto"/>
          <w:szCs w:val="21"/>
          <w:highlight w:val="none"/>
        </w:rPr>
        <w:t>否则其响应文件按无效响应处理。</w:t>
      </w:r>
    </w:p>
    <w:p w14:paraId="51085E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14:paraId="1E92044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325C2775">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19.1供应商进行电子交易应安装客户端软件，并按照磋商文件和电子交易平台的要求编制并加密响应文件。供应商未按规定加密的响应文件，电子交易平台将拒收并提示。</w:t>
      </w:r>
    </w:p>
    <w:p w14:paraId="41C9E984">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w:t>
      </w:r>
    </w:p>
    <w:p w14:paraId="7D62553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19.3为确保网上操作合法、有效和安全，供应商应当在响应文件提交截止时间前完成在“广西政府采购云平台”的身份认证，确保在电子交易过程中能够对相关数据电文进行加密和使用电子签名。</w:t>
      </w:r>
    </w:p>
    <w:p w14:paraId="10AAC1A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7D7584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1F5824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58A8CF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在提交“最后报价”后，供应商不能退出磋商。</w:t>
      </w:r>
    </w:p>
    <w:p w14:paraId="4ADA76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461B17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7604AA2B">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详见“供应商须知前附表”。</w:t>
      </w:r>
    </w:p>
    <w:p w14:paraId="2B19D6E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0A28A0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5F67BA2C">
      <w:pPr>
        <w:spacing w:line="360" w:lineRule="auto"/>
        <w:ind w:firstLine="482" w:firstLineChars="200"/>
        <w:rPr>
          <w:rFonts w:hint="eastAsia" w:ascii="宋体" w:hAnsi="宋体" w:eastAsia="宋体" w:cs="宋体"/>
          <w:b/>
          <w:bCs/>
          <w:color w:val="auto"/>
          <w:sz w:val="24"/>
          <w:highlight w:val="none"/>
        </w:rPr>
      </w:pPr>
      <w:bookmarkStart w:id="92" w:name="_Hlk45702405"/>
      <w:r>
        <w:rPr>
          <w:rFonts w:hint="eastAsia" w:ascii="宋体" w:hAnsi="宋体" w:eastAsia="宋体" w:cs="宋体"/>
          <w:b/>
          <w:bCs/>
          <w:color w:val="auto"/>
          <w:sz w:val="24"/>
          <w:highlight w:val="none"/>
        </w:rPr>
        <w:t>22. 首次响应文件的退回</w:t>
      </w:r>
    </w:p>
    <w:p w14:paraId="6EEDD1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在首次响应文件提交截止时间止提交响应文件的供应商不足3家时，电子响应文件的退回由广西政府采购云平台自动操作。</w:t>
      </w:r>
    </w:p>
    <w:p w14:paraId="1C13E3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bookmarkEnd w:id="92"/>
    <w:p w14:paraId="3A6CA665">
      <w:pPr>
        <w:pStyle w:val="15"/>
        <w:spacing w:line="360" w:lineRule="auto"/>
        <w:ind w:firstLine="420" w:firstLineChars="200"/>
        <w:rPr>
          <w:rFonts w:hint="eastAsia" w:ascii="宋体" w:hAnsi="宋体" w:eastAsia="宋体" w:cs="宋体"/>
          <w:i/>
          <w:iCs/>
          <w:color w:val="auto"/>
          <w:szCs w:val="21"/>
          <w:highlight w:val="none"/>
        </w:rPr>
      </w:pPr>
      <w:r>
        <w:rPr>
          <w:rFonts w:hint="eastAsia" w:ascii="宋体" w:hAnsi="宋体" w:eastAsia="宋体" w:cs="宋体"/>
          <w:color w:val="auto"/>
          <w:highlight w:val="none"/>
        </w:rPr>
        <w:t>供应商在首次响应文件提交截止时间后向采购人、采购代理机构书面申请撤回电子响应文件的，将根据本须知正文17.4的规定不予退还其磋商保证金（如有）。</w:t>
      </w:r>
    </w:p>
    <w:p w14:paraId="5233D2B6">
      <w:pPr>
        <w:pStyle w:val="4"/>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bookmarkStart w:id="93" w:name="_Toc17876"/>
      <w:bookmarkStart w:id="94" w:name="_Toc80886933"/>
      <w:bookmarkStart w:id="95" w:name="_Toc20044"/>
    </w:p>
    <w:p w14:paraId="46FBD3BC">
      <w:pPr>
        <w:pStyle w:val="4"/>
        <w:spacing w:before="0" w:after="0" w:line="360" w:lineRule="auto"/>
        <w:ind w:firstLine="64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四、评审及磋商</w:t>
      </w:r>
      <w:bookmarkEnd w:id="93"/>
      <w:bookmarkEnd w:id="94"/>
      <w:bookmarkEnd w:id="95"/>
    </w:p>
    <w:p w14:paraId="52D06E5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0B8425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0C976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757977C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55DE88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04A2548D">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14:paraId="17A4240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须携带加密时所用的CA锁按平台提示和采购文件的规定登录到广西政府采购云平台电子开标大厅签到并在规定的时间内完成对电子响应文件在线解密</w:t>
      </w:r>
      <w:r>
        <w:rPr>
          <w:rFonts w:hint="eastAsia" w:ascii="宋体" w:hAnsi="宋体" w:eastAsia="宋体" w:cs="宋体"/>
          <w:color w:val="auto"/>
          <w:kern w:val="0"/>
          <w:szCs w:val="21"/>
          <w:highlight w:val="none"/>
        </w:rPr>
        <w:t>。</w:t>
      </w:r>
      <w:r>
        <w:rPr>
          <w:rFonts w:hint="eastAsia" w:ascii="宋体" w:hAnsi="宋体" w:eastAsia="宋体" w:cs="宋体"/>
          <w:color w:val="auto"/>
          <w:kern w:val="1"/>
          <w:szCs w:val="21"/>
          <w:highlight w:val="none"/>
        </w:rPr>
        <w:t>响应文件未按时解密的</w:t>
      </w: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26.4电子交易活动的中止。）</w:t>
      </w:r>
    </w:p>
    <w:p w14:paraId="2E7FF69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供应商成功解密响应文件，但未在广西政府采购云平台电子开标大厅参加磋商的，视同认可磋商过程和结果，</w:t>
      </w:r>
      <w:r>
        <w:rPr>
          <w:rFonts w:hint="eastAsia" w:ascii="宋体" w:hAnsi="宋体" w:eastAsia="宋体" w:cs="宋体"/>
          <w:color w:val="auto"/>
          <w:kern w:val="0"/>
          <w:szCs w:val="21"/>
          <w:highlight w:val="none"/>
        </w:rPr>
        <w:t>由此产生的后果由供应商自行负责。 参与磋商的供应商不足3家的，不得磋商。</w:t>
      </w:r>
    </w:p>
    <w:p w14:paraId="648599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6EF5FEA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26.1本项目的评审方法详见“供应商须知前附表”。磋商小组按照“第四章 评审程序、评审方法和评审标准”规定的方法、评审因素、标准和程序对响应文件进行评审。</w:t>
      </w:r>
    </w:p>
    <w:p w14:paraId="6B18CA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26.2磋商文件内容违反国家有关强制性规定的，磋商小组应当停止评审并向采购人或者采购代理机构说明情况，并在评审报告中书面体现。</w:t>
      </w:r>
    </w:p>
    <w:p w14:paraId="6C97D6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26.3 采购需求负偏离要求及磋商顺序详见“供应商须知前附表</w:t>
      </w:r>
      <w:r>
        <w:rPr>
          <w:rFonts w:hint="eastAsia" w:ascii="宋体" w:hAnsi="宋体" w:eastAsia="宋体" w:cs="宋体"/>
          <w:color w:val="auto"/>
          <w:szCs w:val="21"/>
          <w:highlight w:val="none"/>
        </w:rPr>
        <w:t>”。</w:t>
      </w:r>
    </w:p>
    <w:p w14:paraId="04AF3BB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42F246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750C755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57750A5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5ED4A7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04B12C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14:paraId="16299D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628489D">
      <w:pPr>
        <w:pStyle w:val="4"/>
        <w:spacing w:before="0" w:after="0" w:line="360" w:lineRule="auto"/>
        <w:ind w:firstLine="480" w:firstLineChars="150"/>
        <w:rPr>
          <w:rFonts w:hint="eastAsia" w:ascii="宋体" w:hAnsi="宋体" w:eastAsia="宋体" w:cs="宋体"/>
          <w:b w:val="0"/>
          <w:bCs w:val="0"/>
          <w:color w:val="auto"/>
          <w:highlight w:val="none"/>
        </w:rPr>
      </w:pPr>
      <w:bookmarkStart w:id="96" w:name="_Toc80886934"/>
      <w:bookmarkStart w:id="97" w:name="_Toc12018"/>
      <w:bookmarkStart w:id="98" w:name="_Toc17745"/>
    </w:p>
    <w:p w14:paraId="06EA01C1">
      <w:pPr>
        <w:pStyle w:val="4"/>
        <w:spacing w:before="0" w:after="0" w:line="360" w:lineRule="auto"/>
        <w:ind w:firstLine="480" w:firstLineChars="15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五、成交及合同</w:t>
      </w:r>
      <w:bookmarkEnd w:id="96"/>
      <w:bookmarkEnd w:id="97"/>
      <w:bookmarkEnd w:id="98"/>
    </w:p>
    <w:p w14:paraId="4B6EEF8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0DB5B8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0EABC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14:paraId="1DFF11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w:t>
      </w:r>
      <w:r>
        <w:rPr>
          <w:rFonts w:hint="eastAsia" w:ascii="宋体" w:hAnsi="宋体" w:cs="宋体"/>
          <w:color w:val="auto"/>
          <w:szCs w:val="21"/>
          <w:highlight w:val="none"/>
          <w:lang w:val="en-US" w:eastAsia="zh-CN"/>
        </w:rPr>
        <w:t>中小</w:t>
      </w:r>
      <w:r>
        <w:rPr>
          <w:rFonts w:hint="eastAsia" w:ascii="宋体" w:hAnsi="宋体" w:eastAsia="宋体" w:cs="宋体"/>
          <w:color w:val="auto"/>
          <w:szCs w:val="21"/>
          <w:highlight w:val="none"/>
        </w:rPr>
        <w:t>企业扶持政策的，采购人、采购代理机构应当随成交结果公开成交供应商的《</w:t>
      </w:r>
      <w:r>
        <w:rPr>
          <w:rFonts w:hint="eastAsia" w:ascii="宋体" w:hAnsi="宋体" w:cs="宋体"/>
          <w:color w:val="auto"/>
          <w:szCs w:val="21"/>
          <w:highlight w:val="none"/>
          <w:lang w:val="en-US" w:eastAsia="zh-CN"/>
        </w:rPr>
        <w:t>中小</w:t>
      </w:r>
      <w:r>
        <w:rPr>
          <w:rFonts w:hint="eastAsia" w:ascii="宋体" w:hAnsi="宋体" w:eastAsia="宋体" w:cs="宋体"/>
          <w:color w:val="auto"/>
          <w:szCs w:val="21"/>
          <w:highlight w:val="none"/>
        </w:rPr>
        <w:t>企业声明函》。</w:t>
      </w:r>
    </w:p>
    <w:p w14:paraId="53ACEC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0E953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27.5排名第一的成交候选人放弃成交，采购人可以按照评审报告推荐的成交候选人名单排序，依法确定下一候选人为成交</w:t>
      </w:r>
      <w:r>
        <w:rPr>
          <w:rFonts w:hint="eastAsia" w:ascii="宋体" w:hAnsi="宋体" w:eastAsia="宋体" w:cs="宋体"/>
          <w:color w:val="auto"/>
          <w:szCs w:val="21"/>
          <w:highlight w:val="none"/>
        </w:rPr>
        <w:t>供应商</w:t>
      </w:r>
      <w:r>
        <w:rPr>
          <w:rFonts w:hint="eastAsia" w:ascii="宋体" w:hAnsi="宋体" w:eastAsia="宋体" w:cs="宋体"/>
          <w:bCs/>
          <w:color w:val="auto"/>
          <w:szCs w:val="21"/>
          <w:highlight w:val="none"/>
        </w:rPr>
        <w:t>，也可以重新开展政府采购活动</w:t>
      </w:r>
      <w:r>
        <w:rPr>
          <w:rFonts w:hint="eastAsia" w:ascii="宋体" w:hAnsi="宋体" w:eastAsia="宋体" w:cs="宋体"/>
          <w:color w:val="auto"/>
          <w:szCs w:val="21"/>
          <w:highlight w:val="none"/>
        </w:rPr>
        <w:t>。</w:t>
      </w:r>
    </w:p>
    <w:p w14:paraId="7ADF967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5CF3D202">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.1履约保证金的金额、提交方式、退付的时间和条件详见“供应商须知前附表”。成交供应商未按规定提交履约保证金的，视为拒绝与采购人签订合同，采购人可以按照评审报告推荐的成交候选人名单排序，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确定下一候选人为成交供应商，也可以重新开展政府采购活动。</w:t>
      </w:r>
    </w:p>
    <w:p w14:paraId="7104068B">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.2签订合同后，如成交供应商不按双方签订的合同规定履约，则没收其全部履约保证金，履约保证金不足以赔偿损失的，按实际损失赔偿。</w:t>
      </w:r>
    </w:p>
    <w:p w14:paraId="257FC791">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.3在履约保证金退还日期前，若成交供应商的开户名称、开户银行、</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号有变动的，请以书面形式通知履约保证金收取单位，否则由此产生的后果由成交供应商自行承担。</w:t>
      </w:r>
    </w:p>
    <w:p w14:paraId="5E01E6E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3762BC0F">
      <w:pPr>
        <w:pStyle w:val="69"/>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5CF194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DEFE5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187DB7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39DC38C7">
      <w:pPr>
        <w:spacing w:line="360" w:lineRule="auto"/>
        <w:ind w:firstLine="420" w:firstLineChars="200"/>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rPr>
        <w:t>29.5采购合同由采购人与成交供应商根据磋商文件、响应文件等内容签订，成交供应商应当在签订合同时向采购人出示相关证明材料，具体内容详见 “供应商须知前附表”，经采购人核验合格后方可签订合同。</w:t>
      </w:r>
    </w:p>
    <w:p w14:paraId="0BCCE84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78A80BD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hint="eastAsia" w:ascii="宋体" w:hAnsi="宋体" w:eastAsia="宋体" w:cs="宋体"/>
          <w:color w:val="auto"/>
          <w:highlight w:val="none"/>
        </w:rPr>
        <w:t>。</w:t>
      </w:r>
    </w:p>
    <w:p w14:paraId="2D85036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6BE61DB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31.1供应商对政府采购活动事项有疑问的，可以向采购人或者采购代理机构提出询问，采购人或者采购代理机构应当在3个工作日内对供应商依法提出的询问作出答复。</w:t>
      </w:r>
    </w:p>
    <w:p w14:paraId="011E642D">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515EF27C">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18289D3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12EFDB3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573742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C791B21">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31.4 供应商提出质疑应当提交质疑函和必要的证明材料，针对同一采购程序环节的质疑必须在法定质疑期内一次性提出。质疑函应当包括下列内容（质疑函格式后附）：</w:t>
      </w:r>
    </w:p>
    <w:p w14:paraId="2806A9E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3A73379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AAEA7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9A980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10C0C4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6C0A202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38F52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66D4A3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0B9A5D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F425D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56AB9B5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79EA2A9B">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eastAsia="宋体" w:cs="宋体"/>
          <w:color w:val="auto"/>
          <w:highlight w:val="none"/>
        </w:rPr>
        <w:t>。</w:t>
      </w:r>
      <w:bookmarkStart w:id="99" w:name="_Toc80205930"/>
    </w:p>
    <w:p w14:paraId="6B7618A0">
      <w:pPr>
        <w:pStyle w:val="4"/>
        <w:spacing w:before="0" w:after="0" w:line="360" w:lineRule="auto"/>
        <w:ind w:firstLine="315" w:firstLineChars="98"/>
        <w:rPr>
          <w:rFonts w:hint="eastAsia" w:ascii="宋体" w:hAnsi="宋体" w:eastAsia="宋体" w:cs="宋体"/>
          <w:color w:val="auto"/>
          <w:highlight w:val="none"/>
        </w:rPr>
      </w:pPr>
      <w:bookmarkStart w:id="100" w:name="_Toc9275"/>
      <w:bookmarkStart w:id="101" w:name="_Toc80886935"/>
      <w:bookmarkStart w:id="102" w:name="_Toc26989"/>
    </w:p>
    <w:p w14:paraId="1134CD40">
      <w:pPr>
        <w:pStyle w:val="4"/>
        <w:spacing w:before="0" w:after="0" w:line="360" w:lineRule="auto"/>
        <w:ind w:firstLine="313" w:firstLineChars="98"/>
        <w:rPr>
          <w:rFonts w:hint="eastAsia" w:ascii="宋体" w:hAnsi="宋体" w:eastAsia="宋体" w:cs="宋体"/>
          <w:b w:val="0"/>
          <w:color w:val="auto"/>
          <w:highlight w:val="none"/>
        </w:rPr>
      </w:pPr>
      <w:r>
        <w:rPr>
          <w:rFonts w:hint="eastAsia" w:ascii="宋体" w:hAnsi="宋体" w:eastAsia="宋体" w:cs="宋体"/>
          <w:b w:val="0"/>
          <w:bCs w:val="0"/>
          <w:color w:val="auto"/>
          <w:highlight w:val="none"/>
        </w:rPr>
        <w:t>六</w:t>
      </w:r>
      <w:r>
        <w:rPr>
          <w:rFonts w:hint="eastAsia" w:ascii="宋体" w:hAnsi="宋体" w:eastAsia="宋体" w:cs="宋体"/>
          <w:b w:val="0"/>
          <w:color w:val="auto"/>
          <w:highlight w:val="none"/>
        </w:rPr>
        <w:t>、验收</w:t>
      </w:r>
      <w:bookmarkEnd w:id="99"/>
      <w:bookmarkEnd w:id="100"/>
      <w:bookmarkEnd w:id="101"/>
      <w:bookmarkEnd w:id="102"/>
    </w:p>
    <w:p w14:paraId="6CB95923">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05FD71FF">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38463C">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6C3DAC30">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color w:val="auto"/>
          <w:highlight w:val="none"/>
        </w:rPr>
        <w:t>（如有）</w:t>
      </w:r>
      <w:r>
        <w:rPr>
          <w:rFonts w:hint="eastAsia" w:ascii="宋体" w:hAnsi="宋体" w:eastAsia="宋体" w:cs="宋体"/>
          <w:color w:val="auto"/>
          <w:kern w:val="0"/>
          <w:szCs w:val="21"/>
          <w:highlight w:val="none"/>
        </w:rPr>
        <w:t>返还条件挂钩。履约验收的各项资料应当存档备查。</w:t>
      </w:r>
    </w:p>
    <w:p w14:paraId="3DA99324">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FC641D7">
      <w:pPr>
        <w:pStyle w:val="4"/>
        <w:spacing w:before="0" w:after="0" w:line="360" w:lineRule="auto"/>
        <w:ind w:firstLine="320" w:firstLineChars="100"/>
        <w:rPr>
          <w:rFonts w:hint="eastAsia" w:ascii="宋体" w:hAnsi="宋体" w:eastAsia="宋体" w:cs="宋体"/>
          <w:b w:val="0"/>
          <w:bCs w:val="0"/>
          <w:color w:val="auto"/>
          <w:highlight w:val="none"/>
        </w:rPr>
      </w:pPr>
      <w:bookmarkStart w:id="103" w:name="_Toc1170"/>
      <w:bookmarkStart w:id="104" w:name="_Toc10913"/>
      <w:bookmarkStart w:id="105" w:name="_Toc80886936"/>
    </w:p>
    <w:p w14:paraId="1B8A544D">
      <w:pPr>
        <w:pStyle w:val="4"/>
        <w:spacing w:before="0" w:after="0" w:line="360" w:lineRule="auto"/>
        <w:ind w:firstLine="32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七、其他事项</w:t>
      </w:r>
      <w:bookmarkEnd w:id="103"/>
      <w:bookmarkEnd w:id="104"/>
      <w:bookmarkEnd w:id="105"/>
    </w:p>
    <w:p w14:paraId="739295D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33.采购代理服务费</w:t>
      </w:r>
    </w:p>
    <w:p w14:paraId="3E11B9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33.1采购代理服务费收费标准及缴费账户详见“供应商须知前附表”。本项目采购代理服务费由</w:t>
      </w:r>
      <w:r>
        <w:rPr>
          <w:rFonts w:hint="eastAsia" w:ascii="宋体" w:hAnsi="宋体" w:eastAsia="宋体" w:cs="宋体"/>
          <w:color w:val="auto"/>
          <w:szCs w:val="21"/>
          <w:highlight w:val="none"/>
          <w:lang w:eastAsia="zh-CN"/>
        </w:rPr>
        <w:t>成交供应商在签订合同前，</w:t>
      </w:r>
      <w:r>
        <w:rPr>
          <w:rFonts w:hint="eastAsia" w:ascii="宋体" w:hAnsi="宋体" w:eastAsia="宋体" w:cs="宋体"/>
          <w:color w:val="auto"/>
          <w:szCs w:val="21"/>
          <w:highlight w:val="none"/>
        </w:rPr>
        <w:t>以银行转账、电汇等方式</w:t>
      </w:r>
      <w:r>
        <w:rPr>
          <w:rFonts w:hint="eastAsia" w:ascii="宋体" w:hAnsi="宋体" w:eastAsia="宋体" w:cs="宋体"/>
          <w:color w:val="auto"/>
          <w:szCs w:val="21"/>
          <w:highlight w:val="none"/>
          <w:lang w:eastAsia="zh-CN"/>
        </w:rPr>
        <w:t>一次性</w:t>
      </w:r>
      <w:r>
        <w:rPr>
          <w:rFonts w:hint="eastAsia" w:ascii="宋体" w:hAnsi="宋体" w:eastAsia="宋体" w:cs="宋体"/>
          <w:color w:val="auto"/>
          <w:szCs w:val="21"/>
          <w:highlight w:val="none"/>
        </w:rPr>
        <w:t>向采购代理机构支付。</w:t>
      </w:r>
    </w:p>
    <w:p w14:paraId="78AAFF51">
      <w:pPr>
        <w:pStyle w:val="15"/>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33.2采购代理服务费收费计算标准：</w:t>
      </w:r>
    </w:p>
    <w:tbl>
      <w:tblPr>
        <w:tblStyle w:val="32"/>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0B6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059FF4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0649554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14:paraId="71E4DC2D">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14:paraId="174B58B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14:paraId="2789EBE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5BB7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E6EC35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14:paraId="27B552E4">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tcPr>
          <w:p w14:paraId="5206EBF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tcPr>
          <w:p w14:paraId="66BC72F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652E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D4750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14:paraId="26C871C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tcPr>
          <w:p w14:paraId="2312A93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tcPr>
          <w:p w14:paraId="160CA33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7D6A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38096C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14:paraId="47ADA839">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tcPr>
          <w:p w14:paraId="29B593F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tcPr>
          <w:p w14:paraId="2206D48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547C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FBC876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14:paraId="3A8E673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tcPr>
          <w:p w14:paraId="6AA3B00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tcPr>
          <w:p w14:paraId="3E9CD89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5DD7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5177DD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14:paraId="7ABEBE1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tcPr>
          <w:p w14:paraId="33D1060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tcPr>
          <w:p w14:paraId="21307B6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40DB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979D94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14:paraId="485AA7F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tcPr>
          <w:p w14:paraId="4B8D59E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tcPr>
          <w:p w14:paraId="5BD13C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222A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D173F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14:paraId="3BD073DE">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tcPr>
          <w:p w14:paraId="012666E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tcPr>
          <w:p w14:paraId="3F147C04">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0E6D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0698F6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14:paraId="6707E5ED">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tcPr>
          <w:p w14:paraId="3646B7A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tcPr>
          <w:p w14:paraId="1ECB18A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038B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467B85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14:paraId="66B101A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tcPr>
          <w:p w14:paraId="7723B9B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tcPr>
          <w:p w14:paraId="3F208D3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16E7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CE7C6E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100亿元以上</w:t>
            </w:r>
          </w:p>
        </w:tc>
        <w:tc>
          <w:tcPr>
            <w:tcW w:w="1659" w:type="dxa"/>
          </w:tcPr>
          <w:p w14:paraId="4E5940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tcPr>
          <w:p w14:paraId="45D499A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tcPr>
          <w:p w14:paraId="3F499A13">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3002BF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w:t>
      </w:r>
    </w:p>
    <w:p w14:paraId="55A09A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14:paraId="7E0408F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14:paraId="450473F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例如：项目成交金额为198万元，按服务类项目收费标准计算采购代理收费额如下：</w:t>
      </w:r>
    </w:p>
    <w:p w14:paraId="1785FB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14:paraId="76B4E2C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198 － 100 ）万元 ×0.8％＝ 0.784万元</w:t>
      </w:r>
    </w:p>
    <w:p w14:paraId="6F0694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 1.5 ＋ 0.784＝ 2.284 万元</w:t>
      </w:r>
    </w:p>
    <w:p w14:paraId="4207050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11F9A06B">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34.1本磋商文件解释规则详见“供应商须知前附表”。</w:t>
      </w:r>
    </w:p>
    <w:p w14:paraId="70277B4C">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其他事项详见“供应商须知前附表”。</w:t>
      </w:r>
    </w:p>
    <w:p w14:paraId="1C48CBEF">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szCs w:val="21"/>
          <w:highlight w:val="none"/>
        </w:rPr>
        <w:t>，享受本文件规定的中小企业扶持政策。</w:t>
      </w:r>
    </w:p>
    <w:p w14:paraId="6411D0D6">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76A87C3B">
      <w:pPr>
        <w:spacing w:line="360" w:lineRule="auto"/>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6AD6D1E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35. 广西线上“政采贷”政策告知函</w:t>
      </w:r>
    </w:p>
    <w:p w14:paraId="7DD2BEA4">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5A22A6FF">
      <w:pPr>
        <w:spacing w:line="5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14:paraId="3EEFAF8B">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欢迎贵公司参与广西政府采购活动！</w:t>
      </w:r>
    </w:p>
    <w:p w14:paraId="16CDED5B">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7467586">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相关金融产品和银行业金融机构联系方式，可在中征应收账款融资服务平台查询（网址：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"https://www.crcrfsp.com/" </w:instrText>
      </w:r>
      <w:r>
        <w:rPr>
          <w:rFonts w:hint="eastAsia" w:ascii="宋体" w:hAnsi="宋体" w:eastAsia="宋体" w:cs="宋体"/>
          <w:color w:val="auto"/>
          <w:highlight w:val="none"/>
        </w:rPr>
        <w:fldChar w:fldCharType="separate"/>
      </w:r>
      <w:r>
        <w:rPr>
          <w:rStyle w:val="37"/>
          <w:rFonts w:hint="eastAsia" w:ascii="宋体" w:hAnsi="宋体" w:eastAsia="宋体" w:cs="宋体"/>
          <w:color w:val="auto"/>
          <w:szCs w:val="21"/>
          <w:highlight w:val="none"/>
        </w:rPr>
        <w:t>https://www.crcrfsp.com/</w:t>
      </w:r>
      <w:r>
        <w:rPr>
          <w:rStyle w:val="3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，客服电话：400-009-0001）。</w:t>
      </w:r>
    </w:p>
    <w:p w14:paraId="70C2CB24">
      <w:pPr>
        <w:pStyle w:val="23"/>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DF76517">
      <w:pPr>
        <w:pStyle w:val="2"/>
        <w:spacing w:line="240" w:lineRule="auto"/>
        <w:jc w:val="center"/>
        <w:rPr>
          <w:rFonts w:hint="eastAsia" w:ascii="宋体" w:hAnsi="宋体" w:eastAsia="宋体" w:cs="宋体"/>
          <w:color w:val="auto"/>
          <w:highlight w:val="none"/>
        </w:rPr>
      </w:pPr>
      <w:bookmarkStart w:id="106" w:name="_Toc28979"/>
      <w:bookmarkStart w:id="107" w:name="_Toc3879"/>
      <w:bookmarkStart w:id="108" w:name="_Toc8412"/>
      <w:bookmarkStart w:id="109" w:name="_Toc17511"/>
      <w:bookmarkStart w:id="110" w:name="_Toc3976"/>
      <w:bookmarkStart w:id="111" w:name="_Toc8593"/>
      <w:bookmarkStart w:id="112" w:name="_Toc1088"/>
      <w:bookmarkStart w:id="113" w:name="_Toc80886937"/>
      <w:r>
        <w:rPr>
          <w:rFonts w:hint="eastAsia" w:ascii="宋体" w:hAnsi="宋体" w:eastAsia="宋体" w:cs="宋体"/>
          <w:color w:val="auto"/>
          <w:highlight w:val="none"/>
        </w:rPr>
        <w:t>第四章  评审程序、评审方法和评审标准</w:t>
      </w:r>
      <w:bookmarkEnd w:id="106"/>
      <w:bookmarkEnd w:id="107"/>
      <w:bookmarkEnd w:id="108"/>
      <w:bookmarkEnd w:id="109"/>
      <w:bookmarkEnd w:id="110"/>
      <w:bookmarkEnd w:id="111"/>
      <w:bookmarkEnd w:id="112"/>
      <w:bookmarkEnd w:id="113"/>
    </w:p>
    <w:p w14:paraId="64BA3A98">
      <w:pPr>
        <w:pStyle w:val="3"/>
        <w:jc w:val="center"/>
        <w:rPr>
          <w:rFonts w:hint="eastAsia" w:ascii="宋体" w:hAnsi="宋体" w:eastAsia="宋体" w:cs="宋体"/>
          <w:b w:val="0"/>
          <w:color w:val="auto"/>
          <w:highlight w:val="none"/>
        </w:rPr>
      </w:pPr>
      <w:bookmarkStart w:id="114" w:name="_Toc17424"/>
      <w:bookmarkStart w:id="115" w:name="_Toc80886938"/>
      <w:bookmarkStart w:id="116" w:name="_Toc11607"/>
      <w:r>
        <w:rPr>
          <w:rFonts w:hint="eastAsia" w:ascii="宋体" w:hAnsi="宋体" w:eastAsia="宋体" w:cs="宋体"/>
          <w:b w:val="0"/>
          <w:color w:val="auto"/>
          <w:highlight w:val="none"/>
        </w:rPr>
        <w:t>第一节 评审程序和评审方法</w:t>
      </w:r>
      <w:bookmarkEnd w:id="114"/>
      <w:bookmarkEnd w:id="115"/>
      <w:bookmarkEnd w:id="116"/>
    </w:p>
    <w:p w14:paraId="166FADA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69B736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57EA27C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5D7C94C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58AFDA7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3B615FCA">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Style w:val="39"/>
          <w:rFonts w:hint="eastAsia" w:ascii="宋体" w:hAnsi="宋体" w:eastAsia="宋体" w:cs="宋体"/>
          <w:color w:val="auto"/>
          <w:highlight w:val="none"/>
          <w:u w:val="none"/>
        </w:rPr>
        <w:t>www.creditchina.gov.cn</w:t>
      </w:r>
      <w:r>
        <w:rPr>
          <w:rStyle w:val="39"/>
          <w:rFonts w:hint="eastAsia" w:ascii="宋体" w:hAnsi="宋体" w:eastAsia="宋体" w:cs="宋体"/>
          <w:color w:val="auto"/>
          <w:highlight w:val="none"/>
          <w:u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Style w:val="39"/>
          <w:rFonts w:hint="eastAsia" w:ascii="宋体" w:hAnsi="宋体" w:eastAsia="宋体" w:cs="宋体"/>
          <w:color w:val="auto"/>
          <w:highlight w:val="none"/>
          <w:u w:val="none"/>
        </w:rPr>
        <w:t>www.ccgp.gov.cn</w:t>
      </w:r>
      <w:r>
        <w:rPr>
          <w:rStyle w:val="39"/>
          <w:rFonts w:hint="eastAsia" w:ascii="宋体" w:hAnsi="宋体" w:eastAsia="宋体" w:cs="宋体"/>
          <w:color w:val="auto"/>
          <w:highlight w:val="none"/>
          <w:u w:val="none"/>
        </w:rPr>
        <w:fldChar w:fldCharType="end"/>
      </w:r>
      <w:r>
        <w:rPr>
          <w:rFonts w:hint="eastAsia" w:ascii="宋体" w:hAnsi="宋体" w:eastAsia="宋体" w:cs="宋体"/>
          <w:color w:val="auto"/>
          <w:szCs w:val="21"/>
          <w:highlight w:val="none"/>
        </w:rPr>
        <w:t>)链接入口。</w:t>
      </w:r>
    </w:p>
    <w:p w14:paraId="40A06A0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443EACF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查询记录和证据留存方式：在查询网站中直接查询记录，截图另存为电子文档作为评审资料保存。</w:t>
      </w:r>
    </w:p>
    <w:p w14:paraId="1D34EC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A4983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4CA7C054">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2.3供应商有下列情形之一的，资格审查不通过，其响应文件按无效响应处理：</w:t>
      </w:r>
    </w:p>
    <w:p w14:paraId="77DF602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110728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320755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711C3E74">
      <w:pPr>
        <w:spacing w:line="360" w:lineRule="auto"/>
        <w:ind w:firstLine="420" w:firstLineChars="200"/>
        <w:rPr>
          <w:rFonts w:hint="eastAsia" w:ascii="宋体" w:hAnsi="宋体" w:eastAsia="宋体" w:cs="宋体"/>
          <w:color w:val="auto"/>
          <w:szCs w:val="21"/>
          <w:highlight w:val="none"/>
        </w:rPr>
      </w:pPr>
      <w:bookmarkStart w:id="117"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17"/>
    </w:p>
    <w:p w14:paraId="4CD6C0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13E046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5D0A11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707775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573117">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eastAsia="宋体" w:cs="宋体"/>
          <w:color w:val="auto"/>
          <w:spacing w:val="-6"/>
          <w:szCs w:val="21"/>
          <w:highlight w:val="none"/>
        </w:rPr>
        <w:t>。供应商为自然人的，必须由本人签字并附身份证明。</w:t>
      </w:r>
    </w:p>
    <w:p w14:paraId="6173AA4E">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51F04B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（1）响应文件中响应报价表内容与响应文件中相应内容不一致的，以响应报价表为准；</w:t>
      </w:r>
    </w:p>
    <w:p w14:paraId="79FC9A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710360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（3）单价金额小数点或者百分比有明显错位的，以响应报价表的总价为准，并修改单价；</w:t>
      </w:r>
    </w:p>
    <w:p w14:paraId="2D6B65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4EBCE2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C09E1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2956A3D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14:paraId="40C1E2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28183B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17EA30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3F3FB2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A47E22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6B00C3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5DDAED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5D9162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66F353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38C848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0304D2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51892B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3A0F72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0E0609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3516A8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5DF85386">
      <w:pPr>
        <w:pStyle w:val="15"/>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15）提交的磋商保证金无效的或者未按照磋商文件的规定提交磋商保证金；</w:t>
      </w:r>
    </w:p>
    <w:p w14:paraId="489163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16）法律、法规和磋商文件规定的其他无效情形。</w:t>
      </w:r>
    </w:p>
    <w:p w14:paraId="5E9D7C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688AF0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4BD8F3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0D5119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14:paraId="3B4768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项目/分标规定的采购预算金额或者最高限价的（如本项目公布了最高限价）；响应报价（包含首次报价、最后报价）超过磋商文件分项采购预算金额（如本项目公布了分项采购预算金额）或者最高限价的（如本项目公布了最高限价）；</w:t>
      </w:r>
    </w:p>
    <w:p w14:paraId="08756B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如本项目公布了分项采购预算金额）或者最高限价的（如本项目公布了最高限价）。</w:t>
      </w:r>
    </w:p>
    <w:p w14:paraId="1CAB16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0F9464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FDCF4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EA516E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1028B19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71D0D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EEBE6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6B1E4A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14:paraId="134250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3B653703">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4.6磋商小组应对磋商过程和重要磋商内容进行记录，作为评审报告一部分，磋商小组在记录上签字确认。</w:t>
      </w:r>
      <w:r>
        <w:rPr>
          <w:rFonts w:hint="eastAsia" w:ascii="宋体" w:hAnsi="宋体" w:eastAsia="宋体" w:cs="宋体"/>
          <w:b/>
          <w:color w:val="auto"/>
          <w:highlight w:val="none"/>
        </w:rPr>
        <w:t>主要内容包括：</w:t>
      </w:r>
    </w:p>
    <w:p w14:paraId="42690E7E">
      <w:pPr>
        <w:pStyle w:val="69"/>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14442C79">
      <w:pPr>
        <w:pStyle w:val="69"/>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2D0588E7">
      <w:pPr>
        <w:pStyle w:val="69"/>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1A898706">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73FD58FE">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E514BB3">
      <w:pPr>
        <w:tabs>
          <w:tab w:val="left" w:pos="2835"/>
        </w:tabs>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5.最后报价</w:t>
      </w:r>
    </w:p>
    <w:p w14:paraId="02CBD1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65B16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E9BC2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0CAFE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40B6CD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5.5供应商未在规定时间内提交最后报价的，视同退出磋商，其响应文件按无效处理。</w:t>
      </w:r>
    </w:p>
    <w:p w14:paraId="18EE3A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5.6磋商小组收齐本项目/某一分标最后报价后统一开启，磋商小组对最后报价进行有效性、完整性和响应程度的审查。</w:t>
      </w:r>
    </w:p>
    <w:p w14:paraId="05C79B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072C90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5.8修正后的最后报价出现下列情形的，按无效响应处理：</w:t>
      </w:r>
    </w:p>
    <w:p w14:paraId="5402EF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0F5573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（2）经供应商确认修正后的响应报价（包含首次报价、最后报价）超过所竞标项目/分标规定的采购预算金额或者最高限价的（如本项目公布了最高限价）；</w:t>
      </w:r>
    </w:p>
    <w:p w14:paraId="70F481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19506B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4DD91E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5.10供应商出现最后报价按无效响应处理或者响应文件按无效处理时，磋商小组应当告知有关供应商。</w:t>
      </w:r>
    </w:p>
    <w:p w14:paraId="628D49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4A571222">
      <w:pPr>
        <w:pStyle w:val="23"/>
        <w:spacing w:line="360" w:lineRule="auto"/>
        <w:ind w:firstLine="422" w:firstLineChars="20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注：如磋商小组要求提供最后报价附件的，需按规定的时间提供。最后报价有时间限制，供应商可参照竞争性磋商文件“第五章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eastAsia="宋体" w:cs="宋体"/>
          <w:b/>
          <w:bCs/>
          <w:color w:val="auto"/>
          <w:sz w:val="21"/>
          <w:szCs w:val="21"/>
          <w:highlight w:val="none"/>
          <w:lang w:val="zh-CN"/>
        </w:rPr>
        <w:t>。</w:t>
      </w:r>
    </w:p>
    <w:p w14:paraId="720F4860">
      <w:pPr>
        <w:pStyle w:val="23"/>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74FD6F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474F35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39F83D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14C6F408">
      <w:pPr>
        <w:pStyle w:val="15"/>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BE220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（2）磋商小组按照磋商文件中规定的评审标准计算各供应商的报价得分。项目评审过程中，不得去掉最后报价中的最高报价和最低报价。</w:t>
      </w:r>
    </w:p>
    <w:p w14:paraId="042611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（3）各供应商的得分为磋商小组所有成员的有效评分的算术平均数。</w:t>
      </w:r>
    </w:p>
    <w:p w14:paraId="2C801E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w:t>
      </w:r>
      <w:r>
        <w:rPr>
          <w:rFonts w:hint="eastAsia" w:ascii="宋体" w:hAnsi="宋体" w:eastAsia="宋体" w:cs="宋体"/>
          <w:color w:val="auto"/>
          <w:highlight w:val="none"/>
        </w:rPr>
        <w:t>报价</w:t>
      </w:r>
      <w:r>
        <w:rPr>
          <w:rFonts w:hint="eastAsia" w:ascii="宋体" w:hAnsi="宋体" w:eastAsia="宋体" w:cs="宋体"/>
          <w:color w:val="auto"/>
          <w:szCs w:val="21"/>
          <w:highlight w:val="none"/>
        </w:rPr>
        <w:t>为供应商的最后报价进行政策性扣除后的价格，评审</w:t>
      </w:r>
      <w:r>
        <w:rPr>
          <w:rFonts w:hint="eastAsia" w:ascii="宋体" w:hAnsi="宋体" w:eastAsia="宋体" w:cs="宋体"/>
          <w:color w:val="auto"/>
          <w:highlight w:val="none"/>
        </w:rPr>
        <w:t>报价</w:t>
      </w:r>
      <w:r>
        <w:rPr>
          <w:rFonts w:hint="eastAsia" w:ascii="宋体" w:hAnsi="宋体" w:eastAsia="宋体" w:cs="宋体"/>
          <w:color w:val="auto"/>
          <w:szCs w:val="21"/>
          <w:highlight w:val="none"/>
        </w:rPr>
        <w:t>只是作为评审时使用。最终成交供应商的成交金额等于最后报价（如有修正，以确认修正后的最后报价为准）。</w:t>
      </w:r>
    </w:p>
    <w:p w14:paraId="5E5C2F7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审报告。符合本章第5.3条情形的，可以推荐2家成交候选供应商。评审得分相同的，</w:t>
      </w:r>
      <w:r>
        <w:rPr>
          <w:rFonts w:hint="eastAsia" w:ascii="宋体" w:hAnsi="宋体" w:eastAsia="宋体" w:cs="宋体"/>
          <w:bCs/>
          <w:color w:val="auto"/>
          <w:szCs w:val="21"/>
          <w:highlight w:val="none"/>
        </w:rPr>
        <w:t>按照最后报价（不计算价格折扣）由低到高的顺序推荐。评审得分且最后报价（不计算价格折扣）相同的，按照技术、商务指标优劣顺序推荐（按技术分得分由高到低排序，技术分得分相同的按照商务分得分由高到低排序）。评审得分、最后报价（不计算价格折扣）、技术分得分、商务分得分均相同的，由磋商小组随机抽取推荐。</w:t>
      </w:r>
    </w:p>
    <w:p w14:paraId="7F7036E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978B269">
      <w:pPr>
        <w:numPr>
          <w:ilvl w:val="0"/>
          <w:numId w:val="8"/>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评审标准</w:t>
      </w:r>
    </w:p>
    <w:tbl>
      <w:tblPr>
        <w:tblStyle w:val="32"/>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387"/>
        <w:gridCol w:w="1551"/>
        <w:gridCol w:w="6669"/>
      </w:tblGrid>
      <w:tr w14:paraId="5D6B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24" w:type="dxa"/>
            <w:gridSpan w:val="2"/>
            <w:tcBorders>
              <w:top w:val="single" w:color="auto" w:sz="4" w:space="0"/>
              <w:left w:val="single" w:color="auto" w:sz="4" w:space="0"/>
              <w:bottom w:val="single" w:color="auto" w:sz="4" w:space="0"/>
              <w:right w:val="single" w:color="auto" w:sz="4" w:space="0"/>
            </w:tcBorders>
            <w:vAlign w:val="center"/>
          </w:tcPr>
          <w:p w14:paraId="1AF5572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序号</w:t>
            </w:r>
          </w:p>
        </w:tc>
        <w:tc>
          <w:tcPr>
            <w:tcW w:w="1551" w:type="dxa"/>
            <w:tcBorders>
              <w:top w:val="single" w:color="auto" w:sz="4" w:space="0"/>
              <w:left w:val="single" w:color="auto" w:sz="4" w:space="0"/>
              <w:bottom w:val="single" w:color="auto" w:sz="4" w:space="0"/>
              <w:right w:val="single" w:color="auto" w:sz="4" w:space="0"/>
            </w:tcBorders>
            <w:vAlign w:val="center"/>
          </w:tcPr>
          <w:p w14:paraId="17752F94">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评分因素</w:t>
            </w:r>
          </w:p>
        </w:tc>
        <w:tc>
          <w:tcPr>
            <w:tcW w:w="6669" w:type="dxa"/>
            <w:tcBorders>
              <w:top w:val="single" w:color="auto" w:sz="4" w:space="0"/>
              <w:left w:val="single" w:color="auto" w:sz="4" w:space="0"/>
              <w:bottom w:val="single" w:color="auto" w:sz="4" w:space="0"/>
              <w:right w:val="single" w:color="auto" w:sz="4" w:space="0"/>
            </w:tcBorders>
            <w:vAlign w:val="center"/>
          </w:tcPr>
          <w:p w14:paraId="0C1B736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评分标准</w:t>
            </w:r>
          </w:p>
        </w:tc>
      </w:tr>
      <w:tr w14:paraId="555A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tcBorders>
              <w:top w:val="single" w:color="auto" w:sz="4" w:space="0"/>
              <w:left w:val="single" w:color="auto" w:sz="4" w:space="0"/>
              <w:bottom w:val="single" w:color="auto" w:sz="4" w:space="0"/>
              <w:right w:val="single" w:color="auto" w:sz="4" w:space="0"/>
            </w:tcBorders>
            <w:vAlign w:val="center"/>
          </w:tcPr>
          <w:p w14:paraId="6355172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1387" w:type="dxa"/>
            <w:tcBorders>
              <w:top w:val="single" w:color="auto" w:sz="4" w:space="0"/>
              <w:left w:val="single" w:color="auto" w:sz="4" w:space="0"/>
              <w:bottom w:val="single" w:color="auto" w:sz="4" w:space="0"/>
              <w:right w:val="single" w:color="auto" w:sz="4" w:space="0"/>
            </w:tcBorders>
            <w:vAlign w:val="center"/>
          </w:tcPr>
          <w:p w14:paraId="7A50BDB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价格分</w:t>
            </w:r>
          </w:p>
          <w:p w14:paraId="1B55FD6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（满分1</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分）</w:t>
            </w:r>
          </w:p>
        </w:tc>
        <w:tc>
          <w:tcPr>
            <w:tcW w:w="1551" w:type="dxa"/>
            <w:tcBorders>
              <w:top w:val="single" w:color="auto" w:sz="4" w:space="0"/>
              <w:left w:val="single" w:color="auto" w:sz="4" w:space="0"/>
              <w:bottom w:val="single" w:color="auto" w:sz="4" w:space="0"/>
              <w:right w:val="single" w:color="auto" w:sz="4" w:space="0"/>
            </w:tcBorders>
            <w:vAlign w:val="center"/>
          </w:tcPr>
          <w:p w14:paraId="6F54B89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p w14:paraId="2C5C5F4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（满分1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c>
          <w:tcPr>
            <w:tcW w:w="6669" w:type="dxa"/>
            <w:tcBorders>
              <w:top w:val="single" w:color="auto" w:sz="4" w:space="0"/>
              <w:left w:val="single" w:color="auto" w:sz="4" w:space="0"/>
              <w:bottom w:val="single" w:color="auto" w:sz="4" w:space="0"/>
              <w:right w:val="single" w:color="auto" w:sz="4" w:space="0"/>
            </w:tcBorders>
            <w:vAlign w:val="center"/>
          </w:tcPr>
          <w:p w14:paraId="689D1585">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eastAsia="zh-CN"/>
              </w:rPr>
              <w:t>本项目为专门面向</w:t>
            </w:r>
            <w:r>
              <w:rPr>
                <w:rFonts w:hint="eastAsia" w:ascii="宋体" w:hAnsi="宋体" w:cs="宋体"/>
                <w:bCs/>
                <w:color w:val="auto"/>
                <w:szCs w:val="21"/>
                <w:highlight w:val="none"/>
                <w:lang w:val="en-US" w:eastAsia="zh-CN"/>
              </w:rPr>
              <w:t>中小</w:t>
            </w:r>
            <w:r>
              <w:rPr>
                <w:rFonts w:hint="eastAsia" w:ascii="宋体" w:hAnsi="宋体" w:eastAsia="宋体" w:cs="宋体"/>
                <w:bCs/>
                <w:color w:val="auto"/>
                <w:szCs w:val="21"/>
                <w:highlight w:val="none"/>
                <w:lang w:eastAsia="zh-CN"/>
              </w:rPr>
              <w:t>企业采购的项目，按照《政府采购促进中小企业发展管理办法》（财库〔2020〕46号）的规定，对供应商最后报价不再执行价格评审优惠的扶持政策。</w:t>
            </w:r>
          </w:p>
          <w:p w14:paraId="7EE7F5FA">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评审</w:t>
            </w:r>
            <w:r>
              <w:rPr>
                <w:rFonts w:hint="eastAsia" w:ascii="宋体" w:hAnsi="宋体" w:eastAsia="宋体" w:cs="宋体"/>
                <w:bCs/>
                <w:color w:val="auto"/>
                <w:szCs w:val="21"/>
                <w:highlight w:val="none"/>
                <w:lang w:eastAsia="zh-CN"/>
              </w:rPr>
              <w:t>报</w:t>
            </w:r>
            <w:r>
              <w:rPr>
                <w:rFonts w:hint="eastAsia" w:ascii="宋体" w:hAnsi="宋体" w:eastAsia="宋体" w:cs="宋体"/>
                <w:bCs/>
                <w:color w:val="auto"/>
                <w:szCs w:val="21"/>
                <w:highlight w:val="none"/>
              </w:rPr>
              <w:t>价为供应商的最后报价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评审</w:t>
            </w:r>
            <w:r>
              <w:rPr>
                <w:rFonts w:hint="eastAsia" w:ascii="宋体" w:hAnsi="宋体" w:eastAsia="宋体" w:cs="宋体"/>
                <w:bCs/>
                <w:color w:val="auto"/>
                <w:szCs w:val="21"/>
                <w:highlight w:val="none"/>
                <w:lang w:eastAsia="zh-CN"/>
              </w:rPr>
              <w:t>报</w:t>
            </w:r>
            <w:r>
              <w:rPr>
                <w:rFonts w:hint="eastAsia" w:ascii="宋体" w:hAnsi="宋体" w:eastAsia="宋体" w:cs="宋体"/>
                <w:bCs/>
                <w:color w:val="auto"/>
                <w:szCs w:val="21"/>
                <w:highlight w:val="none"/>
              </w:rPr>
              <w:t>价只是作为评审时使用。最终成交供应商的成交金额等于最后报价（如有修正，以确认修正后的最后报价为准）。</w:t>
            </w:r>
          </w:p>
          <w:p w14:paraId="296A8244">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eastAsia="zh-CN"/>
              </w:rPr>
              <w:t>以进入比较与评价环节的最低的评审报价为基准价，基准价得分为</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lang w:eastAsia="zh-CN"/>
              </w:rPr>
              <w:t>分。</w:t>
            </w:r>
          </w:p>
          <w:p w14:paraId="3AA6ECD5">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lang w:eastAsia="zh-CN"/>
              </w:rPr>
              <w:t>价格分计算公式：</w:t>
            </w:r>
          </w:p>
          <w:p w14:paraId="39E04266">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报价得分=（基准价/评审报价）×</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lang w:eastAsia="zh-CN"/>
              </w:rPr>
              <w:t>分</w:t>
            </w:r>
          </w:p>
        </w:tc>
      </w:tr>
      <w:tr w14:paraId="70CE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37" w:type="dxa"/>
            <w:vMerge w:val="restart"/>
            <w:tcBorders>
              <w:top w:val="single" w:color="auto" w:sz="4" w:space="0"/>
              <w:left w:val="single" w:color="auto" w:sz="4" w:space="0"/>
              <w:right w:val="single" w:color="auto" w:sz="4" w:space="0"/>
            </w:tcBorders>
            <w:vAlign w:val="center"/>
          </w:tcPr>
          <w:p w14:paraId="7A900DC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1387" w:type="dxa"/>
            <w:vMerge w:val="restart"/>
            <w:tcBorders>
              <w:top w:val="single" w:color="auto" w:sz="4" w:space="0"/>
              <w:left w:val="single" w:color="auto" w:sz="4" w:space="0"/>
              <w:right w:val="single" w:color="auto" w:sz="4" w:space="0"/>
            </w:tcBorders>
            <w:vAlign w:val="center"/>
          </w:tcPr>
          <w:p w14:paraId="53F609E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技术分（</w:t>
            </w:r>
            <w:r>
              <w:rPr>
                <w:rFonts w:hint="eastAsia" w:ascii="宋体" w:hAnsi="宋体" w:eastAsia="宋体" w:cs="宋体"/>
                <w:b/>
                <w:color w:val="auto"/>
                <w:szCs w:val="21"/>
                <w:highlight w:val="none"/>
              </w:rPr>
              <w:t>满分</w:t>
            </w:r>
            <w:r>
              <w:rPr>
                <w:rFonts w:hint="eastAsia" w:ascii="宋体" w:hAnsi="宋体" w:eastAsia="宋体" w:cs="宋体"/>
                <w:b/>
                <w:bCs/>
                <w:color w:val="auto"/>
                <w:szCs w:val="21"/>
                <w:highlight w:val="none"/>
                <w:lang w:val="en-US" w:eastAsia="zh-CN"/>
              </w:rPr>
              <w:t>77</w:t>
            </w:r>
            <w:r>
              <w:rPr>
                <w:rFonts w:hint="eastAsia" w:ascii="宋体" w:hAnsi="宋体" w:eastAsia="宋体" w:cs="宋体"/>
                <w:b/>
                <w:bCs/>
                <w:color w:val="auto"/>
                <w:szCs w:val="21"/>
                <w:highlight w:val="none"/>
              </w:rPr>
              <w:t>分）</w:t>
            </w:r>
          </w:p>
          <w:p w14:paraId="6E0360E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Cs/>
                <w:color w:val="auto"/>
                <w:szCs w:val="21"/>
                <w:highlight w:val="none"/>
              </w:rPr>
            </w:pPr>
          </w:p>
        </w:tc>
        <w:tc>
          <w:tcPr>
            <w:tcW w:w="1551" w:type="dxa"/>
            <w:tcBorders>
              <w:top w:val="single" w:color="auto" w:sz="4" w:space="0"/>
              <w:left w:val="single" w:color="auto" w:sz="4" w:space="0"/>
              <w:bottom w:val="single" w:color="auto" w:sz="4" w:space="0"/>
              <w:right w:val="single" w:color="auto" w:sz="4" w:space="0"/>
            </w:tcBorders>
            <w:vAlign w:val="center"/>
          </w:tcPr>
          <w:p w14:paraId="4BBBF3DD">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技术响应</w:t>
            </w:r>
          </w:p>
          <w:p w14:paraId="0355638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（满分</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tc>
        <w:tc>
          <w:tcPr>
            <w:tcW w:w="6669" w:type="dxa"/>
            <w:tcBorders>
              <w:top w:val="single" w:color="auto" w:sz="4" w:space="0"/>
              <w:left w:val="single" w:color="auto" w:sz="4" w:space="0"/>
              <w:bottom w:val="single" w:color="auto" w:sz="4" w:space="0"/>
              <w:right w:val="single" w:color="auto" w:sz="4" w:space="0"/>
            </w:tcBorders>
            <w:vAlign w:val="center"/>
          </w:tcPr>
          <w:p w14:paraId="3A13BB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（1）所投</w:t>
            </w:r>
            <w:r>
              <w:rPr>
                <w:rFonts w:hint="eastAsia" w:ascii="宋体" w:hAnsi="宋体" w:eastAsia="宋体" w:cs="宋体"/>
                <w:color w:val="auto"/>
                <w:szCs w:val="21"/>
                <w:highlight w:val="none"/>
                <w:lang w:val="en-US" w:eastAsia="zh-CN"/>
              </w:rPr>
              <w:t>运营管理决策支持平台的技术指标完全满足磋商文件要求，得基本分5分</w:t>
            </w:r>
            <w:r>
              <w:rPr>
                <w:rFonts w:hint="eastAsia" w:ascii="宋体" w:hAnsi="宋体" w:eastAsia="宋体" w:cs="宋体"/>
                <w:color w:val="auto"/>
                <w:szCs w:val="21"/>
                <w:highlight w:val="none"/>
              </w:rPr>
              <w:t>；</w:t>
            </w:r>
          </w:p>
          <w:p w14:paraId="613BDE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（2）所投</w:t>
            </w:r>
            <w:r>
              <w:rPr>
                <w:rFonts w:hint="eastAsia" w:ascii="宋体" w:hAnsi="宋体" w:eastAsia="宋体" w:cs="宋体"/>
                <w:color w:val="auto"/>
                <w:szCs w:val="21"/>
                <w:highlight w:val="none"/>
                <w:lang w:val="en-US" w:eastAsia="zh-CN"/>
              </w:rPr>
              <w:t>运营管理决策支持平台的技术指标中有</w:t>
            </w:r>
            <w:r>
              <w:rPr>
                <w:rFonts w:hint="eastAsia" w:ascii="宋体" w:hAnsi="宋体" w:eastAsia="宋体" w:cs="宋体"/>
                <w:color w:val="auto"/>
                <w:szCs w:val="21"/>
                <w:highlight w:val="none"/>
              </w:rPr>
              <w:t>优于</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文件要求的，每有1项得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分，满分</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p w14:paraId="3F7884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注：需提供由国家认可的具有相应资质的第三方检测机构出具的有效检测报告或</w:t>
            </w:r>
            <w:r>
              <w:rPr>
                <w:rFonts w:hint="eastAsia" w:ascii="宋体" w:hAnsi="宋体" w:eastAsia="宋体" w:cs="宋体"/>
                <w:color w:val="auto"/>
                <w:szCs w:val="21"/>
                <w:highlight w:val="none"/>
                <w:lang w:val="en-US" w:eastAsia="zh-CN"/>
              </w:rPr>
              <w:t>平台</w:t>
            </w:r>
            <w:r>
              <w:rPr>
                <w:rFonts w:hint="eastAsia" w:ascii="宋体" w:hAnsi="宋体" w:eastAsia="宋体" w:cs="宋体"/>
                <w:color w:val="auto"/>
                <w:szCs w:val="21"/>
                <w:highlight w:val="none"/>
              </w:rPr>
              <w:t>产品厂家出具的技术参数说明文件或</w:t>
            </w:r>
            <w:r>
              <w:rPr>
                <w:rFonts w:hint="eastAsia" w:ascii="宋体" w:hAnsi="宋体" w:eastAsia="宋体" w:cs="宋体"/>
                <w:color w:val="auto"/>
                <w:szCs w:val="21"/>
                <w:highlight w:val="none"/>
                <w:lang w:val="en-US" w:eastAsia="zh-CN"/>
              </w:rPr>
              <w:t>平台</w:t>
            </w:r>
            <w:r>
              <w:rPr>
                <w:rFonts w:hint="eastAsia" w:ascii="宋体" w:hAnsi="宋体" w:eastAsia="宋体" w:cs="宋体"/>
                <w:color w:val="auto"/>
                <w:szCs w:val="21"/>
                <w:highlight w:val="none"/>
              </w:rPr>
              <w:t>产品厂家公开发布的印刷资料做为证明材料，加盖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公章。不提供证明材料不</w:t>
            </w:r>
            <w:r>
              <w:rPr>
                <w:rFonts w:hint="eastAsia" w:ascii="宋体" w:hAnsi="宋体" w:eastAsia="宋体" w:cs="宋体"/>
                <w:color w:val="auto"/>
                <w:szCs w:val="21"/>
                <w:highlight w:val="none"/>
                <w:lang w:val="en-US" w:eastAsia="zh-CN"/>
              </w:rPr>
              <w:t>予认定加</w:t>
            </w:r>
            <w:r>
              <w:rPr>
                <w:rFonts w:hint="eastAsia" w:ascii="宋体" w:hAnsi="宋体" w:eastAsia="宋体" w:cs="宋体"/>
                <w:color w:val="auto"/>
                <w:szCs w:val="21"/>
                <w:highlight w:val="none"/>
              </w:rPr>
              <w:t>分。</w:t>
            </w:r>
          </w:p>
        </w:tc>
      </w:tr>
      <w:tr w14:paraId="3DA6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vMerge w:val="continue"/>
            <w:tcBorders>
              <w:left w:val="single" w:color="auto" w:sz="4" w:space="0"/>
              <w:right w:val="single" w:color="auto" w:sz="4" w:space="0"/>
            </w:tcBorders>
            <w:vAlign w:val="center"/>
          </w:tcPr>
          <w:p w14:paraId="534C8041">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color w:val="auto"/>
                <w:szCs w:val="21"/>
                <w:highlight w:val="none"/>
              </w:rPr>
            </w:pPr>
          </w:p>
        </w:tc>
        <w:tc>
          <w:tcPr>
            <w:tcW w:w="1387" w:type="dxa"/>
            <w:vMerge w:val="continue"/>
            <w:tcBorders>
              <w:left w:val="single" w:color="auto" w:sz="4" w:space="0"/>
              <w:right w:val="single" w:color="auto" w:sz="4" w:space="0"/>
            </w:tcBorders>
            <w:vAlign w:val="center"/>
          </w:tcPr>
          <w:p w14:paraId="192772B2">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p>
        </w:tc>
        <w:tc>
          <w:tcPr>
            <w:tcW w:w="1551" w:type="dxa"/>
            <w:tcBorders>
              <w:top w:val="single" w:color="auto" w:sz="4" w:space="0"/>
              <w:left w:val="single" w:color="auto" w:sz="4" w:space="0"/>
              <w:bottom w:val="single" w:color="auto" w:sz="4" w:space="0"/>
              <w:right w:val="single" w:color="auto" w:sz="4" w:space="0"/>
            </w:tcBorders>
            <w:vAlign w:val="center"/>
          </w:tcPr>
          <w:p w14:paraId="59B89E8A">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（2）服务方案</w:t>
            </w:r>
          </w:p>
          <w:p w14:paraId="1E89898C">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（满分2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tc>
        <w:tc>
          <w:tcPr>
            <w:tcW w:w="6669" w:type="dxa"/>
            <w:tcBorders>
              <w:top w:val="single" w:color="auto" w:sz="4" w:space="0"/>
              <w:left w:val="single" w:color="auto" w:sz="4" w:space="0"/>
              <w:bottom w:val="single" w:color="auto" w:sz="4" w:space="0"/>
              <w:right w:val="single" w:color="auto" w:sz="4" w:space="0"/>
            </w:tcBorders>
            <w:shd w:val="clear" w:color="auto" w:fill="auto"/>
            <w:vAlign w:val="center"/>
          </w:tcPr>
          <w:p w14:paraId="069B4E2B">
            <w:pPr>
              <w:pStyle w:val="20"/>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根据以下</w:t>
            </w:r>
            <w:r>
              <w:rPr>
                <w:rFonts w:hint="eastAsia" w:ascii="宋体" w:hAnsi="宋体" w:eastAsia="宋体" w:cs="宋体"/>
                <w:bCs/>
                <w:color w:val="auto"/>
                <w:sz w:val="21"/>
                <w:szCs w:val="21"/>
                <w:highlight w:val="none"/>
                <w:lang w:val="en-US" w:eastAsia="zh-CN"/>
              </w:rPr>
              <w:t>7个方面</w:t>
            </w:r>
            <w:r>
              <w:rPr>
                <w:rFonts w:hint="eastAsia" w:ascii="宋体" w:hAnsi="宋体" w:eastAsia="宋体" w:cs="宋体"/>
                <w:bCs/>
                <w:color w:val="auto"/>
                <w:sz w:val="21"/>
                <w:szCs w:val="21"/>
                <w:highlight w:val="none"/>
              </w:rPr>
              <w:t>进行评审：①</w:t>
            </w:r>
            <w:r>
              <w:rPr>
                <w:rFonts w:hint="eastAsia" w:ascii="宋体" w:hAnsi="宋体" w:eastAsia="宋体" w:cs="宋体"/>
                <w:bCs/>
                <w:color w:val="auto"/>
                <w:kern w:val="0"/>
                <w:sz w:val="21"/>
                <w:szCs w:val="21"/>
                <w:highlight w:val="none"/>
              </w:rPr>
              <w:t>对医院管理标准的熟悉程度</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sz w:val="21"/>
                <w:szCs w:val="21"/>
                <w:highlight w:val="none"/>
              </w:rPr>
              <w:t>②</w:t>
            </w:r>
            <w:r>
              <w:rPr>
                <w:rFonts w:hint="eastAsia" w:ascii="宋体" w:hAnsi="宋体" w:eastAsia="宋体" w:cs="宋体"/>
                <w:bCs/>
                <w:color w:val="auto"/>
                <w:kern w:val="0"/>
                <w:sz w:val="21"/>
                <w:szCs w:val="21"/>
                <w:highlight w:val="none"/>
              </w:rPr>
              <w:t>服务标准</w:t>
            </w:r>
            <w:r>
              <w:rPr>
                <w:rFonts w:hint="eastAsia" w:ascii="宋体" w:hAnsi="宋体" w:eastAsia="宋体" w:cs="宋体"/>
                <w:bCs/>
                <w:color w:val="auto"/>
                <w:kern w:val="0"/>
                <w:sz w:val="21"/>
                <w:szCs w:val="21"/>
                <w:highlight w:val="none"/>
                <w:lang w:val="en-US" w:eastAsia="zh-CN"/>
              </w:rPr>
              <w:t>的</w:t>
            </w:r>
            <w:r>
              <w:rPr>
                <w:rFonts w:hint="eastAsia" w:ascii="宋体" w:hAnsi="宋体" w:eastAsia="宋体" w:cs="宋体"/>
                <w:bCs/>
                <w:color w:val="auto"/>
                <w:kern w:val="0"/>
                <w:sz w:val="21"/>
                <w:szCs w:val="21"/>
                <w:highlight w:val="none"/>
              </w:rPr>
              <w:t>设计</w:t>
            </w:r>
            <w:r>
              <w:rPr>
                <w:rFonts w:hint="eastAsia" w:ascii="宋体" w:hAnsi="宋体" w:eastAsia="宋体" w:cs="宋体"/>
                <w:bCs/>
                <w:color w:val="auto"/>
                <w:sz w:val="21"/>
                <w:szCs w:val="21"/>
                <w:highlight w:val="none"/>
              </w:rPr>
              <w:t>；③</w:t>
            </w:r>
            <w:r>
              <w:rPr>
                <w:rFonts w:hint="eastAsia" w:ascii="宋体" w:hAnsi="宋体" w:eastAsia="宋体" w:cs="宋体"/>
                <w:bCs/>
                <w:color w:val="auto"/>
                <w:kern w:val="0"/>
                <w:sz w:val="21"/>
                <w:szCs w:val="21"/>
                <w:highlight w:val="none"/>
              </w:rPr>
              <w:t>售后服务</w:t>
            </w:r>
            <w:r>
              <w:rPr>
                <w:rFonts w:hint="eastAsia" w:ascii="宋体" w:hAnsi="宋体" w:eastAsia="宋体" w:cs="宋体"/>
                <w:bCs/>
                <w:color w:val="auto"/>
                <w:kern w:val="0"/>
                <w:sz w:val="21"/>
                <w:szCs w:val="21"/>
                <w:highlight w:val="none"/>
                <w:lang w:val="en-US" w:eastAsia="zh-CN"/>
              </w:rPr>
              <w:t>的</w:t>
            </w:r>
            <w:r>
              <w:rPr>
                <w:rFonts w:hint="eastAsia" w:ascii="宋体" w:hAnsi="宋体" w:eastAsia="宋体" w:cs="宋体"/>
                <w:bCs/>
                <w:color w:val="auto"/>
                <w:kern w:val="0"/>
                <w:sz w:val="21"/>
                <w:szCs w:val="21"/>
                <w:highlight w:val="none"/>
              </w:rPr>
              <w:t>内容</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sz w:val="21"/>
                <w:szCs w:val="21"/>
                <w:highlight w:val="none"/>
              </w:rPr>
              <w:t>④</w:t>
            </w:r>
            <w:r>
              <w:rPr>
                <w:rFonts w:hint="eastAsia" w:ascii="宋体" w:hAnsi="宋体" w:eastAsia="宋体" w:cs="宋体"/>
                <w:bCs/>
                <w:color w:val="auto"/>
                <w:kern w:val="0"/>
                <w:sz w:val="21"/>
                <w:szCs w:val="21"/>
                <w:highlight w:val="none"/>
              </w:rPr>
              <w:t>紧急情况</w:t>
            </w:r>
            <w:r>
              <w:rPr>
                <w:rFonts w:hint="eastAsia" w:ascii="宋体" w:hAnsi="宋体" w:eastAsia="宋体" w:cs="宋体"/>
                <w:bCs/>
                <w:color w:val="auto"/>
                <w:kern w:val="0"/>
                <w:sz w:val="21"/>
                <w:szCs w:val="21"/>
                <w:highlight w:val="none"/>
                <w:lang w:val="en-US" w:eastAsia="zh-CN"/>
              </w:rPr>
              <w:t>的</w:t>
            </w:r>
            <w:r>
              <w:rPr>
                <w:rFonts w:hint="eastAsia" w:ascii="宋体" w:hAnsi="宋体" w:eastAsia="宋体" w:cs="宋体"/>
                <w:bCs/>
                <w:color w:val="auto"/>
                <w:kern w:val="0"/>
                <w:sz w:val="21"/>
                <w:szCs w:val="21"/>
                <w:highlight w:val="none"/>
              </w:rPr>
              <w:t>保障</w:t>
            </w:r>
            <w:r>
              <w:rPr>
                <w:rFonts w:hint="eastAsia" w:ascii="宋体" w:hAnsi="宋体" w:eastAsia="宋体" w:cs="宋体"/>
                <w:bCs/>
                <w:color w:val="auto"/>
                <w:sz w:val="21"/>
                <w:szCs w:val="21"/>
                <w:highlight w:val="none"/>
              </w:rPr>
              <w:t>；⑤</w:t>
            </w:r>
            <w:r>
              <w:rPr>
                <w:rFonts w:hint="eastAsia" w:ascii="宋体" w:hAnsi="宋体" w:eastAsia="宋体" w:cs="宋体"/>
                <w:bCs/>
                <w:color w:val="auto"/>
                <w:kern w:val="0"/>
                <w:sz w:val="21"/>
                <w:szCs w:val="21"/>
                <w:highlight w:val="none"/>
              </w:rPr>
              <w:t>售后人员</w:t>
            </w:r>
            <w:r>
              <w:rPr>
                <w:rFonts w:hint="eastAsia" w:ascii="宋体" w:hAnsi="宋体" w:eastAsia="宋体" w:cs="宋体"/>
                <w:bCs/>
                <w:color w:val="auto"/>
                <w:kern w:val="0"/>
                <w:sz w:val="21"/>
                <w:szCs w:val="21"/>
                <w:highlight w:val="none"/>
                <w:lang w:val="en-US" w:eastAsia="zh-CN"/>
              </w:rPr>
              <w:t>的</w:t>
            </w:r>
            <w:r>
              <w:rPr>
                <w:rFonts w:hint="eastAsia" w:ascii="宋体" w:hAnsi="宋体" w:eastAsia="宋体" w:cs="宋体"/>
                <w:bCs/>
                <w:color w:val="auto"/>
                <w:kern w:val="0"/>
                <w:sz w:val="21"/>
                <w:szCs w:val="21"/>
                <w:highlight w:val="none"/>
              </w:rPr>
              <w:t>安排</w:t>
            </w:r>
            <w:r>
              <w:rPr>
                <w:rFonts w:hint="eastAsia" w:ascii="宋体" w:hAnsi="宋体" w:eastAsia="宋体" w:cs="宋体"/>
                <w:bCs/>
                <w:color w:val="auto"/>
                <w:sz w:val="21"/>
                <w:szCs w:val="21"/>
                <w:highlight w:val="none"/>
              </w:rPr>
              <w:t>；</w:t>
            </w:r>
            <w:r>
              <w:rPr>
                <w:rFonts w:hint="eastAsia" w:ascii="宋体" w:hAnsi="宋体" w:eastAsia="宋体" w:cs="宋体"/>
                <w:bCs/>
                <w:color w:val="auto"/>
                <w:kern w:val="0"/>
                <w:sz w:val="21"/>
                <w:szCs w:val="21"/>
                <w:highlight w:val="none"/>
                <w:lang w:eastAsia="zh-CN"/>
              </w:rPr>
              <w:t>⑥</w:t>
            </w:r>
            <w:r>
              <w:rPr>
                <w:rFonts w:hint="eastAsia" w:ascii="宋体" w:hAnsi="宋体" w:eastAsia="宋体" w:cs="宋体"/>
                <w:bCs/>
                <w:color w:val="auto"/>
                <w:kern w:val="0"/>
                <w:sz w:val="21"/>
                <w:szCs w:val="21"/>
                <w:highlight w:val="none"/>
              </w:rPr>
              <w:t>技术支持</w:t>
            </w:r>
            <w:r>
              <w:rPr>
                <w:rFonts w:hint="eastAsia" w:ascii="宋体" w:hAnsi="宋体" w:eastAsia="宋体" w:cs="宋体"/>
                <w:bCs/>
                <w:color w:val="auto"/>
                <w:kern w:val="0"/>
                <w:sz w:val="21"/>
                <w:szCs w:val="21"/>
                <w:highlight w:val="none"/>
                <w:lang w:val="en-US" w:eastAsia="zh-CN"/>
              </w:rPr>
              <w:t>及</w:t>
            </w:r>
            <w:r>
              <w:rPr>
                <w:rFonts w:hint="eastAsia" w:ascii="宋体" w:hAnsi="宋体" w:eastAsia="宋体" w:cs="宋体"/>
                <w:bCs/>
                <w:color w:val="auto"/>
                <w:kern w:val="0"/>
                <w:sz w:val="21"/>
                <w:szCs w:val="21"/>
                <w:highlight w:val="none"/>
              </w:rPr>
              <w:t>回访</w:t>
            </w:r>
            <w:r>
              <w:rPr>
                <w:rFonts w:hint="eastAsia" w:ascii="宋体" w:hAnsi="宋体" w:eastAsia="宋体" w:cs="宋体"/>
                <w:bCs/>
                <w:color w:val="auto"/>
                <w:kern w:val="0"/>
                <w:sz w:val="21"/>
                <w:szCs w:val="21"/>
                <w:highlight w:val="none"/>
                <w:lang w:val="en-US" w:eastAsia="zh-CN"/>
              </w:rPr>
              <w:t>的</w:t>
            </w:r>
            <w:r>
              <w:rPr>
                <w:rFonts w:hint="eastAsia" w:ascii="宋体" w:hAnsi="宋体" w:eastAsia="宋体" w:cs="宋体"/>
                <w:bCs/>
                <w:color w:val="auto"/>
                <w:kern w:val="0"/>
                <w:sz w:val="21"/>
                <w:szCs w:val="21"/>
                <w:highlight w:val="none"/>
              </w:rPr>
              <w:t>方案</w:t>
            </w:r>
            <w:r>
              <w:rPr>
                <w:rFonts w:hint="eastAsia" w:ascii="宋体" w:hAnsi="宋体" w:eastAsia="宋体" w:cs="宋体"/>
                <w:bCs/>
                <w:color w:val="auto"/>
                <w:kern w:val="0"/>
                <w:sz w:val="21"/>
                <w:szCs w:val="21"/>
                <w:highlight w:val="none"/>
                <w:lang w:eastAsia="zh-CN"/>
              </w:rPr>
              <w:t>；⑦提供的参考文件总览表设计</w:t>
            </w:r>
            <w:r>
              <w:rPr>
                <w:rFonts w:hint="eastAsia" w:ascii="宋体" w:hAnsi="宋体" w:eastAsia="宋体" w:cs="宋体"/>
                <w:bCs/>
                <w:color w:val="auto"/>
                <w:kern w:val="0"/>
                <w:sz w:val="21"/>
                <w:szCs w:val="21"/>
                <w:highlight w:val="none"/>
                <w:lang w:val="en-US" w:eastAsia="zh-CN"/>
              </w:rPr>
              <w:t>的</w:t>
            </w:r>
            <w:r>
              <w:rPr>
                <w:rFonts w:hint="eastAsia" w:ascii="宋体" w:hAnsi="宋体" w:eastAsia="宋体" w:cs="宋体"/>
                <w:bCs/>
                <w:color w:val="auto"/>
                <w:kern w:val="0"/>
                <w:sz w:val="21"/>
                <w:szCs w:val="21"/>
                <w:highlight w:val="none"/>
                <w:lang w:eastAsia="zh-CN"/>
              </w:rPr>
              <w:t>样式</w:t>
            </w:r>
            <w:r>
              <w:rPr>
                <w:rFonts w:hint="eastAsia" w:ascii="宋体" w:hAnsi="宋体" w:eastAsia="宋体" w:cs="宋体"/>
                <w:bCs/>
                <w:color w:val="auto"/>
                <w:sz w:val="21"/>
                <w:szCs w:val="21"/>
                <w:highlight w:val="none"/>
                <w:lang w:eastAsia="zh-CN"/>
              </w:rPr>
              <w:t>，含有以上</w:t>
            </w:r>
            <w:r>
              <w:rPr>
                <w:rFonts w:hint="eastAsia" w:ascii="宋体" w:hAnsi="宋体" w:eastAsia="宋体" w:cs="宋体"/>
                <w:bCs/>
                <w:color w:val="auto"/>
                <w:sz w:val="21"/>
                <w:szCs w:val="21"/>
                <w:highlight w:val="none"/>
                <w:lang w:val="en-US" w:eastAsia="zh-CN"/>
              </w:rPr>
              <w:t>7项内容且</w:t>
            </w:r>
            <w:r>
              <w:rPr>
                <w:rFonts w:hint="eastAsia" w:ascii="宋体" w:hAnsi="宋体" w:eastAsia="宋体" w:cs="宋体"/>
                <w:bCs/>
                <w:color w:val="auto"/>
                <w:sz w:val="21"/>
                <w:szCs w:val="21"/>
                <w:highlight w:val="none"/>
              </w:rPr>
              <w:t>符合项目采购需求的得</w:t>
            </w:r>
            <w:r>
              <w:rPr>
                <w:rFonts w:hint="eastAsia" w:ascii="宋体" w:hAnsi="宋体" w:eastAsia="宋体" w:cs="宋体"/>
                <w:bCs/>
                <w:color w:val="auto"/>
                <w:sz w:val="21"/>
                <w:szCs w:val="21"/>
                <w:highlight w:val="none"/>
                <w:lang w:val="en-US" w:eastAsia="zh-CN"/>
              </w:rPr>
              <w:t>28</w:t>
            </w:r>
            <w:r>
              <w:rPr>
                <w:rFonts w:hint="eastAsia" w:ascii="宋体" w:hAnsi="宋体" w:eastAsia="宋体" w:cs="宋体"/>
                <w:bCs/>
                <w:color w:val="auto"/>
                <w:sz w:val="21"/>
                <w:szCs w:val="21"/>
                <w:highlight w:val="none"/>
              </w:rPr>
              <w:t>分；每缺一项前述方案内容扣</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分；每一项前述方案内容有缺陷或与项目不匹配的扣</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2DC64379">
            <w:pPr>
              <w:pStyle w:val="20"/>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注：内容有缺陷或与项目不匹配是指：非专门针对本项目或不适用项目特性的情形、内容缺少关键节点、套用其他项目方案、内容前后矛盾、涉及的规范及标准错误、不利于项目实施、无可行性的情形等任意一种情形</w:t>
            </w:r>
            <w:r>
              <w:rPr>
                <w:rFonts w:hint="eastAsia" w:ascii="宋体" w:hAnsi="宋体" w:eastAsia="宋体" w:cs="宋体"/>
                <w:bCs/>
                <w:color w:val="auto"/>
                <w:sz w:val="21"/>
                <w:szCs w:val="21"/>
                <w:highlight w:val="none"/>
                <w:lang w:eastAsia="zh-CN"/>
              </w:rPr>
              <w:t>。</w:t>
            </w:r>
          </w:p>
        </w:tc>
      </w:tr>
      <w:tr w14:paraId="52EF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vMerge w:val="continue"/>
            <w:tcBorders>
              <w:left w:val="single" w:color="auto" w:sz="4" w:space="0"/>
              <w:right w:val="single" w:color="auto" w:sz="4" w:space="0"/>
            </w:tcBorders>
            <w:vAlign w:val="center"/>
          </w:tcPr>
          <w:p w14:paraId="030CD36F">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color w:val="auto"/>
                <w:szCs w:val="21"/>
                <w:highlight w:val="none"/>
              </w:rPr>
            </w:pPr>
          </w:p>
        </w:tc>
        <w:tc>
          <w:tcPr>
            <w:tcW w:w="1387" w:type="dxa"/>
            <w:vMerge w:val="continue"/>
            <w:tcBorders>
              <w:left w:val="single" w:color="auto" w:sz="4" w:space="0"/>
              <w:right w:val="single" w:color="auto" w:sz="4" w:space="0"/>
            </w:tcBorders>
            <w:vAlign w:val="center"/>
          </w:tcPr>
          <w:p w14:paraId="3CB5A76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p>
        </w:tc>
        <w:tc>
          <w:tcPr>
            <w:tcW w:w="1551" w:type="dxa"/>
            <w:tcBorders>
              <w:top w:val="single" w:color="auto" w:sz="4" w:space="0"/>
              <w:left w:val="single" w:color="auto" w:sz="4" w:space="0"/>
              <w:bottom w:val="single" w:color="auto" w:sz="4" w:space="0"/>
              <w:right w:val="single" w:color="auto" w:sz="4" w:space="0"/>
            </w:tcBorders>
            <w:vAlign w:val="center"/>
          </w:tcPr>
          <w:p w14:paraId="772959D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（3）可能存在的问题及解决建议（满分</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分）</w:t>
            </w:r>
          </w:p>
        </w:tc>
        <w:tc>
          <w:tcPr>
            <w:tcW w:w="6669" w:type="dxa"/>
            <w:tcBorders>
              <w:top w:val="single" w:color="auto" w:sz="4" w:space="0"/>
              <w:left w:val="single" w:color="auto" w:sz="4" w:space="0"/>
              <w:bottom w:val="single" w:color="auto" w:sz="4" w:space="0"/>
              <w:right w:val="single" w:color="auto" w:sz="4" w:space="0"/>
            </w:tcBorders>
            <w:vAlign w:val="center"/>
          </w:tcPr>
          <w:p w14:paraId="03E3399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根据以下6个方面进行评审：</w:t>
            </w:r>
            <w:r>
              <w:rPr>
                <w:rFonts w:hint="eastAsia" w:ascii="宋体" w:hAnsi="宋体" w:eastAsia="宋体" w:cs="宋体"/>
                <w:color w:val="auto"/>
                <w:szCs w:val="21"/>
                <w:highlight w:val="none"/>
              </w:rPr>
              <w:t>①对本项目采购需求的理解；②</w:t>
            </w:r>
            <w:r>
              <w:rPr>
                <w:rFonts w:hint="eastAsia" w:ascii="宋体" w:hAnsi="宋体" w:eastAsia="宋体" w:cs="宋体"/>
                <w:color w:val="auto"/>
                <w:szCs w:val="21"/>
                <w:highlight w:val="none"/>
                <w:lang w:val="en-US" w:eastAsia="zh-CN"/>
              </w:rPr>
              <w:t>对</w:t>
            </w:r>
            <w:r>
              <w:rPr>
                <w:rFonts w:hint="eastAsia" w:ascii="宋体" w:hAnsi="宋体" w:eastAsia="宋体" w:cs="宋体"/>
                <w:color w:val="auto"/>
                <w:szCs w:val="21"/>
                <w:highlight w:val="none"/>
              </w:rPr>
              <w:t>可能存在</w:t>
            </w:r>
            <w:r>
              <w:rPr>
                <w:rFonts w:hint="eastAsia" w:ascii="宋体" w:hAnsi="宋体" w:eastAsia="宋体" w:cs="宋体"/>
                <w:color w:val="auto"/>
                <w:szCs w:val="21"/>
                <w:highlight w:val="none"/>
                <w:lang w:val="en-US" w:eastAsia="zh-CN"/>
              </w:rPr>
              <w:t>的问题的分析与预测</w:t>
            </w:r>
            <w:r>
              <w:rPr>
                <w:rFonts w:hint="eastAsia" w:ascii="宋体" w:hAnsi="宋体" w:eastAsia="宋体" w:cs="宋体"/>
                <w:color w:val="auto"/>
                <w:szCs w:val="21"/>
                <w:highlight w:val="none"/>
              </w:rPr>
              <w:t>；③项目实施</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计划；④项目管理组织机构及人员职能</w:t>
            </w:r>
            <w:r>
              <w:rPr>
                <w:rFonts w:hint="eastAsia" w:ascii="宋体" w:hAnsi="宋体" w:eastAsia="宋体" w:cs="宋体"/>
                <w:color w:val="auto"/>
                <w:szCs w:val="21"/>
                <w:highlight w:val="none"/>
                <w:lang w:val="en-US" w:eastAsia="zh-CN"/>
              </w:rPr>
              <w:t>的设置；</w:t>
            </w:r>
            <w:r>
              <w:rPr>
                <w:rFonts w:hint="eastAsia" w:ascii="宋体" w:hAnsi="宋体" w:eastAsia="宋体" w:cs="宋体"/>
                <w:color w:val="auto"/>
                <w:szCs w:val="21"/>
                <w:highlight w:val="none"/>
              </w:rPr>
              <w:t>⑤</w:t>
            </w:r>
            <w:r>
              <w:rPr>
                <w:rFonts w:hint="eastAsia" w:ascii="宋体" w:hAnsi="宋体" w:eastAsia="宋体" w:cs="宋体"/>
                <w:color w:val="auto"/>
                <w:szCs w:val="21"/>
                <w:highlight w:val="none"/>
                <w:lang w:val="en-US" w:eastAsia="zh-CN"/>
              </w:rPr>
              <w:t>驻场</w:t>
            </w:r>
            <w:r>
              <w:rPr>
                <w:rFonts w:hint="eastAsia" w:ascii="宋体" w:hAnsi="宋体" w:eastAsia="宋体" w:cs="宋体"/>
                <w:color w:val="auto"/>
                <w:szCs w:val="21"/>
                <w:highlight w:val="none"/>
              </w:rPr>
              <w:t>人员的安排；⑥应对突发状况的服务响应能力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含有以上6项内容且符合项目采购需求的得24分；</w:t>
            </w:r>
            <w:r>
              <w:rPr>
                <w:rFonts w:hint="eastAsia" w:ascii="宋体" w:hAnsi="宋体" w:eastAsia="宋体" w:cs="宋体"/>
                <w:color w:val="auto"/>
                <w:szCs w:val="21"/>
                <w:highlight w:val="none"/>
              </w:rPr>
              <w:t>每缺一项前述方案内容扣4分；每一项前述方案内容有缺陷或与项目不匹配的扣2分。</w:t>
            </w:r>
          </w:p>
          <w:p w14:paraId="191197B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内容有缺陷或与项目不匹配是指：非专门针对本项目或不适用项目特性的情形、内容缺少关键节点、套用其他项目方案、内容前后矛盾、涉及的规范及标准错误、不利于项目实施、无可行性的情形等任意一种情形。</w:t>
            </w:r>
          </w:p>
        </w:tc>
      </w:tr>
      <w:tr w14:paraId="65D8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vMerge w:val="continue"/>
            <w:tcBorders>
              <w:left w:val="single" w:color="auto" w:sz="4" w:space="0"/>
              <w:right w:val="single" w:color="auto" w:sz="4" w:space="0"/>
            </w:tcBorders>
            <w:vAlign w:val="center"/>
          </w:tcPr>
          <w:p w14:paraId="6900A694">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color w:val="auto"/>
                <w:szCs w:val="21"/>
                <w:highlight w:val="none"/>
              </w:rPr>
            </w:pPr>
          </w:p>
        </w:tc>
        <w:tc>
          <w:tcPr>
            <w:tcW w:w="1387" w:type="dxa"/>
            <w:vMerge w:val="continue"/>
            <w:tcBorders>
              <w:left w:val="single" w:color="auto" w:sz="4" w:space="0"/>
              <w:right w:val="single" w:color="auto" w:sz="4" w:space="0"/>
            </w:tcBorders>
            <w:vAlign w:val="center"/>
          </w:tcPr>
          <w:p w14:paraId="670A6AB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p>
        </w:tc>
        <w:tc>
          <w:tcPr>
            <w:tcW w:w="1551" w:type="dxa"/>
            <w:tcBorders>
              <w:top w:val="single" w:color="auto" w:sz="4" w:space="0"/>
              <w:left w:val="single" w:color="auto" w:sz="4" w:space="0"/>
              <w:bottom w:val="single" w:color="auto" w:sz="4" w:space="0"/>
              <w:right w:val="single" w:color="auto" w:sz="4" w:space="0"/>
            </w:tcBorders>
            <w:vAlign w:val="center"/>
          </w:tcPr>
          <w:p w14:paraId="4DB5F9E0">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rPr>
              <w:t>风险管理措施</w:t>
            </w:r>
            <w:r>
              <w:rPr>
                <w:rFonts w:hint="eastAsia" w:ascii="宋体" w:hAnsi="宋体" w:eastAsia="宋体" w:cs="宋体"/>
                <w:color w:val="auto"/>
                <w:szCs w:val="21"/>
                <w:highlight w:val="none"/>
              </w:rPr>
              <w:t>（满分</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6669" w:type="dxa"/>
            <w:tcBorders>
              <w:top w:val="single" w:color="auto" w:sz="4" w:space="0"/>
              <w:left w:val="single" w:color="auto" w:sz="4" w:space="0"/>
              <w:bottom w:val="single" w:color="auto" w:sz="4" w:space="0"/>
              <w:right w:val="single" w:color="auto" w:sz="4" w:space="0"/>
            </w:tcBorders>
            <w:vAlign w:val="center"/>
          </w:tcPr>
          <w:p w14:paraId="63DE6E9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根据以下</w:t>
            </w:r>
            <w:r>
              <w:rPr>
                <w:rFonts w:hint="eastAsia" w:ascii="宋体" w:hAnsi="宋体" w:eastAsia="宋体" w:cs="宋体"/>
                <w:color w:val="auto"/>
                <w:szCs w:val="21"/>
                <w:highlight w:val="none"/>
                <w:lang w:val="en-US" w:eastAsia="zh-CN"/>
              </w:rPr>
              <w:t>5个方面进行评审：</w:t>
            </w: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rPr>
              <w:t>风险</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预警</w:t>
            </w: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rPr>
              <w:t>风险</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评价</w:t>
            </w: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rPr>
              <w:t>风险</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防范</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④风险</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应对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⑤</w:t>
            </w:r>
            <w:r>
              <w:rPr>
                <w:rFonts w:hint="eastAsia" w:ascii="宋体" w:hAnsi="宋体" w:eastAsia="宋体" w:cs="宋体"/>
                <w:color w:val="auto"/>
                <w:szCs w:val="21"/>
                <w:highlight w:val="none"/>
              </w:rPr>
              <w:t>处理</w:t>
            </w:r>
            <w:r>
              <w:rPr>
                <w:rFonts w:hint="eastAsia" w:ascii="宋体" w:hAnsi="宋体" w:eastAsia="宋体" w:cs="宋体"/>
                <w:color w:val="auto"/>
                <w:szCs w:val="21"/>
                <w:highlight w:val="none"/>
                <w:lang w:val="en-US" w:eastAsia="zh-CN"/>
              </w:rPr>
              <w:t>风险</w:t>
            </w:r>
            <w:r>
              <w:rPr>
                <w:rFonts w:hint="eastAsia" w:ascii="宋体" w:hAnsi="宋体" w:eastAsia="宋体" w:cs="宋体"/>
                <w:color w:val="auto"/>
                <w:szCs w:val="21"/>
                <w:highlight w:val="none"/>
              </w:rPr>
              <w:t>事务</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程序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含有以上5项内容且符合项目采购需求的得10分；</w:t>
            </w:r>
            <w:r>
              <w:rPr>
                <w:rFonts w:hint="eastAsia" w:ascii="宋体" w:hAnsi="宋体" w:eastAsia="宋体" w:cs="宋体"/>
                <w:color w:val="auto"/>
                <w:szCs w:val="21"/>
                <w:highlight w:val="none"/>
              </w:rPr>
              <w:t>每缺一项前述方案内容扣</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分；每一项前述方案内容有缺陷或与项目不匹配的扣</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06AB3A30">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内容有缺陷或与项目不匹配是指：非专门针对本项目或不适用项目特性的情形、内容缺少关键节点、套用其他项目方案、内容前后矛盾、涉及的规范及标准错误、不利于项目实施、无可行性的情形等任意一种情形。</w:t>
            </w:r>
          </w:p>
        </w:tc>
      </w:tr>
      <w:tr w14:paraId="4D31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37" w:type="dxa"/>
            <w:vMerge w:val="restart"/>
            <w:tcBorders>
              <w:left w:val="single" w:color="auto" w:sz="4" w:space="0"/>
              <w:right w:val="single" w:color="auto" w:sz="4" w:space="0"/>
            </w:tcBorders>
            <w:vAlign w:val="center"/>
          </w:tcPr>
          <w:p w14:paraId="771EB0D3">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w:t>
            </w:r>
          </w:p>
        </w:tc>
        <w:tc>
          <w:tcPr>
            <w:tcW w:w="1387" w:type="dxa"/>
            <w:vMerge w:val="restart"/>
            <w:tcBorders>
              <w:left w:val="single" w:color="auto" w:sz="4" w:space="0"/>
              <w:right w:val="single" w:color="auto" w:sz="4" w:space="0"/>
            </w:tcBorders>
            <w:vAlign w:val="center"/>
          </w:tcPr>
          <w:p w14:paraId="0AB14C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商务分（满分8分）</w:t>
            </w:r>
          </w:p>
        </w:tc>
        <w:tc>
          <w:tcPr>
            <w:tcW w:w="1551" w:type="dxa"/>
            <w:tcBorders>
              <w:top w:val="single" w:color="auto" w:sz="4" w:space="0"/>
              <w:left w:val="single" w:color="auto" w:sz="4" w:space="0"/>
              <w:right w:val="single" w:color="auto" w:sz="4" w:space="0"/>
            </w:tcBorders>
            <w:vAlign w:val="center"/>
          </w:tcPr>
          <w:p w14:paraId="242A822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业绩分</w:t>
            </w:r>
          </w:p>
          <w:p w14:paraId="10EE957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c>
          <w:tcPr>
            <w:tcW w:w="6669" w:type="dxa"/>
            <w:tcBorders>
              <w:top w:val="single" w:color="auto" w:sz="4" w:space="0"/>
              <w:left w:val="single" w:color="auto" w:sz="4" w:space="0"/>
              <w:right w:val="single" w:color="auto" w:sz="4" w:space="0"/>
            </w:tcBorders>
            <w:vAlign w:val="center"/>
          </w:tcPr>
          <w:p w14:paraId="0C0FD4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自2022年1月1日至本项目响应截止时间，供应</w:t>
            </w:r>
            <w:r>
              <w:rPr>
                <w:rFonts w:hint="eastAsia" w:ascii="宋体" w:hAnsi="宋体" w:eastAsia="宋体" w:cs="宋体"/>
                <w:color w:val="auto"/>
                <w:highlight w:val="none"/>
                <w:lang w:val="en-US" w:eastAsia="zh-CN"/>
              </w:rPr>
              <w:t>商</w:t>
            </w:r>
            <w:r>
              <w:rPr>
                <w:rFonts w:hint="eastAsia" w:ascii="宋体" w:hAnsi="宋体" w:eastAsia="宋体" w:cs="宋体"/>
                <w:color w:val="auto"/>
                <w:szCs w:val="21"/>
                <w:highlight w:val="none"/>
              </w:rPr>
              <w:t>可提供类似</w:t>
            </w:r>
            <w:r>
              <w:rPr>
                <w:rFonts w:hint="eastAsia" w:ascii="宋体" w:hAnsi="宋体" w:eastAsia="宋体" w:cs="宋体"/>
                <w:color w:val="auto"/>
                <w:szCs w:val="21"/>
                <w:highlight w:val="none"/>
                <w:lang w:val="en-US" w:eastAsia="zh-CN"/>
              </w:rPr>
              <w:t>决策支持</w:t>
            </w:r>
            <w:r>
              <w:rPr>
                <w:rFonts w:hint="eastAsia" w:ascii="宋体" w:hAnsi="宋体" w:eastAsia="宋体" w:cs="宋体"/>
                <w:color w:val="auto"/>
                <w:szCs w:val="21"/>
                <w:highlight w:val="none"/>
              </w:rPr>
              <w:t>平台业绩的，每提供一个业绩得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分，最高得4分（须提供合同扫描件，否则不得分，同一项目不累计得分，同类目时间以合同签署时间为准）。</w:t>
            </w:r>
          </w:p>
        </w:tc>
      </w:tr>
      <w:tr w14:paraId="03D0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37" w:type="dxa"/>
            <w:vMerge w:val="continue"/>
            <w:tcBorders>
              <w:left w:val="single" w:color="auto" w:sz="4" w:space="0"/>
              <w:right w:val="single" w:color="auto" w:sz="4" w:space="0"/>
            </w:tcBorders>
            <w:vAlign w:val="center"/>
          </w:tcPr>
          <w:p w14:paraId="5D580A7A">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color w:val="auto"/>
                <w:szCs w:val="21"/>
                <w:highlight w:val="none"/>
              </w:rPr>
            </w:pPr>
          </w:p>
        </w:tc>
        <w:tc>
          <w:tcPr>
            <w:tcW w:w="1387" w:type="dxa"/>
            <w:vMerge w:val="continue"/>
            <w:tcBorders>
              <w:left w:val="single" w:color="auto" w:sz="4" w:space="0"/>
              <w:right w:val="single" w:color="auto" w:sz="4" w:space="0"/>
            </w:tcBorders>
            <w:vAlign w:val="center"/>
          </w:tcPr>
          <w:p w14:paraId="69A706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Cs w:val="21"/>
                <w:highlight w:val="none"/>
              </w:rPr>
            </w:pPr>
          </w:p>
        </w:tc>
        <w:tc>
          <w:tcPr>
            <w:tcW w:w="1551" w:type="dxa"/>
            <w:tcBorders>
              <w:top w:val="single" w:color="auto" w:sz="4" w:space="0"/>
              <w:left w:val="single" w:color="auto" w:sz="4" w:space="0"/>
              <w:right w:val="single" w:color="auto" w:sz="4" w:space="0"/>
            </w:tcBorders>
            <w:vAlign w:val="center"/>
          </w:tcPr>
          <w:p w14:paraId="544EA0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软件著作分（4分）</w:t>
            </w:r>
          </w:p>
        </w:tc>
        <w:tc>
          <w:tcPr>
            <w:tcW w:w="6669" w:type="dxa"/>
            <w:tcBorders>
              <w:top w:val="single" w:color="auto" w:sz="4" w:space="0"/>
              <w:left w:val="single" w:color="auto" w:sz="4" w:space="0"/>
              <w:right w:val="single" w:color="auto" w:sz="4" w:space="0"/>
            </w:tcBorders>
            <w:vAlign w:val="center"/>
          </w:tcPr>
          <w:p w14:paraId="326135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供应商提供的软件产品具备计算机软件著作权登记证书的，每提供一份证书得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分，满分4分（须提供证书扫描件，否则不得分）。</w:t>
            </w:r>
          </w:p>
        </w:tc>
      </w:tr>
      <w:tr w14:paraId="3837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44" w:type="dxa"/>
            <w:gridSpan w:val="4"/>
            <w:tcBorders>
              <w:left w:val="single" w:color="auto" w:sz="4" w:space="0"/>
              <w:right w:val="single" w:color="auto" w:sz="4" w:space="0"/>
            </w:tcBorders>
            <w:vAlign w:val="center"/>
          </w:tcPr>
          <w:p w14:paraId="7CA5FC7D">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总得分=1+2+3</w:t>
            </w:r>
          </w:p>
        </w:tc>
      </w:tr>
    </w:tbl>
    <w:p w14:paraId="1E6731B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7.1评审依据：磋商小组将以响应文件为评审依据，对供应商的报价、技术、商务等方面内容按百分制打分，总得分=报价分+技术分+商务分。（计分方法按四舍五入取至百分位）</w:t>
      </w:r>
    </w:p>
    <w:p w14:paraId="033F0CFC">
      <w:pPr>
        <w:spacing w:line="360" w:lineRule="auto"/>
        <w:ind w:firstLine="420" w:firstLineChars="200"/>
        <w:rPr>
          <w:rFonts w:hint="eastAsia" w:ascii="宋体" w:hAnsi="宋体" w:eastAsia="宋体" w:cs="宋体"/>
          <w:color w:val="auto"/>
          <w:highlight w:val="none"/>
        </w:rPr>
      </w:pPr>
      <w:bookmarkStart w:id="118" w:name="_Toc80205935"/>
      <w:r>
        <w:rPr>
          <w:rFonts w:hint="eastAsia" w:ascii="宋体" w:hAnsi="宋体" w:eastAsia="宋体" w:cs="宋体"/>
          <w:color w:val="auto"/>
          <w:highlight w:val="none"/>
        </w:rPr>
        <w:t>7.2终止竞争性磋商采购活动</w:t>
      </w:r>
    </w:p>
    <w:p w14:paraId="1CA2A59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bookmarkStart w:id="119" w:name="_Toc11595"/>
      <w:bookmarkStart w:id="120" w:name="_Toc80886939"/>
      <w:bookmarkStart w:id="121" w:name="_Toc22545"/>
    </w:p>
    <w:p w14:paraId="219D85D2">
      <w:pPr>
        <w:pStyle w:val="23"/>
        <w:rPr>
          <w:rFonts w:hint="eastAsia" w:ascii="宋体" w:hAnsi="宋体" w:eastAsia="宋体" w:cs="宋体"/>
          <w:color w:val="auto"/>
          <w:highlight w:val="none"/>
        </w:rPr>
      </w:pPr>
    </w:p>
    <w:p w14:paraId="15C33DC4">
      <w:pPr>
        <w:pStyle w:val="3"/>
        <w:spacing w:before="0" w:after="0" w:line="360" w:lineRule="auto"/>
        <w:ind w:firstLine="640" w:firstLineChars="200"/>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第二节 评审报告</w:t>
      </w:r>
      <w:bookmarkEnd w:id="118"/>
      <w:bookmarkEnd w:id="119"/>
      <w:bookmarkEnd w:id="120"/>
      <w:bookmarkEnd w:id="121"/>
    </w:p>
    <w:p w14:paraId="08A73CE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4E19FD13">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并编写评审报告。符合本章第5.3条情形的，可以推荐2家成交候选供应商。评审得分相同的，按照最后报价由低到高的顺序推荐。评审得分且最后报价相同的，按照技术指标优劣顺序推荐（按技术得分由高到低排序，技术得分相同的按照商务分由高到低排序）。评审得分、最后报价、技术得分、商务分均相同的，由磋商小组随机抽取推荐。</w:t>
      </w:r>
    </w:p>
    <w:p w14:paraId="7A852B4D">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4CD67729">
      <w:pPr>
        <w:pStyle w:val="69"/>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14:paraId="30700CC3">
      <w:pPr>
        <w:pStyle w:val="69"/>
        <w:spacing w:before="0"/>
        <w:ind w:firstLine="420"/>
        <w:rPr>
          <w:rFonts w:hint="eastAsia" w:ascii="宋体" w:hAnsi="宋体" w:eastAsia="宋体" w:cs="宋体"/>
          <w:color w:val="auto"/>
          <w:kern w:val="2"/>
          <w:sz w:val="21"/>
          <w:szCs w:val="24"/>
          <w:highlight w:val="none"/>
        </w:rPr>
      </w:pPr>
    </w:p>
    <w:p w14:paraId="42E97187">
      <w:pPr>
        <w:pStyle w:val="3"/>
        <w:spacing w:before="0" w:after="0" w:line="360" w:lineRule="auto"/>
        <w:ind w:firstLine="640" w:firstLineChars="200"/>
        <w:jc w:val="center"/>
        <w:rPr>
          <w:rFonts w:hint="eastAsia" w:ascii="宋体" w:hAnsi="宋体" w:eastAsia="宋体" w:cs="宋体"/>
          <w:b w:val="0"/>
          <w:color w:val="auto"/>
          <w:highlight w:val="none"/>
        </w:rPr>
      </w:pPr>
      <w:bookmarkStart w:id="122" w:name="_Toc80886940"/>
      <w:bookmarkStart w:id="123" w:name="_Toc20045"/>
      <w:bookmarkStart w:id="124" w:name="_Toc2025"/>
      <w:bookmarkStart w:id="125" w:name="_Toc80205936"/>
      <w:r>
        <w:rPr>
          <w:rFonts w:hint="eastAsia" w:ascii="宋体" w:hAnsi="宋体" w:eastAsia="宋体" w:cs="宋体"/>
          <w:b w:val="0"/>
          <w:color w:val="auto"/>
          <w:highlight w:val="none"/>
        </w:rPr>
        <w:t>第三节 评审过程的保密与录像</w:t>
      </w:r>
      <w:bookmarkEnd w:id="122"/>
      <w:bookmarkEnd w:id="123"/>
      <w:bookmarkEnd w:id="124"/>
      <w:bookmarkEnd w:id="125"/>
    </w:p>
    <w:p w14:paraId="497FB3A0">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5F0E5A20">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响应文件评审和比较、中标成交供应商推荐等评审有关的情况，以及涉及国家秘密和商业秘密等信息，磋商小组成员、采购人和采购代理机构工作人员、相关监督人员等与评审有关的人员应当予以保密。</w:t>
      </w:r>
    </w:p>
    <w:p w14:paraId="7205B352">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0AE336E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6D1F31C9">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6EDA5B5">
      <w:pPr>
        <w:pStyle w:val="3"/>
        <w:jc w:val="center"/>
        <w:rPr>
          <w:rFonts w:hint="eastAsia" w:ascii="宋体" w:hAnsi="宋体" w:eastAsia="宋体" w:cs="宋体"/>
          <w:color w:val="auto"/>
          <w:highlight w:val="none"/>
        </w:rPr>
      </w:pPr>
    </w:p>
    <w:p w14:paraId="3CDBB532">
      <w:pPr>
        <w:pStyle w:val="3"/>
        <w:jc w:val="center"/>
        <w:rPr>
          <w:rFonts w:hint="eastAsia" w:ascii="宋体" w:hAnsi="宋体" w:eastAsia="宋体" w:cs="宋体"/>
          <w:color w:val="auto"/>
          <w:highlight w:val="none"/>
        </w:rPr>
      </w:pPr>
    </w:p>
    <w:p w14:paraId="0CE29395">
      <w:pPr>
        <w:pStyle w:val="3"/>
        <w:jc w:val="center"/>
        <w:rPr>
          <w:rFonts w:hint="eastAsia" w:ascii="宋体" w:hAnsi="宋体" w:eastAsia="宋体" w:cs="宋体"/>
          <w:color w:val="auto"/>
          <w:highlight w:val="none"/>
        </w:rPr>
      </w:pPr>
    </w:p>
    <w:p w14:paraId="2AD5C3B5">
      <w:pPr>
        <w:rPr>
          <w:rFonts w:hint="eastAsia" w:ascii="宋体" w:hAnsi="宋体" w:eastAsia="宋体" w:cs="宋体"/>
          <w:color w:val="auto"/>
          <w:highlight w:val="none"/>
        </w:rPr>
      </w:pPr>
    </w:p>
    <w:p w14:paraId="002A29AF">
      <w:pPr>
        <w:pStyle w:val="2"/>
        <w:rPr>
          <w:rFonts w:hint="eastAsia" w:ascii="宋体" w:hAnsi="宋体" w:eastAsia="宋体" w:cs="宋体"/>
          <w:color w:val="auto"/>
          <w:highlight w:val="none"/>
        </w:rPr>
      </w:pPr>
    </w:p>
    <w:p w14:paraId="0FCC5138">
      <w:pPr>
        <w:rPr>
          <w:rFonts w:hint="eastAsia" w:ascii="宋体" w:hAnsi="宋体" w:eastAsia="宋体" w:cs="宋体"/>
          <w:color w:val="auto"/>
          <w:highlight w:val="none"/>
        </w:rPr>
      </w:pPr>
    </w:p>
    <w:p w14:paraId="7AE127AE">
      <w:pPr>
        <w:pStyle w:val="2"/>
        <w:jc w:val="center"/>
        <w:rPr>
          <w:rFonts w:hint="eastAsia" w:ascii="宋体" w:hAnsi="宋体" w:eastAsia="宋体" w:cs="宋体"/>
          <w:color w:val="auto"/>
          <w:highlight w:val="none"/>
        </w:rPr>
        <w:sectPr>
          <w:headerReference r:id="rId10" w:type="default"/>
          <w:footerReference r:id="rId11" w:type="default"/>
          <w:pgSz w:w="11911" w:h="16838"/>
          <w:pgMar w:top="1134" w:right="1134" w:bottom="1134" w:left="1134" w:header="720" w:footer="720" w:gutter="0"/>
          <w:cols w:space="720" w:num="1"/>
        </w:sectPr>
      </w:pPr>
      <w:bookmarkStart w:id="126" w:name="_Toc27282"/>
      <w:bookmarkStart w:id="127" w:name="_Toc5005"/>
      <w:bookmarkStart w:id="128" w:name="_Toc7776"/>
      <w:bookmarkStart w:id="129" w:name="_Toc22302"/>
      <w:bookmarkStart w:id="130" w:name="_Toc26272"/>
      <w:bookmarkStart w:id="131" w:name="_Toc17404"/>
      <w:bookmarkStart w:id="132" w:name="_Toc80886941"/>
      <w:bookmarkStart w:id="133" w:name="_Toc12890"/>
      <w:r>
        <w:rPr>
          <w:rFonts w:hint="eastAsia" w:ascii="宋体" w:hAnsi="宋体" w:eastAsia="宋体" w:cs="宋体"/>
          <w:color w:val="auto"/>
          <w:highlight w:val="none"/>
        </w:rPr>
        <w:t>第五章 响应文件格式</w:t>
      </w:r>
      <w:bookmarkEnd w:id="126"/>
      <w:bookmarkEnd w:id="127"/>
      <w:bookmarkEnd w:id="128"/>
      <w:bookmarkEnd w:id="129"/>
      <w:bookmarkEnd w:id="130"/>
      <w:bookmarkEnd w:id="131"/>
      <w:bookmarkEnd w:id="132"/>
      <w:bookmarkEnd w:id="133"/>
    </w:p>
    <w:p w14:paraId="7BD2F206">
      <w:pPr>
        <w:pStyle w:val="3"/>
        <w:jc w:val="center"/>
        <w:rPr>
          <w:rFonts w:hint="eastAsia" w:ascii="宋体" w:hAnsi="宋体" w:eastAsia="宋体" w:cs="宋体"/>
          <w:bCs w:val="0"/>
          <w:color w:val="auto"/>
          <w:highlight w:val="none"/>
        </w:rPr>
      </w:pPr>
      <w:bookmarkStart w:id="134" w:name="_Toc80205939"/>
      <w:bookmarkStart w:id="135" w:name="_Toc80886943"/>
      <w:bookmarkStart w:id="136" w:name="_Toc12994"/>
      <w:bookmarkStart w:id="137" w:name="_Toc22245"/>
      <w:r>
        <w:rPr>
          <w:rFonts w:hint="eastAsia" w:ascii="宋体" w:hAnsi="宋体" w:eastAsia="宋体" w:cs="宋体"/>
          <w:bCs w:val="0"/>
          <w:color w:val="auto"/>
          <w:highlight w:val="none"/>
        </w:rPr>
        <w:t>第一节 资格证明文件格式</w:t>
      </w:r>
      <w:bookmarkEnd w:id="134"/>
      <w:bookmarkEnd w:id="135"/>
      <w:bookmarkEnd w:id="136"/>
      <w:bookmarkEnd w:id="137"/>
    </w:p>
    <w:p w14:paraId="7E9AEF7E">
      <w:pPr>
        <w:snapToGrid w:val="0"/>
        <w:spacing w:before="120" w:beforeLines="50" w:after="50"/>
        <w:jc w:val="left"/>
        <w:rPr>
          <w:rFonts w:hint="eastAsia" w:ascii="宋体" w:hAnsi="宋体" w:eastAsia="宋体" w:cs="宋体"/>
          <w:color w:val="auto"/>
          <w:sz w:val="24"/>
          <w:highlight w:val="none"/>
        </w:rPr>
      </w:pPr>
      <w:r>
        <w:rPr>
          <w:rFonts w:hint="eastAsia" w:ascii="宋体" w:hAnsi="宋体" w:eastAsia="宋体" w:cs="宋体"/>
          <w:b/>
          <w:bCs/>
          <w:color w:val="auto"/>
          <w:sz w:val="28"/>
          <w:szCs w:val="28"/>
          <w:highlight w:val="none"/>
        </w:rPr>
        <w:t>1.资格证明文件封面的格式</w:t>
      </w:r>
      <w:r>
        <w:rPr>
          <w:rFonts w:hint="eastAsia" w:ascii="宋体" w:hAnsi="宋体" w:eastAsia="宋体" w:cs="宋体"/>
          <w:b/>
          <w:color w:val="auto"/>
          <w:sz w:val="28"/>
          <w:szCs w:val="28"/>
          <w:highlight w:val="none"/>
        </w:rPr>
        <w:t>（参照此格式自拟）</w:t>
      </w:r>
      <w:r>
        <w:rPr>
          <w:rFonts w:hint="eastAsia" w:ascii="宋体" w:hAnsi="宋体" w:eastAsia="宋体" w:cs="宋体"/>
          <w:b/>
          <w:bCs/>
          <w:color w:val="auto"/>
          <w:sz w:val="28"/>
          <w:szCs w:val="28"/>
          <w:highlight w:val="none"/>
        </w:rPr>
        <w:t>：</w:t>
      </w:r>
      <w:r>
        <w:rPr>
          <w:rFonts w:hint="eastAsia" w:ascii="宋体" w:hAnsi="宋体" w:eastAsia="宋体" w:cs="宋体"/>
          <w:color w:val="auto"/>
          <w:sz w:val="24"/>
          <w:highlight w:val="none"/>
        </w:rPr>
        <w:t xml:space="preserve">                                      </w:t>
      </w:r>
    </w:p>
    <w:p w14:paraId="73383180">
      <w:pPr>
        <w:snapToGrid w:val="0"/>
        <w:spacing w:before="120" w:beforeLines="50" w:after="50"/>
        <w:ind w:firstLine="6930" w:firstLineChars="330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全流程电子文件</w:t>
      </w:r>
    </w:p>
    <w:p w14:paraId="2034659A">
      <w:pPr>
        <w:snapToGrid w:val="0"/>
        <w:spacing w:before="120" w:beforeLines="50" w:after="50"/>
        <w:rPr>
          <w:rFonts w:hint="eastAsia" w:ascii="宋体" w:hAnsi="宋体" w:eastAsia="宋体" w:cs="宋体"/>
          <w:color w:val="auto"/>
          <w:sz w:val="24"/>
          <w:szCs w:val="20"/>
          <w:highlight w:val="none"/>
        </w:rPr>
      </w:pPr>
    </w:p>
    <w:p w14:paraId="1843095B">
      <w:pPr>
        <w:snapToGrid w:val="0"/>
        <w:spacing w:before="120" w:beforeLines="50" w:after="50"/>
        <w:rPr>
          <w:rFonts w:hint="eastAsia" w:ascii="宋体" w:hAnsi="宋体" w:eastAsia="宋体" w:cs="宋体"/>
          <w:color w:val="auto"/>
          <w:sz w:val="24"/>
          <w:szCs w:val="20"/>
          <w:highlight w:val="none"/>
        </w:rPr>
      </w:pPr>
    </w:p>
    <w:p w14:paraId="2D0DA638">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w:t>
      </w:r>
    </w:p>
    <w:p w14:paraId="7CFA013D">
      <w:pPr>
        <w:snapToGrid w:val="0"/>
        <w:spacing w:before="120" w:beforeLines="50" w:after="50"/>
        <w:rPr>
          <w:rFonts w:hint="eastAsia" w:ascii="宋体" w:hAnsi="宋体" w:eastAsia="宋体" w:cs="宋体"/>
          <w:bCs/>
          <w:color w:val="auto"/>
          <w:sz w:val="24"/>
          <w:szCs w:val="20"/>
          <w:highlight w:val="none"/>
        </w:rPr>
      </w:pPr>
    </w:p>
    <w:p w14:paraId="4DD3978E">
      <w:pPr>
        <w:snapToGrid w:val="0"/>
        <w:spacing w:before="120" w:beforeLines="50" w:after="50"/>
        <w:rPr>
          <w:rFonts w:hint="eastAsia" w:ascii="宋体" w:hAnsi="宋体" w:eastAsia="宋体" w:cs="宋体"/>
          <w:bCs/>
          <w:color w:val="auto"/>
          <w:sz w:val="24"/>
          <w:szCs w:val="20"/>
          <w:highlight w:val="none"/>
        </w:rPr>
      </w:pPr>
    </w:p>
    <w:p w14:paraId="7F94CD07">
      <w:pPr>
        <w:snapToGrid w:val="0"/>
        <w:spacing w:before="120" w:beforeLines="50" w:after="50"/>
        <w:rPr>
          <w:rFonts w:hint="eastAsia" w:ascii="宋体" w:hAnsi="宋体" w:eastAsia="宋体" w:cs="宋体"/>
          <w:bCs/>
          <w:color w:val="auto"/>
          <w:sz w:val="24"/>
          <w:szCs w:val="20"/>
          <w:highlight w:val="none"/>
        </w:rPr>
      </w:pPr>
    </w:p>
    <w:p w14:paraId="40FE3308">
      <w:pPr>
        <w:snapToGrid w:val="0"/>
        <w:spacing w:before="120" w:beforeLines="50" w:after="50"/>
        <w:rPr>
          <w:rFonts w:hint="eastAsia" w:ascii="宋体" w:hAnsi="宋体" w:eastAsia="宋体" w:cs="宋体"/>
          <w:bCs/>
          <w:color w:val="auto"/>
          <w:sz w:val="24"/>
          <w:szCs w:val="20"/>
          <w:highlight w:val="none"/>
        </w:rPr>
      </w:pPr>
    </w:p>
    <w:p w14:paraId="6FDBD847">
      <w:pPr>
        <w:snapToGrid w:val="0"/>
        <w:spacing w:before="120" w:beforeLines="50" w:after="50"/>
        <w:rPr>
          <w:rFonts w:hint="eastAsia" w:ascii="宋体" w:hAnsi="宋体" w:eastAsia="宋体" w:cs="宋体"/>
          <w:bCs/>
          <w:color w:val="auto"/>
          <w:sz w:val="24"/>
          <w:szCs w:val="20"/>
          <w:highlight w:val="none"/>
        </w:rPr>
      </w:pPr>
    </w:p>
    <w:p w14:paraId="703E6BD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6A0E23B9">
      <w:pPr>
        <w:snapToGrid w:val="0"/>
        <w:spacing w:before="120" w:beforeLines="50" w:after="50"/>
        <w:ind w:firstLine="720" w:firstLineChars="225"/>
        <w:rPr>
          <w:rFonts w:hint="eastAsia" w:ascii="宋体" w:hAnsi="宋体" w:eastAsia="宋体" w:cs="宋体"/>
          <w:bCs/>
          <w:color w:val="auto"/>
          <w:sz w:val="32"/>
          <w:szCs w:val="32"/>
          <w:highlight w:val="none"/>
        </w:rPr>
      </w:pPr>
    </w:p>
    <w:p w14:paraId="18DED428">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641A39A3">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BED60FE">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80FADBC">
      <w:pPr>
        <w:snapToGrid w:val="0"/>
        <w:spacing w:before="120" w:beforeLines="50" w:after="50"/>
        <w:ind w:firstLine="720" w:firstLineChars="225"/>
        <w:rPr>
          <w:rFonts w:hint="eastAsia" w:ascii="宋体" w:hAnsi="宋体" w:eastAsia="宋体" w:cs="宋体"/>
          <w:bCs/>
          <w:color w:val="auto"/>
          <w:sz w:val="32"/>
          <w:szCs w:val="32"/>
          <w:highlight w:val="none"/>
        </w:rPr>
      </w:pPr>
    </w:p>
    <w:p w14:paraId="102441B7">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DC35B3A">
      <w:pPr>
        <w:pStyle w:val="7"/>
        <w:snapToGrid w:val="0"/>
        <w:spacing w:before="50" w:after="50"/>
        <w:ind w:firstLine="720" w:firstLineChars="225"/>
        <w:rPr>
          <w:rFonts w:hint="eastAsia" w:ascii="宋体" w:hAnsi="宋体" w:eastAsia="宋体" w:cs="宋体"/>
          <w:bCs/>
          <w:color w:val="auto"/>
          <w:sz w:val="32"/>
          <w:szCs w:val="32"/>
          <w:highlight w:val="none"/>
        </w:rPr>
      </w:pPr>
    </w:p>
    <w:p w14:paraId="03EFC22B">
      <w:pPr>
        <w:pStyle w:val="7"/>
        <w:snapToGrid w:val="0"/>
        <w:spacing w:before="50" w:after="50"/>
        <w:ind w:firstLine="720" w:firstLineChars="225"/>
        <w:rPr>
          <w:rFonts w:hint="eastAsia" w:ascii="宋体" w:hAnsi="宋体" w:eastAsia="宋体" w:cs="宋体"/>
          <w:bCs/>
          <w:color w:val="auto"/>
          <w:sz w:val="32"/>
          <w:szCs w:val="32"/>
          <w:highlight w:val="none"/>
        </w:rPr>
      </w:pPr>
    </w:p>
    <w:p w14:paraId="2DD62038">
      <w:pPr>
        <w:pStyle w:val="7"/>
        <w:snapToGrid w:val="0"/>
        <w:spacing w:before="50" w:after="50"/>
        <w:ind w:firstLine="720" w:firstLineChars="225"/>
        <w:rPr>
          <w:rFonts w:hint="eastAsia" w:ascii="宋体" w:hAnsi="宋体" w:eastAsia="宋体" w:cs="宋体"/>
          <w:bCs/>
          <w:color w:val="auto"/>
          <w:sz w:val="32"/>
          <w:szCs w:val="32"/>
          <w:highlight w:val="none"/>
        </w:rPr>
      </w:pPr>
    </w:p>
    <w:p w14:paraId="4B9CF99A">
      <w:pPr>
        <w:pStyle w:val="7"/>
        <w:snapToGrid w:val="0"/>
        <w:spacing w:before="50" w:after="50"/>
        <w:ind w:firstLine="1280" w:firstLineChars="400"/>
        <w:rPr>
          <w:rFonts w:hint="eastAsia" w:ascii="宋体" w:hAnsi="宋体" w:eastAsia="宋体" w:cs="宋体"/>
          <w:bCs/>
          <w:color w:val="auto"/>
          <w:sz w:val="32"/>
          <w:szCs w:val="32"/>
          <w:highlight w:val="none"/>
        </w:rPr>
      </w:pPr>
    </w:p>
    <w:p w14:paraId="00C3E05B">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CEA58CC">
      <w:pPr>
        <w:snapToGrid w:val="0"/>
        <w:spacing w:before="120" w:beforeLines="50" w:after="50" w:line="360" w:lineRule="auto"/>
        <w:jc w:val="left"/>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8"/>
          <w:szCs w:val="28"/>
          <w:highlight w:val="none"/>
        </w:rPr>
        <w:t>2.资格证明文件目录</w:t>
      </w:r>
    </w:p>
    <w:p w14:paraId="655E5CFD">
      <w:pPr>
        <w:spacing w:line="360" w:lineRule="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根据竞争性磋商文件规定及供应商提供的材料自行编写目录（部分格式后附）。</w:t>
      </w:r>
    </w:p>
    <w:p w14:paraId="70FB569D">
      <w:pPr>
        <w:spacing w:line="320" w:lineRule="exact"/>
        <w:jc w:val="left"/>
        <w:rPr>
          <w:rFonts w:hint="eastAsia" w:ascii="宋体" w:hAnsi="宋体" w:eastAsia="宋体" w:cs="宋体"/>
          <w:b/>
          <w:bCs/>
          <w:color w:val="auto"/>
          <w:sz w:val="28"/>
          <w:szCs w:val="28"/>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kern w:val="0"/>
          <w:sz w:val="28"/>
          <w:szCs w:val="28"/>
          <w:highlight w:val="none"/>
        </w:rPr>
        <w:t>3.声明函的格式：</w:t>
      </w:r>
    </w:p>
    <w:p w14:paraId="77E4214D">
      <w:pPr>
        <w:spacing w:line="320" w:lineRule="exact"/>
        <w:jc w:val="center"/>
        <w:rPr>
          <w:rFonts w:hint="eastAsia" w:ascii="宋体" w:hAnsi="宋体" w:eastAsia="宋体" w:cs="宋体"/>
          <w:b/>
          <w:color w:val="auto"/>
          <w:sz w:val="32"/>
          <w:szCs w:val="32"/>
          <w:highlight w:val="none"/>
        </w:rPr>
      </w:pPr>
    </w:p>
    <w:p w14:paraId="098AD2AE">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声明函</w:t>
      </w:r>
    </w:p>
    <w:p w14:paraId="27F513B7">
      <w:pPr>
        <w:spacing w:line="320" w:lineRule="exact"/>
        <w:jc w:val="center"/>
        <w:rPr>
          <w:rFonts w:hint="eastAsia" w:ascii="宋体" w:hAnsi="宋体" w:eastAsia="宋体" w:cs="宋体"/>
          <w:color w:val="auto"/>
          <w:sz w:val="24"/>
          <w:szCs w:val="20"/>
          <w:highlight w:val="none"/>
        </w:rPr>
      </w:pPr>
    </w:p>
    <w:p w14:paraId="3F312265">
      <w:pPr>
        <w:spacing w:line="44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257B5EE9">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i/>
          <w:iCs/>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181D6A9">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i/>
          <w:iCs/>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39046DE8">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24BB45A4">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B0562CA">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1D2461C9">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5A2E95D9">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（2）已详细审查磋商文件的全部内容，包括澄清或者更正公告（如有）；</w:t>
      </w:r>
    </w:p>
    <w:p w14:paraId="1F7D7F1D">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（3）同意提供按照贵方可能要求的与磋商有关的一切数据或者资料。</w:t>
      </w:r>
    </w:p>
    <w:p w14:paraId="55592906">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57D4D12E">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14:paraId="58A36187">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6C59BFD2">
      <w:pPr>
        <w:spacing w:line="440" w:lineRule="exact"/>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D427B3F">
      <w:pPr>
        <w:pStyle w:val="18"/>
        <w:tabs>
          <w:tab w:val="left" w:pos="939"/>
        </w:tabs>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6.</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14:paraId="164C00C4">
      <w:pPr>
        <w:pStyle w:val="18"/>
        <w:tabs>
          <w:tab w:val="left" w:pos="939"/>
        </w:tabs>
        <w:spacing w:line="440" w:lineRule="exact"/>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0F6325E">
      <w:pPr>
        <w:pStyle w:val="18"/>
        <w:tabs>
          <w:tab w:val="left" w:pos="939"/>
        </w:tabs>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注：如为联合体竞标，盖章处须加盖联合体各方公章，否则其响应文件按无效响应处理。</w:t>
      </w:r>
    </w:p>
    <w:p w14:paraId="44250DA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28D1EC31">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14:paraId="5DBB861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D9BDFE1">
      <w:pPr>
        <w:rPr>
          <w:rFonts w:hint="eastAsia" w:ascii="宋体" w:hAnsi="宋体" w:eastAsia="宋体" w:cs="宋体"/>
          <w:color w:val="auto"/>
          <w:kern w:val="0"/>
          <w:sz w:val="24"/>
          <w:highlight w:val="none"/>
          <w:lang w:val="zh-CN"/>
        </w:rPr>
      </w:pPr>
    </w:p>
    <w:p w14:paraId="0F78CF13">
      <w:pPr>
        <w:snapToGrid w:val="0"/>
        <w:spacing w:line="360" w:lineRule="auto"/>
        <w:ind w:right="48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4.</w:t>
      </w:r>
      <w:r>
        <w:rPr>
          <w:rFonts w:hint="eastAsia" w:ascii="宋体" w:hAnsi="宋体" w:eastAsia="宋体" w:cs="宋体"/>
          <w:b/>
          <w:color w:val="auto"/>
          <w:sz w:val="28"/>
          <w:szCs w:val="28"/>
          <w:highlight w:val="none"/>
        </w:rPr>
        <w:t>供应商直接控股股东信息表的格式</w:t>
      </w:r>
      <w:r>
        <w:rPr>
          <w:rFonts w:hint="eastAsia" w:ascii="宋体" w:hAnsi="宋体" w:eastAsia="宋体" w:cs="宋体"/>
          <w:color w:val="auto"/>
          <w:sz w:val="28"/>
          <w:szCs w:val="28"/>
          <w:highlight w:val="none"/>
        </w:rPr>
        <w:t>：</w:t>
      </w:r>
    </w:p>
    <w:p w14:paraId="135E8193">
      <w:pPr>
        <w:snapToGrid w:val="0"/>
        <w:jc w:val="left"/>
        <w:rPr>
          <w:rFonts w:hint="eastAsia" w:ascii="宋体" w:hAnsi="宋体" w:eastAsia="宋体" w:cs="宋体"/>
          <w:color w:val="auto"/>
          <w:sz w:val="18"/>
          <w:szCs w:val="18"/>
          <w:highlight w:val="none"/>
        </w:rPr>
      </w:pPr>
    </w:p>
    <w:p w14:paraId="08C55CE7">
      <w:pPr>
        <w:snapToGrid w:val="0"/>
        <w:spacing w:before="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供应商直接控股股东信息表</w:t>
      </w:r>
    </w:p>
    <w:tbl>
      <w:tblPr>
        <w:tblStyle w:val="32"/>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7BEB0A70">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9F6DD0">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33C37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3D956F">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1C8C4E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7E33FA">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266B59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26C4EA">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345077">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7C96FB">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F892FA">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1CBB8D">
            <w:pPr>
              <w:spacing w:line="360" w:lineRule="auto"/>
              <w:jc w:val="center"/>
              <w:rPr>
                <w:rFonts w:hint="eastAsia" w:ascii="宋体" w:hAnsi="宋体" w:eastAsia="宋体" w:cs="宋体"/>
                <w:color w:val="auto"/>
                <w:kern w:val="0"/>
                <w:sz w:val="24"/>
                <w:highlight w:val="none"/>
              </w:rPr>
            </w:pPr>
          </w:p>
        </w:tc>
      </w:tr>
      <w:tr w14:paraId="31C456F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84B523">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B7077B">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4F1621">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63E928">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52FE77">
            <w:pPr>
              <w:spacing w:line="360" w:lineRule="auto"/>
              <w:jc w:val="center"/>
              <w:rPr>
                <w:rFonts w:hint="eastAsia" w:ascii="宋体" w:hAnsi="宋体" w:eastAsia="宋体" w:cs="宋体"/>
                <w:color w:val="auto"/>
                <w:kern w:val="0"/>
                <w:sz w:val="24"/>
                <w:highlight w:val="none"/>
              </w:rPr>
            </w:pPr>
          </w:p>
        </w:tc>
      </w:tr>
      <w:tr w14:paraId="1556DA1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8B6653">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99D536">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48955E">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4EA07A">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AE67E7">
            <w:pPr>
              <w:spacing w:line="360" w:lineRule="auto"/>
              <w:jc w:val="center"/>
              <w:rPr>
                <w:rFonts w:hint="eastAsia" w:ascii="宋体" w:hAnsi="宋体" w:eastAsia="宋体" w:cs="宋体"/>
                <w:color w:val="auto"/>
                <w:kern w:val="0"/>
                <w:sz w:val="24"/>
                <w:highlight w:val="none"/>
              </w:rPr>
            </w:pPr>
          </w:p>
        </w:tc>
      </w:tr>
      <w:tr w14:paraId="3CC6B18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1D7F3B">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75E6B">
            <w:pPr>
              <w:spacing w:line="360" w:lineRule="auto"/>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9B8ED1">
            <w:pPr>
              <w:spacing w:line="360" w:lineRule="auto"/>
              <w:jc w:val="center"/>
              <w:rPr>
                <w:rFonts w:hint="eastAsia" w:ascii="宋体" w:hAnsi="宋体" w:eastAsia="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061969">
            <w:pPr>
              <w:spacing w:line="360" w:lineRule="auto"/>
              <w:jc w:val="center"/>
              <w:rPr>
                <w:rFonts w:hint="eastAsia" w:ascii="宋体" w:hAnsi="宋体" w:eastAsia="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00C266">
            <w:pPr>
              <w:spacing w:line="360" w:lineRule="auto"/>
              <w:jc w:val="center"/>
              <w:rPr>
                <w:rFonts w:hint="eastAsia" w:ascii="宋体" w:hAnsi="宋体" w:eastAsia="宋体" w:cs="宋体"/>
                <w:color w:val="auto"/>
                <w:kern w:val="0"/>
                <w:sz w:val="24"/>
                <w:highlight w:val="none"/>
              </w:rPr>
            </w:pPr>
          </w:p>
        </w:tc>
      </w:tr>
    </w:tbl>
    <w:p w14:paraId="34C9414F">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E970F0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E9A9EE8">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65F62406">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191A0CE1">
      <w:pPr>
        <w:snapToGrid w:val="0"/>
        <w:spacing w:before="50" w:after="120" w:afterLines="50"/>
        <w:ind w:firstLine="180" w:firstLineChars="100"/>
        <w:jc w:val="left"/>
        <w:rPr>
          <w:rFonts w:hint="eastAsia" w:ascii="宋体" w:hAnsi="宋体" w:eastAsia="宋体" w:cs="宋体"/>
          <w:color w:val="auto"/>
          <w:sz w:val="18"/>
          <w:szCs w:val="18"/>
          <w:highlight w:val="none"/>
        </w:rPr>
      </w:pPr>
    </w:p>
    <w:p w14:paraId="5AAB40AD">
      <w:pPr>
        <w:snapToGrid w:val="0"/>
        <w:spacing w:before="50" w:after="240" w:afterLines="10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98AFC51">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供应商名称（盖公章）：</w:t>
      </w:r>
    </w:p>
    <w:p w14:paraId="7C058764">
      <w:pPr>
        <w:snapToGrid w:val="0"/>
        <w:spacing w:before="50" w:after="240" w:afterLines="100" w:line="360" w:lineRule="auto"/>
        <w:ind w:left="7428" w:leftChars="2223" w:hanging="2760" w:hangingChars="1150"/>
        <w:jc w:val="left"/>
        <w:rPr>
          <w:rFonts w:hint="eastAsia" w:ascii="宋体" w:hAnsi="宋体" w:eastAsia="宋体" w:cs="宋体"/>
          <w:b/>
          <w:bCs/>
          <w:color w:val="auto"/>
          <w:sz w:val="30"/>
          <w:szCs w:val="30"/>
          <w:highlight w:val="none"/>
        </w:rPr>
      </w:pPr>
      <w:r>
        <w:rPr>
          <w:rFonts w:hint="eastAsia" w:ascii="宋体" w:hAnsi="宋体" w:eastAsia="宋体" w:cs="宋体"/>
          <w:color w:val="auto"/>
          <w:kern w:val="0"/>
          <w:sz w:val="24"/>
          <w:highlight w:val="none"/>
          <w:lang w:val="zh-CN"/>
        </w:rPr>
        <w:t>日期：  年  月   日</w:t>
      </w:r>
    </w:p>
    <w:p w14:paraId="3EEA7BDE">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CAEBE30">
      <w:pPr>
        <w:snapToGrid w:val="0"/>
        <w:spacing w:line="360" w:lineRule="auto"/>
        <w:ind w:right="48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5.</w:t>
      </w:r>
      <w:r>
        <w:rPr>
          <w:rFonts w:hint="eastAsia" w:ascii="宋体" w:hAnsi="宋体" w:eastAsia="宋体" w:cs="宋体"/>
          <w:b/>
          <w:color w:val="auto"/>
          <w:sz w:val="28"/>
          <w:szCs w:val="28"/>
          <w:highlight w:val="none"/>
        </w:rPr>
        <w:t>供应商直接管理关系信息表的格式</w:t>
      </w:r>
      <w:r>
        <w:rPr>
          <w:rFonts w:hint="eastAsia" w:ascii="宋体" w:hAnsi="宋体" w:eastAsia="宋体" w:cs="宋体"/>
          <w:color w:val="auto"/>
          <w:sz w:val="28"/>
          <w:szCs w:val="28"/>
          <w:highlight w:val="none"/>
        </w:rPr>
        <w:t>：</w:t>
      </w:r>
    </w:p>
    <w:p w14:paraId="2513E58B">
      <w:pPr>
        <w:snapToGrid w:val="0"/>
        <w:jc w:val="left"/>
        <w:rPr>
          <w:rFonts w:hint="eastAsia" w:ascii="宋体" w:hAnsi="宋体" w:eastAsia="宋体" w:cs="宋体"/>
          <w:color w:val="auto"/>
          <w:sz w:val="18"/>
          <w:szCs w:val="18"/>
          <w:highlight w:val="none"/>
        </w:rPr>
      </w:pPr>
    </w:p>
    <w:p w14:paraId="1D4DFD93">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供应商直接管理关系信息表</w:t>
      </w:r>
    </w:p>
    <w:tbl>
      <w:tblPr>
        <w:tblStyle w:val="3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2E510D05">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3F1E2AD">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5D4239">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93C903">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5C01F6">
            <w:pPr>
              <w:spacing w:line="360" w:lineRule="auto"/>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1FEEE77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E064E9">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36CC12">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A2D039">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803AD6">
            <w:pPr>
              <w:spacing w:line="360" w:lineRule="auto"/>
              <w:jc w:val="center"/>
              <w:rPr>
                <w:rFonts w:hint="eastAsia" w:ascii="宋体" w:hAnsi="宋体" w:eastAsia="宋体" w:cs="宋体"/>
                <w:color w:val="auto"/>
                <w:kern w:val="0"/>
                <w:sz w:val="24"/>
                <w:highlight w:val="none"/>
              </w:rPr>
            </w:pPr>
          </w:p>
        </w:tc>
      </w:tr>
      <w:tr w14:paraId="7F24B8D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AF2754">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1F89E2">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777930">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907460">
            <w:pPr>
              <w:spacing w:line="360" w:lineRule="auto"/>
              <w:jc w:val="center"/>
              <w:rPr>
                <w:rFonts w:hint="eastAsia" w:ascii="宋体" w:hAnsi="宋体" w:eastAsia="宋体" w:cs="宋体"/>
                <w:color w:val="auto"/>
                <w:kern w:val="0"/>
                <w:sz w:val="24"/>
                <w:highlight w:val="none"/>
              </w:rPr>
            </w:pPr>
          </w:p>
        </w:tc>
      </w:tr>
      <w:tr w14:paraId="1CF3376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8AC687">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312B88">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8015A1">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305864">
            <w:pPr>
              <w:spacing w:line="360" w:lineRule="auto"/>
              <w:jc w:val="center"/>
              <w:rPr>
                <w:rFonts w:hint="eastAsia" w:ascii="宋体" w:hAnsi="宋体" w:eastAsia="宋体" w:cs="宋体"/>
                <w:color w:val="auto"/>
                <w:kern w:val="0"/>
                <w:sz w:val="24"/>
                <w:highlight w:val="none"/>
              </w:rPr>
            </w:pPr>
          </w:p>
        </w:tc>
      </w:tr>
      <w:tr w14:paraId="3633A4F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AF0EB9">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A88138">
            <w:pPr>
              <w:spacing w:line="360" w:lineRule="auto"/>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B58074">
            <w:pPr>
              <w:spacing w:line="360" w:lineRule="auto"/>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944BA4">
            <w:pPr>
              <w:spacing w:line="360" w:lineRule="auto"/>
              <w:jc w:val="center"/>
              <w:rPr>
                <w:rFonts w:hint="eastAsia" w:ascii="宋体" w:hAnsi="宋体" w:eastAsia="宋体" w:cs="宋体"/>
                <w:color w:val="auto"/>
                <w:kern w:val="0"/>
                <w:sz w:val="24"/>
                <w:highlight w:val="none"/>
              </w:rPr>
            </w:pPr>
          </w:p>
        </w:tc>
      </w:tr>
    </w:tbl>
    <w:p w14:paraId="164D5F7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DD3AE6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1E8A0BB0">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034A49E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34D7C8C0">
      <w:pPr>
        <w:snapToGrid w:val="0"/>
        <w:spacing w:before="50" w:after="120" w:afterLines="50"/>
        <w:ind w:firstLine="180" w:firstLineChars="100"/>
        <w:jc w:val="left"/>
        <w:rPr>
          <w:rFonts w:hint="eastAsia" w:ascii="宋体" w:hAnsi="宋体" w:eastAsia="宋体" w:cs="宋体"/>
          <w:color w:val="auto"/>
          <w:sz w:val="18"/>
          <w:szCs w:val="18"/>
          <w:highlight w:val="none"/>
        </w:rPr>
      </w:pPr>
    </w:p>
    <w:p w14:paraId="58EDC5C6">
      <w:pPr>
        <w:snapToGrid w:val="0"/>
        <w:spacing w:before="50" w:after="240" w:afterLines="10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BFE50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供应商名称（盖公章）：</w:t>
      </w:r>
    </w:p>
    <w:p w14:paraId="55C5816D">
      <w:pPr>
        <w:snapToGrid w:val="0"/>
        <w:spacing w:before="50" w:after="240" w:afterLines="100" w:line="360" w:lineRule="auto"/>
        <w:ind w:left="7428" w:leftChars="2223" w:hanging="2760" w:hangingChars="1150"/>
        <w:jc w:val="left"/>
        <w:rPr>
          <w:rFonts w:hint="eastAsia" w:ascii="宋体" w:hAnsi="宋体" w:eastAsia="宋体" w:cs="宋体"/>
          <w:b/>
          <w:bCs/>
          <w:color w:val="auto"/>
          <w:sz w:val="30"/>
          <w:szCs w:val="30"/>
          <w:highlight w:val="none"/>
        </w:rPr>
      </w:pPr>
      <w:r>
        <w:rPr>
          <w:rFonts w:hint="eastAsia" w:ascii="宋体" w:hAnsi="宋体" w:eastAsia="宋体" w:cs="宋体"/>
          <w:color w:val="auto"/>
          <w:kern w:val="0"/>
          <w:sz w:val="24"/>
          <w:highlight w:val="none"/>
          <w:lang w:val="zh-CN"/>
        </w:rPr>
        <w:t>日期：  年  月   日</w:t>
      </w:r>
    </w:p>
    <w:p w14:paraId="72558BD9">
      <w:pP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br w:type="page"/>
      </w:r>
    </w:p>
    <w:p w14:paraId="12D7DED2">
      <w:pPr>
        <w:pStyle w:val="7"/>
        <w:overflowPunct w:val="0"/>
        <w:spacing w:line="520" w:lineRule="exact"/>
        <w:ind w:firstLine="0"/>
        <w:rPr>
          <w:rFonts w:hint="eastAsia" w:ascii="宋体" w:hAnsi="宋体" w:eastAsia="宋体" w:cs="宋体"/>
          <w:b/>
          <w:bCs/>
          <w:color w:val="auto"/>
          <w:sz w:val="28"/>
          <w:szCs w:val="28"/>
          <w:highlight w:val="none"/>
        </w:rPr>
      </w:pPr>
      <w:r>
        <w:rPr>
          <w:rFonts w:hint="eastAsia" w:ascii="宋体" w:hAnsi="宋体" w:eastAsia="宋体" w:cs="宋体"/>
          <w:b/>
          <w:color w:val="auto"/>
          <w:kern w:val="0"/>
          <w:sz w:val="28"/>
          <w:szCs w:val="28"/>
          <w:highlight w:val="none"/>
        </w:rPr>
        <w:t>6.联合体竞标协议书的格式：</w:t>
      </w:r>
    </w:p>
    <w:p w14:paraId="0F7D43A2">
      <w:pPr>
        <w:spacing w:line="600" w:lineRule="exact"/>
        <w:jc w:val="center"/>
        <w:rPr>
          <w:rFonts w:hint="eastAsia" w:ascii="宋体" w:hAnsi="宋体" w:eastAsia="宋体" w:cs="宋体"/>
          <w:color w:val="auto"/>
          <w:sz w:val="44"/>
          <w:szCs w:val="44"/>
          <w:highlight w:val="none"/>
        </w:rPr>
      </w:pPr>
    </w:p>
    <w:p w14:paraId="63E963D5">
      <w:pPr>
        <w:spacing w:line="6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联合体竞标协议书</w:t>
      </w:r>
    </w:p>
    <w:p w14:paraId="7A99808F">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14:paraId="1A9081B5">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（所有成员单位名称）自愿组成联合体，共同参加</w:t>
      </w:r>
      <w:r>
        <w:rPr>
          <w:rFonts w:hint="eastAsia" w:ascii="宋体" w:hAnsi="宋体" w:eastAsia="宋体" w:cs="宋体"/>
          <w:color w:val="auto"/>
          <w:kern w:val="0"/>
          <w:sz w:val="24"/>
          <w:highlight w:val="none"/>
          <w:u w:val="single"/>
        </w:rPr>
        <w:t xml:space="preserve">     </w:t>
      </w:r>
      <w:r>
        <w:rPr>
          <w:rFonts w:hint="eastAsia" w:ascii="宋体" w:hAnsi="宋体" w:eastAsia="宋体" w:cs="宋体"/>
          <w:i/>
          <w:iCs/>
          <w:color w:val="auto"/>
          <w:kern w:val="0"/>
          <w:sz w:val="24"/>
          <w:highlight w:val="none"/>
          <w:u w:val="single"/>
        </w:rPr>
        <w:t>（采购代理机构名称）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组织的</w:t>
      </w:r>
      <w:r>
        <w:rPr>
          <w:rFonts w:hint="eastAsia" w:ascii="宋体" w:hAnsi="宋体" w:eastAsia="宋体" w:cs="宋体"/>
          <w:color w:val="auto"/>
          <w:kern w:val="0"/>
          <w:sz w:val="24"/>
          <w:highlight w:val="none"/>
          <w:u w:val="single"/>
        </w:rPr>
        <w:t xml:space="preserve">        </w:t>
      </w:r>
      <w:r>
        <w:rPr>
          <w:rFonts w:hint="eastAsia" w:ascii="宋体" w:hAnsi="宋体" w:eastAsia="宋体" w:cs="宋体"/>
          <w:i/>
          <w:iCs/>
          <w:color w:val="auto"/>
          <w:kern w:val="0"/>
          <w:sz w:val="24"/>
          <w:highlight w:val="none"/>
          <w:u w:val="single"/>
        </w:rPr>
        <w:t xml:space="preserve"> （项目名称）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（项目编号：</w:t>
      </w:r>
      <w:r>
        <w:rPr>
          <w:rFonts w:hint="eastAsia" w:ascii="宋体" w:hAnsi="宋体" w:eastAsia="宋体" w:cs="宋体"/>
          <w:i/>
          <w:iCs/>
          <w:color w:val="auto"/>
          <w:kern w:val="0"/>
          <w:sz w:val="24"/>
          <w:highlight w:val="none"/>
          <w:u w:val="single"/>
        </w:rPr>
        <w:t>（项目编号）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）竞争性磋商采购。现就联合体竞标事宜订立如下协议：</w:t>
      </w:r>
    </w:p>
    <w:p w14:paraId="362BEAA9">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（某成员单位名称）为联合体名称牵头人。</w:t>
      </w:r>
    </w:p>
    <w:p w14:paraId="201DD7FB">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0F55C167">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0E01C50E">
      <w:pPr>
        <w:autoSpaceDE w:val="0"/>
        <w:autoSpaceDN w:val="0"/>
        <w:adjustRightInd w:val="0"/>
        <w:spacing w:line="360" w:lineRule="exact"/>
        <w:ind w:left="479" w:leftChars="228"/>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4、联合体各成员单位内部的职责分工如下：</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9D360CE">
      <w:pPr>
        <w:spacing w:line="3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5、本联合体中，</w:t>
      </w:r>
      <w:r>
        <w:rPr>
          <w:rFonts w:hint="eastAsia" w:ascii="宋体" w:hAnsi="宋体" w:eastAsia="宋体" w:cs="宋体"/>
          <w:color w:val="auto"/>
          <w:kern w:val="0"/>
          <w:sz w:val="24"/>
          <w:highlight w:val="none"/>
          <w:u w:val="single"/>
        </w:rPr>
        <w:t xml:space="preserve">                         （某成员单位名称）为       </w:t>
      </w:r>
      <w:r>
        <w:rPr>
          <w:rFonts w:hint="eastAsia" w:ascii="宋体" w:hAnsi="宋体" w:eastAsia="宋体" w:cs="宋体"/>
          <w:color w:val="auto"/>
          <w:kern w:val="0"/>
          <w:sz w:val="24"/>
          <w:highlight w:val="none"/>
        </w:rPr>
        <w:t>（请填写：中型、小型、微型）企业，其协议合同金额占联合体协议合同总金额的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%。【如联合体成员中有小型、微型企业的，请填写此条，否则无需填写；如联合体成员中有多个小型、微型企业的，请逐一列出。】</w:t>
      </w:r>
    </w:p>
    <w:p w14:paraId="6CAADD89">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6、本协议书自签署之日起生效，合同履行完毕后自动失效。</w:t>
      </w:r>
    </w:p>
    <w:p w14:paraId="7DD8A671">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7、本协议书一式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份，联合体成员和采购代理机构各执一份。</w:t>
      </w:r>
    </w:p>
    <w:p w14:paraId="16B797F3">
      <w:pPr>
        <w:autoSpaceDE w:val="0"/>
        <w:autoSpaceDN w:val="0"/>
        <w:adjustRightInd w:val="0"/>
        <w:spacing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注：本协议书由法定代表人签字的，应附法定代表人身份证明；本协议书由委托代理人签字的，应附法定代表人授权委托书。</w:t>
      </w:r>
    </w:p>
    <w:p w14:paraId="374E85C0">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牵头人名称：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（盖公章）</w:t>
      </w:r>
    </w:p>
    <w:p w14:paraId="2481C558">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w:t>
      </w:r>
    </w:p>
    <w:p w14:paraId="7D925DF7">
      <w:pPr>
        <w:autoSpaceDE w:val="0"/>
        <w:autoSpaceDN w:val="0"/>
        <w:adjustRightInd w:val="0"/>
        <w:spacing w:line="360" w:lineRule="exact"/>
        <w:jc w:val="left"/>
        <w:rPr>
          <w:rFonts w:hint="eastAsia" w:ascii="宋体" w:hAnsi="宋体" w:eastAsia="宋体" w:cs="宋体"/>
          <w:color w:val="auto"/>
          <w:kern w:val="0"/>
          <w:sz w:val="24"/>
          <w:highlight w:val="none"/>
        </w:rPr>
      </w:pPr>
    </w:p>
    <w:p w14:paraId="7910D86D">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成员一名称：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（盖公章）</w:t>
      </w:r>
    </w:p>
    <w:p w14:paraId="313E28CC">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w:t>
      </w:r>
    </w:p>
    <w:p w14:paraId="6C384442">
      <w:pPr>
        <w:autoSpaceDE w:val="0"/>
        <w:autoSpaceDN w:val="0"/>
        <w:adjustRightInd w:val="0"/>
        <w:spacing w:line="360" w:lineRule="exact"/>
        <w:jc w:val="left"/>
        <w:rPr>
          <w:rFonts w:hint="eastAsia" w:ascii="宋体" w:hAnsi="宋体" w:eastAsia="宋体" w:cs="宋体"/>
          <w:color w:val="auto"/>
          <w:kern w:val="0"/>
          <w:szCs w:val="21"/>
          <w:highlight w:val="none"/>
        </w:rPr>
      </w:pPr>
    </w:p>
    <w:p w14:paraId="5DD86DC2">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成员二名称：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（盖公章）</w:t>
      </w:r>
    </w:p>
    <w:p w14:paraId="523C3D53">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                         （签字）</w:t>
      </w:r>
    </w:p>
    <w:p w14:paraId="73DFBD12">
      <w:pPr>
        <w:autoSpaceDE w:val="0"/>
        <w:autoSpaceDN w:val="0"/>
        <w:adjustRightInd w:val="0"/>
        <w:spacing w:line="360" w:lineRule="exact"/>
        <w:jc w:val="left"/>
        <w:rPr>
          <w:rFonts w:hint="eastAsia" w:ascii="宋体" w:hAnsi="宋体" w:eastAsia="宋体" w:cs="宋体"/>
          <w:color w:val="auto"/>
          <w:kern w:val="0"/>
          <w:sz w:val="24"/>
          <w:highlight w:val="none"/>
        </w:rPr>
      </w:pPr>
    </w:p>
    <w:p w14:paraId="65B633B9">
      <w:pPr>
        <w:autoSpaceDE w:val="0"/>
        <w:autoSpaceDN w:val="0"/>
        <w:adjustRightInd w:val="0"/>
        <w:spacing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3C5DD8F5">
      <w:pPr>
        <w:autoSpaceDE w:val="0"/>
        <w:autoSpaceDN w:val="0"/>
        <w:spacing w:line="360" w:lineRule="exact"/>
        <w:ind w:left="4365" w:leftChars="1850" w:hanging="480" w:hangingChars="200"/>
        <w:rPr>
          <w:rFonts w:hint="eastAsia" w:ascii="宋体" w:hAnsi="宋体" w:eastAsia="宋体" w:cs="宋体"/>
          <w:color w:val="auto"/>
          <w:kern w:val="0"/>
          <w:sz w:val="24"/>
          <w:highlight w:val="none"/>
        </w:rPr>
      </w:pPr>
    </w:p>
    <w:p w14:paraId="28B1DFF9">
      <w:pPr>
        <w:autoSpaceDE w:val="0"/>
        <w:autoSpaceDN w:val="0"/>
        <w:spacing w:line="360" w:lineRule="exact"/>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491BBF0">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2EA0101">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32FBF89">
      <w:pPr>
        <w:pStyle w:val="3"/>
        <w:jc w:val="center"/>
        <w:rPr>
          <w:rFonts w:hint="eastAsia" w:ascii="宋体" w:hAnsi="宋体" w:eastAsia="宋体" w:cs="宋体"/>
          <w:b w:val="0"/>
          <w:color w:val="auto"/>
          <w:highlight w:val="none"/>
        </w:rPr>
      </w:pPr>
      <w:bookmarkStart w:id="138" w:name="_Toc15951"/>
      <w:bookmarkStart w:id="139" w:name="_Toc20562"/>
      <w:bookmarkStart w:id="140" w:name="_Toc80886944"/>
      <w:bookmarkStart w:id="141" w:name="_Toc80205940"/>
      <w:r>
        <w:rPr>
          <w:rFonts w:hint="eastAsia" w:ascii="宋体" w:hAnsi="宋体" w:eastAsia="宋体" w:cs="宋体"/>
          <w:b w:val="0"/>
          <w:bCs w:val="0"/>
          <w:color w:val="auto"/>
          <w:highlight w:val="none"/>
        </w:rPr>
        <w:t xml:space="preserve">第二节 </w:t>
      </w:r>
      <w:r>
        <w:rPr>
          <w:rFonts w:hint="eastAsia" w:ascii="宋体" w:hAnsi="宋体" w:eastAsia="宋体" w:cs="宋体"/>
          <w:b w:val="0"/>
          <w:color w:val="auto"/>
          <w:highlight w:val="none"/>
        </w:rPr>
        <w:t>商务技术文件格式</w:t>
      </w:r>
      <w:bookmarkEnd w:id="138"/>
      <w:bookmarkEnd w:id="139"/>
      <w:bookmarkEnd w:id="140"/>
      <w:bookmarkEnd w:id="141"/>
    </w:p>
    <w:p w14:paraId="4F9F8474">
      <w:pPr>
        <w:snapToGrid w:val="0"/>
        <w:spacing w:before="120" w:beforeLines="50" w:after="50"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1.商务技术文件封面的格式（参照此格式自拟）：</w:t>
      </w:r>
    </w:p>
    <w:p w14:paraId="688425B7">
      <w:pPr>
        <w:snapToGrid w:val="0"/>
        <w:spacing w:before="120" w:beforeLines="50" w:after="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86F924C">
      <w:pPr>
        <w:snapToGrid w:val="0"/>
        <w:spacing w:before="120" w:beforeLines="50" w:after="50"/>
        <w:ind w:firstLine="6720" w:firstLineChars="320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全流程电子文件</w:t>
      </w:r>
    </w:p>
    <w:p w14:paraId="147F7E51">
      <w:pPr>
        <w:snapToGrid w:val="0"/>
        <w:spacing w:before="120" w:beforeLines="50" w:after="50"/>
        <w:rPr>
          <w:rFonts w:hint="eastAsia" w:ascii="宋体" w:hAnsi="宋体" w:eastAsia="宋体" w:cs="宋体"/>
          <w:color w:val="auto"/>
          <w:sz w:val="24"/>
          <w:szCs w:val="20"/>
          <w:highlight w:val="none"/>
        </w:rPr>
      </w:pPr>
    </w:p>
    <w:p w14:paraId="5003BB69">
      <w:pPr>
        <w:snapToGrid w:val="0"/>
        <w:spacing w:before="120" w:beforeLines="50" w:after="50"/>
        <w:rPr>
          <w:rFonts w:hint="eastAsia" w:ascii="宋体" w:hAnsi="宋体" w:eastAsia="宋体" w:cs="宋体"/>
          <w:color w:val="auto"/>
          <w:sz w:val="24"/>
          <w:szCs w:val="20"/>
          <w:highlight w:val="none"/>
        </w:rPr>
      </w:pPr>
    </w:p>
    <w:p w14:paraId="04A71F36">
      <w:pPr>
        <w:snapToGrid w:val="0"/>
        <w:spacing w:before="120" w:beforeLines="50" w:after="50"/>
        <w:rPr>
          <w:rFonts w:hint="eastAsia" w:ascii="宋体" w:hAnsi="宋体" w:eastAsia="宋体" w:cs="宋体"/>
          <w:color w:val="auto"/>
          <w:sz w:val="24"/>
          <w:szCs w:val="20"/>
          <w:highlight w:val="none"/>
        </w:rPr>
      </w:pPr>
    </w:p>
    <w:p w14:paraId="6D79ACEC">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w:t>
      </w:r>
    </w:p>
    <w:p w14:paraId="416142D8">
      <w:pPr>
        <w:snapToGrid w:val="0"/>
        <w:spacing w:before="120" w:beforeLines="50" w:after="50"/>
        <w:rPr>
          <w:rFonts w:hint="eastAsia" w:ascii="宋体" w:hAnsi="宋体" w:eastAsia="宋体" w:cs="宋体"/>
          <w:bCs/>
          <w:color w:val="auto"/>
          <w:sz w:val="24"/>
          <w:szCs w:val="20"/>
          <w:highlight w:val="none"/>
        </w:rPr>
      </w:pPr>
    </w:p>
    <w:p w14:paraId="5DF92553">
      <w:pPr>
        <w:snapToGrid w:val="0"/>
        <w:spacing w:before="120" w:beforeLines="50" w:after="50"/>
        <w:rPr>
          <w:rFonts w:hint="eastAsia" w:ascii="宋体" w:hAnsi="宋体" w:eastAsia="宋体" w:cs="宋体"/>
          <w:bCs/>
          <w:color w:val="auto"/>
          <w:sz w:val="24"/>
          <w:szCs w:val="20"/>
          <w:highlight w:val="none"/>
        </w:rPr>
      </w:pPr>
    </w:p>
    <w:p w14:paraId="4E5448AE">
      <w:pPr>
        <w:snapToGrid w:val="0"/>
        <w:spacing w:before="120" w:beforeLines="50" w:after="50"/>
        <w:rPr>
          <w:rFonts w:hint="eastAsia" w:ascii="宋体" w:hAnsi="宋体" w:eastAsia="宋体" w:cs="宋体"/>
          <w:bCs/>
          <w:color w:val="auto"/>
          <w:sz w:val="24"/>
          <w:szCs w:val="20"/>
          <w:highlight w:val="none"/>
        </w:rPr>
      </w:pPr>
    </w:p>
    <w:p w14:paraId="188E9D69">
      <w:pPr>
        <w:snapToGrid w:val="0"/>
        <w:spacing w:before="120" w:beforeLines="50" w:after="50"/>
        <w:rPr>
          <w:rFonts w:hint="eastAsia" w:ascii="宋体" w:hAnsi="宋体" w:eastAsia="宋体" w:cs="宋体"/>
          <w:bCs/>
          <w:color w:val="auto"/>
          <w:sz w:val="24"/>
          <w:szCs w:val="20"/>
          <w:highlight w:val="none"/>
        </w:rPr>
      </w:pPr>
    </w:p>
    <w:p w14:paraId="54D3D92D">
      <w:pPr>
        <w:snapToGrid w:val="0"/>
        <w:spacing w:before="120" w:beforeLines="50" w:after="50"/>
        <w:rPr>
          <w:rFonts w:hint="eastAsia" w:ascii="宋体" w:hAnsi="宋体" w:eastAsia="宋体" w:cs="宋体"/>
          <w:bCs/>
          <w:color w:val="auto"/>
          <w:sz w:val="24"/>
          <w:szCs w:val="20"/>
          <w:highlight w:val="none"/>
        </w:rPr>
      </w:pPr>
    </w:p>
    <w:p w14:paraId="7BC374CF">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6C28F668">
      <w:pPr>
        <w:snapToGrid w:val="0"/>
        <w:spacing w:before="120" w:beforeLines="50" w:after="50"/>
        <w:ind w:firstLine="720" w:firstLineChars="225"/>
        <w:rPr>
          <w:rFonts w:hint="eastAsia" w:ascii="宋体" w:hAnsi="宋体" w:eastAsia="宋体" w:cs="宋体"/>
          <w:bCs/>
          <w:color w:val="auto"/>
          <w:sz w:val="32"/>
          <w:szCs w:val="32"/>
          <w:highlight w:val="none"/>
        </w:rPr>
      </w:pPr>
    </w:p>
    <w:p w14:paraId="6386DB5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696FE1C0">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1542BB3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0A5AAF17">
      <w:pPr>
        <w:snapToGrid w:val="0"/>
        <w:spacing w:before="120" w:beforeLines="50" w:after="50"/>
        <w:ind w:firstLine="720" w:firstLineChars="225"/>
        <w:rPr>
          <w:rFonts w:hint="eastAsia" w:ascii="宋体" w:hAnsi="宋体" w:eastAsia="宋体" w:cs="宋体"/>
          <w:bCs/>
          <w:color w:val="auto"/>
          <w:sz w:val="32"/>
          <w:szCs w:val="32"/>
          <w:highlight w:val="none"/>
        </w:rPr>
      </w:pPr>
    </w:p>
    <w:p w14:paraId="2B6941D3">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A30DE03">
      <w:pPr>
        <w:pStyle w:val="7"/>
        <w:snapToGrid w:val="0"/>
        <w:spacing w:before="50" w:after="50"/>
        <w:ind w:firstLine="720" w:firstLineChars="225"/>
        <w:rPr>
          <w:rFonts w:hint="eastAsia" w:ascii="宋体" w:hAnsi="宋体" w:eastAsia="宋体" w:cs="宋体"/>
          <w:bCs/>
          <w:color w:val="auto"/>
          <w:sz w:val="32"/>
          <w:szCs w:val="32"/>
          <w:highlight w:val="none"/>
        </w:rPr>
      </w:pPr>
    </w:p>
    <w:p w14:paraId="3393B486">
      <w:pPr>
        <w:pStyle w:val="7"/>
        <w:snapToGrid w:val="0"/>
        <w:spacing w:before="50" w:after="50"/>
        <w:ind w:firstLine="720" w:firstLineChars="225"/>
        <w:rPr>
          <w:rFonts w:hint="eastAsia" w:ascii="宋体" w:hAnsi="宋体" w:eastAsia="宋体" w:cs="宋体"/>
          <w:bCs/>
          <w:color w:val="auto"/>
          <w:sz w:val="32"/>
          <w:szCs w:val="32"/>
          <w:highlight w:val="none"/>
        </w:rPr>
      </w:pPr>
    </w:p>
    <w:p w14:paraId="078F47F5">
      <w:pPr>
        <w:pStyle w:val="7"/>
        <w:snapToGrid w:val="0"/>
        <w:spacing w:before="50" w:after="50"/>
        <w:ind w:firstLine="1280" w:firstLineChars="400"/>
        <w:rPr>
          <w:rFonts w:hint="eastAsia" w:ascii="宋体" w:hAnsi="宋体" w:eastAsia="宋体" w:cs="宋体"/>
          <w:bCs/>
          <w:color w:val="auto"/>
          <w:sz w:val="32"/>
          <w:szCs w:val="32"/>
          <w:highlight w:val="none"/>
        </w:rPr>
      </w:pPr>
    </w:p>
    <w:p w14:paraId="0EECF640">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6A7C585">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1" w:h="16838"/>
          <w:pgMar w:top="1134" w:right="1134" w:bottom="1134" w:left="1134" w:header="720" w:footer="720" w:gutter="0"/>
          <w:cols w:space="720" w:num="1"/>
        </w:sectPr>
      </w:pPr>
    </w:p>
    <w:p w14:paraId="290785F3">
      <w:pPr>
        <w:spacing w:line="360" w:lineRule="auto"/>
        <w:ind w:right="420"/>
        <w:rPr>
          <w:rFonts w:hint="eastAsia" w:ascii="宋体" w:hAnsi="宋体" w:eastAsia="宋体" w:cs="宋体"/>
          <w:color w:val="auto"/>
          <w:sz w:val="24"/>
          <w:szCs w:val="20"/>
          <w:highlight w:val="none"/>
        </w:rPr>
      </w:pPr>
      <w:r>
        <w:rPr>
          <w:rFonts w:hint="eastAsia" w:ascii="宋体" w:hAnsi="宋体" w:eastAsia="宋体" w:cs="宋体"/>
          <w:b/>
          <w:bCs/>
          <w:color w:val="auto"/>
          <w:sz w:val="28"/>
          <w:szCs w:val="28"/>
          <w:highlight w:val="none"/>
        </w:rPr>
        <w:t>2.商务技术文件目录</w:t>
      </w:r>
    </w:p>
    <w:p w14:paraId="7E56EEAA">
      <w:pPr>
        <w:spacing w:line="400" w:lineRule="exact"/>
        <w:rPr>
          <w:rFonts w:hint="eastAsia" w:ascii="宋体" w:hAnsi="宋体" w:eastAsia="宋体" w:cs="宋体"/>
          <w:color w:val="auto"/>
          <w:sz w:val="32"/>
          <w:szCs w:val="32"/>
          <w:highlight w:val="none"/>
        </w:rPr>
      </w:pPr>
      <w:r>
        <w:rPr>
          <w:rFonts w:hint="eastAsia" w:ascii="宋体" w:hAnsi="宋体" w:eastAsia="宋体" w:cs="宋体"/>
          <w:color w:val="auto"/>
          <w:kern w:val="0"/>
          <w:sz w:val="24"/>
          <w:highlight w:val="none"/>
        </w:rPr>
        <w:t xml:space="preserve">  根据竞争性磋商文件规定及供应商提供的材料自行编写目录（部分格式后附）。</w:t>
      </w:r>
    </w:p>
    <w:p w14:paraId="127CC456">
      <w:pPr>
        <w:spacing w:line="52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28"/>
          <w:szCs w:val="28"/>
          <w:highlight w:val="none"/>
        </w:rPr>
        <w:t>3.无串通竞标行为的承诺函的格式：</w:t>
      </w:r>
    </w:p>
    <w:p w14:paraId="032C09C2">
      <w:pPr>
        <w:spacing w:line="520" w:lineRule="exact"/>
        <w:jc w:val="center"/>
        <w:rPr>
          <w:rFonts w:hint="eastAsia" w:ascii="宋体" w:hAnsi="宋体" w:eastAsia="宋体" w:cs="宋体"/>
          <w:color w:val="auto"/>
          <w:sz w:val="44"/>
          <w:szCs w:val="44"/>
          <w:highlight w:val="none"/>
        </w:rPr>
      </w:pPr>
    </w:p>
    <w:p w14:paraId="085DD368">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无串通竞标行为的承诺函</w:t>
      </w:r>
    </w:p>
    <w:p w14:paraId="370C761A">
      <w:pPr>
        <w:spacing w:line="520" w:lineRule="exact"/>
        <w:ind w:firstLine="640" w:firstLineChars="200"/>
        <w:rPr>
          <w:rFonts w:hint="eastAsia" w:ascii="宋体" w:hAnsi="宋体" w:eastAsia="宋体" w:cs="宋体"/>
          <w:color w:val="auto"/>
          <w:sz w:val="32"/>
          <w:szCs w:val="32"/>
          <w:highlight w:val="none"/>
        </w:rPr>
      </w:pPr>
    </w:p>
    <w:p w14:paraId="62DD891D">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6B2CB94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1.不同供应商的响应文件由同一单位或者个人编制；或不同供应商报名的IP地址一致的； </w:t>
      </w:r>
    </w:p>
    <w:p w14:paraId="0B407CB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667C610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6E3DF53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56F0153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23E9DD66">
      <w:pPr>
        <w:pStyle w:val="15"/>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6.不同供应商的磋商保证金从同一单位或者个人账户转出。</w:t>
      </w:r>
    </w:p>
    <w:p w14:paraId="1EB5653C">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ABB684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13C1954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159FA14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143941E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62AB5EF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029E061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5576985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157E6B59">
      <w:pPr>
        <w:spacing w:line="360" w:lineRule="auto"/>
        <w:ind w:firstLine="480" w:firstLineChars="200"/>
        <w:contextualSpacing/>
        <w:rPr>
          <w:rFonts w:hint="eastAsia" w:ascii="宋体" w:hAnsi="宋体" w:eastAsia="宋体" w:cs="宋体"/>
          <w:color w:val="auto"/>
          <w:sz w:val="24"/>
          <w:highlight w:val="none"/>
        </w:rPr>
      </w:pPr>
    </w:p>
    <w:p w14:paraId="526C5FE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0837E077">
      <w:pPr>
        <w:pStyle w:val="23"/>
        <w:rPr>
          <w:rFonts w:hint="eastAsia" w:ascii="宋体" w:hAnsi="宋体" w:eastAsia="宋体" w:cs="宋体"/>
          <w:b/>
          <w:bCs/>
          <w:color w:val="auto"/>
          <w:sz w:val="24"/>
          <w:highlight w:val="none"/>
        </w:rPr>
      </w:pPr>
    </w:p>
    <w:p w14:paraId="1C370557">
      <w:pPr>
        <w:pStyle w:val="23"/>
        <w:rPr>
          <w:rFonts w:hint="eastAsia" w:ascii="宋体" w:hAnsi="宋体" w:eastAsia="宋体" w:cs="宋体"/>
          <w:b/>
          <w:bCs/>
          <w:color w:val="auto"/>
          <w:sz w:val="24"/>
          <w:highlight w:val="none"/>
        </w:rPr>
      </w:pPr>
    </w:p>
    <w:p w14:paraId="4C1ADF5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14:paraId="568908FC">
      <w:pPr>
        <w:spacing w:line="480" w:lineRule="auto"/>
        <w:ind w:firstLine="5040" w:firstLineChars="2100"/>
        <w:jc w:val="left"/>
        <w:rPr>
          <w:rFonts w:hint="eastAsia" w:ascii="宋体" w:hAnsi="宋体" w:eastAsia="宋体" w:cs="宋体"/>
          <w:b/>
          <w:bCs/>
          <w:color w:val="auto"/>
          <w:sz w:val="28"/>
          <w:szCs w:val="28"/>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28"/>
          <w:szCs w:val="28"/>
          <w:highlight w:val="none"/>
        </w:rPr>
        <w:t>4.法定代表人身份证明的格式：</w:t>
      </w:r>
    </w:p>
    <w:p w14:paraId="6F0BC7E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t>法定代表人身份证明</w:t>
      </w:r>
    </w:p>
    <w:p w14:paraId="7B265400">
      <w:pPr>
        <w:spacing w:line="360" w:lineRule="auto"/>
        <w:ind w:left="540"/>
        <w:contextualSpacing/>
        <w:rPr>
          <w:rFonts w:hint="eastAsia" w:ascii="宋体" w:hAnsi="宋体" w:eastAsia="宋体" w:cs="宋体"/>
          <w:color w:val="auto"/>
          <w:sz w:val="32"/>
          <w:szCs w:val="32"/>
          <w:highlight w:val="none"/>
        </w:rPr>
      </w:pPr>
    </w:p>
    <w:p w14:paraId="34B3C88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35D90FB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2B44737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391ABB7E">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5E69AF9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5573E46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03F984E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0B4E285">
      <w:pPr>
        <w:spacing w:line="360" w:lineRule="auto"/>
        <w:ind w:left="540"/>
        <w:contextualSpacing/>
        <w:rPr>
          <w:rFonts w:hint="eastAsia" w:ascii="宋体" w:hAnsi="宋体" w:eastAsia="宋体" w:cs="宋体"/>
          <w:color w:val="auto"/>
          <w:sz w:val="24"/>
          <w:highlight w:val="none"/>
        </w:rPr>
      </w:pPr>
    </w:p>
    <w:p w14:paraId="3BE9CCE5">
      <w:pPr>
        <w:spacing w:line="360" w:lineRule="auto"/>
        <w:ind w:left="540"/>
        <w:contextualSpacing/>
        <w:rPr>
          <w:rFonts w:hint="eastAsia" w:ascii="宋体" w:hAnsi="宋体" w:eastAsia="宋体" w:cs="宋体"/>
          <w:color w:val="auto"/>
          <w:sz w:val="24"/>
          <w:highlight w:val="none"/>
        </w:rPr>
      </w:pPr>
    </w:p>
    <w:p w14:paraId="330853AE">
      <w:pPr>
        <w:spacing w:line="360" w:lineRule="auto"/>
        <w:ind w:left="540"/>
        <w:contextualSpacing/>
        <w:rPr>
          <w:rFonts w:hint="eastAsia" w:ascii="宋体" w:hAnsi="宋体" w:eastAsia="宋体" w:cs="宋体"/>
          <w:color w:val="auto"/>
          <w:sz w:val="24"/>
          <w:highlight w:val="none"/>
        </w:rPr>
      </w:pPr>
    </w:p>
    <w:p w14:paraId="37E208F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2AC7A230">
      <w:pPr>
        <w:spacing w:line="360" w:lineRule="auto"/>
        <w:ind w:left="540"/>
        <w:contextualSpacing/>
        <w:rPr>
          <w:rFonts w:hint="eastAsia" w:ascii="宋体" w:hAnsi="宋体" w:eastAsia="宋体" w:cs="宋体"/>
          <w:color w:val="auto"/>
          <w:sz w:val="24"/>
          <w:highlight w:val="none"/>
        </w:rPr>
      </w:pPr>
    </w:p>
    <w:p w14:paraId="30E4985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14:paraId="4FC9712C">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05D93FD">
      <w:pPr>
        <w:spacing w:line="360" w:lineRule="auto"/>
        <w:contextualSpacing/>
        <w:jc w:val="left"/>
        <w:rPr>
          <w:rFonts w:hint="eastAsia" w:ascii="宋体" w:hAnsi="宋体" w:eastAsia="宋体" w:cs="宋体"/>
          <w:color w:val="auto"/>
          <w:sz w:val="24"/>
          <w:highlight w:val="none"/>
        </w:rPr>
      </w:pPr>
    </w:p>
    <w:p w14:paraId="24429AB6">
      <w:pPr>
        <w:spacing w:line="360" w:lineRule="auto"/>
        <w:contextualSpacing/>
        <w:jc w:val="left"/>
        <w:rPr>
          <w:rFonts w:hint="eastAsia" w:ascii="宋体" w:hAnsi="宋体" w:eastAsia="宋体" w:cs="宋体"/>
          <w:color w:val="auto"/>
          <w:sz w:val="24"/>
          <w:highlight w:val="none"/>
        </w:rPr>
      </w:pPr>
    </w:p>
    <w:p w14:paraId="2B192D8D">
      <w:pPr>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9C8A7AD">
      <w:pPr>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1.自然人竞标的无需提供，联合体竞标的只需牵头人出具。</w:t>
      </w:r>
    </w:p>
    <w:p w14:paraId="0DB008C8">
      <w:pPr>
        <w:spacing w:line="360" w:lineRule="auto"/>
        <w:ind w:firstLine="420" w:firstLineChars="200"/>
        <w:contextualSpacing/>
        <w:jc w:val="left"/>
        <w:rPr>
          <w:rFonts w:hint="eastAsia" w:ascii="宋体" w:hAnsi="宋体" w:eastAsia="宋体" w:cs="宋体"/>
          <w:color w:val="auto"/>
          <w:szCs w:val="21"/>
          <w:highlight w:val="none"/>
        </w:rPr>
        <w:sectPr>
          <w:pgSz w:w="11911" w:h="16838"/>
          <w:pgMar w:top="1134" w:right="1134" w:bottom="1134" w:left="1134" w:header="720" w:footer="720" w:gutter="0"/>
          <w:cols w:space="720" w:num="1"/>
        </w:sectPr>
      </w:pPr>
      <w:r>
        <w:rPr>
          <w:rFonts w:hint="eastAsia" w:ascii="宋体" w:hAnsi="宋体" w:eastAsia="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42C6FDC">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tbl>
      <w:tblPr>
        <w:tblStyle w:val="32"/>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1CFB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tcPr>
          <w:p w14:paraId="581BCD99">
            <w:pPr>
              <w:spacing w:line="360" w:lineRule="auto"/>
              <w:rPr>
                <w:rFonts w:hint="eastAsia" w:ascii="宋体" w:hAnsi="宋体" w:eastAsia="宋体" w:cs="宋体"/>
                <w:b/>
                <w:color w:val="auto"/>
                <w:sz w:val="24"/>
                <w:highlight w:val="none"/>
              </w:rPr>
            </w:pPr>
          </w:p>
          <w:p w14:paraId="69A5D44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法定代表人身份证复印件粘贴处（正、反面）</w:t>
            </w:r>
          </w:p>
        </w:tc>
      </w:tr>
    </w:tbl>
    <w:p w14:paraId="20837914">
      <w:pPr>
        <w:adjustRightInd w:val="0"/>
        <w:snapToGrid w:val="0"/>
        <w:spacing w:line="300" w:lineRule="auto"/>
        <w:jc w:val="left"/>
        <w:rPr>
          <w:rFonts w:hint="eastAsia" w:ascii="宋体" w:hAnsi="宋体" w:eastAsia="宋体" w:cs="宋体"/>
          <w:b/>
          <w:color w:val="auto"/>
          <w:szCs w:val="21"/>
          <w:highlight w:val="none"/>
        </w:rPr>
      </w:pPr>
    </w:p>
    <w:p w14:paraId="20FEC02C">
      <w:pPr>
        <w:spacing w:line="520" w:lineRule="exact"/>
        <w:ind w:firstLine="880"/>
        <w:jc w:val="left"/>
        <w:rPr>
          <w:rFonts w:hint="eastAsia" w:ascii="宋体" w:hAnsi="宋体" w:eastAsia="宋体" w:cs="宋体"/>
          <w:color w:val="auto"/>
          <w:szCs w:val="21"/>
          <w:highlight w:val="none"/>
        </w:rPr>
      </w:pPr>
    </w:p>
    <w:p w14:paraId="0963A514">
      <w:pPr>
        <w:spacing w:line="520" w:lineRule="exact"/>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bCs/>
          <w:color w:val="auto"/>
          <w:sz w:val="28"/>
          <w:szCs w:val="28"/>
          <w:highlight w:val="none"/>
        </w:rPr>
        <w:t>5.法定代表人授权委托书的格式：</w:t>
      </w:r>
    </w:p>
    <w:p w14:paraId="2EB466FD">
      <w:pPr>
        <w:spacing w:line="500" w:lineRule="exact"/>
        <w:jc w:val="center"/>
        <w:rPr>
          <w:rFonts w:hint="eastAsia" w:ascii="宋体" w:hAnsi="宋体" w:eastAsia="宋体" w:cs="宋体"/>
          <w:color w:val="auto"/>
          <w:sz w:val="44"/>
          <w:szCs w:val="44"/>
          <w:highlight w:val="none"/>
        </w:rPr>
      </w:pPr>
    </w:p>
    <w:p w14:paraId="582050B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授权委托书（非联合体竞标格式）</w:t>
      </w:r>
    </w:p>
    <w:p w14:paraId="0170D8E5">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（如有委托时）</w:t>
      </w:r>
    </w:p>
    <w:p w14:paraId="40A33B1E">
      <w:pPr>
        <w:spacing w:line="520" w:lineRule="exact"/>
        <w:rPr>
          <w:rFonts w:hint="eastAsia" w:ascii="宋体" w:hAnsi="宋体" w:eastAsia="宋体" w:cs="宋体"/>
          <w:color w:val="auto"/>
          <w:sz w:val="32"/>
          <w:szCs w:val="32"/>
          <w:highlight w:val="none"/>
        </w:rPr>
      </w:pPr>
    </w:p>
    <w:p w14:paraId="5D8821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32A469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579982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1AD2BF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5F156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057FE7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附：委托代理人有效身份证正反面复印件</w:t>
      </w:r>
    </w:p>
    <w:p w14:paraId="52019151">
      <w:pPr>
        <w:spacing w:line="360" w:lineRule="auto"/>
        <w:rPr>
          <w:rFonts w:hint="eastAsia" w:ascii="宋体" w:hAnsi="宋体" w:eastAsia="宋体" w:cs="宋体"/>
          <w:color w:val="auto"/>
          <w:sz w:val="24"/>
          <w:highlight w:val="none"/>
        </w:rPr>
      </w:pPr>
    </w:p>
    <w:p w14:paraId="4278EB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                    </w:t>
      </w:r>
    </w:p>
    <w:p w14:paraId="0A0FE43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43E098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59C81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供应商名称（盖公章）：</w:t>
      </w:r>
    </w:p>
    <w:p w14:paraId="79BB7597">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2273066E">
      <w:pPr>
        <w:spacing w:line="360" w:lineRule="auto"/>
        <w:rPr>
          <w:rFonts w:hint="eastAsia" w:ascii="宋体" w:hAnsi="宋体" w:eastAsia="宋体" w:cs="宋体"/>
          <w:color w:val="auto"/>
          <w:sz w:val="24"/>
          <w:highlight w:val="none"/>
        </w:rPr>
      </w:pPr>
    </w:p>
    <w:p w14:paraId="0C9DB0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27E88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法定代表人和委托代理人必须在授权委托书上签字，</w:t>
      </w:r>
      <w:r>
        <w:rPr>
          <w:rFonts w:hint="eastAsia" w:ascii="宋体" w:hAnsi="宋体" w:eastAsia="宋体" w:cs="宋体"/>
          <w:b/>
          <w:color w:val="auto"/>
          <w:szCs w:val="21"/>
          <w:highlight w:val="none"/>
        </w:rPr>
        <w:t>否则其响应文件按无效响应处理。</w:t>
      </w:r>
    </w:p>
    <w:p w14:paraId="52A7380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8630A3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法人、其他组织竞标时“我方”是指“我单位”，自然人竞标时“我方”是指“本人”。</w:t>
      </w:r>
    </w:p>
    <w:p w14:paraId="318B2FC0">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授权委托书（联合体竞标格式）</w:t>
      </w:r>
    </w:p>
    <w:p w14:paraId="63D1DC29">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0848B491">
      <w:pPr>
        <w:spacing w:line="500" w:lineRule="exact"/>
        <w:jc w:val="center"/>
        <w:rPr>
          <w:rFonts w:hint="eastAsia" w:ascii="宋体" w:hAnsi="宋体" w:eastAsia="宋体" w:cs="宋体"/>
          <w:color w:val="auto"/>
          <w:sz w:val="44"/>
          <w:szCs w:val="44"/>
          <w:highlight w:val="none"/>
        </w:rPr>
      </w:pPr>
    </w:p>
    <w:p w14:paraId="1215DE3B">
      <w:pPr>
        <w:spacing w:line="500" w:lineRule="exact"/>
        <w:jc w:val="center"/>
        <w:rPr>
          <w:rFonts w:hint="eastAsia" w:ascii="宋体" w:hAnsi="宋体" w:eastAsia="宋体" w:cs="宋体"/>
          <w:color w:val="auto"/>
          <w:sz w:val="32"/>
          <w:szCs w:val="32"/>
          <w:highlight w:val="none"/>
        </w:rPr>
      </w:pPr>
    </w:p>
    <w:p w14:paraId="40B5B98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（姓名）</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w:t>
      </w:r>
      <w:r>
        <w:rPr>
          <w:rFonts w:hint="eastAsia" w:ascii="宋体" w:hAnsi="宋体" w:eastAsia="宋体" w:cs="宋体"/>
          <w:i/>
          <w:iCs/>
          <w:color w:val="auto"/>
          <w:sz w:val="24"/>
          <w:highlight w:val="none"/>
          <w:u w:val="single"/>
        </w:rPr>
        <w:t xml:space="preserve"> （姓名）</w:t>
      </w:r>
      <w:r>
        <w:rPr>
          <w:rFonts w:hint="eastAsia" w:ascii="宋体" w:hAnsi="宋体" w:eastAsia="宋体" w:cs="宋体"/>
          <w:color w:val="auto"/>
          <w:sz w:val="24"/>
          <w:highlight w:val="none"/>
        </w:rPr>
        <w:t>为联合委托代理人，并代表我方全权办理针对上述项目的所有采购程序和环节的具体事务和签署相关文件。</w:t>
      </w:r>
    </w:p>
    <w:p w14:paraId="538F01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4D654B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3B090B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3FD745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FC915B1">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w:t>
      </w:r>
    </w:p>
    <w:p w14:paraId="55369A6E">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牵头人名称（盖公章）：</w:t>
      </w:r>
    </w:p>
    <w:p w14:paraId="151C76AF">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0272417">
      <w:pPr>
        <w:spacing w:line="360" w:lineRule="auto"/>
        <w:rPr>
          <w:rFonts w:hint="eastAsia" w:ascii="宋体" w:hAnsi="宋体" w:eastAsia="宋体" w:cs="宋体"/>
          <w:color w:val="auto"/>
          <w:sz w:val="24"/>
          <w:highlight w:val="none"/>
        </w:rPr>
      </w:pPr>
    </w:p>
    <w:p w14:paraId="5A93FDC5">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w:t>
      </w:r>
    </w:p>
    <w:p w14:paraId="133ADCB5">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66CC213">
      <w:pPr>
        <w:spacing w:line="360" w:lineRule="auto"/>
        <w:rPr>
          <w:rFonts w:hint="eastAsia" w:ascii="宋体" w:hAnsi="宋体" w:eastAsia="宋体" w:cs="宋体"/>
          <w:color w:val="auto"/>
          <w:sz w:val="24"/>
          <w:highlight w:val="none"/>
        </w:rPr>
      </w:pPr>
    </w:p>
    <w:p w14:paraId="5D961B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40A3E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法定代表人和委托代理人必须在授权委托书上签字，</w:t>
      </w:r>
      <w:r>
        <w:rPr>
          <w:rFonts w:hint="eastAsia" w:ascii="宋体" w:hAnsi="宋体" w:eastAsia="宋体" w:cs="宋体"/>
          <w:b/>
          <w:color w:val="auto"/>
          <w:szCs w:val="21"/>
          <w:highlight w:val="none"/>
        </w:rPr>
        <w:t>否则其响应文件按无效响应处理。</w:t>
      </w:r>
    </w:p>
    <w:p w14:paraId="3E57F78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2.本授权委托书应由联合体牵头人的法定代表人按上述规定签署。</w:t>
      </w:r>
    </w:p>
    <w:p w14:paraId="78706BD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12834E0">
      <w:pPr>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szCs w:val="21"/>
          <w:highlight w:val="none"/>
        </w:rPr>
        <w:t>4.法人、其他组织竞标时“我方”是指“我单位”，自然人竞标时“我方”是指“本人”。</w:t>
      </w:r>
    </w:p>
    <w:p w14:paraId="0A6C8974">
      <w:pPr>
        <w:spacing w:line="360" w:lineRule="auto"/>
        <w:ind w:firstLine="420" w:firstLineChars="200"/>
        <w:jc w:val="left"/>
        <w:rPr>
          <w:rFonts w:hint="eastAsia" w:ascii="宋体" w:hAnsi="宋体" w:eastAsia="宋体" w:cs="宋体"/>
          <w:color w:val="auto"/>
          <w:szCs w:val="21"/>
          <w:highlight w:val="none"/>
        </w:rPr>
      </w:pPr>
    </w:p>
    <w:p w14:paraId="03B146C7">
      <w:pPr>
        <w:widowControl/>
        <w:shd w:val="clear" w:color="auto" w:fill="FFFFFF"/>
        <w:spacing w:line="480" w:lineRule="atLeast"/>
        <w:rPr>
          <w:rFonts w:hint="eastAsia" w:ascii="宋体" w:hAnsi="宋体" w:eastAsia="宋体" w:cs="宋体"/>
          <w:color w:val="auto"/>
          <w:sz w:val="24"/>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28"/>
          <w:szCs w:val="28"/>
          <w:highlight w:val="none"/>
        </w:rPr>
        <w:t xml:space="preserve">5、供应商认为有必要提供的其他文件 </w:t>
      </w:r>
    </w:p>
    <w:p w14:paraId="00952DF2">
      <w:pPr>
        <w:shd w:val="clear" w:color="auto" w:fill="FFFFFF"/>
        <w:spacing w:line="520" w:lineRule="exact"/>
        <w:jc w:val="center"/>
        <w:rPr>
          <w:rFonts w:hint="eastAsia" w:ascii="宋体" w:hAnsi="宋体" w:eastAsia="宋体" w:cs="宋体"/>
          <w:color w:val="auto"/>
          <w:sz w:val="24"/>
          <w:highlight w:val="none"/>
        </w:rPr>
      </w:pPr>
    </w:p>
    <w:p w14:paraId="1769AFC1">
      <w:pPr>
        <w:spacing w:line="520" w:lineRule="exact"/>
        <w:jc w:val="center"/>
        <w:rPr>
          <w:rFonts w:hint="eastAsia" w:ascii="宋体" w:hAnsi="宋体" w:eastAsia="宋体" w:cs="宋体"/>
          <w:color w:val="auto"/>
          <w:sz w:val="24"/>
          <w:highlight w:val="none"/>
        </w:rPr>
      </w:pPr>
    </w:p>
    <w:p w14:paraId="7C04E6B1">
      <w:pPr>
        <w:spacing w:line="520" w:lineRule="exact"/>
        <w:jc w:val="left"/>
        <w:rPr>
          <w:rFonts w:hint="eastAsia" w:ascii="宋体" w:hAnsi="宋体" w:eastAsia="宋体" w:cs="宋体"/>
          <w:color w:val="auto"/>
          <w:sz w:val="32"/>
          <w:szCs w:val="32"/>
          <w:highlight w:val="none"/>
        </w:rPr>
      </w:pPr>
    </w:p>
    <w:p w14:paraId="598C8F3B">
      <w:pPr>
        <w:spacing w:line="520" w:lineRule="exact"/>
        <w:jc w:val="left"/>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28"/>
          <w:szCs w:val="28"/>
          <w:highlight w:val="none"/>
        </w:rPr>
        <w:t>6.商务条款偏离表的格式：</w:t>
      </w:r>
    </w:p>
    <w:p w14:paraId="383136DA">
      <w:pPr>
        <w:pStyle w:val="23"/>
        <w:rPr>
          <w:rFonts w:hint="eastAsia" w:ascii="宋体" w:hAnsi="宋体" w:eastAsia="宋体" w:cs="宋体"/>
          <w:color w:val="auto"/>
          <w:highlight w:val="none"/>
        </w:rPr>
      </w:pPr>
    </w:p>
    <w:p w14:paraId="58DE1346">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27BE3BC0">
      <w:pPr>
        <w:spacing w:line="520" w:lineRule="exact"/>
        <w:rPr>
          <w:rFonts w:hint="eastAsia" w:ascii="宋体" w:hAnsi="宋体" w:eastAsia="宋体" w:cs="宋体"/>
          <w:color w:val="auto"/>
          <w:sz w:val="32"/>
          <w:szCs w:val="32"/>
          <w:highlight w:val="none"/>
        </w:rPr>
      </w:pPr>
    </w:p>
    <w:p w14:paraId="3C91E3B6">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328711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194B5955">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2"/>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52D1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14:paraId="47059A56">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4F25FDA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14:paraId="776A671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74C5170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142B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29A47B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6AB98D8D">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7D4B6535">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77622E02">
            <w:pPr>
              <w:spacing w:line="300" w:lineRule="exact"/>
              <w:rPr>
                <w:rFonts w:hint="eastAsia" w:ascii="宋体" w:hAnsi="宋体" w:eastAsia="宋体" w:cs="宋体"/>
                <w:color w:val="auto"/>
                <w:szCs w:val="21"/>
                <w:highlight w:val="none"/>
              </w:rPr>
            </w:pPr>
          </w:p>
        </w:tc>
      </w:tr>
      <w:tr w14:paraId="6956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10BC71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6A703C85">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2C6A4EEB">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2FA7256D">
            <w:pPr>
              <w:spacing w:line="300" w:lineRule="exact"/>
              <w:rPr>
                <w:rFonts w:hint="eastAsia" w:ascii="宋体" w:hAnsi="宋体" w:eastAsia="宋体" w:cs="宋体"/>
                <w:color w:val="auto"/>
                <w:szCs w:val="21"/>
                <w:highlight w:val="none"/>
              </w:rPr>
            </w:pPr>
          </w:p>
        </w:tc>
      </w:tr>
      <w:tr w14:paraId="0393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7D9E4EE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33E1D3DA">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1327DFC9">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42439753">
            <w:pPr>
              <w:spacing w:line="300" w:lineRule="exact"/>
              <w:rPr>
                <w:rFonts w:hint="eastAsia" w:ascii="宋体" w:hAnsi="宋体" w:eastAsia="宋体" w:cs="宋体"/>
                <w:color w:val="auto"/>
                <w:szCs w:val="21"/>
                <w:highlight w:val="none"/>
              </w:rPr>
            </w:pPr>
          </w:p>
        </w:tc>
      </w:tr>
    </w:tbl>
    <w:p w14:paraId="5EBBCA64">
      <w:pPr>
        <w:pStyle w:val="16"/>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6749EC2">
      <w:pPr>
        <w:pStyle w:val="16"/>
        <w:spacing w:line="4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1.应对照磋商文件“第二章 采购需求”中的商务条款逐条作出明确响应，并作出偏离说明。</w:t>
      </w:r>
    </w:p>
    <w:p w14:paraId="4C588C9F">
      <w:pPr>
        <w:pStyle w:val="16"/>
        <w:spacing w:line="40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14:paraId="1DDF989D">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w:t>
      </w:r>
      <w:r>
        <w:rPr>
          <w:rFonts w:hint="eastAsia" w:ascii="宋体" w:hAnsi="宋体" w:eastAsia="宋体" w:cs="宋体"/>
          <w:b/>
          <w:bCs/>
          <w:color w:val="auto"/>
          <w:kern w:val="0"/>
          <w:sz w:val="24"/>
          <w:highlight w:val="none"/>
        </w:rPr>
        <w:t>否则按竞标无效处理。</w:t>
      </w:r>
    </w:p>
    <w:p w14:paraId="79511DDB">
      <w:pPr>
        <w:spacing w:line="400" w:lineRule="exact"/>
        <w:ind w:firstLine="480" w:firstLineChars="200"/>
        <w:contextualSpacing/>
        <w:rPr>
          <w:rFonts w:hint="eastAsia" w:ascii="宋体" w:hAnsi="宋体" w:eastAsia="宋体" w:cs="宋体"/>
          <w:color w:val="auto"/>
          <w:kern w:val="0"/>
          <w:sz w:val="24"/>
          <w:highlight w:val="none"/>
        </w:rPr>
      </w:pPr>
    </w:p>
    <w:p w14:paraId="33C53782">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供应商名称（盖公章）：</w:t>
      </w:r>
    </w:p>
    <w:p w14:paraId="19D5B83E">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6377C8E">
      <w:pPr>
        <w:snapToGrid w:val="0"/>
        <w:spacing w:line="360" w:lineRule="auto"/>
        <w:ind w:firstLine="602" w:firstLineChars="200"/>
        <w:rPr>
          <w:rFonts w:hint="eastAsia" w:ascii="宋体" w:hAnsi="宋体" w:eastAsia="宋体" w:cs="宋体"/>
          <w:b/>
          <w:color w:val="auto"/>
          <w:sz w:val="30"/>
          <w:szCs w:val="30"/>
          <w:highlight w:val="none"/>
        </w:rPr>
      </w:pPr>
    </w:p>
    <w:p w14:paraId="11A327DD">
      <w:pPr>
        <w:snapToGrid w:val="0"/>
        <w:spacing w:line="360" w:lineRule="auto"/>
        <w:ind w:firstLine="602" w:firstLineChars="200"/>
        <w:rPr>
          <w:rFonts w:hint="eastAsia" w:ascii="宋体" w:hAnsi="宋体" w:eastAsia="宋体" w:cs="宋体"/>
          <w:b/>
          <w:color w:val="auto"/>
          <w:sz w:val="30"/>
          <w:szCs w:val="30"/>
          <w:highlight w:val="none"/>
        </w:rPr>
      </w:pPr>
    </w:p>
    <w:p w14:paraId="56141E9D">
      <w:pPr>
        <w:pStyle w:val="23"/>
        <w:rPr>
          <w:rFonts w:hint="eastAsia" w:ascii="宋体" w:hAnsi="宋体" w:eastAsia="宋体" w:cs="宋体"/>
          <w:color w:val="auto"/>
          <w:highlight w:val="none"/>
        </w:rPr>
      </w:pPr>
    </w:p>
    <w:p w14:paraId="3182F135">
      <w:pPr>
        <w:snapToGrid w:val="0"/>
        <w:spacing w:line="360" w:lineRule="auto"/>
        <w:ind w:firstLine="602" w:firstLineChars="200"/>
        <w:rPr>
          <w:rFonts w:hint="eastAsia" w:ascii="宋体" w:hAnsi="宋体" w:eastAsia="宋体" w:cs="宋体"/>
          <w:b/>
          <w:color w:val="auto"/>
          <w:sz w:val="30"/>
          <w:szCs w:val="30"/>
          <w:highlight w:val="none"/>
        </w:rPr>
      </w:pPr>
    </w:p>
    <w:p w14:paraId="5B8C9580">
      <w:pPr>
        <w:pStyle w:val="26"/>
        <w:snapToGrid w:val="0"/>
        <w:ind w:left="562" w:hanging="562"/>
        <w:rPr>
          <w:rFonts w:hint="eastAsia" w:ascii="宋体" w:hAnsi="宋体" w:eastAsia="宋体" w:cs="宋体"/>
          <w:i/>
          <w:iCs/>
          <w:color w:val="auto"/>
          <w:sz w:val="24"/>
          <w:highlight w:val="none"/>
        </w:rPr>
      </w:pPr>
      <w:r>
        <w:rPr>
          <w:rFonts w:hint="eastAsia" w:ascii="宋体" w:hAnsi="宋体" w:eastAsia="宋体" w:cs="宋体"/>
          <w:b/>
          <w:color w:val="auto"/>
          <w:sz w:val="28"/>
          <w:szCs w:val="28"/>
          <w:highlight w:val="none"/>
        </w:rPr>
        <w:t>7.供应商类似的业绩证明文件</w:t>
      </w:r>
      <w:r>
        <w:rPr>
          <w:rFonts w:hint="eastAsia" w:ascii="宋体" w:hAnsi="宋体" w:eastAsia="宋体" w:cs="宋体"/>
          <w:b/>
          <w:bCs/>
          <w:color w:val="auto"/>
          <w:sz w:val="30"/>
          <w:szCs w:val="30"/>
          <w:highlight w:val="none"/>
        </w:rPr>
        <w:t>（如有要求）：</w:t>
      </w:r>
    </w:p>
    <w:p w14:paraId="245FFCF2">
      <w:pPr>
        <w:spacing w:line="360" w:lineRule="auto"/>
        <w:ind w:firstLine="2880" w:firstLineChars="900"/>
        <w:contextualSpacing/>
        <w:rPr>
          <w:rFonts w:hint="eastAsia" w:ascii="宋体" w:hAnsi="宋体" w:eastAsia="宋体" w:cs="宋体"/>
          <w:color w:val="auto"/>
          <w:sz w:val="32"/>
          <w:szCs w:val="32"/>
          <w:highlight w:val="none"/>
        </w:rPr>
      </w:pPr>
    </w:p>
    <w:p w14:paraId="382B9520">
      <w:pPr>
        <w:spacing w:line="360" w:lineRule="auto"/>
        <w:ind w:firstLine="2880" w:firstLineChars="900"/>
        <w:contextualSpacing/>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类似项目的业绩一览表</w:t>
      </w:r>
    </w:p>
    <w:p w14:paraId="7F20D4AE">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2"/>
        <w:tblpPr w:leftFromText="180" w:rightFromText="180" w:vertAnchor="page" w:horzAnchor="page" w:tblpX="1008" w:tblpY="3639"/>
        <w:tblW w:w="98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368"/>
      </w:tblGrid>
      <w:tr w14:paraId="2C59F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5C858FFB">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14:paraId="3D5A4A1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7BD10502">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42788982">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09ABCB25">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4FFB8B33">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368" w:type="dxa"/>
            <w:vMerge w:val="restart"/>
            <w:tcBorders>
              <w:top w:val="single" w:color="auto" w:sz="4" w:space="0"/>
              <w:left w:val="single" w:color="auto" w:sz="4" w:space="0"/>
              <w:bottom w:val="single" w:color="auto" w:sz="4" w:space="0"/>
              <w:right w:val="single" w:color="auto" w:sz="4" w:space="0"/>
            </w:tcBorders>
            <w:vAlign w:val="center"/>
          </w:tcPr>
          <w:p w14:paraId="099324F2">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5A9F7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0899D434">
            <w:pPr>
              <w:jc w:val="left"/>
              <w:rPr>
                <w:rFonts w:hint="eastAsia" w:ascii="宋体" w:hAnsi="宋体" w:eastAsia="宋体" w:cs="宋体"/>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24CBDEC1">
            <w:pPr>
              <w:jc w:val="left"/>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35536FD">
            <w:pPr>
              <w:snapToGrid w:val="0"/>
              <w:spacing w:line="240" w:lineRule="exact"/>
              <w:jc w:val="center"/>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7F8E04B">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合同或中标（成交）通知书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14:paraId="76890EBC">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095504C8">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1368" w:type="dxa"/>
            <w:vMerge w:val="continue"/>
            <w:tcBorders>
              <w:top w:val="single" w:color="auto" w:sz="4" w:space="0"/>
              <w:left w:val="single" w:color="auto" w:sz="4" w:space="0"/>
              <w:bottom w:val="single" w:color="auto" w:sz="4" w:space="0"/>
              <w:right w:val="single" w:color="auto" w:sz="4" w:space="0"/>
            </w:tcBorders>
            <w:vAlign w:val="center"/>
          </w:tcPr>
          <w:p w14:paraId="34385F9F">
            <w:pPr>
              <w:jc w:val="left"/>
              <w:rPr>
                <w:rFonts w:hint="eastAsia" w:ascii="宋体" w:hAnsi="宋体" w:eastAsia="宋体" w:cs="宋体"/>
                <w:color w:val="auto"/>
                <w:sz w:val="24"/>
                <w:highlight w:val="none"/>
              </w:rPr>
            </w:pPr>
          </w:p>
        </w:tc>
      </w:tr>
      <w:tr w14:paraId="43DB3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14:paraId="64304C4D">
            <w:pPr>
              <w:snapToGrid w:val="0"/>
              <w:spacing w:line="240" w:lineRule="exact"/>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19C96A7C">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B0367AA">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6EFEC45">
            <w:pPr>
              <w:snapToGrid w:val="0"/>
              <w:spacing w:line="24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5FC70EE6">
            <w:pPr>
              <w:snapToGrid w:val="0"/>
              <w:spacing w:line="24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957A03D">
            <w:pPr>
              <w:snapToGrid w:val="0"/>
              <w:spacing w:line="240" w:lineRule="exact"/>
              <w:jc w:val="left"/>
              <w:rPr>
                <w:rFonts w:hint="eastAsia" w:ascii="宋体" w:hAnsi="宋体" w:eastAsia="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7662D699">
            <w:pPr>
              <w:snapToGrid w:val="0"/>
              <w:spacing w:line="240" w:lineRule="exact"/>
              <w:jc w:val="left"/>
              <w:rPr>
                <w:rFonts w:hint="eastAsia" w:ascii="宋体" w:hAnsi="宋体" w:eastAsia="宋体" w:cs="宋体"/>
                <w:color w:val="auto"/>
                <w:sz w:val="24"/>
                <w:highlight w:val="none"/>
              </w:rPr>
            </w:pPr>
          </w:p>
        </w:tc>
      </w:tr>
      <w:tr w14:paraId="272A7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4F662182">
            <w:pPr>
              <w:snapToGrid w:val="0"/>
              <w:spacing w:before="50" w:after="120" w:afterLines="50" w:line="400" w:lineRule="exact"/>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734D0353">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F6B268F">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5B0F077D">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1E29EC3">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6B115DB">
            <w:pPr>
              <w:snapToGrid w:val="0"/>
              <w:spacing w:before="50" w:after="120" w:afterLines="50" w:line="400" w:lineRule="exact"/>
              <w:jc w:val="left"/>
              <w:rPr>
                <w:rFonts w:hint="eastAsia" w:ascii="宋体" w:hAnsi="宋体" w:eastAsia="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058533A7">
            <w:pPr>
              <w:snapToGrid w:val="0"/>
              <w:spacing w:before="50" w:after="120" w:afterLines="50" w:line="400" w:lineRule="exact"/>
              <w:jc w:val="left"/>
              <w:rPr>
                <w:rFonts w:hint="eastAsia" w:ascii="宋体" w:hAnsi="宋体" w:eastAsia="宋体" w:cs="宋体"/>
                <w:color w:val="auto"/>
                <w:sz w:val="24"/>
                <w:highlight w:val="none"/>
              </w:rPr>
            </w:pPr>
          </w:p>
        </w:tc>
      </w:tr>
      <w:tr w14:paraId="671D4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14:paraId="1C6DCF68">
            <w:pPr>
              <w:snapToGrid w:val="0"/>
              <w:spacing w:before="50" w:after="120" w:afterLines="50" w:line="400" w:lineRule="exact"/>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3FD999F5">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D52FB08">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821193B">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85CAEA6">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121573B">
            <w:pPr>
              <w:snapToGrid w:val="0"/>
              <w:spacing w:before="50" w:after="120" w:afterLines="50" w:line="400" w:lineRule="exact"/>
              <w:jc w:val="left"/>
              <w:rPr>
                <w:rFonts w:hint="eastAsia" w:ascii="宋体" w:hAnsi="宋体" w:eastAsia="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55287E6F">
            <w:pPr>
              <w:snapToGrid w:val="0"/>
              <w:spacing w:before="50" w:after="120" w:afterLines="50" w:line="400" w:lineRule="exact"/>
              <w:jc w:val="left"/>
              <w:rPr>
                <w:rFonts w:hint="eastAsia" w:ascii="宋体" w:hAnsi="宋体" w:eastAsia="宋体" w:cs="宋体"/>
                <w:color w:val="auto"/>
                <w:sz w:val="24"/>
                <w:highlight w:val="none"/>
              </w:rPr>
            </w:pPr>
          </w:p>
        </w:tc>
      </w:tr>
      <w:tr w14:paraId="432DC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359ED365">
            <w:pPr>
              <w:snapToGrid w:val="0"/>
              <w:spacing w:before="50" w:after="120" w:afterLines="50" w:line="400" w:lineRule="exact"/>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1CFD2150">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4F689456">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2A923B54">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777AF6A5">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D8E6FB7">
            <w:pPr>
              <w:snapToGrid w:val="0"/>
              <w:spacing w:before="50" w:after="120" w:afterLines="50" w:line="400" w:lineRule="exact"/>
              <w:jc w:val="left"/>
              <w:rPr>
                <w:rFonts w:hint="eastAsia" w:ascii="宋体" w:hAnsi="宋体" w:eastAsia="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3EBB6999">
            <w:pPr>
              <w:snapToGrid w:val="0"/>
              <w:spacing w:before="50" w:after="120" w:afterLines="50" w:line="400" w:lineRule="exact"/>
              <w:jc w:val="left"/>
              <w:rPr>
                <w:rFonts w:hint="eastAsia" w:ascii="宋体" w:hAnsi="宋体" w:eastAsia="宋体" w:cs="宋体"/>
                <w:color w:val="auto"/>
                <w:sz w:val="24"/>
                <w:highlight w:val="none"/>
              </w:rPr>
            </w:pPr>
          </w:p>
        </w:tc>
      </w:tr>
      <w:tr w14:paraId="4085A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2F57CF6D">
            <w:pPr>
              <w:snapToGrid w:val="0"/>
              <w:spacing w:before="50" w:after="120" w:afterLines="50" w:line="400" w:lineRule="exact"/>
              <w:jc w:val="left"/>
              <w:rPr>
                <w:rFonts w:hint="eastAsia" w:ascii="宋体" w:hAnsi="宋体" w:eastAsia="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66813C44">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7FC913F">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C9F19F5">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0CD61FE3">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C0DC672">
            <w:pPr>
              <w:snapToGrid w:val="0"/>
              <w:spacing w:before="50" w:after="120" w:afterLines="50" w:line="400" w:lineRule="exact"/>
              <w:jc w:val="left"/>
              <w:rPr>
                <w:rFonts w:hint="eastAsia" w:ascii="宋体" w:hAnsi="宋体" w:eastAsia="宋体" w:cs="宋体"/>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tcPr>
          <w:p w14:paraId="122F99C6">
            <w:pPr>
              <w:snapToGrid w:val="0"/>
              <w:spacing w:before="50" w:after="120" w:afterLines="50" w:line="400" w:lineRule="exact"/>
              <w:jc w:val="left"/>
              <w:rPr>
                <w:rFonts w:hint="eastAsia" w:ascii="宋体" w:hAnsi="宋体" w:eastAsia="宋体" w:cs="宋体"/>
                <w:color w:val="auto"/>
                <w:sz w:val="24"/>
                <w:highlight w:val="none"/>
              </w:rPr>
            </w:pPr>
          </w:p>
        </w:tc>
      </w:tr>
    </w:tbl>
    <w:p w14:paraId="67312CFD">
      <w:pPr>
        <w:snapToGrid w:val="0"/>
        <w:spacing w:line="360" w:lineRule="auto"/>
        <w:ind w:firstLine="4935" w:firstLineChars="2350"/>
        <w:rPr>
          <w:rFonts w:hint="eastAsia" w:ascii="宋体" w:hAnsi="宋体" w:eastAsia="宋体" w:cs="宋体"/>
          <w:color w:val="auto"/>
          <w:szCs w:val="21"/>
          <w:highlight w:val="none"/>
        </w:rPr>
      </w:pPr>
    </w:p>
    <w:p w14:paraId="283E147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 w:val="24"/>
          <w:szCs w:val="20"/>
          <w:highlight w:val="none"/>
        </w:rPr>
        <w:t>注：在填写时，如本表格不适合供应商的实际情况，可参照本表格式自行制表填写，并附上相关证明材料</w:t>
      </w:r>
      <w:r>
        <w:rPr>
          <w:rFonts w:hint="eastAsia" w:ascii="宋体" w:hAnsi="宋体" w:eastAsia="宋体" w:cs="宋体"/>
          <w:color w:val="auto"/>
          <w:highlight w:val="none"/>
        </w:rPr>
        <w:t>。</w:t>
      </w:r>
    </w:p>
    <w:p w14:paraId="00976E4E">
      <w:pPr>
        <w:snapToGrid w:val="0"/>
        <w:spacing w:line="360" w:lineRule="auto"/>
        <w:rPr>
          <w:rFonts w:hint="eastAsia" w:ascii="宋体" w:hAnsi="宋体" w:eastAsia="宋体" w:cs="宋体"/>
          <w:color w:val="auto"/>
          <w:szCs w:val="21"/>
          <w:highlight w:val="none"/>
        </w:rPr>
      </w:pPr>
    </w:p>
    <w:p w14:paraId="15BDD412">
      <w:pPr>
        <w:snapToGrid w:val="0"/>
        <w:spacing w:line="360" w:lineRule="auto"/>
        <w:rPr>
          <w:rFonts w:hint="eastAsia" w:ascii="宋体" w:hAnsi="宋体" w:eastAsia="宋体" w:cs="宋体"/>
          <w:color w:val="auto"/>
          <w:szCs w:val="21"/>
          <w:highlight w:val="none"/>
        </w:rPr>
      </w:pPr>
    </w:p>
    <w:p w14:paraId="1AF3585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供应商名称(盖公章)：</w:t>
      </w:r>
    </w:p>
    <w:p w14:paraId="6D80DB3D">
      <w:pPr>
        <w:spacing w:line="500" w:lineRule="exact"/>
        <w:jc w:val="center"/>
        <w:rPr>
          <w:rFonts w:hint="eastAsia" w:ascii="宋体" w:hAnsi="宋体" w:eastAsia="宋体" w:cs="宋体"/>
          <w:color w:val="auto"/>
          <w:sz w:val="32"/>
          <w:szCs w:val="32"/>
          <w:highlight w:val="none"/>
        </w:rPr>
        <w:sectPr>
          <w:pgSz w:w="11911" w:h="16838"/>
          <w:pgMar w:top="1134" w:right="1134" w:bottom="1134" w:left="1134" w:header="720" w:footer="720" w:gutter="0"/>
          <w:cols w:space="72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F65166D">
      <w:pPr>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8.服务需求偏离表的格式：</w:t>
      </w:r>
    </w:p>
    <w:p w14:paraId="29F2C3B1">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服务需求偏离表</w:t>
      </w:r>
    </w:p>
    <w:p w14:paraId="67C53AD9">
      <w:pPr>
        <w:spacing w:line="360" w:lineRule="auto"/>
        <w:contextualSpacing/>
        <w:jc w:val="left"/>
        <w:rPr>
          <w:rFonts w:hint="eastAsia" w:ascii="宋体" w:hAnsi="宋体" w:eastAsia="宋体" w:cs="宋体"/>
          <w:color w:val="auto"/>
          <w:sz w:val="24"/>
          <w:highlight w:val="none"/>
        </w:rPr>
      </w:pPr>
    </w:p>
    <w:p w14:paraId="4161C682">
      <w:pPr>
        <w:spacing w:line="360" w:lineRule="auto"/>
        <w:ind w:firstLine="720" w:firstLineChars="3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31447CE">
      <w:pPr>
        <w:spacing w:line="360" w:lineRule="auto"/>
        <w:ind w:firstLine="720" w:firstLineChars="3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02621EC2">
      <w:pPr>
        <w:spacing w:line="360" w:lineRule="auto"/>
        <w:ind w:firstLine="720" w:firstLineChars="3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tbl>
      <w:tblPr>
        <w:tblStyle w:val="32"/>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40"/>
        <w:gridCol w:w="3032"/>
        <w:gridCol w:w="2594"/>
        <w:gridCol w:w="1445"/>
      </w:tblGrid>
      <w:tr w14:paraId="7039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C1D7D6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项号</w:t>
            </w:r>
          </w:p>
        </w:tc>
        <w:tc>
          <w:tcPr>
            <w:tcW w:w="1340" w:type="dxa"/>
            <w:tcBorders>
              <w:top w:val="single" w:color="auto" w:sz="4" w:space="0"/>
              <w:left w:val="single" w:color="auto" w:sz="4" w:space="0"/>
              <w:bottom w:val="single" w:color="auto" w:sz="4" w:space="0"/>
              <w:right w:val="single" w:color="auto" w:sz="4" w:space="0"/>
            </w:tcBorders>
            <w:vAlign w:val="center"/>
          </w:tcPr>
          <w:p w14:paraId="4B5445D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标的名称</w:t>
            </w:r>
          </w:p>
        </w:tc>
        <w:tc>
          <w:tcPr>
            <w:tcW w:w="3032" w:type="dxa"/>
            <w:tcBorders>
              <w:top w:val="single" w:color="auto" w:sz="4" w:space="0"/>
              <w:left w:val="single" w:color="auto" w:sz="4" w:space="0"/>
              <w:bottom w:val="single" w:color="auto" w:sz="4" w:space="0"/>
              <w:right w:val="single" w:color="auto" w:sz="4" w:space="0"/>
            </w:tcBorders>
            <w:vAlign w:val="center"/>
          </w:tcPr>
          <w:p w14:paraId="18502D5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竞争性磋商文件采购需求中的技术要求</w:t>
            </w:r>
          </w:p>
        </w:tc>
        <w:tc>
          <w:tcPr>
            <w:tcW w:w="2594" w:type="dxa"/>
            <w:tcBorders>
              <w:top w:val="single" w:color="auto" w:sz="4" w:space="0"/>
              <w:left w:val="single" w:color="auto" w:sz="4" w:space="0"/>
              <w:bottom w:val="single" w:color="auto" w:sz="4" w:space="0"/>
              <w:right w:val="single" w:color="auto" w:sz="4" w:space="0"/>
            </w:tcBorders>
            <w:vAlign w:val="center"/>
          </w:tcPr>
          <w:p w14:paraId="7C1FC88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响应文件响应的技术要求</w:t>
            </w:r>
          </w:p>
        </w:tc>
        <w:tc>
          <w:tcPr>
            <w:tcW w:w="1445" w:type="dxa"/>
            <w:tcBorders>
              <w:top w:val="single" w:color="auto" w:sz="4" w:space="0"/>
              <w:left w:val="single" w:color="auto" w:sz="4" w:space="0"/>
              <w:bottom w:val="single" w:color="auto" w:sz="4" w:space="0"/>
              <w:right w:val="single" w:color="auto" w:sz="4" w:space="0"/>
            </w:tcBorders>
            <w:vAlign w:val="center"/>
          </w:tcPr>
          <w:p w14:paraId="181CFE7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偏离说明</w:t>
            </w:r>
          </w:p>
        </w:tc>
      </w:tr>
      <w:tr w14:paraId="60A4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6081153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40" w:type="dxa"/>
            <w:tcBorders>
              <w:top w:val="single" w:color="auto" w:sz="4" w:space="0"/>
              <w:left w:val="single" w:color="auto" w:sz="4" w:space="0"/>
              <w:bottom w:val="single" w:color="auto" w:sz="4" w:space="0"/>
              <w:right w:val="single" w:color="auto" w:sz="4" w:space="0"/>
            </w:tcBorders>
            <w:vAlign w:val="center"/>
          </w:tcPr>
          <w:p w14:paraId="0A3886BC">
            <w:pPr>
              <w:rPr>
                <w:rFonts w:hint="eastAsia" w:ascii="宋体" w:hAnsi="宋体" w:eastAsia="宋体" w:cs="宋体"/>
                <w:color w:val="auto"/>
                <w:sz w:val="24"/>
                <w:highlight w:val="none"/>
              </w:rPr>
            </w:pPr>
          </w:p>
        </w:tc>
        <w:tc>
          <w:tcPr>
            <w:tcW w:w="3032" w:type="dxa"/>
            <w:tcBorders>
              <w:top w:val="single" w:color="auto" w:sz="4" w:space="0"/>
              <w:left w:val="single" w:color="auto" w:sz="4" w:space="0"/>
              <w:bottom w:val="single" w:color="auto" w:sz="4" w:space="0"/>
              <w:right w:val="single" w:color="auto" w:sz="4" w:space="0"/>
            </w:tcBorders>
            <w:vAlign w:val="center"/>
          </w:tcPr>
          <w:p w14:paraId="07D6B042">
            <w:pPr>
              <w:rPr>
                <w:rFonts w:hint="eastAsia" w:ascii="宋体" w:hAnsi="宋体" w:eastAsia="宋体" w:cs="宋体"/>
                <w:color w:val="auto"/>
                <w:sz w:val="24"/>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74D621DF">
            <w:pPr>
              <w:rPr>
                <w:rFonts w:hint="eastAsia" w:ascii="宋体" w:hAnsi="宋体" w:eastAsia="宋体" w:cs="宋体"/>
                <w:color w:val="auto"/>
                <w:sz w:val="24"/>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5DD49C05">
            <w:pPr>
              <w:rPr>
                <w:rFonts w:hint="eastAsia" w:ascii="宋体" w:hAnsi="宋体" w:eastAsia="宋体" w:cs="宋体"/>
                <w:color w:val="auto"/>
                <w:sz w:val="24"/>
                <w:highlight w:val="none"/>
              </w:rPr>
            </w:pPr>
          </w:p>
        </w:tc>
      </w:tr>
      <w:tr w14:paraId="2CF7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AF8AD1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40" w:type="dxa"/>
            <w:tcBorders>
              <w:top w:val="single" w:color="auto" w:sz="4" w:space="0"/>
              <w:left w:val="single" w:color="auto" w:sz="4" w:space="0"/>
              <w:bottom w:val="single" w:color="auto" w:sz="4" w:space="0"/>
              <w:right w:val="single" w:color="auto" w:sz="4" w:space="0"/>
            </w:tcBorders>
            <w:vAlign w:val="center"/>
          </w:tcPr>
          <w:p w14:paraId="4D956137">
            <w:pPr>
              <w:rPr>
                <w:rFonts w:hint="eastAsia" w:ascii="宋体" w:hAnsi="宋体" w:eastAsia="宋体" w:cs="宋体"/>
                <w:color w:val="auto"/>
                <w:sz w:val="24"/>
                <w:highlight w:val="none"/>
              </w:rPr>
            </w:pPr>
          </w:p>
        </w:tc>
        <w:tc>
          <w:tcPr>
            <w:tcW w:w="3032" w:type="dxa"/>
            <w:tcBorders>
              <w:top w:val="single" w:color="auto" w:sz="4" w:space="0"/>
              <w:left w:val="single" w:color="auto" w:sz="4" w:space="0"/>
              <w:bottom w:val="single" w:color="auto" w:sz="4" w:space="0"/>
              <w:right w:val="single" w:color="auto" w:sz="4" w:space="0"/>
            </w:tcBorders>
            <w:vAlign w:val="center"/>
          </w:tcPr>
          <w:p w14:paraId="3B7835A0">
            <w:pPr>
              <w:rPr>
                <w:rFonts w:hint="eastAsia" w:ascii="宋体" w:hAnsi="宋体" w:eastAsia="宋体" w:cs="宋体"/>
                <w:color w:val="auto"/>
                <w:sz w:val="24"/>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50E579FB">
            <w:pPr>
              <w:rPr>
                <w:rFonts w:hint="eastAsia" w:ascii="宋体" w:hAnsi="宋体" w:eastAsia="宋体" w:cs="宋体"/>
                <w:color w:val="auto"/>
                <w:sz w:val="24"/>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71355B59">
            <w:pPr>
              <w:rPr>
                <w:rFonts w:hint="eastAsia" w:ascii="宋体" w:hAnsi="宋体" w:eastAsia="宋体" w:cs="宋体"/>
                <w:color w:val="auto"/>
                <w:sz w:val="24"/>
                <w:highlight w:val="none"/>
              </w:rPr>
            </w:pPr>
          </w:p>
        </w:tc>
      </w:tr>
      <w:tr w14:paraId="636C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58132907">
            <w:pPr>
              <w:jc w:val="center"/>
              <w:rPr>
                <w:rFonts w:hint="eastAsia" w:ascii="宋体" w:hAnsi="宋体" w:eastAsia="宋体" w:cs="宋体"/>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14:paraId="338D1296">
            <w:pPr>
              <w:rPr>
                <w:rFonts w:hint="eastAsia" w:ascii="宋体" w:hAnsi="宋体" w:eastAsia="宋体" w:cs="宋体"/>
                <w:color w:val="auto"/>
                <w:sz w:val="24"/>
                <w:highlight w:val="none"/>
              </w:rPr>
            </w:pPr>
          </w:p>
        </w:tc>
        <w:tc>
          <w:tcPr>
            <w:tcW w:w="3032" w:type="dxa"/>
            <w:tcBorders>
              <w:top w:val="single" w:color="auto" w:sz="4" w:space="0"/>
              <w:left w:val="single" w:color="auto" w:sz="4" w:space="0"/>
              <w:bottom w:val="single" w:color="auto" w:sz="4" w:space="0"/>
              <w:right w:val="single" w:color="auto" w:sz="4" w:space="0"/>
            </w:tcBorders>
            <w:vAlign w:val="center"/>
          </w:tcPr>
          <w:p w14:paraId="59FE04C7">
            <w:pPr>
              <w:rPr>
                <w:rFonts w:hint="eastAsia" w:ascii="宋体" w:hAnsi="宋体" w:eastAsia="宋体" w:cs="宋体"/>
                <w:color w:val="auto"/>
                <w:sz w:val="24"/>
                <w:highlight w:val="none"/>
              </w:rPr>
            </w:pPr>
          </w:p>
        </w:tc>
        <w:tc>
          <w:tcPr>
            <w:tcW w:w="2594" w:type="dxa"/>
            <w:tcBorders>
              <w:top w:val="single" w:color="auto" w:sz="4" w:space="0"/>
              <w:left w:val="single" w:color="auto" w:sz="4" w:space="0"/>
              <w:bottom w:val="single" w:color="auto" w:sz="4" w:space="0"/>
              <w:right w:val="single" w:color="auto" w:sz="4" w:space="0"/>
            </w:tcBorders>
            <w:vAlign w:val="center"/>
          </w:tcPr>
          <w:p w14:paraId="660A74BF">
            <w:pPr>
              <w:rPr>
                <w:rFonts w:hint="eastAsia" w:ascii="宋体" w:hAnsi="宋体" w:eastAsia="宋体" w:cs="宋体"/>
                <w:color w:val="auto"/>
                <w:sz w:val="24"/>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4B7B8043">
            <w:pPr>
              <w:rPr>
                <w:rFonts w:hint="eastAsia" w:ascii="宋体" w:hAnsi="宋体" w:eastAsia="宋体" w:cs="宋体"/>
                <w:color w:val="auto"/>
                <w:sz w:val="24"/>
                <w:highlight w:val="none"/>
              </w:rPr>
            </w:pPr>
          </w:p>
        </w:tc>
      </w:tr>
    </w:tbl>
    <w:p w14:paraId="76C512C2">
      <w:pPr>
        <w:pStyle w:val="16"/>
        <w:ind w:firstLine="845"/>
        <w:rPr>
          <w:rFonts w:hint="eastAsia" w:ascii="宋体" w:hAnsi="宋体" w:eastAsia="宋体" w:cs="宋体"/>
          <w:color w:val="auto"/>
          <w:sz w:val="24"/>
          <w:highlight w:val="none"/>
          <w:u w:val="single"/>
        </w:rPr>
      </w:pPr>
    </w:p>
    <w:p w14:paraId="3B95F652">
      <w:pPr>
        <w:pStyle w:val="14"/>
        <w:spacing w:after="0" w:line="360" w:lineRule="auto"/>
        <w:contextualSpacing/>
        <w:rPr>
          <w:rFonts w:hint="eastAsia" w:ascii="宋体" w:hAnsi="宋体" w:eastAsia="宋体" w:cs="宋体"/>
          <w:color w:val="auto"/>
          <w:kern w:val="0"/>
          <w:sz w:val="24"/>
          <w:szCs w:val="24"/>
          <w:highlight w:val="none"/>
        </w:rPr>
      </w:pPr>
    </w:p>
    <w:p w14:paraId="67F84359">
      <w:pPr>
        <w:pStyle w:val="14"/>
        <w:spacing w:after="0" w:line="48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6EFB42D0">
      <w:pPr>
        <w:pStyle w:val="14"/>
        <w:spacing w:after="0" w:line="480" w:lineRule="auto"/>
        <w:ind w:firstLine="480" w:firstLineChars="200"/>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1.说明：应对照磋商文件“第二章  </w:t>
      </w:r>
      <w:r>
        <w:rPr>
          <w:rFonts w:hint="eastAsia" w:ascii="宋体" w:hAnsi="宋体" w:eastAsia="宋体" w:cs="宋体"/>
          <w:bCs/>
          <w:color w:val="auto"/>
          <w:sz w:val="24"/>
          <w:szCs w:val="24"/>
          <w:highlight w:val="none"/>
        </w:rPr>
        <w:t>采购需求</w:t>
      </w:r>
      <w:r>
        <w:rPr>
          <w:rFonts w:hint="eastAsia" w:ascii="宋体" w:hAnsi="宋体" w:eastAsia="宋体" w:cs="宋体"/>
          <w:color w:val="auto"/>
          <w:kern w:val="0"/>
          <w:sz w:val="24"/>
          <w:szCs w:val="24"/>
          <w:highlight w:val="none"/>
        </w:rPr>
        <w:t>”中“需求一览表”的技术要求条款逐条作出明确响应，并作出偏离说明。</w:t>
      </w:r>
    </w:p>
    <w:p w14:paraId="2D2A6EF3">
      <w:pPr>
        <w:pStyle w:val="16"/>
        <w:spacing w:line="48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2.供应商应根据自身的承诺，对照磋商文件要求，在“偏离说明”中注明“正偏离”或者“负偏离”或者“无偏离”。既不属于“正偏离”也不属于“负偏离”即为“无偏离”。 当响应文件的技术要求内容低于竞争性磋商文件要求时，供应商应当如实写明“负偏离”。</w:t>
      </w:r>
    </w:p>
    <w:p w14:paraId="6C5090DE">
      <w:pPr>
        <w:spacing w:line="48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3.表格内容均需按要求填写并盖公章，不得留空，</w:t>
      </w:r>
      <w:r>
        <w:rPr>
          <w:rFonts w:hint="eastAsia" w:ascii="宋体" w:hAnsi="宋体" w:eastAsia="宋体" w:cs="宋体"/>
          <w:b/>
          <w:bCs/>
          <w:color w:val="auto"/>
          <w:kern w:val="0"/>
          <w:sz w:val="24"/>
          <w:szCs w:val="24"/>
          <w:highlight w:val="none"/>
        </w:rPr>
        <w:t>否则按竞标无效处理。</w:t>
      </w:r>
    </w:p>
    <w:p w14:paraId="6C929547">
      <w:pPr>
        <w:pStyle w:val="16"/>
        <w:spacing w:line="480" w:lineRule="auto"/>
        <w:ind w:firstLine="420" w:firstLineChars="200"/>
        <w:contextualSpacing/>
        <w:rPr>
          <w:rFonts w:hint="eastAsia" w:ascii="宋体" w:hAnsi="宋体" w:eastAsia="宋体" w:cs="宋体"/>
          <w:color w:val="auto"/>
          <w:sz w:val="21"/>
          <w:szCs w:val="21"/>
          <w:highlight w:val="none"/>
        </w:rPr>
      </w:pPr>
    </w:p>
    <w:p w14:paraId="71BA6843">
      <w:pPr>
        <w:snapToGrid w:val="0"/>
        <w:spacing w:line="360" w:lineRule="auto"/>
        <w:rPr>
          <w:rFonts w:hint="eastAsia" w:ascii="宋体" w:hAnsi="宋体" w:eastAsia="宋体" w:cs="宋体"/>
          <w:b/>
          <w:color w:val="auto"/>
          <w:sz w:val="30"/>
          <w:szCs w:val="30"/>
          <w:highlight w:val="none"/>
        </w:rPr>
      </w:pPr>
    </w:p>
    <w:p w14:paraId="40B4441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14:paraId="34741FEE">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1067A90">
      <w:pPr>
        <w:snapToGrid w:val="0"/>
        <w:spacing w:line="360" w:lineRule="auto"/>
        <w:rPr>
          <w:rFonts w:hint="eastAsia" w:ascii="宋体" w:hAnsi="宋体" w:eastAsia="宋体" w:cs="宋体"/>
          <w:b/>
          <w:color w:val="auto"/>
          <w:sz w:val="28"/>
          <w:szCs w:val="28"/>
          <w:highlight w:val="none"/>
        </w:rPr>
      </w:pPr>
    </w:p>
    <w:p w14:paraId="20409324">
      <w:pPr>
        <w:snapToGrid w:val="0"/>
        <w:spacing w:line="360" w:lineRule="auto"/>
        <w:rPr>
          <w:rFonts w:hint="eastAsia" w:ascii="宋体" w:hAnsi="宋体" w:eastAsia="宋体" w:cs="宋体"/>
          <w:b/>
          <w:color w:val="auto"/>
          <w:sz w:val="28"/>
          <w:szCs w:val="28"/>
          <w:highlight w:val="none"/>
        </w:rPr>
      </w:pPr>
    </w:p>
    <w:p w14:paraId="10EFEBCB">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9.项目方案</w:t>
      </w:r>
    </w:p>
    <w:p w14:paraId="6B1B006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（由供应商根据采购需求及采购文件要求编制）</w:t>
      </w:r>
    </w:p>
    <w:p w14:paraId="7C92AD56">
      <w:pPr>
        <w:pStyle w:val="2"/>
        <w:rPr>
          <w:rFonts w:hint="eastAsia" w:ascii="宋体" w:hAnsi="宋体" w:eastAsia="宋体" w:cs="宋体"/>
          <w:color w:val="auto"/>
          <w:kern w:val="0"/>
          <w:sz w:val="24"/>
          <w:highlight w:val="none"/>
          <w:lang w:val="zh-CN"/>
        </w:rPr>
      </w:pPr>
    </w:p>
    <w:p w14:paraId="7CAA4BCE">
      <w:pPr>
        <w:rPr>
          <w:rFonts w:hint="eastAsia" w:ascii="宋体" w:hAnsi="宋体" w:eastAsia="宋体" w:cs="宋体"/>
          <w:color w:val="auto"/>
          <w:kern w:val="0"/>
          <w:sz w:val="24"/>
          <w:highlight w:val="none"/>
          <w:lang w:val="zh-CN"/>
        </w:rPr>
      </w:pPr>
    </w:p>
    <w:p w14:paraId="176874A4">
      <w:pPr>
        <w:pStyle w:val="2"/>
        <w:rPr>
          <w:rFonts w:hint="eastAsia" w:ascii="宋体" w:hAnsi="宋体" w:eastAsia="宋体" w:cs="宋体"/>
          <w:color w:val="auto"/>
          <w:kern w:val="0"/>
          <w:sz w:val="24"/>
          <w:highlight w:val="none"/>
          <w:lang w:val="zh-CN"/>
        </w:rPr>
      </w:pPr>
    </w:p>
    <w:p w14:paraId="71244B8D">
      <w:pPr>
        <w:rPr>
          <w:rFonts w:hint="eastAsia" w:ascii="宋体" w:hAnsi="宋体" w:eastAsia="宋体" w:cs="宋体"/>
          <w:color w:val="auto"/>
          <w:highlight w:val="none"/>
          <w:lang w:val="zh-CN"/>
        </w:rPr>
      </w:pPr>
    </w:p>
    <w:p w14:paraId="491446D8">
      <w:pPr>
        <w:rPr>
          <w:rFonts w:hint="eastAsia" w:ascii="宋体" w:hAnsi="宋体" w:eastAsia="宋体" w:cs="宋体"/>
          <w:color w:val="auto"/>
          <w:highlight w:val="none"/>
          <w:lang w:val="zh-CN"/>
        </w:rPr>
      </w:pPr>
    </w:p>
    <w:p w14:paraId="6E6BFFFB">
      <w:pPr>
        <w:pStyle w:val="2"/>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（格式自拟）</w:t>
      </w:r>
    </w:p>
    <w:p w14:paraId="463ED269">
      <w:pPr>
        <w:rPr>
          <w:rFonts w:hint="eastAsia" w:ascii="宋体" w:hAnsi="宋体" w:eastAsia="宋体" w:cs="宋体"/>
          <w:color w:val="auto"/>
          <w:kern w:val="0"/>
          <w:sz w:val="24"/>
          <w:highlight w:val="none"/>
          <w:lang w:val="zh-CN"/>
        </w:rPr>
      </w:pPr>
    </w:p>
    <w:p w14:paraId="41F17D5A">
      <w:pPr>
        <w:pStyle w:val="2"/>
        <w:rPr>
          <w:rFonts w:hint="eastAsia" w:ascii="宋体" w:hAnsi="宋体" w:eastAsia="宋体" w:cs="宋体"/>
          <w:color w:val="auto"/>
          <w:kern w:val="0"/>
          <w:sz w:val="24"/>
          <w:highlight w:val="none"/>
          <w:lang w:val="zh-CN"/>
        </w:rPr>
      </w:pPr>
    </w:p>
    <w:p w14:paraId="7FD5851D">
      <w:pPr>
        <w:rPr>
          <w:rFonts w:hint="eastAsia" w:ascii="宋体" w:hAnsi="宋体" w:eastAsia="宋体" w:cs="宋体"/>
          <w:color w:val="auto"/>
          <w:kern w:val="0"/>
          <w:sz w:val="24"/>
          <w:highlight w:val="none"/>
          <w:lang w:val="zh-CN"/>
        </w:rPr>
      </w:pPr>
    </w:p>
    <w:p w14:paraId="70B1465E">
      <w:pPr>
        <w:pStyle w:val="2"/>
        <w:rPr>
          <w:rFonts w:hint="eastAsia" w:ascii="宋体" w:hAnsi="宋体" w:eastAsia="宋体" w:cs="宋体"/>
          <w:color w:val="auto"/>
          <w:highlight w:val="none"/>
          <w:lang w:val="zh-CN"/>
        </w:rPr>
      </w:pPr>
    </w:p>
    <w:p w14:paraId="1A86EF06">
      <w:pPr>
        <w:rPr>
          <w:rFonts w:hint="eastAsia" w:ascii="宋体" w:hAnsi="宋体" w:eastAsia="宋体" w:cs="宋体"/>
          <w:color w:val="auto"/>
          <w:highlight w:val="none"/>
          <w:lang w:val="zh-CN"/>
        </w:rPr>
      </w:pPr>
    </w:p>
    <w:p w14:paraId="183A8B1E">
      <w:pPr>
        <w:pStyle w:val="2"/>
        <w:ind w:firstLine="3840" w:firstLineChars="1600"/>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供应商名称（盖公章）：</w:t>
      </w:r>
    </w:p>
    <w:p w14:paraId="6BA9277E">
      <w:pPr>
        <w:pStyle w:val="2"/>
        <w:ind w:firstLine="6000" w:firstLineChars="2500"/>
        <w:rPr>
          <w:rFonts w:hint="eastAsia" w:ascii="宋体" w:hAnsi="宋体" w:eastAsia="宋体" w:cs="宋体"/>
          <w:b w:val="0"/>
          <w:bCs w:val="0"/>
          <w:color w:val="auto"/>
          <w:kern w:val="0"/>
          <w:sz w:val="24"/>
          <w:highlight w:val="none"/>
          <w:lang w:val="zh-CN"/>
        </w:rPr>
      </w:pPr>
      <w:r>
        <w:rPr>
          <w:rFonts w:hint="eastAsia" w:ascii="宋体" w:hAnsi="宋体" w:eastAsia="宋体" w:cs="宋体"/>
          <w:b w:val="0"/>
          <w:bCs w:val="0"/>
          <w:color w:val="auto"/>
          <w:kern w:val="0"/>
          <w:sz w:val="24"/>
          <w:highlight w:val="none"/>
          <w:lang w:val="zh-CN"/>
        </w:rPr>
        <w:t>日期：  年  月   日</w:t>
      </w:r>
    </w:p>
    <w:p w14:paraId="5DD374B4">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2C30886A">
      <w:pPr>
        <w:autoSpaceDE w:val="0"/>
        <w:autoSpaceDN w:val="0"/>
        <w:spacing w:line="360" w:lineRule="auto"/>
        <w:ind w:firstLine="8132" w:firstLineChars="2700"/>
        <w:rPr>
          <w:rFonts w:hint="eastAsia" w:ascii="宋体" w:hAnsi="宋体" w:eastAsia="宋体" w:cs="宋体"/>
          <w:b/>
          <w:bCs/>
          <w:color w:val="auto"/>
          <w:sz w:val="24"/>
          <w:highlight w:val="none"/>
        </w:rPr>
      </w:pPr>
      <w:r>
        <w:rPr>
          <w:rFonts w:hint="eastAsia" w:ascii="宋体" w:hAnsi="宋体" w:eastAsia="宋体" w:cs="宋体"/>
          <w:b/>
          <w:color w:val="auto"/>
          <w:sz w:val="30"/>
          <w:szCs w:val="30"/>
          <w:highlight w:val="none"/>
        </w:rPr>
        <w:br w:type="page"/>
      </w:r>
    </w:p>
    <w:p w14:paraId="460D2867">
      <w:pPr>
        <w:pStyle w:val="3"/>
        <w:jc w:val="center"/>
        <w:rPr>
          <w:rFonts w:hint="eastAsia" w:ascii="宋体" w:hAnsi="宋体" w:eastAsia="宋体" w:cs="宋体"/>
          <w:color w:val="auto"/>
          <w:highlight w:val="none"/>
        </w:rPr>
      </w:pPr>
      <w:bookmarkStart w:id="142" w:name="_Toc80886945"/>
      <w:bookmarkStart w:id="143" w:name="_Toc31035"/>
      <w:bookmarkStart w:id="144" w:name="_Toc80205941"/>
      <w:bookmarkStart w:id="145" w:name="_Toc12611"/>
      <w:r>
        <w:rPr>
          <w:rFonts w:hint="eastAsia" w:ascii="宋体" w:hAnsi="宋体" w:eastAsia="宋体" w:cs="宋体"/>
          <w:color w:val="auto"/>
          <w:highlight w:val="none"/>
        </w:rPr>
        <w:t>第三节 报价文件格式</w:t>
      </w:r>
      <w:bookmarkEnd w:id="142"/>
      <w:bookmarkEnd w:id="143"/>
      <w:bookmarkEnd w:id="144"/>
      <w:bookmarkEnd w:id="145"/>
    </w:p>
    <w:p w14:paraId="4E7A906B">
      <w:pPr>
        <w:pStyle w:val="23"/>
        <w:rPr>
          <w:rFonts w:hint="eastAsia" w:ascii="宋体" w:hAnsi="宋体" w:eastAsia="宋体" w:cs="宋体"/>
          <w:color w:val="auto"/>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8"/>
          <w:szCs w:val="28"/>
          <w:highlight w:val="none"/>
        </w:rPr>
        <w:t>1.报价文件封面的格式</w:t>
      </w:r>
      <w:r>
        <w:rPr>
          <w:rFonts w:hint="eastAsia" w:ascii="宋体" w:hAnsi="宋体" w:eastAsia="宋体" w:cs="宋体"/>
          <w:b/>
          <w:color w:val="auto"/>
          <w:sz w:val="28"/>
          <w:szCs w:val="28"/>
          <w:highlight w:val="none"/>
        </w:rPr>
        <w:t>（参照此格式自拟）</w:t>
      </w:r>
      <w:r>
        <w:rPr>
          <w:rFonts w:hint="eastAsia" w:ascii="宋体" w:hAnsi="宋体" w:eastAsia="宋体" w:cs="宋体"/>
          <w:b/>
          <w:bCs/>
          <w:color w:val="auto"/>
          <w:sz w:val="28"/>
          <w:szCs w:val="28"/>
          <w:highlight w:val="none"/>
        </w:rPr>
        <w:t>：</w:t>
      </w:r>
    </w:p>
    <w:p w14:paraId="59D32FBB">
      <w:pPr>
        <w:snapToGrid w:val="0"/>
        <w:spacing w:before="120" w:beforeLines="50" w:after="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28409D4">
      <w:pPr>
        <w:snapToGrid w:val="0"/>
        <w:spacing w:before="120" w:beforeLines="50" w:after="50"/>
        <w:ind w:firstLine="6720" w:firstLineChars="320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全流程电子文件</w:t>
      </w:r>
    </w:p>
    <w:p w14:paraId="0BFECE1D">
      <w:pPr>
        <w:snapToGrid w:val="0"/>
        <w:spacing w:before="120" w:beforeLines="50" w:after="50"/>
        <w:rPr>
          <w:rFonts w:hint="eastAsia" w:ascii="宋体" w:hAnsi="宋体" w:eastAsia="宋体" w:cs="宋体"/>
          <w:color w:val="auto"/>
          <w:sz w:val="24"/>
          <w:szCs w:val="20"/>
          <w:highlight w:val="none"/>
        </w:rPr>
      </w:pPr>
    </w:p>
    <w:p w14:paraId="4945E2CE">
      <w:pPr>
        <w:snapToGrid w:val="0"/>
        <w:spacing w:before="120" w:beforeLines="50" w:after="50"/>
        <w:rPr>
          <w:rFonts w:hint="eastAsia" w:ascii="宋体" w:hAnsi="宋体" w:eastAsia="宋体" w:cs="宋体"/>
          <w:color w:val="auto"/>
          <w:sz w:val="24"/>
          <w:szCs w:val="20"/>
          <w:highlight w:val="none"/>
        </w:rPr>
      </w:pPr>
    </w:p>
    <w:p w14:paraId="418BCD35">
      <w:pPr>
        <w:snapToGrid w:val="0"/>
        <w:spacing w:before="120" w:beforeLines="50" w:after="50"/>
        <w:rPr>
          <w:rFonts w:hint="eastAsia" w:ascii="宋体" w:hAnsi="宋体" w:eastAsia="宋体" w:cs="宋体"/>
          <w:color w:val="auto"/>
          <w:sz w:val="24"/>
          <w:szCs w:val="20"/>
          <w:highlight w:val="none"/>
        </w:rPr>
      </w:pPr>
    </w:p>
    <w:p w14:paraId="3F31DE94">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w:t>
      </w:r>
    </w:p>
    <w:p w14:paraId="108A1E9B">
      <w:pPr>
        <w:snapToGrid w:val="0"/>
        <w:spacing w:before="120" w:beforeLines="50" w:after="50"/>
        <w:rPr>
          <w:rFonts w:hint="eastAsia" w:ascii="宋体" w:hAnsi="宋体" w:eastAsia="宋体" w:cs="宋体"/>
          <w:bCs/>
          <w:color w:val="auto"/>
          <w:sz w:val="24"/>
          <w:szCs w:val="20"/>
          <w:highlight w:val="none"/>
        </w:rPr>
      </w:pPr>
    </w:p>
    <w:p w14:paraId="6F3F2D01">
      <w:pPr>
        <w:snapToGrid w:val="0"/>
        <w:spacing w:before="120" w:beforeLines="50" w:after="50"/>
        <w:rPr>
          <w:rFonts w:hint="eastAsia" w:ascii="宋体" w:hAnsi="宋体" w:eastAsia="宋体" w:cs="宋体"/>
          <w:bCs/>
          <w:color w:val="auto"/>
          <w:sz w:val="24"/>
          <w:szCs w:val="20"/>
          <w:highlight w:val="none"/>
        </w:rPr>
      </w:pPr>
    </w:p>
    <w:p w14:paraId="56F4A03E">
      <w:pPr>
        <w:snapToGrid w:val="0"/>
        <w:spacing w:before="120" w:beforeLines="50" w:after="50"/>
        <w:rPr>
          <w:rFonts w:hint="eastAsia" w:ascii="宋体" w:hAnsi="宋体" w:eastAsia="宋体" w:cs="宋体"/>
          <w:bCs/>
          <w:color w:val="auto"/>
          <w:sz w:val="24"/>
          <w:szCs w:val="20"/>
          <w:highlight w:val="none"/>
        </w:rPr>
      </w:pPr>
    </w:p>
    <w:p w14:paraId="254BC92B">
      <w:pPr>
        <w:snapToGrid w:val="0"/>
        <w:spacing w:before="120" w:beforeLines="50" w:after="50"/>
        <w:rPr>
          <w:rFonts w:hint="eastAsia" w:ascii="宋体" w:hAnsi="宋体" w:eastAsia="宋体" w:cs="宋体"/>
          <w:bCs/>
          <w:color w:val="auto"/>
          <w:sz w:val="24"/>
          <w:szCs w:val="20"/>
          <w:highlight w:val="none"/>
        </w:rPr>
      </w:pPr>
    </w:p>
    <w:p w14:paraId="165B30DC">
      <w:pPr>
        <w:snapToGrid w:val="0"/>
        <w:spacing w:before="120" w:beforeLines="50" w:after="50"/>
        <w:rPr>
          <w:rFonts w:hint="eastAsia" w:ascii="宋体" w:hAnsi="宋体" w:eastAsia="宋体" w:cs="宋体"/>
          <w:bCs/>
          <w:color w:val="auto"/>
          <w:sz w:val="24"/>
          <w:szCs w:val="20"/>
          <w:highlight w:val="none"/>
        </w:rPr>
      </w:pPr>
    </w:p>
    <w:p w14:paraId="1A9F5854">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6092C8EE">
      <w:pPr>
        <w:snapToGrid w:val="0"/>
        <w:spacing w:before="120" w:beforeLines="50" w:after="50"/>
        <w:ind w:firstLine="720" w:firstLineChars="225"/>
        <w:rPr>
          <w:rFonts w:hint="eastAsia" w:ascii="宋体" w:hAnsi="宋体" w:eastAsia="宋体" w:cs="宋体"/>
          <w:bCs/>
          <w:color w:val="auto"/>
          <w:sz w:val="32"/>
          <w:szCs w:val="32"/>
          <w:highlight w:val="none"/>
        </w:rPr>
      </w:pPr>
    </w:p>
    <w:p w14:paraId="5574EDA5">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3310AC9D">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1DA172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A43C96B">
      <w:pPr>
        <w:snapToGrid w:val="0"/>
        <w:spacing w:before="120" w:beforeLines="50" w:after="50"/>
        <w:ind w:firstLine="720" w:firstLineChars="225"/>
        <w:rPr>
          <w:rFonts w:hint="eastAsia" w:ascii="宋体" w:hAnsi="宋体" w:eastAsia="宋体" w:cs="宋体"/>
          <w:bCs/>
          <w:color w:val="auto"/>
          <w:sz w:val="32"/>
          <w:szCs w:val="32"/>
          <w:highlight w:val="none"/>
        </w:rPr>
      </w:pPr>
    </w:p>
    <w:p w14:paraId="5E5CAB13">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574152C">
      <w:pPr>
        <w:pStyle w:val="7"/>
        <w:snapToGrid w:val="0"/>
        <w:spacing w:before="50" w:after="50"/>
        <w:ind w:firstLine="720" w:firstLineChars="225"/>
        <w:rPr>
          <w:rFonts w:hint="eastAsia" w:ascii="宋体" w:hAnsi="宋体" w:eastAsia="宋体" w:cs="宋体"/>
          <w:bCs/>
          <w:color w:val="auto"/>
          <w:sz w:val="32"/>
          <w:szCs w:val="32"/>
          <w:highlight w:val="none"/>
        </w:rPr>
      </w:pPr>
    </w:p>
    <w:p w14:paraId="2AFCC4A1">
      <w:pPr>
        <w:pStyle w:val="7"/>
        <w:snapToGrid w:val="0"/>
        <w:spacing w:before="50" w:after="50"/>
        <w:ind w:firstLine="720" w:firstLineChars="225"/>
        <w:rPr>
          <w:rFonts w:hint="eastAsia" w:ascii="宋体" w:hAnsi="宋体" w:eastAsia="宋体" w:cs="宋体"/>
          <w:bCs/>
          <w:color w:val="auto"/>
          <w:sz w:val="32"/>
          <w:szCs w:val="32"/>
          <w:highlight w:val="none"/>
        </w:rPr>
      </w:pPr>
    </w:p>
    <w:p w14:paraId="4152FFD0">
      <w:pPr>
        <w:pStyle w:val="7"/>
        <w:snapToGrid w:val="0"/>
        <w:spacing w:before="50" w:after="50"/>
        <w:ind w:firstLine="1280" w:firstLineChars="400"/>
        <w:rPr>
          <w:rFonts w:hint="eastAsia" w:ascii="宋体" w:hAnsi="宋体" w:eastAsia="宋体" w:cs="宋体"/>
          <w:bCs/>
          <w:color w:val="auto"/>
          <w:sz w:val="32"/>
          <w:szCs w:val="32"/>
          <w:highlight w:val="none"/>
        </w:rPr>
      </w:pPr>
    </w:p>
    <w:p w14:paraId="7904DC00">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BBAABDC">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8"/>
          <w:szCs w:val="28"/>
          <w:highlight w:val="none"/>
        </w:rPr>
        <w:t>2.</w:t>
      </w:r>
      <w:r>
        <w:rPr>
          <w:rFonts w:hint="eastAsia" w:ascii="宋体" w:hAnsi="宋体" w:eastAsia="宋体" w:cs="宋体"/>
          <w:b/>
          <w:bCs/>
          <w:color w:val="auto"/>
          <w:sz w:val="28"/>
          <w:szCs w:val="28"/>
          <w:highlight w:val="none"/>
        </w:rPr>
        <w:t>报价文件目录</w:t>
      </w:r>
    </w:p>
    <w:p w14:paraId="4A0C2D69">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根据竞争性磋商文件规定及供应商提供的材料自行编写目录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21511433">
      <w:pPr>
        <w:spacing w:line="360" w:lineRule="auto"/>
        <w:rPr>
          <w:rFonts w:hint="eastAsia" w:ascii="宋体" w:hAnsi="宋体" w:eastAsia="宋体" w:cs="宋体"/>
          <w:color w:val="auto"/>
          <w:sz w:val="24"/>
          <w:highlight w:val="none"/>
        </w:rPr>
      </w:pPr>
    </w:p>
    <w:p w14:paraId="1F657AD6">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6F59E01E">
      <w:pPr>
        <w:snapToGrid w:val="0"/>
        <w:spacing w:before="120" w:beforeLines="50" w:after="5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zh-CN"/>
        </w:rPr>
        <w:t>响应函的格式：</w:t>
      </w:r>
    </w:p>
    <w:p w14:paraId="2445E64A">
      <w:pPr>
        <w:spacing w:line="500" w:lineRule="exact"/>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响应函</w:t>
      </w:r>
    </w:p>
    <w:p w14:paraId="124DD99E">
      <w:pPr>
        <w:spacing w:line="460" w:lineRule="exact"/>
        <w:rPr>
          <w:rFonts w:hint="eastAsia" w:ascii="宋体" w:hAnsi="宋体" w:eastAsia="宋体" w:cs="宋体"/>
          <w:color w:val="auto"/>
          <w:kern w:val="0"/>
          <w:sz w:val="24"/>
          <w:highlight w:val="none"/>
        </w:rPr>
      </w:pPr>
    </w:p>
    <w:p w14:paraId="2EB4F3C7">
      <w:pPr>
        <w:spacing w:line="4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（采购代理机构名称）</w:t>
      </w:r>
    </w:p>
    <w:p w14:paraId="3353428D">
      <w:pPr>
        <w:spacing w:line="460" w:lineRule="exact"/>
        <w:ind w:firstLine="480" w:firstLineChars="200"/>
        <w:rPr>
          <w:rFonts w:hint="eastAsia" w:ascii="宋体" w:hAnsi="宋体" w:eastAsia="宋体" w:cs="宋体"/>
          <w:color w:val="auto"/>
          <w:kern w:val="0"/>
          <w:sz w:val="24"/>
          <w:highlight w:val="none"/>
        </w:rPr>
      </w:pPr>
    </w:p>
    <w:p w14:paraId="77892F84">
      <w:pPr>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我方已仔细阅读了贵方组织的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项目（项目编号：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）的竞争性磋商文件的全部内容，现正式递交下述文件参加贵方组织的本次政府采购活动： </w:t>
      </w:r>
    </w:p>
    <w:p w14:paraId="3128B126">
      <w:pPr>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一、首次报价文件电子版（包含按“第三章 供应商须知”提交的全部文件）；</w:t>
      </w:r>
    </w:p>
    <w:p w14:paraId="08B34D06">
      <w:pPr>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二、技术文件电子版（包含按“第三章 供应商须知”提交的全部文件）；商务文件电子版（包含按“第三章 供应商须知”提交的全部文件）；</w:t>
      </w:r>
    </w:p>
    <w:p w14:paraId="339DCBB6">
      <w:pPr>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三、资格证明文件电子版（包含按“第三章供应商须知”提交的全部文件）。</w:t>
      </w:r>
    </w:p>
    <w:p w14:paraId="4623D45B">
      <w:pPr>
        <w:spacing w:line="4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据此函，我方兹宣布：</w:t>
      </w:r>
    </w:p>
    <w:p w14:paraId="301E0B43">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1、我方愿意以磋商时</w:t>
      </w:r>
      <w:r>
        <w:rPr>
          <w:rFonts w:hint="eastAsia" w:ascii="宋体" w:hAnsi="宋体" w:eastAsia="宋体" w:cs="宋体"/>
          <w:color w:val="auto"/>
          <w:sz w:val="24"/>
          <w:highlight w:val="none"/>
        </w:rPr>
        <w:t>提交的最后报价表中的竞标总报价，在承诺的</w:t>
      </w:r>
      <w:r>
        <w:rPr>
          <w:rFonts w:hint="eastAsia" w:ascii="宋体" w:hAnsi="宋体" w:eastAsia="宋体" w:cs="宋体"/>
          <w:color w:val="auto"/>
          <w:kern w:val="0"/>
          <w:sz w:val="24"/>
          <w:highlight w:val="none"/>
        </w:rPr>
        <w:t>服务时间</w:t>
      </w:r>
      <w:r>
        <w:rPr>
          <w:rFonts w:hint="eastAsia" w:ascii="宋体" w:hAnsi="宋体" w:eastAsia="宋体" w:cs="宋体"/>
          <w:color w:val="auto"/>
          <w:sz w:val="24"/>
          <w:highlight w:val="none"/>
        </w:rPr>
        <w:t>内</w:t>
      </w:r>
      <w:r>
        <w:rPr>
          <w:rFonts w:hint="eastAsia" w:ascii="宋体" w:hAnsi="宋体" w:eastAsia="宋体" w:cs="宋体"/>
          <w:color w:val="auto"/>
          <w:kern w:val="0"/>
          <w:sz w:val="24"/>
          <w:highlight w:val="none"/>
        </w:rPr>
        <w:t>提供本项目竞争性磋商文件第二章“采购需求”中相应的采购内容</w:t>
      </w:r>
      <w:r>
        <w:rPr>
          <w:rFonts w:hint="eastAsia" w:ascii="宋体" w:hAnsi="宋体" w:eastAsia="宋体" w:cs="宋体"/>
          <w:color w:val="auto"/>
          <w:sz w:val="24"/>
          <w:highlight w:val="none"/>
        </w:rPr>
        <w:t>，具体详见最后报价表</w:t>
      </w:r>
      <w:r>
        <w:rPr>
          <w:rFonts w:hint="eastAsia" w:ascii="宋体" w:hAnsi="宋体" w:eastAsia="宋体" w:cs="宋体"/>
          <w:color w:val="auto"/>
          <w:kern w:val="0"/>
          <w:sz w:val="24"/>
          <w:highlight w:val="none"/>
        </w:rPr>
        <w:t>。</w:t>
      </w:r>
    </w:p>
    <w:p w14:paraId="7C88E0A4">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2、我方同意自本项目竞争性磋商文件采购公告规定的提交响应文件截止时间起遵循本响应函，并承诺在“第三章 供应商须知”规定的竞标有效期内不修改、撤销响应文件。</w:t>
      </w:r>
    </w:p>
    <w:p w14:paraId="53E0ABED">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3、我方在此声明，所递交的响应文件及有关资料内容完整、真实和准确。</w:t>
      </w:r>
    </w:p>
    <w:p w14:paraId="36504AE4">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4、如本项目采购内容涉及须符合国家强制规定的，我方承诺我方本次竞标均符合国家有关强制规定。</w:t>
      </w:r>
    </w:p>
    <w:p w14:paraId="24F9A1B5">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680B8440">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6、我方已详细审核竞争性磋商文件，我方知道必须放弃提出含糊不清或误解问题的权利。</w:t>
      </w:r>
    </w:p>
    <w:p w14:paraId="481B92D9">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7、我方承诺满足竞争性磋商文件第六章“合同文本”的条款，承担完成合同的责任和义务。</w:t>
      </w:r>
    </w:p>
    <w:p w14:paraId="76B334F5">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8、我方同意应贵方要求提供与本竞标有关的任何数据或资料。若贵方需要，我方愿意提供我方作出的一切承诺的证明材料。</w:t>
      </w:r>
    </w:p>
    <w:p w14:paraId="7C4B13A5">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9、我方完全理解贵方不一定接受响应报价最低的供应商为成交供应商的行为。</w:t>
      </w:r>
    </w:p>
    <w:p w14:paraId="68D8CE9B">
      <w:pPr>
        <w:spacing w:line="460" w:lineRule="exact"/>
        <w:ind w:firstLine="48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C6CFDC4">
      <w:pPr>
        <w:numPr>
          <w:ilvl w:val="0"/>
          <w:numId w:val="9"/>
        </w:numPr>
        <w:tabs>
          <w:tab w:val="left" w:pos="945"/>
        </w:tabs>
        <w:spacing w:line="4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提供虚假材料谋取中标、成交的；</w:t>
      </w:r>
    </w:p>
    <w:p w14:paraId="6722DB16">
      <w:pPr>
        <w:numPr>
          <w:ilvl w:val="0"/>
          <w:numId w:val="9"/>
        </w:numPr>
        <w:tabs>
          <w:tab w:val="left" w:pos="945"/>
        </w:tabs>
        <w:spacing w:line="4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采取不正当手段诋毁、排挤其他供应商的；</w:t>
      </w:r>
    </w:p>
    <w:p w14:paraId="277347CF">
      <w:pPr>
        <w:numPr>
          <w:ilvl w:val="0"/>
          <w:numId w:val="9"/>
        </w:numPr>
        <w:tabs>
          <w:tab w:val="left" w:pos="945"/>
        </w:tabs>
        <w:spacing w:line="4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与采购人、其他供应商或者采购代理机构恶意串通的；</w:t>
      </w:r>
    </w:p>
    <w:p w14:paraId="4F82DA19">
      <w:pPr>
        <w:numPr>
          <w:ilvl w:val="0"/>
          <w:numId w:val="9"/>
        </w:numPr>
        <w:tabs>
          <w:tab w:val="left" w:pos="945"/>
        </w:tabs>
        <w:spacing w:line="4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向采购人、采购代理机构行贿或者提供其他不正当利益的；</w:t>
      </w:r>
    </w:p>
    <w:p w14:paraId="5D30E54C">
      <w:pPr>
        <w:numPr>
          <w:ilvl w:val="0"/>
          <w:numId w:val="9"/>
        </w:numPr>
        <w:tabs>
          <w:tab w:val="left" w:pos="945"/>
        </w:tabs>
        <w:spacing w:line="4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在采购过程中与采购人进行协商磋商的；</w:t>
      </w:r>
    </w:p>
    <w:p w14:paraId="182B2D8E">
      <w:pPr>
        <w:numPr>
          <w:ilvl w:val="0"/>
          <w:numId w:val="9"/>
        </w:numPr>
        <w:tabs>
          <w:tab w:val="left" w:pos="945"/>
        </w:tabs>
        <w:spacing w:line="4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拒绝有关部门监督检查或提供虚假情况的。</w:t>
      </w:r>
    </w:p>
    <w:p w14:paraId="47AB699A">
      <w:pPr>
        <w:spacing w:line="460" w:lineRule="exact"/>
        <w:ind w:firstLine="42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11、以上事项如有虚假或者隐瞒，我方愿意承担一切后果，并不再寻求任何旨在减轻或者免除法律责任的辩解。</w:t>
      </w:r>
    </w:p>
    <w:p w14:paraId="6BAD9A95">
      <w:pPr>
        <w:spacing w:line="460" w:lineRule="exact"/>
        <w:ind w:firstLine="42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 xml:space="preserve">12、与本磋商有关的一切正式往来信函请寄： </w:t>
      </w:r>
    </w:p>
    <w:p w14:paraId="33FC8419">
      <w:pPr>
        <w:spacing w:line="460" w:lineRule="exact"/>
        <w:ind w:firstLine="42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57A68407">
      <w:pPr>
        <w:spacing w:line="460" w:lineRule="exact"/>
        <w:ind w:firstLine="42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电话：</w:t>
      </w:r>
      <w:r>
        <w:rPr>
          <w:rFonts w:hint="eastAsia" w:ascii="宋体" w:hAnsi="宋体" w:eastAsia="宋体" w:cs="宋体"/>
          <w:color w:val="auto"/>
          <w:kern w:val="0"/>
          <w:sz w:val="24"/>
          <w:highlight w:val="none"/>
          <w:u w:val="single"/>
        </w:rPr>
        <w:t xml:space="preserve">                                      　　　　　　　　　</w:t>
      </w:r>
    </w:p>
    <w:p w14:paraId="06AB35F0">
      <w:pPr>
        <w:spacing w:line="460" w:lineRule="exact"/>
        <w:ind w:firstLine="42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传真：</w:t>
      </w:r>
      <w:r>
        <w:rPr>
          <w:rFonts w:hint="eastAsia" w:ascii="宋体" w:hAnsi="宋体" w:eastAsia="宋体" w:cs="宋体"/>
          <w:color w:val="auto"/>
          <w:kern w:val="0"/>
          <w:sz w:val="24"/>
          <w:highlight w:val="none"/>
          <w:u w:val="single"/>
        </w:rPr>
        <w:t>　　　　　　　　　　　　　　　　　　　　　　　　　　　　</w:t>
      </w:r>
    </w:p>
    <w:p w14:paraId="0040E2B6">
      <w:pPr>
        <w:spacing w:line="460" w:lineRule="exact"/>
        <w:ind w:firstLine="42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电子邮箱：</w:t>
      </w:r>
      <w:r>
        <w:rPr>
          <w:rFonts w:hint="eastAsia" w:ascii="宋体" w:hAnsi="宋体" w:eastAsia="宋体" w:cs="宋体"/>
          <w:color w:val="auto"/>
          <w:kern w:val="0"/>
          <w:sz w:val="24"/>
          <w:highlight w:val="none"/>
          <w:u w:val="single"/>
        </w:rPr>
        <w:t>　　　　　　　　　　　　　　　　　　　　　　　　　　</w:t>
      </w:r>
    </w:p>
    <w:p w14:paraId="1CD21290">
      <w:pPr>
        <w:spacing w:line="460" w:lineRule="exact"/>
        <w:ind w:firstLine="42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邮政编码：</w:t>
      </w:r>
      <w:r>
        <w:rPr>
          <w:rFonts w:hint="eastAsia" w:ascii="宋体" w:hAnsi="宋体" w:eastAsia="宋体" w:cs="宋体"/>
          <w:color w:val="auto"/>
          <w:kern w:val="0"/>
          <w:sz w:val="24"/>
          <w:highlight w:val="none"/>
          <w:u w:val="single"/>
        </w:rPr>
        <w:t xml:space="preserve">                                                    </w:t>
      </w:r>
    </w:p>
    <w:p w14:paraId="0C591B44">
      <w:pPr>
        <w:spacing w:line="460" w:lineRule="exact"/>
        <w:ind w:firstLine="42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开户名称：</w:t>
      </w:r>
      <w:r>
        <w:rPr>
          <w:rFonts w:hint="eastAsia" w:ascii="宋体" w:hAnsi="宋体" w:eastAsia="宋体" w:cs="宋体"/>
          <w:color w:val="auto"/>
          <w:kern w:val="0"/>
          <w:sz w:val="24"/>
          <w:highlight w:val="none"/>
          <w:u w:val="single"/>
        </w:rPr>
        <w:t xml:space="preserve">                                                    </w:t>
      </w:r>
    </w:p>
    <w:p w14:paraId="742807B9">
      <w:pPr>
        <w:spacing w:line="460" w:lineRule="exact"/>
        <w:ind w:firstLine="42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开户银行：</w:t>
      </w:r>
      <w:r>
        <w:rPr>
          <w:rFonts w:hint="eastAsia" w:ascii="宋体" w:hAnsi="宋体" w:eastAsia="宋体" w:cs="宋体"/>
          <w:color w:val="auto"/>
          <w:kern w:val="0"/>
          <w:sz w:val="24"/>
          <w:highlight w:val="none"/>
          <w:u w:val="single"/>
        </w:rPr>
        <w:t xml:space="preserve">                                                    </w:t>
      </w:r>
    </w:p>
    <w:p w14:paraId="7D378481">
      <w:pPr>
        <w:spacing w:line="460" w:lineRule="exact"/>
        <w:ind w:firstLine="42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银行账号：</w:t>
      </w:r>
      <w:r>
        <w:rPr>
          <w:rFonts w:hint="eastAsia" w:ascii="宋体" w:hAnsi="宋体" w:eastAsia="宋体" w:cs="宋体"/>
          <w:color w:val="auto"/>
          <w:kern w:val="0"/>
          <w:sz w:val="24"/>
          <w:highlight w:val="none"/>
          <w:u w:val="single"/>
        </w:rPr>
        <w:t xml:space="preserve">                                                    </w:t>
      </w:r>
    </w:p>
    <w:p w14:paraId="33471AB4">
      <w:pPr>
        <w:pStyle w:val="18"/>
        <w:tabs>
          <w:tab w:val="left" w:pos="939"/>
        </w:tabs>
        <w:spacing w:line="460" w:lineRule="exact"/>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874F80E">
      <w:pPr>
        <w:spacing w:line="360" w:lineRule="auto"/>
        <w:contextualSpacing/>
        <w:jc w:val="left"/>
        <w:rPr>
          <w:rFonts w:hint="eastAsia" w:ascii="宋体" w:hAnsi="宋体" w:eastAsia="宋体" w:cs="宋体"/>
          <w:color w:val="auto"/>
          <w:szCs w:val="21"/>
          <w:highlight w:val="none"/>
        </w:rPr>
      </w:pPr>
    </w:p>
    <w:p w14:paraId="57E566D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14:paraId="7D3FE8F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7022460">
      <w:pPr>
        <w:spacing w:line="500" w:lineRule="exact"/>
        <w:rPr>
          <w:rFonts w:hint="eastAsia" w:ascii="宋体" w:hAnsi="宋体" w:eastAsia="宋体" w:cs="宋体"/>
          <w:b/>
          <w:color w:val="auto"/>
          <w:sz w:val="28"/>
          <w:szCs w:val="28"/>
          <w:highlight w:val="none"/>
        </w:rPr>
      </w:pPr>
    </w:p>
    <w:p w14:paraId="322F38D5">
      <w:pPr>
        <w:spacing w:line="500" w:lineRule="exact"/>
        <w:rPr>
          <w:rFonts w:hint="eastAsia" w:ascii="宋体" w:hAnsi="宋体" w:eastAsia="宋体" w:cs="宋体"/>
          <w:b/>
          <w:color w:val="auto"/>
          <w:sz w:val="30"/>
          <w:szCs w:val="30"/>
          <w:highlight w:val="none"/>
          <w:lang w:val="zh-CN"/>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4.</w:t>
      </w:r>
      <w:r>
        <w:rPr>
          <w:rFonts w:hint="eastAsia" w:ascii="宋体" w:hAnsi="宋体" w:eastAsia="宋体" w:cs="宋体"/>
          <w:b/>
          <w:color w:val="auto"/>
          <w:sz w:val="28"/>
          <w:szCs w:val="28"/>
          <w:highlight w:val="none"/>
          <w:lang w:val="zh-CN"/>
        </w:rPr>
        <w:t>响应报价表的格式：</w:t>
      </w:r>
      <w:r>
        <w:rPr>
          <w:rFonts w:hint="eastAsia" w:ascii="宋体" w:hAnsi="宋体" w:eastAsia="宋体" w:cs="宋体"/>
          <w:b/>
          <w:color w:val="auto"/>
          <w:sz w:val="30"/>
          <w:szCs w:val="30"/>
          <w:highlight w:val="none"/>
          <w:lang w:val="zh-CN"/>
        </w:rPr>
        <w:t xml:space="preserve"> </w:t>
      </w:r>
    </w:p>
    <w:p w14:paraId="7AE556B2">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响应报价表</w:t>
      </w:r>
    </w:p>
    <w:p w14:paraId="58307C33">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42B75385">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1F26D47E">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2"/>
        <w:tblW w:w="101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2228"/>
        <w:gridCol w:w="2291"/>
        <w:gridCol w:w="1783"/>
        <w:gridCol w:w="1387"/>
        <w:gridCol w:w="1585"/>
      </w:tblGrid>
      <w:tr w14:paraId="0E682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03BE1A49">
            <w:pPr>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序号</w:t>
            </w:r>
          </w:p>
        </w:tc>
        <w:tc>
          <w:tcPr>
            <w:tcW w:w="2228" w:type="dxa"/>
            <w:tcBorders>
              <w:top w:val="single" w:color="auto" w:sz="4" w:space="0"/>
              <w:left w:val="single" w:color="auto" w:sz="4" w:space="0"/>
              <w:bottom w:val="single" w:color="auto" w:sz="4" w:space="0"/>
              <w:right w:val="single" w:color="auto" w:sz="4" w:space="0"/>
            </w:tcBorders>
            <w:noWrap w:val="0"/>
            <w:vAlign w:val="center"/>
          </w:tcPr>
          <w:p w14:paraId="20FD641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标的</w:t>
            </w:r>
            <w:r>
              <w:rPr>
                <w:rFonts w:hint="eastAsia" w:ascii="宋体" w:hAnsi="宋体" w:eastAsia="宋体" w:cs="宋体"/>
                <w:color w:val="auto"/>
                <w:sz w:val="24"/>
                <w:szCs w:val="24"/>
                <w:highlight w:val="none"/>
              </w:rPr>
              <w:t>名称</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627D75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C45EAD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051735C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EC52DC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14:paraId="53229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36F35CAB">
            <w:pPr>
              <w:jc w:val="center"/>
              <w:rPr>
                <w:rFonts w:hint="eastAsia" w:ascii="宋体" w:hAnsi="宋体" w:eastAsia="宋体" w:cs="宋体"/>
                <w:color w:val="auto"/>
                <w:spacing w:val="20"/>
                <w:sz w:val="24"/>
                <w:szCs w:val="24"/>
                <w:highlight w:val="none"/>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2E042FBA">
            <w:pPr>
              <w:jc w:val="center"/>
              <w:rPr>
                <w:rFonts w:hint="eastAsia" w:ascii="宋体" w:hAnsi="宋体" w:eastAsia="宋体" w:cs="宋体"/>
                <w:color w:val="auto"/>
                <w:spacing w:val="20"/>
                <w:sz w:val="24"/>
                <w:szCs w:val="24"/>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4BB6C0B9">
            <w:pPr>
              <w:jc w:val="center"/>
              <w:rPr>
                <w:rFonts w:hint="eastAsia" w:ascii="宋体" w:hAnsi="宋体" w:eastAsia="宋体" w:cs="宋体"/>
                <w:color w:val="auto"/>
                <w:spacing w:val="20"/>
                <w:sz w:val="24"/>
                <w:szCs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4FBAD8C">
            <w:pPr>
              <w:jc w:val="center"/>
              <w:rPr>
                <w:rFonts w:hint="eastAsia" w:ascii="宋体" w:hAnsi="宋体" w:eastAsia="宋体" w:cs="宋体"/>
                <w:color w:val="auto"/>
                <w:spacing w:val="20"/>
                <w:sz w:val="24"/>
                <w:szCs w:val="24"/>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0F1FF67D">
            <w:pPr>
              <w:jc w:val="center"/>
              <w:rPr>
                <w:rFonts w:hint="eastAsia" w:ascii="宋体" w:hAnsi="宋体" w:eastAsia="宋体" w:cs="宋体"/>
                <w:color w:val="auto"/>
                <w:spacing w:val="20"/>
                <w:sz w:val="24"/>
                <w:szCs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34E3F453">
            <w:pPr>
              <w:jc w:val="center"/>
              <w:rPr>
                <w:rFonts w:hint="eastAsia" w:ascii="宋体" w:hAnsi="宋体" w:eastAsia="宋体" w:cs="宋体"/>
                <w:color w:val="auto"/>
                <w:spacing w:val="20"/>
                <w:sz w:val="24"/>
                <w:szCs w:val="24"/>
                <w:highlight w:val="none"/>
              </w:rPr>
            </w:pPr>
          </w:p>
        </w:tc>
      </w:tr>
      <w:tr w14:paraId="1780D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44248FD5">
            <w:pPr>
              <w:jc w:val="center"/>
              <w:rPr>
                <w:rFonts w:hint="eastAsia" w:ascii="宋体" w:hAnsi="宋体" w:eastAsia="宋体" w:cs="宋体"/>
                <w:color w:val="auto"/>
                <w:spacing w:val="20"/>
                <w:sz w:val="24"/>
                <w:szCs w:val="24"/>
                <w:highlight w:val="none"/>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0961ACA6">
            <w:pPr>
              <w:jc w:val="center"/>
              <w:rPr>
                <w:rFonts w:hint="eastAsia" w:ascii="宋体" w:hAnsi="宋体" w:eastAsia="宋体" w:cs="宋体"/>
                <w:color w:val="auto"/>
                <w:spacing w:val="20"/>
                <w:sz w:val="24"/>
                <w:szCs w:val="24"/>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05F85CB1">
            <w:pPr>
              <w:jc w:val="center"/>
              <w:rPr>
                <w:rFonts w:hint="eastAsia" w:ascii="宋体" w:hAnsi="宋体" w:eastAsia="宋体" w:cs="宋体"/>
                <w:color w:val="auto"/>
                <w:spacing w:val="20"/>
                <w:sz w:val="24"/>
                <w:szCs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0E4D863A">
            <w:pPr>
              <w:jc w:val="center"/>
              <w:rPr>
                <w:rFonts w:hint="eastAsia" w:ascii="宋体" w:hAnsi="宋体" w:eastAsia="宋体" w:cs="宋体"/>
                <w:color w:val="auto"/>
                <w:spacing w:val="20"/>
                <w:sz w:val="24"/>
                <w:szCs w:val="24"/>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0A847ABE">
            <w:pPr>
              <w:jc w:val="center"/>
              <w:rPr>
                <w:rFonts w:hint="eastAsia" w:ascii="宋体" w:hAnsi="宋体" w:eastAsia="宋体" w:cs="宋体"/>
                <w:color w:val="auto"/>
                <w:spacing w:val="20"/>
                <w:sz w:val="24"/>
                <w:szCs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550F0135">
            <w:pPr>
              <w:jc w:val="center"/>
              <w:rPr>
                <w:rFonts w:hint="eastAsia" w:ascii="宋体" w:hAnsi="宋体" w:eastAsia="宋体" w:cs="宋体"/>
                <w:color w:val="auto"/>
                <w:spacing w:val="20"/>
                <w:sz w:val="24"/>
                <w:szCs w:val="24"/>
                <w:highlight w:val="none"/>
              </w:rPr>
            </w:pPr>
          </w:p>
        </w:tc>
      </w:tr>
      <w:tr w14:paraId="3FE84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698A529E">
            <w:pPr>
              <w:jc w:val="center"/>
              <w:rPr>
                <w:rFonts w:hint="eastAsia" w:ascii="宋体" w:hAnsi="宋体" w:eastAsia="宋体" w:cs="宋体"/>
                <w:color w:val="auto"/>
                <w:spacing w:val="20"/>
                <w:sz w:val="24"/>
                <w:szCs w:val="24"/>
                <w:highlight w:val="none"/>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2B4F1941">
            <w:pPr>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0CA8895E">
            <w:pPr>
              <w:jc w:val="center"/>
              <w:rPr>
                <w:rFonts w:hint="eastAsia" w:ascii="宋体" w:hAnsi="宋体" w:eastAsia="宋体" w:cs="宋体"/>
                <w:color w:val="auto"/>
                <w:spacing w:val="20"/>
                <w:sz w:val="24"/>
                <w:szCs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7A7D4B6">
            <w:pPr>
              <w:jc w:val="center"/>
              <w:rPr>
                <w:rFonts w:hint="eastAsia" w:ascii="宋体" w:hAnsi="宋体" w:eastAsia="宋体" w:cs="宋体"/>
                <w:color w:val="auto"/>
                <w:spacing w:val="20"/>
                <w:sz w:val="24"/>
                <w:szCs w:val="24"/>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756E7C24">
            <w:pPr>
              <w:jc w:val="center"/>
              <w:rPr>
                <w:rFonts w:hint="eastAsia" w:ascii="宋体" w:hAnsi="宋体" w:eastAsia="宋体" w:cs="宋体"/>
                <w:color w:val="auto"/>
                <w:spacing w:val="20"/>
                <w:sz w:val="24"/>
                <w:szCs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450D57E1">
            <w:pPr>
              <w:jc w:val="center"/>
              <w:rPr>
                <w:rFonts w:hint="eastAsia" w:ascii="宋体" w:hAnsi="宋体" w:eastAsia="宋体" w:cs="宋体"/>
                <w:color w:val="auto"/>
                <w:spacing w:val="20"/>
                <w:sz w:val="24"/>
                <w:szCs w:val="24"/>
                <w:highlight w:val="none"/>
              </w:rPr>
            </w:pPr>
          </w:p>
        </w:tc>
      </w:tr>
      <w:tr w14:paraId="5F2A9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10172" w:type="dxa"/>
            <w:gridSpan w:val="6"/>
            <w:tcBorders>
              <w:top w:val="single" w:color="auto" w:sz="4" w:space="0"/>
              <w:left w:val="single" w:color="auto" w:sz="4" w:space="0"/>
              <w:bottom w:val="single" w:color="auto" w:sz="4" w:space="0"/>
              <w:right w:val="single" w:color="auto" w:sz="4" w:space="0"/>
            </w:tcBorders>
            <w:noWrap w:val="0"/>
            <w:vAlign w:val="center"/>
          </w:tcPr>
          <w:p w14:paraId="0BF94E9D">
            <w:pPr>
              <w:jc w:val="both"/>
              <w:rPr>
                <w:rFonts w:hint="eastAsia" w:ascii="宋体" w:hAnsi="宋体" w:eastAsia="宋体" w:cs="宋体"/>
                <w:color w:val="auto"/>
                <w:spacing w:val="20"/>
                <w:sz w:val="24"/>
                <w:szCs w:val="24"/>
                <w:highlight w:val="none"/>
              </w:rPr>
            </w:pPr>
            <w:r>
              <w:rPr>
                <w:rFonts w:hint="eastAsia" w:ascii="宋体" w:hAnsi="宋体" w:eastAsia="宋体" w:cs="宋体"/>
                <w:color w:val="auto"/>
                <w:kern w:val="0"/>
                <w:sz w:val="24"/>
                <w:highlight w:val="none"/>
              </w:rPr>
              <w:t>总报价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（大写）人民币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（小写）¥        </w:t>
            </w:r>
          </w:p>
        </w:tc>
      </w:tr>
    </w:tbl>
    <w:p w14:paraId="4AD85805">
      <w:pPr>
        <w:snapToGrid w:val="0"/>
        <w:spacing w:before="50" w:after="50" w:line="360" w:lineRule="auto"/>
        <w:ind w:firstLine="420" w:firstLineChars="200"/>
        <w:jc w:val="left"/>
        <w:rPr>
          <w:rFonts w:hint="eastAsia" w:ascii="宋体" w:hAnsi="宋体" w:eastAsia="宋体" w:cs="宋体"/>
          <w:color w:val="auto"/>
          <w:kern w:val="0"/>
          <w:szCs w:val="21"/>
          <w:highlight w:val="none"/>
          <w:lang w:val="zh-CN"/>
        </w:rPr>
      </w:pPr>
    </w:p>
    <w:p w14:paraId="78D0A04F">
      <w:pPr>
        <w:snapToGrid w:val="0"/>
        <w:spacing w:line="48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095B9362">
      <w:pPr>
        <w:snapToGrid w:val="0"/>
        <w:spacing w:line="48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w:t>
      </w:r>
      <w:r>
        <w:rPr>
          <w:rFonts w:hint="eastAsia" w:ascii="宋体" w:hAnsi="宋体" w:eastAsia="宋体" w:cs="宋体"/>
          <w:color w:val="auto"/>
          <w:sz w:val="24"/>
          <w:highlight w:val="none"/>
        </w:rPr>
        <w:t>备注除外</w:t>
      </w:r>
      <w:r>
        <w:rPr>
          <w:rFonts w:hint="eastAsia" w:ascii="宋体" w:hAnsi="宋体" w:eastAsia="宋体" w:cs="宋体"/>
          <w:color w:val="auto"/>
          <w:kern w:val="0"/>
          <w:sz w:val="24"/>
          <w:highlight w:val="none"/>
          <w:lang w:val="zh-CN"/>
        </w:rPr>
        <w:t>）, 如有多分标，按分标分别提供响应报价表，</w:t>
      </w:r>
      <w:r>
        <w:rPr>
          <w:rFonts w:hint="eastAsia" w:ascii="宋体" w:hAnsi="宋体" w:eastAsia="宋体" w:cs="宋体"/>
          <w:b/>
          <w:color w:val="auto"/>
          <w:kern w:val="0"/>
          <w:sz w:val="24"/>
          <w:highlight w:val="none"/>
          <w:lang w:val="zh-CN"/>
        </w:rPr>
        <w:t>否则其响应按无效响应处理。</w:t>
      </w:r>
    </w:p>
    <w:p w14:paraId="41FD92A2">
      <w:pPr>
        <w:snapToGrid w:val="0"/>
        <w:spacing w:line="48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否则其响应按无效响应处理。</w:t>
      </w:r>
    </w:p>
    <w:p w14:paraId="08DF842E">
      <w:pPr>
        <w:snapToGrid w:val="0"/>
        <w:spacing w:line="48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、特别提示：采购代理机构将对项目名称和项目编号，成交供应商名称、地址和成交金额，主要成交标的的名称、服务范围、服务要求、服务时间、服务标准等予以公示。</w:t>
      </w:r>
    </w:p>
    <w:p w14:paraId="73A6A271">
      <w:pPr>
        <w:autoSpaceDE w:val="0"/>
        <w:autoSpaceDN w:val="0"/>
        <w:spacing w:line="360" w:lineRule="auto"/>
        <w:ind w:firstLine="4560" w:firstLineChars="1900"/>
        <w:rPr>
          <w:rFonts w:hint="eastAsia" w:ascii="宋体" w:hAnsi="宋体" w:eastAsia="宋体" w:cs="宋体"/>
          <w:color w:val="auto"/>
          <w:kern w:val="0"/>
          <w:sz w:val="24"/>
          <w:highlight w:val="none"/>
        </w:rPr>
      </w:pPr>
    </w:p>
    <w:p w14:paraId="70A2D60F">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14:paraId="6C50E9F2">
      <w:pPr>
        <w:spacing w:line="360" w:lineRule="auto"/>
        <w:ind w:firstLine="6360" w:firstLineChars="26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F9A34CD">
      <w:pPr>
        <w:spacing w:line="500" w:lineRule="exact"/>
        <w:rPr>
          <w:rFonts w:hint="eastAsia" w:ascii="宋体" w:hAnsi="宋体" w:eastAsia="宋体" w:cs="宋体"/>
          <w:b/>
          <w:color w:val="auto"/>
          <w:sz w:val="30"/>
          <w:szCs w:val="30"/>
          <w:highlight w:val="none"/>
          <w:lang w:val="zh-CN"/>
        </w:rPr>
      </w:pPr>
      <w:r>
        <w:rPr>
          <w:rFonts w:hint="eastAsia" w:ascii="宋体" w:hAnsi="宋体" w:eastAsia="宋体" w:cs="宋体"/>
          <w:color w:val="auto"/>
          <w:kern w:val="0"/>
          <w:sz w:val="24"/>
          <w:szCs w:val="21"/>
          <w:highlight w:val="none"/>
          <w:lang w:val="zh-CN"/>
        </w:rPr>
        <w:br w:type="page"/>
      </w: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lang w:val="zh-CN"/>
        </w:rPr>
        <w:t>最后报价表的格式：</w:t>
      </w:r>
      <w:r>
        <w:rPr>
          <w:rFonts w:hint="eastAsia" w:ascii="宋体" w:hAnsi="宋体" w:eastAsia="宋体" w:cs="宋体"/>
          <w:b/>
          <w:color w:val="auto"/>
          <w:sz w:val="30"/>
          <w:szCs w:val="30"/>
          <w:highlight w:val="none"/>
          <w:lang w:val="zh-CN"/>
        </w:rPr>
        <w:t xml:space="preserve"> </w:t>
      </w:r>
    </w:p>
    <w:p w14:paraId="1FE1093F">
      <w:pPr>
        <w:spacing w:line="520" w:lineRule="exact"/>
        <w:ind w:firstLine="420" w:firstLineChars="200"/>
        <w:rPr>
          <w:rFonts w:hint="eastAsia" w:ascii="宋体" w:hAnsi="宋体" w:eastAsia="宋体" w:cs="宋体"/>
          <w:color w:val="auto"/>
          <w:highlight w:val="none"/>
        </w:rPr>
      </w:pPr>
    </w:p>
    <w:p w14:paraId="2D0541CC">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最后报价表</w:t>
      </w:r>
    </w:p>
    <w:p w14:paraId="04C0813E">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4003AEC5">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5202F004">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32"/>
        <w:tblW w:w="101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2228"/>
        <w:gridCol w:w="2291"/>
        <w:gridCol w:w="1783"/>
        <w:gridCol w:w="1387"/>
        <w:gridCol w:w="1585"/>
      </w:tblGrid>
      <w:tr w14:paraId="6BE68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31949634">
            <w:pPr>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序号</w:t>
            </w:r>
          </w:p>
        </w:tc>
        <w:tc>
          <w:tcPr>
            <w:tcW w:w="2228" w:type="dxa"/>
            <w:tcBorders>
              <w:top w:val="single" w:color="auto" w:sz="4" w:space="0"/>
              <w:left w:val="single" w:color="auto" w:sz="4" w:space="0"/>
              <w:bottom w:val="single" w:color="auto" w:sz="4" w:space="0"/>
              <w:right w:val="single" w:color="auto" w:sz="4" w:space="0"/>
            </w:tcBorders>
            <w:noWrap w:val="0"/>
            <w:vAlign w:val="center"/>
          </w:tcPr>
          <w:p w14:paraId="6C28B99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标的</w:t>
            </w:r>
            <w:r>
              <w:rPr>
                <w:rFonts w:hint="eastAsia" w:ascii="宋体" w:hAnsi="宋体" w:eastAsia="宋体" w:cs="宋体"/>
                <w:color w:val="auto"/>
                <w:sz w:val="24"/>
                <w:szCs w:val="24"/>
                <w:highlight w:val="none"/>
              </w:rPr>
              <w:t>名称</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4F419C7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F5F41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7878736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1E5A9DF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14:paraId="4B5BD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2EB4CC21">
            <w:pPr>
              <w:jc w:val="center"/>
              <w:rPr>
                <w:rFonts w:hint="eastAsia" w:ascii="宋体" w:hAnsi="宋体" w:eastAsia="宋体" w:cs="宋体"/>
                <w:color w:val="auto"/>
                <w:spacing w:val="20"/>
                <w:sz w:val="24"/>
                <w:szCs w:val="24"/>
                <w:highlight w:val="none"/>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747059E5">
            <w:pPr>
              <w:jc w:val="center"/>
              <w:rPr>
                <w:rFonts w:hint="eastAsia" w:ascii="宋体" w:hAnsi="宋体" w:eastAsia="宋体" w:cs="宋体"/>
                <w:color w:val="auto"/>
                <w:spacing w:val="20"/>
                <w:sz w:val="24"/>
                <w:szCs w:val="24"/>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762FFD13">
            <w:pPr>
              <w:jc w:val="center"/>
              <w:rPr>
                <w:rFonts w:hint="eastAsia" w:ascii="宋体" w:hAnsi="宋体" w:eastAsia="宋体" w:cs="宋体"/>
                <w:color w:val="auto"/>
                <w:spacing w:val="20"/>
                <w:sz w:val="24"/>
                <w:szCs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009F8B4C">
            <w:pPr>
              <w:jc w:val="center"/>
              <w:rPr>
                <w:rFonts w:hint="eastAsia" w:ascii="宋体" w:hAnsi="宋体" w:eastAsia="宋体" w:cs="宋体"/>
                <w:color w:val="auto"/>
                <w:spacing w:val="20"/>
                <w:sz w:val="24"/>
                <w:szCs w:val="24"/>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58E7FEF6">
            <w:pPr>
              <w:jc w:val="center"/>
              <w:rPr>
                <w:rFonts w:hint="eastAsia" w:ascii="宋体" w:hAnsi="宋体" w:eastAsia="宋体" w:cs="宋体"/>
                <w:color w:val="auto"/>
                <w:spacing w:val="20"/>
                <w:sz w:val="24"/>
                <w:szCs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19E2C7B4">
            <w:pPr>
              <w:jc w:val="center"/>
              <w:rPr>
                <w:rFonts w:hint="eastAsia" w:ascii="宋体" w:hAnsi="宋体" w:eastAsia="宋体" w:cs="宋体"/>
                <w:color w:val="auto"/>
                <w:spacing w:val="20"/>
                <w:sz w:val="24"/>
                <w:szCs w:val="24"/>
                <w:highlight w:val="none"/>
              </w:rPr>
            </w:pPr>
          </w:p>
        </w:tc>
      </w:tr>
      <w:tr w14:paraId="06D04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1DCE8E03">
            <w:pPr>
              <w:jc w:val="center"/>
              <w:rPr>
                <w:rFonts w:hint="eastAsia" w:ascii="宋体" w:hAnsi="宋体" w:eastAsia="宋体" w:cs="宋体"/>
                <w:color w:val="auto"/>
                <w:spacing w:val="20"/>
                <w:sz w:val="24"/>
                <w:szCs w:val="24"/>
                <w:highlight w:val="none"/>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62A0AA10">
            <w:pPr>
              <w:jc w:val="center"/>
              <w:rPr>
                <w:rFonts w:hint="eastAsia" w:ascii="宋体" w:hAnsi="宋体" w:eastAsia="宋体" w:cs="宋体"/>
                <w:color w:val="auto"/>
                <w:spacing w:val="20"/>
                <w:sz w:val="24"/>
                <w:szCs w:val="24"/>
                <w:highlight w:val="none"/>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7853B499">
            <w:pPr>
              <w:jc w:val="center"/>
              <w:rPr>
                <w:rFonts w:hint="eastAsia" w:ascii="宋体" w:hAnsi="宋体" w:eastAsia="宋体" w:cs="宋体"/>
                <w:color w:val="auto"/>
                <w:spacing w:val="20"/>
                <w:sz w:val="24"/>
                <w:szCs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6724017">
            <w:pPr>
              <w:jc w:val="center"/>
              <w:rPr>
                <w:rFonts w:hint="eastAsia" w:ascii="宋体" w:hAnsi="宋体" w:eastAsia="宋体" w:cs="宋体"/>
                <w:color w:val="auto"/>
                <w:spacing w:val="20"/>
                <w:sz w:val="24"/>
                <w:szCs w:val="24"/>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67E41B04">
            <w:pPr>
              <w:jc w:val="center"/>
              <w:rPr>
                <w:rFonts w:hint="eastAsia" w:ascii="宋体" w:hAnsi="宋体" w:eastAsia="宋体" w:cs="宋体"/>
                <w:color w:val="auto"/>
                <w:spacing w:val="20"/>
                <w:sz w:val="24"/>
                <w:szCs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73BA5E32">
            <w:pPr>
              <w:jc w:val="center"/>
              <w:rPr>
                <w:rFonts w:hint="eastAsia" w:ascii="宋体" w:hAnsi="宋体" w:eastAsia="宋体" w:cs="宋体"/>
                <w:color w:val="auto"/>
                <w:spacing w:val="20"/>
                <w:sz w:val="24"/>
                <w:szCs w:val="24"/>
                <w:highlight w:val="none"/>
              </w:rPr>
            </w:pPr>
          </w:p>
        </w:tc>
      </w:tr>
      <w:tr w14:paraId="2266B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76925DCA">
            <w:pPr>
              <w:jc w:val="center"/>
              <w:rPr>
                <w:rFonts w:hint="eastAsia" w:ascii="宋体" w:hAnsi="宋体" w:eastAsia="宋体" w:cs="宋体"/>
                <w:color w:val="auto"/>
                <w:spacing w:val="20"/>
                <w:sz w:val="24"/>
                <w:szCs w:val="24"/>
                <w:highlight w:val="none"/>
              </w:rPr>
            </w:pPr>
          </w:p>
        </w:tc>
        <w:tc>
          <w:tcPr>
            <w:tcW w:w="2228" w:type="dxa"/>
            <w:tcBorders>
              <w:top w:val="single" w:color="auto" w:sz="4" w:space="0"/>
              <w:left w:val="single" w:color="auto" w:sz="4" w:space="0"/>
              <w:bottom w:val="single" w:color="auto" w:sz="4" w:space="0"/>
              <w:right w:val="single" w:color="auto" w:sz="4" w:space="0"/>
            </w:tcBorders>
            <w:noWrap w:val="0"/>
            <w:vAlign w:val="center"/>
          </w:tcPr>
          <w:p w14:paraId="5FD1661A">
            <w:pPr>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7396E133">
            <w:pPr>
              <w:jc w:val="center"/>
              <w:rPr>
                <w:rFonts w:hint="eastAsia" w:ascii="宋体" w:hAnsi="宋体" w:eastAsia="宋体" w:cs="宋体"/>
                <w:color w:val="auto"/>
                <w:spacing w:val="20"/>
                <w:sz w:val="24"/>
                <w:szCs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6A0CE1A">
            <w:pPr>
              <w:jc w:val="center"/>
              <w:rPr>
                <w:rFonts w:hint="eastAsia" w:ascii="宋体" w:hAnsi="宋体" w:eastAsia="宋体" w:cs="宋体"/>
                <w:color w:val="auto"/>
                <w:spacing w:val="20"/>
                <w:sz w:val="24"/>
                <w:szCs w:val="24"/>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0A4E6B48">
            <w:pPr>
              <w:jc w:val="center"/>
              <w:rPr>
                <w:rFonts w:hint="eastAsia" w:ascii="宋体" w:hAnsi="宋体" w:eastAsia="宋体" w:cs="宋体"/>
                <w:color w:val="auto"/>
                <w:spacing w:val="20"/>
                <w:sz w:val="24"/>
                <w:szCs w:val="24"/>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CB8E8F1">
            <w:pPr>
              <w:jc w:val="center"/>
              <w:rPr>
                <w:rFonts w:hint="eastAsia" w:ascii="宋体" w:hAnsi="宋体" w:eastAsia="宋体" w:cs="宋体"/>
                <w:color w:val="auto"/>
                <w:spacing w:val="20"/>
                <w:sz w:val="24"/>
                <w:szCs w:val="24"/>
                <w:highlight w:val="none"/>
              </w:rPr>
            </w:pPr>
          </w:p>
        </w:tc>
      </w:tr>
      <w:tr w14:paraId="7E6DC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10172" w:type="dxa"/>
            <w:gridSpan w:val="6"/>
            <w:tcBorders>
              <w:top w:val="single" w:color="auto" w:sz="4" w:space="0"/>
              <w:left w:val="single" w:color="auto" w:sz="4" w:space="0"/>
              <w:bottom w:val="single" w:color="auto" w:sz="4" w:space="0"/>
              <w:right w:val="single" w:color="auto" w:sz="4" w:space="0"/>
            </w:tcBorders>
            <w:noWrap w:val="0"/>
            <w:vAlign w:val="center"/>
          </w:tcPr>
          <w:p w14:paraId="38132F19">
            <w:pPr>
              <w:jc w:val="both"/>
              <w:rPr>
                <w:rFonts w:hint="eastAsia" w:ascii="宋体" w:hAnsi="宋体" w:eastAsia="宋体" w:cs="宋体"/>
                <w:color w:val="auto"/>
                <w:spacing w:val="20"/>
                <w:sz w:val="24"/>
                <w:szCs w:val="24"/>
                <w:highlight w:val="none"/>
              </w:rPr>
            </w:pPr>
            <w:r>
              <w:rPr>
                <w:rFonts w:hint="eastAsia" w:ascii="宋体" w:hAnsi="宋体" w:eastAsia="宋体" w:cs="宋体"/>
                <w:color w:val="auto"/>
                <w:kern w:val="0"/>
                <w:sz w:val="24"/>
                <w:highlight w:val="none"/>
              </w:rPr>
              <w:t>总报价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（大写）人民币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（小写）¥        </w:t>
            </w:r>
          </w:p>
        </w:tc>
      </w:tr>
    </w:tbl>
    <w:p w14:paraId="3DBD8EF6">
      <w:pPr>
        <w:snapToGrid w:val="0"/>
        <w:spacing w:line="480" w:lineRule="auto"/>
        <w:ind w:firstLine="480" w:firstLineChars="200"/>
        <w:jc w:val="left"/>
        <w:rPr>
          <w:rFonts w:hint="eastAsia" w:ascii="宋体" w:hAnsi="宋体" w:eastAsia="宋体" w:cs="宋体"/>
          <w:color w:val="auto"/>
          <w:kern w:val="0"/>
          <w:sz w:val="24"/>
          <w:highlight w:val="none"/>
          <w:lang w:val="zh-CN"/>
        </w:rPr>
      </w:pPr>
    </w:p>
    <w:p w14:paraId="361BE890">
      <w:pPr>
        <w:snapToGrid w:val="0"/>
        <w:spacing w:line="48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2F63A5F1">
      <w:pPr>
        <w:snapToGrid w:val="0"/>
        <w:spacing w:line="48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w:t>
      </w:r>
      <w:r>
        <w:rPr>
          <w:rFonts w:hint="eastAsia" w:ascii="宋体" w:hAnsi="宋体" w:eastAsia="宋体" w:cs="宋体"/>
          <w:color w:val="auto"/>
          <w:sz w:val="24"/>
          <w:highlight w:val="none"/>
        </w:rPr>
        <w:t>备注除外</w:t>
      </w:r>
      <w:r>
        <w:rPr>
          <w:rFonts w:hint="eastAsia" w:ascii="宋体" w:hAnsi="宋体" w:eastAsia="宋体" w:cs="宋体"/>
          <w:color w:val="auto"/>
          <w:kern w:val="0"/>
          <w:sz w:val="24"/>
          <w:highlight w:val="none"/>
          <w:lang w:val="zh-CN"/>
        </w:rPr>
        <w:t>）, 如有多分标，按分标分别提供响应报价表，</w:t>
      </w:r>
      <w:r>
        <w:rPr>
          <w:rFonts w:hint="eastAsia" w:ascii="宋体" w:hAnsi="宋体" w:eastAsia="宋体" w:cs="宋体"/>
          <w:b/>
          <w:color w:val="auto"/>
          <w:kern w:val="0"/>
          <w:sz w:val="24"/>
          <w:highlight w:val="none"/>
          <w:lang w:val="zh-CN"/>
        </w:rPr>
        <w:t>否则其响应按无效响应处理。</w:t>
      </w:r>
    </w:p>
    <w:p w14:paraId="6946DFB4">
      <w:pPr>
        <w:snapToGrid w:val="0"/>
        <w:spacing w:line="48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否则其响应按无效响应处理。</w:t>
      </w:r>
    </w:p>
    <w:p w14:paraId="5C3E39E9">
      <w:pPr>
        <w:snapToGrid w:val="0"/>
        <w:spacing w:line="48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、特别提示：采购代理机构将对项目名称和项目编号，成交供应商名称、地址和成交金额，主要成交标的的名称、服务范围、服务要求、服务时间、服务标准等予以公示。</w:t>
      </w:r>
    </w:p>
    <w:p w14:paraId="798342D2">
      <w:pPr>
        <w:snapToGrid w:val="0"/>
        <w:ind w:firstLine="480" w:firstLineChars="200"/>
        <w:jc w:val="left"/>
        <w:rPr>
          <w:rFonts w:hint="eastAsia" w:ascii="宋体" w:hAnsi="宋体" w:eastAsia="宋体" w:cs="宋体"/>
          <w:color w:val="auto"/>
          <w:kern w:val="0"/>
          <w:sz w:val="24"/>
          <w:highlight w:val="none"/>
          <w:lang w:val="zh-CN"/>
        </w:rPr>
      </w:pPr>
    </w:p>
    <w:p w14:paraId="34ECD5A6">
      <w:pPr>
        <w:autoSpaceDE w:val="0"/>
        <w:autoSpaceDN w:val="0"/>
        <w:spacing w:line="360" w:lineRule="auto"/>
        <w:ind w:firstLine="4560" w:firstLineChars="19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14:paraId="59E56848">
      <w:pPr>
        <w:spacing w:line="360" w:lineRule="auto"/>
        <w:ind w:firstLine="6360" w:firstLineChars="26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B3FFFC7">
      <w:pPr>
        <w:spacing w:line="500" w:lineRule="exact"/>
        <w:ind w:firstLine="6360" w:firstLineChars="2650"/>
        <w:rPr>
          <w:rFonts w:hint="eastAsia" w:ascii="宋体" w:hAnsi="宋体" w:eastAsia="宋体" w:cs="宋体"/>
          <w:color w:val="auto"/>
          <w:sz w:val="24"/>
          <w:highlight w:val="none"/>
          <w:lang w:val="zh-CN"/>
        </w:rPr>
        <w:sectPr>
          <w:pgSz w:w="11911" w:h="16838"/>
          <w:pgMar w:top="1134" w:right="1134" w:bottom="1134" w:left="1134" w:header="720" w:footer="720" w:gutter="0"/>
          <w:cols w:space="720" w:num="1"/>
        </w:sectPr>
      </w:pPr>
    </w:p>
    <w:p w14:paraId="763C8FE5">
      <w:pPr>
        <w:pStyle w:val="3"/>
        <w:jc w:val="center"/>
        <w:rPr>
          <w:rFonts w:hint="eastAsia" w:ascii="宋体" w:hAnsi="宋体" w:eastAsia="宋体" w:cs="宋体"/>
          <w:b w:val="0"/>
          <w:color w:val="auto"/>
          <w:highlight w:val="none"/>
        </w:rPr>
      </w:pPr>
      <w:bookmarkStart w:id="146" w:name="_Toc13936"/>
      <w:bookmarkStart w:id="147" w:name="_Toc80886946"/>
      <w:bookmarkStart w:id="148" w:name="_Toc18482"/>
      <w:bookmarkStart w:id="149" w:name="_Toc80205942"/>
      <w:r>
        <w:rPr>
          <w:rFonts w:hint="eastAsia" w:ascii="宋体" w:hAnsi="宋体" w:eastAsia="宋体" w:cs="宋体"/>
          <w:color w:val="auto"/>
          <w:highlight w:val="none"/>
        </w:rPr>
        <w:t>第四节 其他文书、文件格式</w:t>
      </w:r>
      <w:bookmarkEnd w:id="146"/>
      <w:bookmarkEnd w:id="147"/>
      <w:bookmarkEnd w:id="148"/>
      <w:bookmarkEnd w:id="149"/>
    </w:p>
    <w:p w14:paraId="01221019">
      <w:pPr>
        <w:spacing w:line="500" w:lineRule="exact"/>
        <w:rPr>
          <w:rFonts w:hint="eastAsia"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rPr>
        <w:t>1.</w:t>
      </w:r>
      <w:r>
        <w:rPr>
          <w:rFonts w:hint="eastAsia" w:ascii="宋体" w:hAnsi="宋体" w:eastAsia="宋体" w:cs="宋体"/>
          <w:b/>
          <w:color w:val="auto"/>
          <w:sz w:val="30"/>
          <w:szCs w:val="30"/>
          <w:highlight w:val="none"/>
          <w:lang w:val="en-US" w:eastAsia="zh-CN"/>
        </w:rPr>
        <w:t>中小</w:t>
      </w:r>
      <w:r>
        <w:rPr>
          <w:rFonts w:hint="eastAsia" w:ascii="宋体" w:hAnsi="宋体" w:eastAsia="宋体" w:cs="宋体"/>
          <w:b/>
          <w:color w:val="auto"/>
          <w:sz w:val="30"/>
          <w:szCs w:val="30"/>
          <w:highlight w:val="none"/>
          <w:lang w:val="zh-CN"/>
        </w:rPr>
        <w:t>企业声明函的格式：</w:t>
      </w:r>
    </w:p>
    <w:p w14:paraId="48BC134B">
      <w:pPr>
        <w:pStyle w:val="23"/>
        <w:rPr>
          <w:rFonts w:hint="eastAsia" w:ascii="宋体" w:hAnsi="宋体" w:eastAsia="宋体" w:cs="宋体"/>
          <w:color w:val="auto"/>
          <w:highlight w:val="none"/>
        </w:rPr>
      </w:pPr>
    </w:p>
    <w:p w14:paraId="7CB5BE0E">
      <w:pPr>
        <w:spacing w:line="300" w:lineRule="auto"/>
        <w:ind w:firstLine="3520" w:firstLineChars="8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lang w:val="en-US" w:eastAsia="zh-CN"/>
        </w:rPr>
        <w:t>中小</w:t>
      </w:r>
      <w:r>
        <w:rPr>
          <w:rFonts w:hint="eastAsia" w:ascii="宋体" w:hAnsi="宋体" w:eastAsia="宋体" w:cs="宋体"/>
          <w:color w:val="auto"/>
          <w:sz w:val="44"/>
          <w:szCs w:val="44"/>
          <w:highlight w:val="none"/>
        </w:rPr>
        <w:t>企业声明函</w:t>
      </w:r>
    </w:p>
    <w:p w14:paraId="3CB3F14B">
      <w:pPr>
        <w:pStyle w:val="15"/>
        <w:spacing w:after="0" w:line="360" w:lineRule="auto"/>
        <w:ind w:left="-426" w:right="142" w:firstLine="640"/>
        <w:contextualSpacing/>
        <w:rPr>
          <w:rFonts w:hint="eastAsia" w:ascii="宋体" w:hAnsi="宋体" w:eastAsia="宋体" w:cs="宋体"/>
          <w:color w:val="auto"/>
          <w:sz w:val="24"/>
          <w:highlight w:val="none"/>
        </w:rPr>
      </w:pPr>
    </w:p>
    <w:p w14:paraId="5719D085">
      <w:pPr>
        <w:pStyle w:val="15"/>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i/>
          <w:iCs/>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i/>
          <w:iCs/>
          <w:color w:val="auto"/>
          <w:sz w:val="24"/>
          <w:highlight w:val="none"/>
          <w:u w:val="single"/>
        </w:rPr>
        <w:t>（项目名称）</w:t>
      </w:r>
      <w:r>
        <w:rPr>
          <w:rFonts w:hint="eastAsia" w:ascii="宋体" w:hAnsi="宋体" w:eastAsia="宋体" w:cs="宋体"/>
          <w:color w:val="auto"/>
          <w:sz w:val="24"/>
          <w:highlight w:val="none"/>
        </w:rPr>
        <w:t>采购活动，</w:t>
      </w:r>
      <w:r>
        <w:rPr>
          <w:rFonts w:hint="eastAsia" w:ascii="宋体" w:hAnsi="宋体" w:eastAsia="宋体" w:cs="宋体"/>
          <w:color w:val="auto"/>
          <w:kern w:val="0"/>
          <w:sz w:val="24"/>
          <w:highlight w:val="none"/>
        </w:rPr>
        <w:t>服务全部由符合政策要求的</w:t>
      </w:r>
      <w:r>
        <w:rPr>
          <w:rFonts w:hint="eastAsia" w:ascii="宋体" w:hAnsi="宋体" w:eastAsia="宋体" w:cs="宋体"/>
          <w:color w:val="auto"/>
          <w:kern w:val="0"/>
          <w:sz w:val="24"/>
          <w:highlight w:val="none"/>
          <w:lang w:val="en-US" w:eastAsia="zh-CN"/>
        </w:rPr>
        <w:t>中小</w:t>
      </w:r>
      <w:r>
        <w:rPr>
          <w:rFonts w:hint="eastAsia" w:ascii="宋体" w:hAnsi="宋体" w:eastAsia="宋体" w:cs="宋体"/>
          <w:color w:val="auto"/>
          <w:kern w:val="0"/>
          <w:sz w:val="24"/>
          <w:highlight w:val="none"/>
        </w:rPr>
        <w:t>企业承接</w:t>
      </w:r>
      <w:r>
        <w:rPr>
          <w:rFonts w:hint="eastAsia" w:ascii="宋体" w:hAnsi="宋体" w:eastAsia="宋体" w:cs="宋体"/>
          <w:color w:val="auto"/>
          <w:sz w:val="24"/>
          <w:highlight w:val="none"/>
        </w:rPr>
        <w:t>。相关企业（含联合体中的</w:t>
      </w:r>
      <w:r>
        <w:rPr>
          <w:rFonts w:hint="eastAsia" w:ascii="宋体" w:hAnsi="宋体" w:eastAsia="宋体" w:cs="宋体"/>
          <w:color w:val="auto"/>
          <w:kern w:val="0"/>
          <w:sz w:val="24"/>
          <w:highlight w:val="none"/>
          <w:lang w:val="en-US" w:eastAsia="zh-CN"/>
        </w:rPr>
        <w:t>中小</w:t>
      </w:r>
      <w:r>
        <w:rPr>
          <w:rFonts w:hint="eastAsia" w:ascii="宋体" w:hAnsi="宋体" w:eastAsia="宋体" w:cs="宋体"/>
          <w:color w:val="auto"/>
          <w:sz w:val="24"/>
          <w:highlight w:val="none"/>
        </w:rPr>
        <w:t>企业、签订分包意向协议的</w:t>
      </w:r>
      <w:r>
        <w:rPr>
          <w:rFonts w:hint="eastAsia" w:ascii="宋体" w:hAnsi="宋体" w:eastAsia="宋体" w:cs="宋体"/>
          <w:color w:val="auto"/>
          <w:sz w:val="24"/>
          <w:highlight w:val="none"/>
          <w:lang w:val="en-US" w:eastAsia="zh-CN"/>
        </w:rPr>
        <w:t>中小</w:t>
      </w:r>
      <w:r>
        <w:rPr>
          <w:rFonts w:hint="eastAsia" w:ascii="宋体" w:hAnsi="宋体" w:eastAsia="宋体" w:cs="宋体"/>
          <w:color w:val="auto"/>
          <w:sz w:val="24"/>
          <w:highlight w:val="none"/>
        </w:rPr>
        <w:t>企业）的具体情况如下：</w:t>
      </w:r>
    </w:p>
    <w:p w14:paraId="7728C7AF">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标的名称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采购文件中明确的所属行业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承建（承接）企业</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企业名称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lang w:val="en-US" w:eastAsia="zh-CN"/>
        </w:rPr>
        <w:t>中</w:t>
      </w:r>
      <w:r>
        <w:rPr>
          <w:rFonts w:hint="eastAsia" w:ascii="宋体" w:hAnsi="宋体" w:eastAsia="宋体" w:cs="宋体"/>
          <w:i/>
          <w:iCs/>
          <w:color w:val="auto"/>
          <w:sz w:val="24"/>
          <w:highlight w:val="none"/>
          <w:u w:val="single"/>
        </w:rPr>
        <w:t>型</w:t>
      </w:r>
      <w:r>
        <w:rPr>
          <w:rFonts w:hint="eastAsia" w:ascii="宋体" w:hAnsi="宋体" w:eastAsia="宋体" w:cs="宋体"/>
          <w:i/>
          <w:iCs/>
          <w:color w:val="auto"/>
          <w:sz w:val="24"/>
          <w:highlight w:val="none"/>
          <w:u w:val="single"/>
          <w:lang w:val="en-US" w:eastAsia="zh-CN"/>
        </w:rPr>
        <w:t>企业、</w:t>
      </w:r>
      <w:r>
        <w:rPr>
          <w:rFonts w:hint="eastAsia" w:ascii="宋体" w:hAnsi="宋体" w:eastAsia="宋体" w:cs="宋体"/>
          <w:i/>
          <w:iCs/>
          <w:color w:val="auto"/>
          <w:sz w:val="24"/>
          <w:highlight w:val="none"/>
          <w:u w:val="single"/>
        </w:rPr>
        <w:t>小型企业、微型企业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2814AC32">
      <w:pPr>
        <w:tabs>
          <w:tab w:val="left" w:pos="1065"/>
          <w:tab w:val="left" w:pos="6477"/>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标的名称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采购文件中明确的所属行业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承建（承接）企业</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rPr>
        <w:t>企业名称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w:t>
      </w:r>
      <w:r>
        <w:rPr>
          <w:rFonts w:hint="eastAsia" w:ascii="宋体" w:hAnsi="宋体" w:eastAsia="宋体" w:cs="宋体"/>
          <w:i/>
          <w:iCs/>
          <w:color w:val="auto"/>
          <w:sz w:val="24"/>
          <w:highlight w:val="none"/>
          <w:u w:val="single"/>
          <w:lang w:val="en-US" w:eastAsia="zh-CN"/>
        </w:rPr>
        <w:t>中</w:t>
      </w:r>
      <w:r>
        <w:rPr>
          <w:rFonts w:hint="eastAsia" w:ascii="宋体" w:hAnsi="宋体" w:eastAsia="宋体" w:cs="宋体"/>
          <w:i/>
          <w:iCs/>
          <w:color w:val="auto"/>
          <w:sz w:val="24"/>
          <w:highlight w:val="none"/>
          <w:u w:val="single"/>
        </w:rPr>
        <w:t>型</w:t>
      </w:r>
      <w:r>
        <w:rPr>
          <w:rFonts w:hint="eastAsia" w:ascii="宋体" w:hAnsi="宋体" w:eastAsia="宋体" w:cs="宋体"/>
          <w:i/>
          <w:iCs/>
          <w:color w:val="auto"/>
          <w:sz w:val="24"/>
          <w:highlight w:val="none"/>
          <w:u w:val="single"/>
          <w:lang w:val="en-US" w:eastAsia="zh-CN"/>
        </w:rPr>
        <w:t>企业、</w:t>
      </w:r>
      <w:r>
        <w:rPr>
          <w:rFonts w:hint="eastAsia" w:ascii="宋体" w:hAnsi="宋体" w:eastAsia="宋体" w:cs="宋体"/>
          <w:i/>
          <w:iCs/>
          <w:color w:val="auto"/>
          <w:sz w:val="24"/>
          <w:highlight w:val="none"/>
          <w:u w:val="single"/>
        </w:rPr>
        <w:t>小型企业、微型企业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FA492D4">
      <w:pPr>
        <w:pStyle w:val="15"/>
        <w:spacing w:after="0" w:line="360" w:lineRule="auto"/>
        <w:ind w:left="142" w:right="142"/>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4C6606C">
      <w:pPr>
        <w:pStyle w:val="15"/>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45E18C3">
      <w:pPr>
        <w:pStyle w:val="15"/>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A589F81">
      <w:pPr>
        <w:pStyle w:val="15"/>
        <w:spacing w:after="0" w:line="360" w:lineRule="auto"/>
        <w:ind w:left="3960" w:right="1808"/>
        <w:contextualSpacing/>
        <w:rPr>
          <w:rFonts w:hint="eastAsia" w:ascii="宋体" w:hAnsi="宋体" w:eastAsia="宋体" w:cs="宋体"/>
          <w:color w:val="auto"/>
          <w:sz w:val="24"/>
          <w:highlight w:val="none"/>
        </w:rPr>
      </w:pPr>
    </w:p>
    <w:p w14:paraId="6ABC202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供应商名称（盖公章）：</w:t>
      </w:r>
    </w:p>
    <w:p w14:paraId="679AA259">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709D436">
      <w:pPr>
        <w:pStyle w:val="15"/>
        <w:spacing w:after="0" w:line="360" w:lineRule="auto"/>
        <w:ind w:left="3960" w:right="1808"/>
        <w:contextualSpacing/>
        <w:rPr>
          <w:rFonts w:hint="eastAsia" w:ascii="宋体" w:hAnsi="宋体" w:eastAsia="宋体" w:cs="宋体"/>
          <w:color w:val="auto"/>
          <w:highlight w:val="none"/>
        </w:rPr>
      </w:pPr>
    </w:p>
    <w:p w14:paraId="111BF50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w:t>
      </w:r>
      <w:r>
        <w:rPr>
          <w:rFonts w:hint="eastAsia" w:ascii="宋体" w:hAnsi="宋体" w:eastAsia="宋体" w:cs="宋体"/>
          <w:color w:val="auto"/>
          <w:sz w:val="24"/>
          <w:highlight w:val="none"/>
          <w:lang w:val="en-US" w:eastAsia="zh-CN"/>
        </w:rPr>
        <w:t>中小</w:t>
      </w:r>
      <w:r>
        <w:rPr>
          <w:rFonts w:hint="eastAsia" w:ascii="宋体" w:hAnsi="宋体" w:eastAsia="宋体" w:cs="宋体"/>
          <w:color w:val="auto"/>
          <w:sz w:val="24"/>
          <w:highlight w:val="none"/>
        </w:rPr>
        <w:t>企业扶持政策的，采购人或者采购代理机构应当随成交结果公开成交供应商的《</w:t>
      </w:r>
      <w:r>
        <w:rPr>
          <w:rFonts w:hint="eastAsia" w:ascii="宋体" w:hAnsi="宋体" w:eastAsia="宋体" w:cs="宋体"/>
          <w:color w:val="auto"/>
          <w:sz w:val="24"/>
          <w:highlight w:val="none"/>
          <w:lang w:val="en-US" w:eastAsia="zh-CN"/>
        </w:rPr>
        <w:t>中小</w:t>
      </w:r>
      <w:r>
        <w:rPr>
          <w:rFonts w:hint="eastAsia" w:ascii="宋体" w:hAnsi="宋体" w:eastAsia="宋体" w:cs="宋体"/>
          <w:color w:val="auto"/>
          <w:sz w:val="24"/>
          <w:highlight w:val="none"/>
        </w:rPr>
        <w:t>企业声明函》，接受社会监督。从业人员、营业收入、资产总额填报上一年度数据，无上一年度数据的新成立企业可不填报。</w:t>
      </w:r>
    </w:p>
    <w:p w14:paraId="5D596FD6">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1" w:h="16838"/>
          <w:pgMar w:top="1134" w:right="1134" w:bottom="1134" w:left="1134" w:header="720" w:footer="720" w:gutter="0"/>
          <w:cols w:space="720" w:num="1"/>
        </w:sectPr>
      </w:pPr>
    </w:p>
    <w:p w14:paraId="357FA1B5">
      <w:pPr>
        <w:spacing w:line="52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2.残疾人福利性单位声明函的格式：</w:t>
      </w:r>
    </w:p>
    <w:p w14:paraId="078BF69B">
      <w:pPr>
        <w:pStyle w:val="23"/>
        <w:rPr>
          <w:rFonts w:hint="eastAsia" w:ascii="宋体" w:hAnsi="宋体" w:eastAsia="宋体" w:cs="宋体"/>
          <w:color w:val="auto"/>
          <w:highlight w:val="none"/>
        </w:rPr>
      </w:pPr>
    </w:p>
    <w:p w14:paraId="1F9C270F">
      <w:pPr>
        <w:spacing w:line="520" w:lineRule="exact"/>
        <w:jc w:val="center"/>
        <w:rPr>
          <w:rFonts w:hint="eastAsia" w:ascii="宋体" w:hAnsi="宋体" w:eastAsia="宋体" w:cs="宋体"/>
          <w:color w:val="auto"/>
          <w:sz w:val="44"/>
          <w:szCs w:val="44"/>
          <w:highlight w:val="none"/>
        </w:rPr>
      </w:pPr>
    </w:p>
    <w:p w14:paraId="47C6850F">
      <w:pPr>
        <w:spacing w:line="520" w:lineRule="exact"/>
        <w:jc w:val="center"/>
        <w:rPr>
          <w:rFonts w:hint="eastAsia" w:ascii="宋体" w:hAnsi="宋体" w:eastAsia="宋体" w:cs="宋体"/>
          <w:color w:val="auto"/>
          <w:sz w:val="44"/>
          <w:szCs w:val="44"/>
          <w:highlight w:val="none"/>
        </w:rPr>
      </w:pPr>
    </w:p>
    <w:p w14:paraId="2534118D">
      <w:pPr>
        <w:spacing w:line="5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残疾人福利性单位声明函</w:t>
      </w:r>
    </w:p>
    <w:p w14:paraId="0544A9DE">
      <w:pPr>
        <w:spacing w:line="520" w:lineRule="exact"/>
        <w:rPr>
          <w:rFonts w:hint="eastAsia" w:ascii="宋体" w:hAnsi="宋体" w:eastAsia="宋体" w:cs="宋体"/>
          <w:color w:val="auto"/>
          <w:sz w:val="32"/>
          <w:szCs w:val="32"/>
          <w:highlight w:val="none"/>
        </w:rPr>
      </w:pPr>
    </w:p>
    <w:p w14:paraId="42952686">
      <w:pPr>
        <w:spacing w:line="360" w:lineRule="auto"/>
        <w:ind w:firstLine="480" w:firstLineChars="200"/>
        <w:contextualSpacing/>
        <w:rPr>
          <w:rFonts w:hint="eastAsia" w:ascii="宋体" w:hAnsi="宋体" w:eastAsia="宋体" w:cs="宋体"/>
          <w:color w:val="auto"/>
          <w:sz w:val="24"/>
          <w:highlight w:val="none"/>
        </w:rPr>
      </w:pPr>
    </w:p>
    <w:p w14:paraId="6B25294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7099B2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01F9687">
      <w:pPr>
        <w:spacing w:line="360" w:lineRule="auto"/>
        <w:contextualSpacing/>
        <w:rPr>
          <w:rFonts w:hint="eastAsia" w:ascii="宋体" w:hAnsi="宋体" w:eastAsia="宋体" w:cs="宋体"/>
          <w:color w:val="auto"/>
          <w:sz w:val="24"/>
          <w:highlight w:val="none"/>
        </w:rPr>
      </w:pPr>
    </w:p>
    <w:p w14:paraId="3B3D7771">
      <w:pPr>
        <w:spacing w:line="360" w:lineRule="auto"/>
        <w:contextualSpacing/>
        <w:rPr>
          <w:rFonts w:hint="eastAsia" w:ascii="宋体" w:hAnsi="宋体" w:eastAsia="宋体" w:cs="宋体"/>
          <w:color w:val="auto"/>
          <w:sz w:val="24"/>
          <w:highlight w:val="none"/>
        </w:rPr>
      </w:pPr>
    </w:p>
    <w:p w14:paraId="71197064">
      <w:pPr>
        <w:spacing w:line="360" w:lineRule="auto"/>
        <w:contextualSpacing/>
        <w:rPr>
          <w:rFonts w:hint="eastAsia" w:ascii="宋体" w:hAnsi="宋体" w:eastAsia="宋体" w:cs="宋体"/>
          <w:color w:val="auto"/>
          <w:sz w:val="24"/>
          <w:highlight w:val="none"/>
        </w:rPr>
      </w:pPr>
    </w:p>
    <w:p w14:paraId="22CE5726">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供应商名称（盖公章）：</w:t>
      </w:r>
    </w:p>
    <w:p w14:paraId="2C8A805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67320230">
      <w:pPr>
        <w:spacing w:line="360" w:lineRule="auto"/>
        <w:contextualSpacing/>
        <w:rPr>
          <w:rFonts w:hint="eastAsia" w:ascii="宋体" w:hAnsi="宋体" w:eastAsia="宋体" w:cs="宋体"/>
          <w:color w:val="auto"/>
          <w:sz w:val="24"/>
          <w:highlight w:val="none"/>
        </w:rPr>
      </w:pPr>
    </w:p>
    <w:p w14:paraId="3E8E1C75">
      <w:pPr>
        <w:spacing w:line="360" w:lineRule="auto"/>
        <w:contextualSpacing/>
        <w:rPr>
          <w:rFonts w:hint="eastAsia" w:ascii="宋体" w:hAnsi="宋体" w:eastAsia="宋体" w:cs="宋体"/>
          <w:color w:val="auto"/>
          <w:sz w:val="24"/>
          <w:highlight w:val="none"/>
        </w:rPr>
      </w:pPr>
    </w:p>
    <w:p w14:paraId="21E22A01">
      <w:pPr>
        <w:spacing w:line="360" w:lineRule="auto"/>
        <w:contextualSpacing/>
        <w:rPr>
          <w:rFonts w:hint="eastAsia" w:ascii="宋体" w:hAnsi="宋体" w:eastAsia="宋体" w:cs="宋体"/>
          <w:color w:val="auto"/>
          <w:sz w:val="24"/>
          <w:highlight w:val="none"/>
        </w:rPr>
      </w:pPr>
    </w:p>
    <w:p w14:paraId="6BE5648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10FED3AF">
      <w:pPr>
        <w:widowControl/>
        <w:shd w:val="clear" w:color="auto" w:fill="FFFFFF"/>
        <w:spacing w:line="480" w:lineRule="atLeast"/>
        <w:rPr>
          <w:rFonts w:hint="eastAsia" w:ascii="宋体" w:hAnsi="宋体" w:eastAsia="宋体" w:cs="宋体"/>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广西壮族自治区政府采购项目合同验收书的格式：</w:t>
      </w:r>
    </w:p>
    <w:p w14:paraId="589C61E3">
      <w:pPr>
        <w:spacing w:line="360" w:lineRule="auto"/>
        <w:ind w:firstLine="480" w:firstLineChars="200"/>
        <w:contextualSpacing/>
        <w:rPr>
          <w:rFonts w:hint="eastAsia" w:ascii="宋体" w:hAnsi="宋体" w:eastAsia="宋体" w:cs="宋体"/>
          <w:color w:val="auto"/>
          <w:sz w:val="24"/>
          <w:highlight w:val="none"/>
        </w:rPr>
      </w:pPr>
    </w:p>
    <w:p w14:paraId="5D85E222">
      <w:pPr>
        <w:widowControl/>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广西壮族自治区政府采购项目合同验收书</w:t>
      </w:r>
    </w:p>
    <w:p w14:paraId="3C122AC0">
      <w:pPr>
        <w:widowControl/>
        <w:shd w:val="clear" w:color="auto" w:fill="FFFFFF"/>
        <w:spacing w:line="480" w:lineRule="atLeast"/>
        <w:jc w:val="center"/>
        <w:rPr>
          <w:rFonts w:hint="eastAsia" w:ascii="宋体" w:hAnsi="宋体" w:eastAsia="宋体" w:cs="宋体"/>
          <w:color w:val="auto"/>
          <w:kern w:val="0"/>
          <w:sz w:val="32"/>
          <w:szCs w:val="32"/>
          <w:highlight w:val="none"/>
        </w:rPr>
      </w:pPr>
    </w:p>
    <w:p w14:paraId="079C8E59">
      <w:pPr>
        <w:widowControl/>
        <w:shd w:val="clear" w:color="auto" w:fill="FFFFFF"/>
        <w:snapToGrid w:val="0"/>
        <w:spacing w:line="32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根据政府采购项目（</w:t>
      </w:r>
      <w:r>
        <w:rPr>
          <w:rFonts w:hint="eastAsia" w:ascii="宋体" w:hAnsi="宋体" w:eastAsia="宋体" w:cs="宋体"/>
          <w:color w:val="auto"/>
          <w:kern w:val="0"/>
          <w:sz w:val="24"/>
          <w:highlight w:val="none"/>
          <w:u w:val="single"/>
        </w:rPr>
        <w:t>采购合同编号：</w:t>
      </w:r>
      <w:r>
        <w:rPr>
          <w:rFonts w:hint="eastAsia" w:ascii="宋体" w:hAnsi="宋体" w:eastAsia="宋体" w:cs="宋体"/>
          <w:color w:val="auto"/>
          <w:kern w:val="0"/>
          <w:sz w:val="24"/>
          <w:highlight w:val="none"/>
          <w:u w:val="single"/>
        </w:rPr>
        <w:softHyphen/>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）的约定，我单位对（</w:t>
      </w:r>
      <w:r>
        <w:rPr>
          <w:rFonts w:hint="eastAsia" w:ascii="宋体" w:hAnsi="宋体" w:eastAsia="宋体" w:cs="宋体"/>
          <w:color w:val="auto"/>
          <w:kern w:val="0"/>
          <w:sz w:val="24"/>
          <w:highlight w:val="none"/>
          <w:u w:val="single"/>
        </w:rPr>
        <w:t xml:space="preserve"> 项目名称 </w:t>
      </w:r>
      <w:r>
        <w:rPr>
          <w:rFonts w:hint="eastAsia" w:ascii="宋体" w:hAnsi="宋体" w:eastAsia="宋体" w:cs="宋体"/>
          <w:color w:val="auto"/>
          <w:kern w:val="0"/>
          <w:sz w:val="24"/>
          <w:highlight w:val="none"/>
        </w:rPr>
        <w:t>） 政府采购项目成交供应商（</w:t>
      </w:r>
      <w:r>
        <w:rPr>
          <w:rFonts w:hint="eastAsia" w:ascii="宋体" w:hAnsi="宋体" w:eastAsia="宋体" w:cs="宋体"/>
          <w:color w:val="auto"/>
          <w:kern w:val="0"/>
          <w:sz w:val="24"/>
          <w:highlight w:val="none"/>
          <w:u w:val="single"/>
        </w:rPr>
        <w:t xml:space="preserve"> 公司名称 </w:t>
      </w:r>
      <w:r>
        <w:rPr>
          <w:rFonts w:hint="eastAsia" w:ascii="宋体" w:hAnsi="宋体" w:eastAsia="宋体" w:cs="宋体"/>
          <w:color w:val="auto"/>
          <w:kern w:val="0"/>
          <w:sz w:val="24"/>
          <w:highlight w:val="none"/>
        </w:rPr>
        <w:t>） 提供的货物（或者工程、服务）进行了验收，验收情况如下：</w:t>
      </w:r>
    </w:p>
    <w:tbl>
      <w:tblPr>
        <w:tblStyle w:val="32"/>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B35603D">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20506F69">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12DAF3A8">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1101F4D7">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4C6CB3C0">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1B58062D">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4AEF2D2B">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0F9F77B4">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5F1525F4">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14:paraId="071A45E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79C1D9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C2DF97E">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995C84F">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BF9BFB4">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B6F5AC7">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49DEFB7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BE77DC4">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32FF22D">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3653228">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392D1347">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FF3E976">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9102AC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0591EE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5C1321AA">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B60194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FFD8CC2">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00B5733">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A34FC3C">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6F516A35">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14D89AB2">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0EB6E7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24753843">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2104586E">
            <w:pPr>
              <w:widowControl/>
              <w:snapToGrid w:val="0"/>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0BEDE38B">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684E55DB">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41D5AC36">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121697D4">
            <w:pPr>
              <w:widowControl/>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06A3FC7E">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9BC692E">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9A707C">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EFBC992">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27DFCD0C">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8CADC4">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4B2977D4">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78403FD7">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1ACBA441">
            <w:pPr>
              <w:widowControl/>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21FCBF44">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5A1ABD60">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331FE802">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3665E1">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0788BF29">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86DE9E">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14:paraId="21A55070">
            <w:pPr>
              <w:widowControl/>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5404B9E7">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19679D32">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14:paraId="45D4FB6C">
            <w:pPr>
              <w:widowControl/>
              <w:spacing w:before="100" w:beforeAutospacing="1" w:after="100" w:afterAutospacing="1" w:line="320" w:lineRule="atLeast"/>
              <w:jc w:val="left"/>
              <w:rPr>
                <w:rFonts w:hint="eastAsia" w:ascii="宋体" w:hAnsi="宋体" w:eastAsia="宋体" w:cs="宋体"/>
                <w:color w:val="auto"/>
                <w:kern w:val="0"/>
                <w:szCs w:val="21"/>
                <w:highlight w:val="none"/>
              </w:rPr>
            </w:pPr>
          </w:p>
          <w:p w14:paraId="625274A7">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111D48C6">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44F0240E">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p>
          <w:p w14:paraId="021C99E4">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7E795CA8">
      <w:pPr>
        <w:shd w:val="clear" w:color="auto" w:fill="FFFFFF"/>
        <w:spacing w:line="360" w:lineRule="auto"/>
        <w:ind w:firstLine="2730" w:firstLineChars="1300"/>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p>
    <w:p w14:paraId="1226F12E">
      <w:pPr>
        <w:pStyle w:val="2"/>
        <w:jc w:val="center"/>
        <w:rPr>
          <w:rFonts w:hint="eastAsia" w:ascii="宋体" w:hAnsi="宋体" w:eastAsia="宋体" w:cs="宋体"/>
          <w:b w:val="0"/>
          <w:bCs w:val="0"/>
          <w:color w:val="auto"/>
          <w:highlight w:val="none"/>
        </w:rPr>
      </w:pPr>
      <w:bookmarkStart w:id="150" w:name="_Toc15154"/>
      <w:bookmarkStart w:id="151" w:name="_Toc9343"/>
      <w:bookmarkStart w:id="152" w:name="_Toc24786"/>
      <w:bookmarkStart w:id="153" w:name="_Toc18676"/>
      <w:bookmarkStart w:id="154" w:name="_Toc4005"/>
      <w:bookmarkStart w:id="155" w:name="_Toc80886947"/>
      <w:bookmarkStart w:id="156" w:name="_Toc15161"/>
      <w:bookmarkStart w:id="157" w:name="_Toc12748"/>
    </w:p>
    <w:p w14:paraId="2E3A8E43">
      <w:pPr>
        <w:pStyle w:val="2"/>
        <w:jc w:val="center"/>
        <w:rPr>
          <w:rFonts w:hint="eastAsia" w:ascii="宋体" w:hAnsi="宋体" w:eastAsia="宋体" w:cs="宋体"/>
          <w:b w:val="0"/>
          <w:bCs w:val="0"/>
          <w:color w:val="auto"/>
          <w:highlight w:val="none"/>
        </w:rPr>
      </w:pPr>
    </w:p>
    <w:p w14:paraId="73690A76">
      <w:pPr>
        <w:pStyle w:val="2"/>
        <w:jc w:val="center"/>
        <w:rPr>
          <w:rFonts w:hint="eastAsia" w:ascii="宋体" w:hAnsi="宋体" w:eastAsia="宋体" w:cs="宋体"/>
          <w:b w:val="0"/>
          <w:bCs w:val="0"/>
          <w:color w:val="auto"/>
          <w:highlight w:val="none"/>
        </w:rPr>
      </w:pPr>
    </w:p>
    <w:p w14:paraId="454541AD">
      <w:pPr>
        <w:pStyle w:val="2"/>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第六章  合同文本</w:t>
      </w:r>
      <w:bookmarkEnd w:id="150"/>
      <w:bookmarkEnd w:id="151"/>
      <w:bookmarkEnd w:id="152"/>
      <w:bookmarkEnd w:id="153"/>
      <w:bookmarkEnd w:id="154"/>
      <w:bookmarkEnd w:id="155"/>
      <w:bookmarkEnd w:id="156"/>
    </w:p>
    <w:p w14:paraId="2A5BFCB8">
      <w:pPr>
        <w:snapToGrid w:val="0"/>
        <w:rPr>
          <w:rFonts w:hint="eastAsia" w:ascii="宋体" w:hAnsi="宋体" w:eastAsia="宋体" w:cs="宋体"/>
          <w:b/>
          <w:bCs/>
          <w:color w:val="auto"/>
          <w:sz w:val="32"/>
          <w:szCs w:val="32"/>
          <w:highlight w:val="none"/>
        </w:rPr>
      </w:pPr>
      <w:r>
        <w:rPr>
          <w:rFonts w:hint="eastAsia" w:ascii="宋体" w:hAnsi="宋体" w:eastAsia="宋体" w:cs="宋体"/>
          <w:b/>
          <w:bCs/>
          <w:color w:val="auto"/>
          <w:highlight w:val="none"/>
        </w:rPr>
        <w:br w:type="page"/>
      </w:r>
      <w:bookmarkEnd w:id="157"/>
    </w:p>
    <w:p w14:paraId="0AB90A61">
      <w:pPr>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合同格式</w:t>
      </w:r>
    </w:p>
    <w:p w14:paraId="61DDEAA7">
      <w:pPr>
        <w:spacing w:line="340" w:lineRule="exact"/>
        <w:rPr>
          <w:rFonts w:hint="eastAsia" w:ascii="宋体" w:hAnsi="宋体" w:eastAsia="宋体" w:cs="宋体"/>
          <w:b/>
          <w:bCs/>
          <w:color w:val="auto"/>
          <w:sz w:val="72"/>
          <w:szCs w:val="20"/>
          <w:highlight w:val="none"/>
        </w:rPr>
      </w:pPr>
    </w:p>
    <w:p w14:paraId="19B4D2E3">
      <w:pPr>
        <w:spacing w:line="340" w:lineRule="exact"/>
        <w:rPr>
          <w:rFonts w:hint="eastAsia" w:ascii="宋体" w:hAnsi="宋体" w:eastAsia="宋体" w:cs="宋体"/>
          <w:b/>
          <w:bCs/>
          <w:color w:val="auto"/>
          <w:sz w:val="72"/>
          <w:szCs w:val="20"/>
          <w:highlight w:val="none"/>
        </w:rPr>
      </w:pPr>
    </w:p>
    <w:p w14:paraId="208B48AA">
      <w:pPr>
        <w:spacing w:line="340" w:lineRule="exact"/>
        <w:rPr>
          <w:rFonts w:hint="eastAsia" w:ascii="宋体" w:hAnsi="宋体" w:eastAsia="宋体" w:cs="宋体"/>
          <w:b/>
          <w:bCs/>
          <w:color w:val="auto"/>
          <w:sz w:val="72"/>
          <w:szCs w:val="20"/>
          <w:highlight w:val="none"/>
        </w:rPr>
      </w:pPr>
    </w:p>
    <w:p w14:paraId="14BCC20B">
      <w:pPr>
        <w:spacing w:line="340" w:lineRule="exact"/>
        <w:rPr>
          <w:rFonts w:hint="eastAsia" w:ascii="宋体" w:hAnsi="宋体" w:eastAsia="宋体" w:cs="宋体"/>
          <w:b/>
          <w:bCs/>
          <w:color w:val="auto"/>
          <w:sz w:val="72"/>
          <w:szCs w:val="20"/>
          <w:highlight w:val="none"/>
        </w:rPr>
      </w:pPr>
    </w:p>
    <w:p w14:paraId="26868AF6">
      <w:pPr>
        <w:spacing w:line="340" w:lineRule="exact"/>
        <w:rPr>
          <w:rFonts w:hint="eastAsia" w:ascii="宋体" w:hAnsi="宋体" w:eastAsia="宋体" w:cs="宋体"/>
          <w:b/>
          <w:bCs/>
          <w:color w:val="auto"/>
          <w:sz w:val="72"/>
          <w:szCs w:val="20"/>
          <w:highlight w:val="none"/>
        </w:rPr>
      </w:pPr>
    </w:p>
    <w:p w14:paraId="31144DED">
      <w:pPr>
        <w:spacing w:line="340" w:lineRule="exact"/>
        <w:rPr>
          <w:rFonts w:hint="eastAsia" w:ascii="宋体" w:hAnsi="宋体" w:eastAsia="宋体" w:cs="宋体"/>
          <w:b/>
          <w:bCs/>
          <w:color w:val="auto"/>
          <w:sz w:val="72"/>
          <w:szCs w:val="20"/>
          <w:highlight w:val="none"/>
        </w:rPr>
      </w:pPr>
    </w:p>
    <w:p w14:paraId="0487619A">
      <w:pPr>
        <w:spacing w:line="340" w:lineRule="exact"/>
        <w:rPr>
          <w:rFonts w:hint="eastAsia" w:ascii="宋体" w:hAnsi="宋体" w:eastAsia="宋体" w:cs="宋体"/>
          <w:b/>
          <w:bCs/>
          <w:color w:val="auto"/>
          <w:sz w:val="72"/>
          <w:szCs w:val="20"/>
          <w:highlight w:val="none"/>
        </w:rPr>
      </w:pPr>
    </w:p>
    <w:p w14:paraId="5ED8D361">
      <w:pPr>
        <w:spacing w:line="340" w:lineRule="exact"/>
        <w:rPr>
          <w:rFonts w:hint="eastAsia" w:ascii="宋体" w:hAnsi="宋体" w:eastAsia="宋体" w:cs="宋体"/>
          <w:b/>
          <w:bCs/>
          <w:color w:val="auto"/>
          <w:sz w:val="72"/>
          <w:szCs w:val="20"/>
          <w:highlight w:val="none"/>
        </w:rPr>
      </w:pPr>
    </w:p>
    <w:p w14:paraId="30963A68">
      <w:pPr>
        <w:tabs>
          <w:tab w:val="left" w:pos="2520"/>
        </w:tabs>
        <w:spacing w:line="840" w:lineRule="exact"/>
        <w:ind w:firstLine="420"/>
        <w:jc w:val="center"/>
        <w:rPr>
          <w:rFonts w:hint="eastAsia" w:ascii="宋体" w:hAnsi="宋体" w:eastAsia="宋体" w:cs="宋体"/>
          <w:b/>
          <w:bCs/>
          <w:color w:val="auto"/>
          <w:sz w:val="72"/>
          <w:szCs w:val="20"/>
          <w:highlight w:val="none"/>
        </w:rPr>
      </w:pPr>
      <w:r>
        <w:rPr>
          <w:rFonts w:hint="eastAsia" w:ascii="宋体" w:hAnsi="宋体" w:eastAsia="宋体" w:cs="宋体"/>
          <w:b/>
          <w:bCs/>
          <w:color w:val="auto"/>
          <w:sz w:val="72"/>
          <w:szCs w:val="20"/>
          <w:highlight w:val="none"/>
        </w:rPr>
        <w:t>采购合同书</w:t>
      </w:r>
    </w:p>
    <w:p w14:paraId="2822B39B">
      <w:pPr>
        <w:tabs>
          <w:tab w:val="left" w:pos="2835"/>
        </w:tabs>
        <w:spacing w:line="400" w:lineRule="exact"/>
        <w:rPr>
          <w:rFonts w:hint="eastAsia" w:ascii="宋体" w:hAnsi="宋体" w:eastAsia="宋体" w:cs="宋体"/>
          <w:color w:val="auto"/>
          <w:szCs w:val="20"/>
          <w:highlight w:val="none"/>
        </w:rPr>
      </w:pPr>
    </w:p>
    <w:p w14:paraId="04D2AB1C">
      <w:pPr>
        <w:tabs>
          <w:tab w:val="left" w:pos="2835"/>
        </w:tabs>
        <w:spacing w:line="400" w:lineRule="exact"/>
        <w:rPr>
          <w:rFonts w:hint="eastAsia" w:ascii="宋体" w:hAnsi="宋体" w:eastAsia="宋体" w:cs="宋体"/>
          <w:color w:val="auto"/>
          <w:szCs w:val="20"/>
          <w:highlight w:val="none"/>
        </w:rPr>
      </w:pPr>
    </w:p>
    <w:p w14:paraId="517BB50C">
      <w:pPr>
        <w:tabs>
          <w:tab w:val="left" w:pos="2835"/>
        </w:tabs>
        <w:spacing w:line="400" w:lineRule="exact"/>
        <w:rPr>
          <w:rFonts w:hint="eastAsia" w:ascii="宋体" w:hAnsi="宋体" w:eastAsia="宋体" w:cs="宋体"/>
          <w:color w:val="auto"/>
          <w:szCs w:val="20"/>
          <w:highlight w:val="none"/>
        </w:rPr>
      </w:pPr>
    </w:p>
    <w:p w14:paraId="599B60A7">
      <w:pPr>
        <w:tabs>
          <w:tab w:val="left" w:pos="2835"/>
        </w:tabs>
        <w:spacing w:line="400" w:lineRule="exact"/>
        <w:rPr>
          <w:rFonts w:hint="eastAsia" w:ascii="宋体" w:hAnsi="宋体" w:eastAsia="宋体" w:cs="宋体"/>
          <w:color w:val="auto"/>
          <w:szCs w:val="20"/>
          <w:highlight w:val="none"/>
        </w:rPr>
      </w:pPr>
    </w:p>
    <w:p w14:paraId="494E0CEE">
      <w:pPr>
        <w:tabs>
          <w:tab w:val="left" w:pos="2835"/>
          <w:tab w:val="left" w:pos="3240"/>
        </w:tabs>
        <w:spacing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项目名称：</w:t>
      </w:r>
      <w:r>
        <w:rPr>
          <w:rFonts w:hint="eastAsia" w:ascii="宋体" w:hAnsi="宋体" w:eastAsia="宋体" w:cs="宋体"/>
          <w:b/>
          <w:color w:val="auto"/>
          <w:sz w:val="30"/>
          <w:szCs w:val="30"/>
          <w:highlight w:val="none"/>
          <w:lang w:eastAsia="zh-CN"/>
        </w:rPr>
        <w:t>运营管理决策支持平台项目</w:t>
      </w:r>
    </w:p>
    <w:p w14:paraId="091208D8">
      <w:pPr>
        <w:tabs>
          <w:tab w:val="left" w:pos="2835"/>
        </w:tabs>
        <w:spacing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项目编号：</w:t>
      </w:r>
      <w:r>
        <w:rPr>
          <w:rFonts w:hint="eastAsia" w:ascii="宋体" w:hAnsi="宋体" w:cs="宋体"/>
          <w:b/>
          <w:color w:val="auto"/>
          <w:sz w:val="30"/>
          <w:szCs w:val="30"/>
          <w:highlight w:val="none"/>
          <w:lang w:eastAsia="zh-CN"/>
        </w:rPr>
        <w:t>GXZC2025-C3-002156-GXKL</w:t>
      </w:r>
    </w:p>
    <w:p w14:paraId="22A24953">
      <w:pPr>
        <w:tabs>
          <w:tab w:val="left" w:pos="2835"/>
        </w:tabs>
        <w:spacing w:line="360" w:lineRule="auto"/>
        <w:rPr>
          <w:rFonts w:hint="eastAsia" w:ascii="宋体" w:hAnsi="宋体" w:eastAsia="宋体" w:cs="宋体"/>
          <w:b/>
          <w:color w:val="auto"/>
          <w:sz w:val="30"/>
          <w:szCs w:val="30"/>
          <w:highlight w:val="none"/>
        </w:rPr>
      </w:pPr>
    </w:p>
    <w:p w14:paraId="41B25875">
      <w:pPr>
        <w:tabs>
          <w:tab w:val="left" w:pos="2835"/>
        </w:tabs>
        <w:spacing w:line="360" w:lineRule="auto"/>
        <w:rPr>
          <w:rFonts w:hint="eastAsia" w:ascii="宋体" w:hAnsi="宋体" w:eastAsia="宋体" w:cs="宋体"/>
          <w:b/>
          <w:color w:val="auto"/>
          <w:sz w:val="30"/>
          <w:szCs w:val="30"/>
          <w:highlight w:val="none"/>
        </w:rPr>
      </w:pPr>
    </w:p>
    <w:p w14:paraId="588FEFEE">
      <w:pPr>
        <w:tabs>
          <w:tab w:val="left" w:pos="2835"/>
        </w:tabs>
        <w:spacing w:line="360" w:lineRule="auto"/>
        <w:rPr>
          <w:rFonts w:hint="eastAsia" w:ascii="宋体" w:hAnsi="宋体" w:eastAsia="宋体" w:cs="宋体"/>
          <w:b/>
          <w:color w:val="auto"/>
          <w:sz w:val="30"/>
          <w:szCs w:val="30"/>
          <w:highlight w:val="none"/>
        </w:rPr>
      </w:pPr>
    </w:p>
    <w:p w14:paraId="219BE0E5">
      <w:pPr>
        <w:tabs>
          <w:tab w:val="left" w:pos="2835"/>
        </w:tabs>
        <w:spacing w:line="360" w:lineRule="auto"/>
        <w:rPr>
          <w:rFonts w:hint="eastAsia" w:ascii="宋体" w:hAnsi="宋体" w:eastAsia="宋体" w:cs="宋体"/>
          <w:b/>
          <w:color w:val="auto"/>
          <w:sz w:val="30"/>
          <w:szCs w:val="30"/>
          <w:highlight w:val="none"/>
        </w:rPr>
      </w:pPr>
    </w:p>
    <w:p w14:paraId="7FDFD9B0">
      <w:pPr>
        <w:tabs>
          <w:tab w:val="left" w:pos="2835"/>
        </w:tabs>
        <w:spacing w:line="360" w:lineRule="auto"/>
        <w:ind w:firstLine="2409" w:firstLineChars="800"/>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采购人(甲方)：</w:t>
      </w:r>
      <w:r>
        <w:rPr>
          <w:rFonts w:hint="eastAsia" w:ascii="宋体" w:hAnsi="宋体" w:eastAsia="宋体" w:cs="宋体"/>
          <w:b/>
          <w:color w:val="auto"/>
          <w:sz w:val="30"/>
          <w:szCs w:val="30"/>
          <w:highlight w:val="none"/>
          <w:u w:val="single"/>
        </w:rPr>
        <w:t xml:space="preserve">                        </w:t>
      </w:r>
    </w:p>
    <w:p w14:paraId="07398169">
      <w:pPr>
        <w:tabs>
          <w:tab w:val="left" w:pos="2835"/>
        </w:tabs>
        <w:spacing w:line="360" w:lineRule="auto"/>
        <w:ind w:firstLine="2409" w:firstLineChars="8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成交供应商(乙方)：</w:t>
      </w:r>
      <w:r>
        <w:rPr>
          <w:rFonts w:hint="eastAsia" w:ascii="宋体" w:hAnsi="宋体" w:eastAsia="宋体" w:cs="宋体"/>
          <w:b/>
          <w:color w:val="auto"/>
          <w:sz w:val="30"/>
          <w:szCs w:val="30"/>
          <w:highlight w:val="none"/>
          <w:u w:val="single"/>
        </w:rPr>
        <w:t xml:space="preserve">                    </w:t>
      </w:r>
    </w:p>
    <w:p w14:paraId="07EAAF96">
      <w:pPr>
        <w:tabs>
          <w:tab w:val="left" w:pos="2835"/>
        </w:tabs>
        <w:spacing w:line="360" w:lineRule="auto"/>
        <w:rPr>
          <w:rFonts w:hint="eastAsia" w:ascii="宋体" w:hAnsi="宋体" w:eastAsia="宋体" w:cs="宋体"/>
          <w:b/>
          <w:color w:val="auto"/>
          <w:sz w:val="30"/>
          <w:szCs w:val="30"/>
          <w:highlight w:val="none"/>
        </w:rPr>
      </w:pPr>
    </w:p>
    <w:p w14:paraId="6D9E5E1F">
      <w:pPr>
        <w:tabs>
          <w:tab w:val="left" w:pos="2835"/>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签订合同地点：       </w:t>
      </w:r>
    </w:p>
    <w:p w14:paraId="6CDC8190">
      <w:pPr>
        <w:tabs>
          <w:tab w:val="left" w:pos="2835"/>
        </w:tabs>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签订合同时间：2025年   月   日</w:t>
      </w:r>
    </w:p>
    <w:p w14:paraId="608C89A4">
      <w:pPr>
        <w:rPr>
          <w:rFonts w:hint="eastAsia" w:ascii="宋体" w:hAnsi="宋体" w:eastAsia="宋体" w:cs="宋体"/>
          <w:b/>
          <w:color w:val="auto"/>
          <w:sz w:val="44"/>
          <w:szCs w:val="44"/>
          <w:highlight w:val="none"/>
        </w:rPr>
      </w:pPr>
    </w:p>
    <w:p w14:paraId="2DA9014A">
      <w:pP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5AD85E20">
      <w:pPr>
        <w:rPr>
          <w:rFonts w:hint="eastAsia" w:ascii="宋体" w:hAnsi="宋体" w:eastAsia="宋体" w:cs="宋体"/>
          <w:b/>
          <w:color w:val="auto"/>
          <w:sz w:val="44"/>
          <w:szCs w:val="44"/>
          <w:highlight w:val="none"/>
        </w:rPr>
      </w:pPr>
    </w:p>
    <w:p w14:paraId="2801683B">
      <w:pPr>
        <w:jc w:val="center"/>
        <w:rPr>
          <w:rFonts w:hint="eastAsia" w:ascii="宋体" w:hAnsi="宋体" w:eastAsia="宋体" w:cs="宋体"/>
          <w:b/>
          <w:bCs/>
          <w:color w:val="auto"/>
          <w:sz w:val="48"/>
          <w:szCs w:val="48"/>
          <w:highlight w:val="none"/>
        </w:rPr>
      </w:pPr>
      <w:r>
        <w:rPr>
          <w:rFonts w:hint="eastAsia" w:ascii="宋体" w:hAnsi="宋体" w:eastAsia="宋体" w:cs="宋体"/>
          <w:color w:val="auto"/>
          <w:sz w:val="48"/>
          <w:szCs w:val="48"/>
          <w:highlight w:val="none"/>
        </w:rPr>
        <w:t>目  录</w:t>
      </w:r>
    </w:p>
    <w:p w14:paraId="1A5118C5">
      <w:pPr>
        <w:spacing w:line="600" w:lineRule="exact"/>
        <w:ind w:firstLine="2940" w:firstLineChars="1050"/>
        <w:rPr>
          <w:rFonts w:hint="eastAsia" w:ascii="宋体" w:hAnsi="宋体" w:eastAsia="宋体" w:cs="宋体"/>
          <w:color w:val="auto"/>
          <w:sz w:val="28"/>
          <w:szCs w:val="28"/>
          <w:highlight w:val="none"/>
        </w:rPr>
      </w:pPr>
    </w:p>
    <w:p w14:paraId="3280CFAE">
      <w:pPr>
        <w:spacing w:line="700" w:lineRule="exact"/>
        <w:ind w:firstLine="2318" w:firstLineChars="82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1.合同书</w:t>
      </w:r>
    </w:p>
    <w:p w14:paraId="6EB42884">
      <w:pPr>
        <w:spacing w:line="700" w:lineRule="exact"/>
        <w:ind w:firstLine="2318" w:firstLineChars="82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2.采购需求</w:t>
      </w:r>
    </w:p>
    <w:p w14:paraId="1047FB4C">
      <w:pPr>
        <w:spacing w:line="700" w:lineRule="exact"/>
        <w:ind w:firstLine="2318" w:firstLineChars="82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3.响应函</w:t>
      </w:r>
    </w:p>
    <w:p w14:paraId="55A481B0">
      <w:pPr>
        <w:spacing w:line="700" w:lineRule="exact"/>
        <w:ind w:firstLine="2318" w:firstLineChars="82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4.响应报价表</w:t>
      </w:r>
    </w:p>
    <w:p w14:paraId="7E1981C4">
      <w:pPr>
        <w:spacing w:line="700" w:lineRule="exact"/>
        <w:ind w:firstLine="2318" w:firstLineChars="82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5.磋商记录（如有）</w:t>
      </w:r>
    </w:p>
    <w:p w14:paraId="68291EA0">
      <w:pPr>
        <w:spacing w:line="700" w:lineRule="exact"/>
        <w:ind w:firstLine="2318" w:firstLineChars="82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6.最后报价表</w:t>
      </w:r>
    </w:p>
    <w:p w14:paraId="547A86C8">
      <w:pPr>
        <w:spacing w:line="700" w:lineRule="exact"/>
        <w:ind w:firstLine="2318" w:firstLineChars="82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7.商务条款偏离表</w:t>
      </w:r>
    </w:p>
    <w:p w14:paraId="060DBB87">
      <w:pPr>
        <w:spacing w:line="700" w:lineRule="exact"/>
        <w:ind w:firstLine="2318" w:firstLineChars="82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8.服务需求偏离表</w:t>
      </w:r>
    </w:p>
    <w:p w14:paraId="330D04E2">
      <w:pPr>
        <w:spacing w:line="700" w:lineRule="exact"/>
        <w:ind w:firstLine="2318" w:firstLineChars="82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9.成交通知书</w:t>
      </w:r>
    </w:p>
    <w:p w14:paraId="478B0EF8">
      <w:pPr>
        <w:spacing w:line="700" w:lineRule="exact"/>
        <w:ind w:firstLine="2871" w:firstLineChars="650"/>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5FC8EF66">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合 同 书</w:t>
      </w:r>
    </w:p>
    <w:p w14:paraId="39820A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w:t>
      </w:r>
    </w:p>
    <w:p w14:paraId="6CFF91B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rPr>
        <w:t>合同名称：</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 xml:space="preserve">                                                          </w:t>
      </w:r>
    </w:p>
    <w:p w14:paraId="386C0F5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u w:val="none"/>
          <w:lang w:val="en-US" w:eastAsia="zh-CN"/>
        </w:rPr>
        <w:t>合同编号：</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u w:val="none"/>
          <w:lang w:val="en-US" w:eastAsia="zh-CN"/>
        </w:rPr>
        <w:t xml:space="preserve"> </w:t>
      </w:r>
      <w:r>
        <w:rPr>
          <w:rFonts w:hint="eastAsia" w:ascii="宋体" w:hAnsi="宋体" w:eastAsia="宋体" w:cs="宋体"/>
          <w:b w:val="0"/>
          <w:bCs/>
          <w:color w:val="auto"/>
          <w:sz w:val="21"/>
          <w:szCs w:val="21"/>
          <w:highlight w:val="none"/>
          <w:lang w:val="en-US" w:eastAsia="zh-CN"/>
        </w:rPr>
        <w:t>采购申请编号：</w:t>
      </w:r>
      <w:r>
        <w:rPr>
          <w:rFonts w:hint="eastAsia" w:ascii="宋体" w:hAnsi="宋体" w:eastAsia="宋体" w:cs="宋体"/>
          <w:b w:val="0"/>
          <w:bCs/>
          <w:color w:val="auto"/>
          <w:sz w:val="21"/>
          <w:szCs w:val="21"/>
          <w:highlight w:val="none"/>
          <w:u w:val="single"/>
          <w:lang w:val="en-US" w:eastAsia="zh-CN"/>
        </w:rPr>
        <w:t xml:space="preserve">                        </w:t>
      </w:r>
    </w:p>
    <w:p w14:paraId="0C06534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甲方(采购方)：</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u w:val="single"/>
        </w:rPr>
        <w:t>广西医科大学</w:t>
      </w:r>
      <w:r>
        <w:rPr>
          <w:rFonts w:hint="eastAsia" w:ascii="宋体" w:hAnsi="宋体" w:eastAsia="宋体" w:cs="宋体"/>
          <w:b w:val="0"/>
          <w:bCs/>
          <w:color w:val="auto"/>
          <w:sz w:val="21"/>
          <w:szCs w:val="21"/>
          <w:highlight w:val="none"/>
          <w:u w:val="single"/>
          <w:lang w:val="en-US" w:eastAsia="zh-CN"/>
        </w:rPr>
        <w:t xml:space="preserve">第二附属医院   </w:t>
      </w:r>
      <w:r>
        <w:rPr>
          <w:rFonts w:hint="eastAsia" w:ascii="宋体" w:hAnsi="宋体" w:eastAsia="宋体" w:cs="宋体"/>
          <w:b w:val="0"/>
          <w:bCs/>
          <w:color w:val="auto"/>
          <w:sz w:val="21"/>
          <w:szCs w:val="21"/>
          <w:highlight w:val="none"/>
          <w:lang w:val="en-US" w:eastAsia="zh-CN"/>
        </w:rPr>
        <w:t xml:space="preserve"> </w:t>
      </w:r>
    </w:p>
    <w:p w14:paraId="4EAC65A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rPr>
        <w:t>乙方(供应方)：</w:t>
      </w:r>
      <w:r>
        <w:rPr>
          <w:rFonts w:hint="eastAsia" w:ascii="宋体" w:hAnsi="宋体" w:eastAsia="宋体" w:cs="宋体"/>
          <w:b w:val="0"/>
          <w:bCs/>
          <w:color w:val="auto"/>
          <w:sz w:val="21"/>
          <w:szCs w:val="21"/>
          <w:highlight w:val="none"/>
          <w:u w:val="single"/>
        </w:rPr>
        <w:t xml:space="preserve"> </w:t>
      </w:r>
      <w:r>
        <w:rPr>
          <w:rFonts w:hint="eastAsia" w:ascii="宋体" w:hAnsi="宋体" w:eastAsia="宋体" w:cs="宋体"/>
          <w:b w:val="0"/>
          <w:bCs/>
          <w:color w:val="auto"/>
          <w:sz w:val="21"/>
          <w:szCs w:val="21"/>
          <w:highlight w:val="none"/>
          <w:u w:val="single"/>
          <w:lang w:val="en-US" w:eastAsia="zh-CN"/>
        </w:rPr>
        <w:t xml:space="preserve">                             </w:t>
      </w:r>
    </w:p>
    <w:p w14:paraId="3F9BF3F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签订地点：</w:t>
      </w:r>
      <w:r>
        <w:rPr>
          <w:rFonts w:hint="eastAsia" w:ascii="宋体" w:hAnsi="宋体" w:eastAsia="宋体" w:cs="宋体"/>
          <w:b w:val="0"/>
          <w:bCs/>
          <w:color w:val="auto"/>
          <w:sz w:val="21"/>
          <w:szCs w:val="21"/>
          <w:highlight w:val="none"/>
          <w:u w:val="single"/>
          <w:lang w:val="en-US" w:eastAsia="zh-CN"/>
        </w:rPr>
        <w:t xml:space="preserve"> 广西医科大学第二附属医院</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签订时间：</w:t>
      </w:r>
      <w:r>
        <w:rPr>
          <w:rFonts w:hint="eastAsia" w:ascii="宋体" w:hAnsi="宋体" w:eastAsia="宋体" w:cs="宋体"/>
          <w:b w:val="0"/>
          <w:bCs/>
          <w:color w:val="auto"/>
          <w:sz w:val="21"/>
          <w:szCs w:val="21"/>
          <w:highlight w:val="none"/>
          <w:u w:val="single"/>
          <w:lang w:val="en-US" w:eastAsia="zh-CN"/>
        </w:rPr>
        <w:t xml:space="preserve">                         </w:t>
      </w:r>
    </w:p>
    <w:p w14:paraId="0C44FC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snapToGrid/>
          <w:color w:val="auto"/>
          <w:kern w:val="2"/>
          <w:sz w:val="21"/>
          <w:szCs w:val="21"/>
          <w:highlight w:val="none"/>
          <w:lang w:eastAsia="zh-CN"/>
        </w:rPr>
      </w:pPr>
    </w:p>
    <w:p w14:paraId="1064F64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w:t>
      </w:r>
      <w:r>
        <w:rPr>
          <w:rFonts w:hint="eastAsia" w:ascii="宋体" w:hAnsi="宋体" w:eastAsia="宋体" w:cs="宋体"/>
          <w:color w:val="auto"/>
          <w:sz w:val="21"/>
          <w:szCs w:val="21"/>
          <w:highlight w:val="none"/>
          <w:lang w:eastAsia="zh-CN"/>
        </w:rPr>
        <w:t>、《中华人民共和国政府采购法》、《中华人民共和国政府采购法实施条例》</w:t>
      </w:r>
      <w:r>
        <w:rPr>
          <w:rFonts w:hint="eastAsia" w:ascii="宋体" w:hAnsi="宋体" w:eastAsia="宋体" w:cs="宋体"/>
          <w:color w:val="auto"/>
          <w:sz w:val="21"/>
          <w:szCs w:val="21"/>
          <w:highlight w:val="none"/>
        </w:rPr>
        <w:t>等法律、法规规定，按照相关规定条款和</w:t>
      </w:r>
      <w:r>
        <w:rPr>
          <w:rFonts w:hint="eastAsia" w:ascii="宋体" w:hAnsi="宋体" w:eastAsia="宋体" w:cs="宋体"/>
          <w:color w:val="auto"/>
          <w:sz w:val="21"/>
          <w:szCs w:val="21"/>
          <w:highlight w:val="none"/>
          <w:lang w:val="en-US" w:eastAsia="zh-CN"/>
        </w:rPr>
        <w:t>双方</w:t>
      </w:r>
      <w:r>
        <w:rPr>
          <w:rFonts w:hint="eastAsia" w:ascii="宋体" w:hAnsi="宋体" w:eastAsia="宋体" w:cs="宋体"/>
          <w:color w:val="auto"/>
          <w:sz w:val="21"/>
          <w:szCs w:val="21"/>
          <w:highlight w:val="none"/>
        </w:rPr>
        <w:t>承诺，按照平等自愿原则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甲乙双方签订本合同。</w:t>
      </w:r>
    </w:p>
    <w:p w14:paraId="3A5CCB1F">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合同标的</w:t>
      </w:r>
    </w:p>
    <w:p w14:paraId="1E4CB97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1.服务一览表</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887"/>
        <w:gridCol w:w="642"/>
        <w:gridCol w:w="625"/>
        <w:gridCol w:w="1249"/>
        <w:gridCol w:w="1492"/>
        <w:gridCol w:w="1310"/>
      </w:tblGrid>
      <w:tr w14:paraId="15B8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328" w:type="pct"/>
            <w:noWrap w:val="0"/>
            <w:vAlign w:val="center"/>
          </w:tcPr>
          <w:p w14:paraId="4C8D6F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72" w:type="pct"/>
            <w:noWrap w:val="0"/>
            <w:vAlign w:val="center"/>
          </w:tcPr>
          <w:p w14:paraId="458CC7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标的名称</w:t>
            </w:r>
          </w:p>
        </w:tc>
        <w:tc>
          <w:tcPr>
            <w:tcW w:w="325" w:type="pct"/>
            <w:shd w:val="clear" w:color="auto" w:fill="auto"/>
            <w:noWrap w:val="0"/>
            <w:vAlign w:val="center"/>
          </w:tcPr>
          <w:p w14:paraId="59CA1A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数  量</w:t>
            </w:r>
          </w:p>
        </w:tc>
        <w:tc>
          <w:tcPr>
            <w:tcW w:w="317" w:type="pct"/>
            <w:shd w:val="clear" w:color="auto" w:fill="auto"/>
            <w:noWrap w:val="0"/>
            <w:vAlign w:val="center"/>
          </w:tcPr>
          <w:p w14:paraId="57A693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z w:val="21"/>
                <w:szCs w:val="21"/>
                <w:highlight w:val="none"/>
              </w:rPr>
              <w:t>单位</w:t>
            </w:r>
          </w:p>
        </w:tc>
        <w:tc>
          <w:tcPr>
            <w:tcW w:w="634" w:type="pct"/>
            <w:shd w:val="clear" w:color="auto" w:fill="auto"/>
            <w:noWrap w:val="0"/>
            <w:vAlign w:val="center"/>
          </w:tcPr>
          <w:p w14:paraId="4ACD75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  价</w:t>
            </w:r>
          </w:p>
          <w:p w14:paraId="6351C6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（元）</w:t>
            </w:r>
          </w:p>
        </w:tc>
        <w:tc>
          <w:tcPr>
            <w:tcW w:w="757" w:type="pct"/>
            <w:shd w:val="clear" w:color="auto" w:fill="auto"/>
            <w:noWrap w:val="0"/>
            <w:vAlign w:val="center"/>
          </w:tcPr>
          <w:p w14:paraId="017B93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  额</w:t>
            </w:r>
          </w:p>
          <w:p w14:paraId="708117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z w:val="21"/>
                <w:szCs w:val="21"/>
                <w:highlight w:val="none"/>
              </w:rPr>
              <w:t>（元）</w:t>
            </w:r>
          </w:p>
        </w:tc>
        <w:tc>
          <w:tcPr>
            <w:tcW w:w="664" w:type="pct"/>
            <w:noWrap w:val="0"/>
            <w:vAlign w:val="center"/>
          </w:tcPr>
          <w:p w14:paraId="7A04AD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755B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328" w:type="pct"/>
            <w:noWrap w:val="0"/>
            <w:vAlign w:val="center"/>
          </w:tcPr>
          <w:p w14:paraId="6045DF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72" w:type="pct"/>
            <w:noWrap w:val="0"/>
            <w:vAlign w:val="center"/>
          </w:tcPr>
          <w:p w14:paraId="5E370E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325" w:type="pct"/>
            <w:noWrap w:val="0"/>
            <w:vAlign w:val="center"/>
          </w:tcPr>
          <w:p w14:paraId="798448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317" w:type="pct"/>
            <w:noWrap w:val="0"/>
            <w:vAlign w:val="center"/>
          </w:tcPr>
          <w:p w14:paraId="54CFE1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34" w:type="pct"/>
            <w:noWrap w:val="0"/>
            <w:vAlign w:val="center"/>
          </w:tcPr>
          <w:p w14:paraId="4DE98A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757" w:type="pct"/>
            <w:noWrap w:val="0"/>
            <w:vAlign w:val="center"/>
          </w:tcPr>
          <w:p w14:paraId="0EDDC8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64" w:type="pct"/>
            <w:noWrap w:val="0"/>
            <w:vAlign w:val="center"/>
          </w:tcPr>
          <w:p w14:paraId="412B6E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r>
      <w:tr w14:paraId="7765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5000" w:type="pct"/>
            <w:gridSpan w:val="7"/>
            <w:noWrap w:val="0"/>
            <w:vAlign w:val="center"/>
          </w:tcPr>
          <w:p w14:paraId="457F8C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人民币合计金额：¥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tc>
      </w:tr>
    </w:tbl>
    <w:p w14:paraId="5663DC3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bidi="ar-SA"/>
        </w:rPr>
        <w:t>2.</w:t>
      </w:r>
      <w:r>
        <w:rPr>
          <w:rFonts w:hint="eastAsia" w:ascii="宋体" w:hAnsi="宋体" w:eastAsia="宋体" w:cs="宋体"/>
          <w:snapToGrid/>
          <w:color w:val="auto"/>
          <w:kern w:val="2"/>
          <w:sz w:val="21"/>
          <w:szCs w:val="21"/>
          <w:highlight w:val="none"/>
          <w:lang w:val="en-US" w:eastAsia="zh-CN"/>
        </w:rPr>
        <w:t>合同合计金额包括乙方为完成本服务项目需求所应提供的服务，以及伴随的货物等所需的一切税金和费用的总和，包括但不限于：材料、人工、保险、税金、培训等，乙方不得以任何理由要求增加服务费或要求甲方另行支付其他任何费用。</w:t>
      </w:r>
    </w:p>
    <w:p w14:paraId="517F0E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3.</w:t>
      </w:r>
      <w:r>
        <w:rPr>
          <w:rFonts w:hint="eastAsia" w:ascii="宋体" w:hAnsi="宋体" w:eastAsia="宋体" w:cs="宋体"/>
          <w:color w:val="auto"/>
          <w:sz w:val="21"/>
          <w:szCs w:val="21"/>
          <w:highlight w:val="none"/>
        </w:rPr>
        <w:t>合同价款的调整方式：因国家政策方向变化引起工作量或工作内容变化的，合同当事人双方可根据市场价格协商确定变更合同价款，但所有补充合同的采购金额不得超过原合同采购金额的百分之十。</w:t>
      </w:r>
    </w:p>
    <w:p w14:paraId="0366CCFF">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质量保证</w:t>
      </w:r>
    </w:p>
    <w:p w14:paraId="4347B392">
      <w:pPr>
        <w:pStyle w:val="23"/>
        <w:keepNext w:val="0"/>
        <w:keepLines w:val="0"/>
        <w:pageBreakBefore w:val="0"/>
        <w:widowControl w:val="0"/>
        <w:numPr>
          <w:ilvl w:val="0"/>
          <w:numId w:val="0"/>
        </w:numP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snapToGrid w:val="0"/>
          <w:color w:val="auto"/>
          <w:kern w:val="0"/>
          <w:sz w:val="21"/>
          <w:szCs w:val="21"/>
          <w:highlight w:val="none"/>
          <w:lang w:val="en-US" w:eastAsia="zh-CN" w:bidi="ar-SA"/>
        </w:rPr>
      </w:pPr>
      <w:r>
        <w:rPr>
          <w:rFonts w:hint="eastAsia" w:ascii="宋体" w:hAnsi="宋体" w:eastAsia="宋体" w:cs="宋体"/>
          <w:bCs/>
          <w:snapToGrid w:val="0"/>
          <w:color w:val="auto"/>
          <w:kern w:val="0"/>
          <w:sz w:val="21"/>
          <w:szCs w:val="21"/>
          <w:highlight w:val="none"/>
          <w:lang w:val="en-US" w:eastAsia="zh-CN" w:bidi="ar-SA"/>
        </w:rPr>
        <w:t>1.乙方所提供的服务质量标准按国家和地方政府的规定及</w:t>
      </w:r>
      <w:r>
        <w:rPr>
          <w:rFonts w:hint="eastAsia" w:ascii="宋体" w:hAnsi="宋体" w:eastAsia="宋体" w:cs="宋体"/>
          <w:bCs/>
          <w:snapToGrid w:val="0"/>
          <w:color w:val="auto"/>
          <w:kern w:val="0"/>
          <w:sz w:val="21"/>
          <w:szCs w:val="21"/>
          <w:highlight w:val="none"/>
          <w:u w:val="single"/>
          <w:lang w:val="en-US" w:eastAsia="zh-CN" w:bidi="ar-SA"/>
        </w:rPr>
        <w:t xml:space="preserve"> </w:t>
      </w:r>
      <w:r>
        <w:rPr>
          <w:rFonts w:hint="eastAsia" w:ascii="宋体" w:hAnsi="宋体" w:eastAsia="宋体" w:cs="宋体"/>
          <w:bCs/>
          <w:snapToGrid w:val="0"/>
          <w:color w:val="auto"/>
          <w:kern w:val="0"/>
          <w:sz w:val="21"/>
          <w:szCs w:val="21"/>
          <w:highlight w:val="none"/>
          <w:u w:val="single"/>
          <w:lang w:val="en-US" w:eastAsia="zh-CN" w:bidi="ar-SA"/>
        </w:rPr>
        <w:sym w:font="Wingdings" w:char="00FE"/>
      </w:r>
      <w:r>
        <w:rPr>
          <w:rFonts w:hint="eastAsia" w:ascii="宋体" w:hAnsi="宋体" w:eastAsia="宋体" w:cs="宋体"/>
          <w:bCs/>
          <w:snapToGrid w:val="0"/>
          <w:color w:val="auto"/>
          <w:kern w:val="0"/>
          <w:sz w:val="21"/>
          <w:szCs w:val="21"/>
          <w:highlight w:val="none"/>
          <w:u w:val="single"/>
          <w:lang w:val="en-US" w:eastAsia="zh-CN" w:bidi="ar-SA"/>
        </w:rPr>
        <w:t>1.采购文件；</w:t>
      </w:r>
      <w:r>
        <w:rPr>
          <w:rFonts w:hint="eastAsia" w:ascii="宋体" w:hAnsi="宋体" w:eastAsia="宋体" w:cs="宋体"/>
          <w:bCs/>
          <w:snapToGrid w:val="0"/>
          <w:color w:val="auto"/>
          <w:kern w:val="0"/>
          <w:sz w:val="21"/>
          <w:szCs w:val="21"/>
          <w:highlight w:val="none"/>
          <w:u w:val="single"/>
          <w:lang w:val="en-US" w:eastAsia="zh-CN" w:bidi="ar-SA"/>
        </w:rPr>
        <w:sym w:font="Wingdings" w:char="00FE"/>
      </w:r>
      <w:r>
        <w:rPr>
          <w:rFonts w:hint="eastAsia" w:ascii="宋体" w:hAnsi="宋体" w:eastAsia="宋体" w:cs="宋体"/>
          <w:bCs/>
          <w:snapToGrid w:val="0"/>
          <w:color w:val="auto"/>
          <w:kern w:val="0"/>
          <w:sz w:val="21"/>
          <w:szCs w:val="21"/>
          <w:highlight w:val="none"/>
          <w:u w:val="single"/>
          <w:lang w:val="en-US" w:eastAsia="zh-CN" w:bidi="ar-SA"/>
        </w:rPr>
        <w:t xml:space="preserve">2.乙方承诺（见合同附件） </w:t>
      </w:r>
      <w:r>
        <w:rPr>
          <w:rFonts w:hint="eastAsia" w:ascii="宋体" w:hAnsi="宋体" w:eastAsia="宋体" w:cs="宋体"/>
          <w:bCs/>
          <w:snapToGrid w:val="0"/>
          <w:color w:val="auto"/>
          <w:kern w:val="0"/>
          <w:sz w:val="21"/>
          <w:szCs w:val="21"/>
          <w:highlight w:val="none"/>
          <w:lang w:val="en-US" w:eastAsia="zh-CN" w:bidi="ar-SA"/>
        </w:rPr>
        <w:t>执行。</w:t>
      </w:r>
    </w:p>
    <w:p w14:paraId="26B0D6C9">
      <w:pPr>
        <w:pStyle w:val="23"/>
        <w:keepNext w:val="0"/>
        <w:keepLines w:val="0"/>
        <w:pageBreakBefore w:val="0"/>
        <w:widowControl w:val="0"/>
        <w:numPr>
          <w:ilvl w:val="0"/>
          <w:numId w:val="0"/>
        </w:numP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2.服务标准、期限、效率</w:t>
      </w:r>
    </w:p>
    <w:p w14:paraId="2B225EF3">
      <w:pPr>
        <w:pStyle w:val="23"/>
        <w:keepNext w:val="0"/>
        <w:keepLines w:val="0"/>
        <w:pageBreakBefore w:val="0"/>
        <w:widowControl w:val="0"/>
        <w:numPr>
          <w:ilvl w:val="0"/>
          <w:numId w:val="0"/>
        </w:numP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（1）维保期：维保服务期限：3年</w:t>
      </w:r>
    </w:p>
    <w:p w14:paraId="4D30BF39">
      <w:pPr>
        <w:pStyle w:val="23"/>
        <w:keepNext w:val="0"/>
        <w:keepLines w:val="0"/>
        <w:pageBreakBefore w:val="0"/>
        <w:widowControl w:val="0"/>
        <w:numPr>
          <w:ilvl w:val="0"/>
          <w:numId w:val="0"/>
        </w:numP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（2）维保服务内容（包括但不限于）：</w:t>
      </w:r>
    </w:p>
    <w:p w14:paraId="323126B9">
      <w:pPr>
        <w:pStyle w:val="23"/>
        <w:keepNext w:val="0"/>
        <w:keepLines w:val="0"/>
        <w:pageBreakBefore w:val="0"/>
        <w:widowControl w:val="0"/>
        <w:numPr>
          <w:ilvl w:val="0"/>
          <w:numId w:val="0"/>
        </w:numPr>
        <w:kinsoku/>
        <w:wordWrap/>
        <w:overflowPunct/>
        <w:topLinePunct w:val="0"/>
        <w:autoSpaceDE/>
        <w:autoSpaceDN/>
        <w:bidi w:val="0"/>
        <w:adjustRightInd/>
        <w:spacing w:line="400" w:lineRule="exact"/>
        <w:ind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1）对软件使用中发现的系统BUG修复更新；</w:t>
      </w:r>
    </w:p>
    <w:p w14:paraId="14DB14ED">
      <w:pPr>
        <w:pStyle w:val="23"/>
        <w:keepNext w:val="0"/>
        <w:keepLines w:val="0"/>
        <w:pageBreakBefore w:val="0"/>
        <w:widowControl w:val="0"/>
        <w:numPr>
          <w:ilvl w:val="0"/>
          <w:numId w:val="0"/>
        </w:numPr>
        <w:kinsoku/>
        <w:wordWrap/>
        <w:overflowPunct/>
        <w:topLinePunct w:val="0"/>
        <w:autoSpaceDE/>
        <w:autoSpaceDN/>
        <w:bidi w:val="0"/>
        <w:adjustRightInd/>
        <w:spacing w:line="400" w:lineRule="exact"/>
        <w:ind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2）对软件使用过程中，系统异常访问排查处理；</w:t>
      </w:r>
    </w:p>
    <w:p w14:paraId="0FA2AB1D">
      <w:pPr>
        <w:pStyle w:val="23"/>
        <w:keepNext w:val="0"/>
        <w:keepLines w:val="0"/>
        <w:pageBreakBefore w:val="0"/>
        <w:widowControl w:val="0"/>
        <w:numPr>
          <w:ilvl w:val="0"/>
          <w:numId w:val="0"/>
        </w:numPr>
        <w:kinsoku/>
        <w:wordWrap/>
        <w:overflowPunct/>
        <w:topLinePunct w:val="0"/>
        <w:autoSpaceDE/>
        <w:autoSpaceDN/>
        <w:bidi w:val="0"/>
        <w:adjustRightInd/>
        <w:spacing w:line="400" w:lineRule="exact"/>
        <w:ind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3）按采购人经营调整需求，提供系统配置调整；</w:t>
      </w:r>
    </w:p>
    <w:p w14:paraId="73CBC140">
      <w:pPr>
        <w:pStyle w:val="23"/>
        <w:keepNext w:val="0"/>
        <w:keepLines w:val="0"/>
        <w:pageBreakBefore w:val="0"/>
        <w:widowControl w:val="0"/>
        <w:numPr>
          <w:ilvl w:val="0"/>
          <w:numId w:val="0"/>
        </w:numPr>
        <w:kinsoku/>
        <w:wordWrap/>
        <w:overflowPunct/>
        <w:topLinePunct w:val="0"/>
        <w:autoSpaceDE/>
        <w:autoSpaceDN/>
        <w:bidi w:val="0"/>
        <w:adjustRightInd/>
        <w:spacing w:line="400" w:lineRule="exact"/>
        <w:ind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4）应急问题，第一时间提供应急方案，降低影响。</w:t>
      </w:r>
    </w:p>
    <w:p w14:paraId="76DDF0A2">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双方权利和义务</w:t>
      </w:r>
    </w:p>
    <w:p w14:paraId="29F6B3F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1.甲方的权利和义务：</w:t>
      </w:r>
    </w:p>
    <w:p w14:paraId="2BA268B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（1）在实施过程中甲方根据需要及时向乙方提供项目有关背景资料。</w:t>
      </w:r>
    </w:p>
    <w:p w14:paraId="319373C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（2）甲方应选派人员参加项目的全过程，配合乙方人员进行项目实施。</w:t>
      </w:r>
    </w:p>
    <w:p w14:paraId="7893677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（3）甲方指派的项目负责人，全权代表甲方进行项目实施协调工作，并对乙方提交的项目过程文档进行签字确认。</w:t>
      </w:r>
    </w:p>
    <w:p w14:paraId="4FC9A61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（4）按照合同约定向乙方支付合同款项。</w:t>
      </w:r>
    </w:p>
    <w:p w14:paraId="77632CE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（5）甲方负责组织项目验收。 </w:t>
      </w:r>
    </w:p>
    <w:p w14:paraId="18E453D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2.乙方的权利和义务：</w:t>
      </w:r>
    </w:p>
    <w:p w14:paraId="71BF5AA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乙方应保证所提供服务在使用时不会侵犯任何第三方的专利权、商标权、工业设计权或其他权利。</w:t>
      </w:r>
    </w:p>
    <w:p w14:paraId="467C84C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乙方应按</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规定的时间向甲方提供服务的有关技术资料。</w:t>
      </w:r>
    </w:p>
    <w:p w14:paraId="1823513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没有甲方事先书面同意，乙方不得将由甲方提供的有关合同或任何合同条文、资料提供给与履行本合同无关的任何其他人。即使向履行本合同有关的人员提供，也应注意保密并限于履行合同的必需范围。乙方因泄密造成甲方损失的，赔偿甲方损失的同时还应当支付合同</w:t>
      </w:r>
      <w:r>
        <w:rPr>
          <w:rFonts w:hint="eastAsia" w:ascii="宋体" w:hAnsi="宋体" w:eastAsia="宋体" w:cs="宋体"/>
          <w:color w:val="auto"/>
          <w:sz w:val="21"/>
          <w:szCs w:val="21"/>
          <w:highlight w:val="none"/>
          <w:lang w:val="en-US" w:eastAsia="zh-CN"/>
        </w:rPr>
        <w:t>总金额</w:t>
      </w:r>
      <w:r>
        <w:rPr>
          <w:rFonts w:hint="eastAsia" w:ascii="宋体" w:hAnsi="宋体" w:eastAsia="宋体" w:cs="宋体"/>
          <w:color w:val="auto"/>
          <w:sz w:val="21"/>
          <w:szCs w:val="21"/>
          <w:highlight w:val="none"/>
          <w:u w:val="single"/>
        </w:rPr>
        <w:t xml:space="preserve"> 20% </w:t>
      </w:r>
      <w:r>
        <w:rPr>
          <w:rFonts w:hint="eastAsia" w:ascii="宋体" w:hAnsi="宋体" w:eastAsia="宋体" w:cs="宋体"/>
          <w:color w:val="auto"/>
          <w:sz w:val="21"/>
          <w:szCs w:val="21"/>
          <w:highlight w:val="none"/>
        </w:rPr>
        <w:t>的违约金。</w:t>
      </w:r>
    </w:p>
    <w:p w14:paraId="17A0CE6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乙方保证所交付的服务</w:t>
      </w:r>
      <w:r>
        <w:rPr>
          <w:rFonts w:hint="eastAsia" w:ascii="宋体" w:hAnsi="宋体" w:eastAsia="宋体" w:cs="宋体"/>
          <w:color w:val="auto"/>
          <w:sz w:val="21"/>
          <w:szCs w:val="21"/>
          <w:highlight w:val="none"/>
          <w:lang w:val="en-US" w:eastAsia="zh-CN"/>
        </w:rPr>
        <w:t>及货物</w:t>
      </w:r>
      <w:r>
        <w:rPr>
          <w:rFonts w:hint="eastAsia" w:ascii="宋体" w:hAnsi="宋体" w:eastAsia="宋体" w:cs="宋体"/>
          <w:color w:val="auto"/>
          <w:sz w:val="21"/>
          <w:szCs w:val="21"/>
          <w:highlight w:val="none"/>
        </w:rPr>
        <w:t>的所有权完全属于乙方且无任何抵押、质押、查封等产权瑕疵。</w:t>
      </w:r>
    </w:p>
    <w:p w14:paraId="1C811AF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）后续维保费用限定：每年收取维保费用金额不超过本期系统</w:t>
      </w:r>
      <w:r>
        <w:rPr>
          <w:rFonts w:hint="eastAsia" w:ascii="宋体" w:hAnsi="宋体" w:eastAsia="宋体" w:cs="宋体"/>
          <w:color w:val="auto"/>
          <w:sz w:val="21"/>
          <w:szCs w:val="21"/>
          <w:highlight w:val="none"/>
          <w:lang w:val="en-US" w:eastAsia="zh-CN"/>
        </w:rPr>
        <w:t>合同金额</w:t>
      </w:r>
      <w:r>
        <w:rPr>
          <w:rFonts w:hint="eastAsia" w:ascii="宋体" w:hAnsi="宋体" w:eastAsia="宋体" w:cs="宋体"/>
          <w:color w:val="auto"/>
          <w:sz w:val="21"/>
          <w:szCs w:val="21"/>
          <w:highlight w:val="none"/>
          <w:lang w:eastAsia="zh-CN"/>
        </w:rPr>
        <w:t>的5%（后续有新增模块或服务要求的除外）</w:t>
      </w:r>
      <w:r>
        <w:rPr>
          <w:rFonts w:hint="eastAsia" w:ascii="宋体" w:hAnsi="宋体" w:eastAsia="宋体" w:cs="宋体"/>
          <w:color w:val="auto"/>
          <w:sz w:val="21"/>
          <w:szCs w:val="21"/>
          <w:highlight w:val="none"/>
          <w:u w:val="none"/>
          <w:lang w:eastAsia="zh-CN"/>
        </w:rPr>
        <w:t xml:space="preserve"> 。</w:t>
      </w:r>
    </w:p>
    <w:p w14:paraId="2463D959">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包装和运输</w:t>
      </w:r>
      <w:r>
        <w:rPr>
          <w:rFonts w:hint="eastAsia" w:ascii="宋体" w:hAnsi="宋体" w:eastAsia="宋体" w:cs="宋体"/>
          <w:b w:val="0"/>
          <w:bCs w:val="0"/>
          <w:color w:val="auto"/>
          <w:sz w:val="21"/>
          <w:szCs w:val="21"/>
          <w:highlight w:val="none"/>
          <w:lang w:val="en-US" w:eastAsia="zh-CN"/>
        </w:rPr>
        <w:t>（如合同内容涉及货物供应的，按以下要求执行）</w:t>
      </w:r>
    </w:p>
    <w:p w14:paraId="5780644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根据《财政部等三部门联合印发商品包装和快递包装政府采购需求标准（试行）》财办库【2020】123号文规定，若响应产品使用塑料、纸质、木质等包装材料时应满足《商品包装政府采购需求标准（试行）》要求，若响应产品需要快递包装，快递封装材料应满足《快递包装政府采购需求标准（试行）》要求。</w:t>
      </w:r>
    </w:p>
    <w:p w14:paraId="77E2443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货物的包装应符合国家或行业包装标准，如没有国家或行业包装标准，应当采取足以保护货物的包装方式。货物</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验收合格</w:t>
      </w:r>
      <w:r>
        <w:rPr>
          <w:rFonts w:hint="eastAsia" w:ascii="宋体" w:hAnsi="宋体" w:eastAsia="宋体" w:cs="宋体"/>
          <w:color w:val="auto"/>
          <w:sz w:val="21"/>
          <w:szCs w:val="21"/>
          <w:highlight w:val="none"/>
          <w:lang w:eastAsia="zh-CN"/>
        </w:rPr>
        <w:t>前发生的风险均由乙方负责。</w:t>
      </w:r>
    </w:p>
    <w:p w14:paraId="0B80554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3.货物的运输方式：</w:t>
      </w:r>
      <w:r>
        <w:rPr>
          <w:rFonts w:hint="eastAsia" w:ascii="宋体" w:hAnsi="宋体" w:eastAsia="宋体" w:cs="宋体"/>
          <w:snapToGrid w:val="0"/>
          <w:color w:val="auto"/>
          <w:kern w:val="0"/>
          <w:sz w:val="21"/>
          <w:szCs w:val="21"/>
          <w:highlight w:val="none"/>
          <w:u w:val="single"/>
          <w:lang w:val="en-US" w:eastAsia="zh-CN" w:bidi="ar-SA"/>
        </w:rPr>
        <w:t xml:space="preserve"> 乙方自定，采购文件或需求文件中另有规定的，从其规定</w:t>
      </w:r>
      <w:r>
        <w:rPr>
          <w:rFonts w:hint="eastAsia" w:ascii="宋体" w:hAnsi="宋体" w:eastAsia="宋体" w:cs="宋体"/>
          <w:snapToGrid w:val="0"/>
          <w:color w:val="auto"/>
          <w:kern w:val="0"/>
          <w:sz w:val="21"/>
          <w:szCs w:val="21"/>
          <w:highlight w:val="none"/>
          <w:lang w:val="en-US" w:eastAsia="zh-CN" w:bidi="ar-SA"/>
        </w:rPr>
        <w:t>。</w:t>
      </w:r>
    </w:p>
    <w:p w14:paraId="6D41432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4.货物需按甲方要求送至指定地点。</w:t>
      </w:r>
    </w:p>
    <w:p w14:paraId="674E687E">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服务期和验收</w:t>
      </w:r>
    </w:p>
    <w:p w14:paraId="3504B84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napToGrid w:val="0"/>
          <w:color w:val="auto"/>
          <w:kern w:val="0"/>
          <w:sz w:val="21"/>
          <w:szCs w:val="21"/>
          <w:highlight w:val="none"/>
          <w:lang w:val="en-US" w:eastAsia="zh-CN" w:bidi="ar-SA"/>
        </w:rPr>
        <w:t>1.</w:t>
      </w:r>
      <w:r>
        <w:rPr>
          <w:rFonts w:hint="eastAsia" w:ascii="宋体" w:hAnsi="宋体" w:eastAsia="宋体" w:cs="宋体"/>
          <w:b w:val="0"/>
          <w:bCs w:val="0"/>
          <w:color w:val="auto"/>
          <w:sz w:val="21"/>
          <w:szCs w:val="21"/>
          <w:highlight w:val="none"/>
          <w:lang w:val="en-US" w:eastAsia="zh-CN"/>
        </w:rPr>
        <w:t>服务期：合同签订后，按采购人要求</w:t>
      </w:r>
      <w:r>
        <w:rPr>
          <w:rFonts w:hint="eastAsia" w:ascii="宋体" w:hAnsi="宋体" w:eastAsia="宋体" w:cs="宋体"/>
          <w:b w:val="0"/>
          <w:bCs w:val="0"/>
          <w:color w:val="auto"/>
          <w:sz w:val="21"/>
          <w:szCs w:val="21"/>
          <w:highlight w:val="none"/>
          <w:u w:val="single"/>
          <w:lang w:val="en-US" w:eastAsia="zh-CN"/>
        </w:rPr>
        <w:t xml:space="preserve">  90  </w:t>
      </w:r>
      <w:r>
        <w:rPr>
          <w:rFonts w:hint="eastAsia" w:ascii="宋体" w:hAnsi="宋体" w:eastAsia="宋体" w:cs="宋体"/>
          <w:b w:val="0"/>
          <w:bCs w:val="0"/>
          <w:color w:val="auto"/>
          <w:sz w:val="21"/>
          <w:szCs w:val="21"/>
          <w:highlight w:val="none"/>
          <w:lang w:val="en-US" w:eastAsia="zh-CN"/>
        </w:rPr>
        <w:t>个工作日内交货并完成安装调试。</w:t>
      </w:r>
    </w:p>
    <w:p w14:paraId="7592DA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lang w:val="en-US" w:eastAsia="zh-CN"/>
        </w:rPr>
        <w:t>2.服务地点：</w:t>
      </w:r>
      <w:r>
        <w:rPr>
          <w:rFonts w:hint="eastAsia" w:ascii="宋体" w:hAnsi="宋体" w:eastAsia="宋体" w:cs="宋体"/>
          <w:b w:val="0"/>
          <w:bCs w:val="0"/>
          <w:color w:val="auto"/>
          <w:sz w:val="21"/>
          <w:szCs w:val="21"/>
          <w:highlight w:val="none"/>
          <w:u w:val="single"/>
          <w:lang w:val="en-US" w:eastAsia="zh-CN"/>
        </w:rPr>
        <w:t xml:space="preserve"> 甲方指定地点 </w:t>
      </w:r>
      <w:r>
        <w:rPr>
          <w:rFonts w:hint="eastAsia" w:ascii="宋体" w:hAnsi="宋体" w:eastAsia="宋体" w:cs="宋体"/>
          <w:b w:val="0"/>
          <w:bCs w:val="0"/>
          <w:color w:val="auto"/>
          <w:sz w:val="21"/>
          <w:szCs w:val="21"/>
          <w:highlight w:val="none"/>
          <w:u w:val="none"/>
          <w:lang w:val="en-US" w:eastAsia="zh-CN"/>
        </w:rPr>
        <w:t>。</w:t>
      </w:r>
    </w:p>
    <w:p w14:paraId="6FA649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3.乙方应按本合同约定的要求向甲方提供相应的服务，并提供所服务内容的相关技术资料。乙方提供不符合本合同约定的服务，甲方有权拒绝接受。</w:t>
      </w:r>
    </w:p>
    <w:p w14:paraId="440A92B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4.甲乙双方应按照本合同约定内容进行验收。</w:t>
      </w:r>
    </w:p>
    <w:p w14:paraId="6D3234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5.验收标准</w:t>
      </w:r>
    </w:p>
    <w:p w14:paraId="7C9CAD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（1）乙方需承担供货时产品质量抽样检测的相关费用以及项目验收时发生的一切费用。</w:t>
      </w:r>
    </w:p>
    <w:p w14:paraId="11CE74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甲方将依据采购文件上的技术要求和国家有关质量标准对乙方提交的标的内容进行初步验收，初步验收不合格的，甲方有权不予签收；在本项目验收时，乙方如提供不符合采购文件、响应文件和采购合同规定的服务，甲方有权拒绝接受，由此产生的一切损失均由乙方自行承担。</w:t>
      </w:r>
    </w:p>
    <w:p w14:paraId="6DFBC5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3）当项目完成后，由乙方向甲方提出项目竣工测试申请，并于验收前向甲方提供一切有关技术文件、资料、图纸和相关记录等竣工材料，并在竣工前3个工作日通知甲方及有关部门准备验收。拟竣工项目的实施总体功能、性能符合甲方认可的技术设计方案及合同规定的，予以验收，并作出验收结果报告。甲乙双方签署项目终验验收证书，并自正式交付使用之日起，整体项目才视为接受，并开始计算维保期。</w:t>
      </w:r>
    </w:p>
    <w:p w14:paraId="3FB7D3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（4）验收标准</w:t>
      </w:r>
    </w:p>
    <w:p w14:paraId="04684E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1）项目采购文件及乙方响应文件中的“</w:t>
      </w:r>
      <w:r>
        <w:rPr>
          <w:rFonts w:hint="eastAsia" w:ascii="宋体" w:hAnsi="宋体" w:cs="宋体"/>
          <w:b w:val="0"/>
          <w:bCs w:val="0"/>
          <w:color w:val="auto"/>
          <w:sz w:val="21"/>
          <w:szCs w:val="21"/>
          <w:highlight w:val="none"/>
          <w:u w:val="none"/>
          <w:lang w:val="en-US" w:eastAsia="zh-CN"/>
        </w:rPr>
        <w:t>服务需求偏离表</w:t>
      </w:r>
      <w:r>
        <w:rPr>
          <w:rFonts w:hint="eastAsia" w:ascii="宋体" w:hAnsi="宋体" w:eastAsia="宋体" w:cs="宋体"/>
          <w:b w:val="0"/>
          <w:bCs w:val="0"/>
          <w:color w:val="auto"/>
          <w:sz w:val="21"/>
          <w:szCs w:val="21"/>
          <w:highlight w:val="none"/>
          <w:u w:val="none"/>
          <w:lang w:val="en-US" w:eastAsia="zh-CN"/>
        </w:rPr>
        <w:t>”，逐条验收；</w:t>
      </w:r>
    </w:p>
    <w:p w14:paraId="4D22C28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2）项目采购文件及乙方响应文件中的“</w:t>
      </w:r>
      <w:r>
        <w:rPr>
          <w:rFonts w:hint="eastAsia" w:ascii="宋体" w:hAnsi="宋体" w:cs="宋体"/>
          <w:b w:val="0"/>
          <w:bCs w:val="0"/>
          <w:color w:val="auto"/>
          <w:sz w:val="21"/>
          <w:szCs w:val="21"/>
          <w:highlight w:val="none"/>
          <w:u w:val="none"/>
          <w:lang w:val="en-US" w:eastAsia="zh-CN"/>
        </w:rPr>
        <w:t>商务条款偏离表</w:t>
      </w:r>
      <w:r>
        <w:rPr>
          <w:rFonts w:hint="eastAsia" w:ascii="宋体" w:hAnsi="宋体" w:eastAsia="宋体" w:cs="宋体"/>
          <w:b w:val="0"/>
          <w:bCs w:val="0"/>
          <w:color w:val="auto"/>
          <w:sz w:val="21"/>
          <w:szCs w:val="21"/>
          <w:highlight w:val="none"/>
          <w:u w:val="none"/>
          <w:lang w:val="en-US" w:eastAsia="zh-CN"/>
        </w:rPr>
        <w:t>”，逐条验收；</w:t>
      </w:r>
    </w:p>
    <w:p w14:paraId="391499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3）乙方响应文件中其他技术、服务、商务性的说明、承诺事项，逐条验收；</w:t>
      </w:r>
    </w:p>
    <w:p w14:paraId="0629CF9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4）国家相关法律、法规、标准和规范等。</w:t>
      </w:r>
    </w:p>
    <w:p w14:paraId="10F9F1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strike/>
          <w:color w:val="auto"/>
          <w:sz w:val="21"/>
          <w:szCs w:val="21"/>
          <w:highlight w:val="none"/>
          <w:u w:val="single"/>
          <w:lang w:val="en-US" w:eastAsia="zh-CN"/>
        </w:rPr>
      </w:pPr>
      <w:r>
        <w:rPr>
          <w:rFonts w:hint="eastAsia" w:ascii="宋体" w:hAnsi="宋体" w:eastAsia="宋体" w:cs="宋体"/>
          <w:b w:val="0"/>
          <w:bCs w:val="0"/>
          <w:color w:val="auto"/>
          <w:sz w:val="21"/>
          <w:szCs w:val="21"/>
          <w:highlight w:val="none"/>
          <w:u w:val="none"/>
          <w:lang w:val="en-US" w:eastAsia="zh-CN"/>
        </w:rPr>
        <w:t>6.验收时间以该项目验收方案确定的验收时间为准，验收结果以该项目验收报告结论为准。在验收过程中发现乙方有违约问题，可暂缓验收，违约问题须在10个工作日内解决，待违约问题解决后方可重新开展验收事宜，期限内未解决的按逾期处理。</w:t>
      </w:r>
    </w:p>
    <w:p w14:paraId="5DF8F16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7.甲方对验收有异议的，在验收后</w:t>
      </w:r>
      <w:r>
        <w:rPr>
          <w:rFonts w:hint="eastAsia" w:ascii="宋体" w:hAnsi="宋体" w:eastAsia="宋体" w:cs="宋体"/>
          <w:b w:val="0"/>
          <w:bCs w:val="0"/>
          <w:color w:val="auto"/>
          <w:sz w:val="21"/>
          <w:szCs w:val="21"/>
          <w:highlight w:val="none"/>
          <w:u w:val="single"/>
          <w:lang w:val="en-US" w:eastAsia="zh-CN"/>
        </w:rPr>
        <w:t xml:space="preserve"> 10个工作 </w:t>
      </w:r>
      <w:r>
        <w:rPr>
          <w:rFonts w:hint="eastAsia" w:ascii="宋体" w:hAnsi="宋体" w:eastAsia="宋体" w:cs="宋体"/>
          <w:b w:val="0"/>
          <w:bCs w:val="0"/>
          <w:color w:val="auto"/>
          <w:sz w:val="21"/>
          <w:szCs w:val="21"/>
          <w:highlight w:val="none"/>
          <w:u w:val="none"/>
          <w:lang w:val="en-US" w:eastAsia="zh-CN"/>
        </w:rPr>
        <w:t>日内以书面形式向乙方提出，乙方应自收到甲方书面异议后</w:t>
      </w:r>
      <w:r>
        <w:rPr>
          <w:rFonts w:hint="eastAsia" w:ascii="宋体" w:hAnsi="宋体" w:eastAsia="宋体" w:cs="宋体"/>
          <w:b w:val="0"/>
          <w:bCs w:val="0"/>
          <w:color w:val="auto"/>
          <w:sz w:val="21"/>
          <w:szCs w:val="21"/>
          <w:highlight w:val="none"/>
          <w:u w:val="single"/>
          <w:lang w:val="en-US" w:eastAsia="zh-CN"/>
        </w:rPr>
        <w:t xml:space="preserve"> 10个工作 </w:t>
      </w:r>
      <w:r>
        <w:rPr>
          <w:rFonts w:hint="eastAsia" w:ascii="宋体" w:hAnsi="宋体" w:eastAsia="宋体" w:cs="宋体"/>
          <w:b w:val="0"/>
          <w:bCs w:val="0"/>
          <w:color w:val="auto"/>
          <w:sz w:val="21"/>
          <w:szCs w:val="21"/>
          <w:highlight w:val="none"/>
          <w:u w:val="none"/>
          <w:lang w:val="en-US" w:eastAsia="zh-CN"/>
        </w:rPr>
        <w:t>日内及时予以答复。</w:t>
      </w:r>
    </w:p>
    <w:p w14:paraId="3A3513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8.验收时乙方必须在现场，验收完毕后作出验收结果报告（验收书）。</w:t>
      </w:r>
    </w:p>
    <w:p w14:paraId="074EB2D3">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实施和培训</w:t>
      </w:r>
    </w:p>
    <w:p w14:paraId="50632B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1.乙方对其提供产品或服务的使用和操作应尽培训义务。乙方应提供对甲方的基本培训，使甲方使用人员熟练掌握所培训内容，熟练掌握全部功能，培训的相关费用包括在响应报价中，甲方不再另行支付。</w:t>
      </w:r>
    </w:p>
    <w:p w14:paraId="2698303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2.甲方应提供必要实施条件（如场地、电源、水源等）。</w:t>
      </w:r>
    </w:p>
    <w:p w14:paraId="591435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default"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3.乙方负责甲方有关人员的培训</w:t>
      </w:r>
      <w:r>
        <w:rPr>
          <w:rFonts w:hint="eastAsia" w:ascii="宋体" w:hAnsi="宋体" w:cs="宋体"/>
          <w:b w:val="0"/>
          <w:bCs w:val="0"/>
          <w:color w:val="auto"/>
          <w:sz w:val="21"/>
          <w:szCs w:val="21"/>
          <w:highlight w:val="none"/>
          <w:u w:val="none"/>
          <w:lang w:val="en-US" w:eastAsia="zh-CN"/>
        </w:rPr>
        <w:t>，相关费用已包含于合同报价内，乙方不得另行收取费用</w:t>
      </w:r>
      <w:r>
        <w:rPr>
          <w:rFonts w:hint="eastAsia" w:ascii="宋体" w:hAnsi="宋体" w:eastAsia="宋体" w:cs="宋体"/>
          <w:b w:val="0"/>
          <w:bCs w:val="0"/>
          <w:color w:val="auto"/>
          <w:sz w:val="21"/>
          <w:szCs w:val="21"/>
          <w:highlight w:val="none"/>
          <w:u w:val="none"/>
          <w:lang w:val="en-US" w:eastAsia="zh-CN"/>
        </w:rPr>
        <w:t>。培训时间、</w:t>
      </w:r>
      <w:r>
        <w:rPr>
          <w:rFonts w:hint="eastAsia" w:ascii="宋体" w:hAnsi="宋体" w:cs="宋体"/>
          <w:b w:val="0"/>
          <w:bCs w:val="0"/>
          <w:color w:val="auto"/>
          <w:sz w:val="21"/>
          <w:szCs w:val="21"/>
          <w:highlight w:val="none"/>
          <w:u w:val="none"/>
          <w:lang w:val="en-US" w:eastAsia="zh-CN"/>
        </w:rPr>
        <w:t>培训次数、培训</w:t>
      </w:r>
      <w:r>
        <w:rPr>
          <w:rFonts w:hint="eastAsia" w:ascii="宋体" w:hAnsi="宋体" w:eastAsia="宋体" w:cs="宋体"/>
          <w:b w:val="0"/>
          <w:bCs w:val="0"/>
          <w:color w:val="auto"/>
          <w:sz w:val="21"/>
          <w:szCs w:val="21"/>
          <w:highlight w:val="none"/>
          <w:u w:val="none"/>
          <w:lang w:val="en-US" w:eastAsia="zh-CN"/>
        </w:rPr>
        <w:t>地点：</w:t>
      </w:r>
      <w:r>
        <w:rPr>
          <w:rFonts w:hint="eastAsia" w:ascii="宋体" w:hAnsi="宋体" w:eastAsia="宋体" w:cs="宋体"/>
          <w:b w:val="0"/>
          <w:bCs w:val="0"/>
          <w:color w:val="auto"/>
          <w:sz w:val="21"/>
          <w:szCs w:val="21"/>
          <w:highlight w:val="none"/>
          <w:u w:val="single"/>
          <w:lang w:val="en-US" w:eastAsia="zh-CN"/>
        </w:rPr>
        <w:t xml:space="preserve"> 由甲方指定。</w:t>
      </w:r>
    </w:p>
    <w:p w14:paraId="31B7B8BB">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售后服务</w:t>
      </w:r>
    </w:p>
    <w:p w14:paraId="37DCC7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乙方应按照国家有关法律法规和“三包”规定以及</w:t>
      </w:r>
      <w:r>
        <w:rPr>
          <w:rFonts w:hint="eastAsia" w:ascii="宋体" w:hAnsi="宋体" w:eastAsia="宋体" w:cs="宋体"/>
          <w:b w:val="0"/>
          <w:bCs w:val="0"/>
          <w:strike w:val="0"/>
          <w:color w:val="auto"/>
          <w:sz w:val="21"/>
          <w:szCs w:val="21"/>
          <w:highlight w:val="none"/>
          <w:u w:val="none"/>
          <w:lang w:val="en-US" w:eastAsia="zh-CN"/>
        </w:rPr>
        <w:t>本合同约定</w:t>
      </w:r>
      <w:r>
        <w:rPr>
          <w:rFonts w:hint="eastAsia" w:ascii="宋体" w:hAnsi="宋体" w:eastAsia="宋体" w:cs="宋体"/>
          <w:b w:val="0"/>
          <w:bCs w:val="0"/>
          <w:color w:val="auto"/>
          <w:sz w:val="21"/>
          <w:szCs w:val="21"/>
          <w:highlight w:val="none"/>
          <w:lang w:val="en-US" w:eastAsia="zh-CN"/>
        </w:rPr>
        <w:t>，为甲方提供售后服务。</w:t>
      </w:r>
    </w:p>
    <w:p w14:paraId="767B600F">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付款方式          </w:t>
      </w:r>
    </w:p>
    <w:p w14:paraId="3BE440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合同签订后，采购人对付款材料审核无误后向成交人支付合同金额的 20% 作为预付款；成交人的服务成果经验收合格后，成交人向采购人提交付款所需的所有材料，采购人对付款材料审核无误后的 10 个工作日内支付全部剩余合同货款。付款前乙方需提供全额发票，如乙方未按照要求提供发票，甲方有权暂不予支付货款</w:t>
      </w:r>
    </w:p>
    <w:p w14:paraId="4CBF402E">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履约保证金</w:t>
      </w:r>
    </w:p>
    <w:p w14:paraId="73ED3A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snapToGrid/>
          <w:color w:val="auto"/>
          <w:kern w:val="2"/>
          <w:sz w:val="21"/>
          <w:szCs w:val="21"/>
          <w:highlight w:val="none"/>
          <w:u w:val="none"/>
          <w:lang w:val="en-US" w:eastAsia="zh-CN"/>
        </w:rPr>
      </w:pPr>
      <w:r>
        <w:rPr>
          <w:rFonts w:hint="eastAsia" w:ascii="宋体" w:hAnsi="宋体" w:eastAsia="宋体" w:cs="宋体"/>
          <w:b w:val="0"/>
          <w:bCs/>
          <w:snapToGrid/>
          <w:color w:val="auto"/>
          <w:kern w:val="2"/>
          <w:sz w:val="21"/>
          <w:szCs w:val="21"/>
          <w:highlight w:val="none"/>
          <w:u w:val="none"/>
          <w:lang w:val="en-US" w:eastAsia="zh-CN"/>
        </w:rPr>
        <w:t>1.履约保证金金额：成交金额的</w:t>
      </w:r>
      <w:r>
        <w:rPr>
          <w:rFonts w:hint="eastAsia" w:ascii="宋体" w:hAnsi="宋体" w:cs="宋体"/>
          <w:b w:val="0"/>
          <w:bCs/>
          <w:snapToGrid/>
          <w:color w:val="auto"/>
          <w:kern w:val="2"/>
          <w:sz w:val="21"/>
          <w:szCs w:val="21"/>
          <w:highlight w:val="none"/>
          <w:u w:val="none"/>
          <w:lang w:val="en-US" w:eastAsia="zh-CN"/>
        </w:rPr>
        <w:t>2</w:t>
      </w:r>
      <w:r>
        <w:rPr>
          <w:rFonts w:hint="eastAsia" w:ascii="宋体" w:hAnsi="宋体" w:eastAsia="宋体" w:cs="宋体"/>
          <w:b w:val="0"/>
          <w:bCs/>
          <w:snapToGrid/>
          <w:color w:val="auto"/>
          <w:kern w:val="2"/>
          <w:sz w:val="21"/>
          <w:szCs w:val="21"/>
          <w:highlight w:val="none"/>
          <w:u w:val="none"/>
          <w:lang w:val="en-US" w:eastAsia="zh-CN"/>
        </w:rPr>
        <w:t>%，即人民币            元（</w:t>
      </w:r>
      <w:r>
        <w:rPr>
          <w:rFonts w:hint="eastAsia" w:ascii="宋体" w:hAnsi="宋体" w:eastAsia="宋体" w:cs="宋体"/>
          <w:color w:val="auto"/>
          <w:sz w:val="21"/>
          <w:szCs w:val="21"/>
          <w:highlight w:val="none"/>
          <w:u w:val="none"/>
          <w:lang w:val="en-US" w:eastAsia="zh-CN"/>
        </w:rPr>
        <w:t>¥        .00</w:t>
      </w:r>
      <w:r>
        <w:rPr>
          <w:rFonts w:hint="eastAsia" w:ascii="宋体" w:hAnsi="宋体" w:eastAsia="宋体" w:cs="宋体"/>
          <w:b w:val="0"/>
          <w:bCs/>
          <w:snapToGrid/>
          <w:color w:val="auto"/>
          <w:kern w:val="2"/>
          <w:sz w:val="21"/>
          <w:szCs w:val="21"/>
          <w:highlight w:val="none"/>
          <w:u w:val="none"/>
          <w:lang w:val="en-US" w:eastAsia="zh-CN"/>
        </w:rPr>
        <w:t>）。</w:t>
      </w:r>
    </w:p>
    <w:p w14:paraId="781109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snapToGrid/>
          <w:color w:val="auto"/>
          <w:kern w:val="2"/>
          <w:sz w:val="21"/>
          <w:szCs w:val="21"/>
          <w:highlight w:val="none"/>
          <w:u w:val="none"/>
          <w:lang w:val="en-US" w:eastAsia="zh-CN"/>
        </w:rPr>
      </w:pPr>
      <w:r>
        <w:rPr>
          <w:rFonts w:hint="eastAsia" w:ascii="宋体" w:hAnsi="宋体" w:eastAsia="宋体" w:cs="宋体"/>
          <w:b w:val="0"/>
          <w:bCs/>
          <w:snapToGrid/>
          <w:color w:val="auto"/>
          <w:kern w:val="2"/>
          <w:sz w:val="21"/>
          <w:szCs w:val="21"/>
          <w:highlight w:val="none"/>
          <w:u w:val="none"/>
          <w:lang w:val="en-US" w:eastAsia="zh-CN"/>
        </w:rPr>
        <w:t>2.履约保证金递交方式：转账或电汇形式</w:t>
      </w:r>
    </w:p>
    <w:p w14:paraId="73C01CAD">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outlineLvl w:val="0"/>
        <w:rPr>
          <w:rFonts w:hint="eastAsia" w:ascii="宋体" w:hAnsi="宋体" w:eastAsia="宋体" w:cs="宋体"/>
          <w:b w:val="0"/>
          <w:bCs/>
          <w:snapToGrid/>
          <w:color w:val="auto"/>
          <w:kern w:val="2"/>
          <w:sz w:val="21"/>
          <w:szCs w:val="21"/>
          <w:highlight w:val="none"/>
          <w:u w:val="none"/>
          <w:lang w:val="en-US" w:eastAsia="zh-CN"/>
        </w:rPr>
      </w:pPr>
      <w:r>
        <w:rPr>
          <w:rFonts w:hint="eastAsia" w:ascii="宋体" w:hAnsi="宋体" w:eastAsia="宋体" w:cs="宋体"/>
          <w:b w:val="0"/>
          <w:bCs/>
          <w:snapToGrid/>
          <w:color w:val="auto"/>
          <w:kern w:val="2"/>
          <w:sz w:val="21"/>
          <w:szCs w:val="21"/>
          <w:highlight w:val="none"/>
          <w:u w:val="none"/>
          <w:lang w:val="en-US" w:eastAsia="zh-CN"/>
        </w:rPr>
        <w:t>保证金缴纳的账号信息：</w:t>
      </w:r>
    </w:p>
    <w:p w14:paraId="46669F8B">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outlineLvl w:val="0"/>
        <w:rPr>
          <w:rFonts w:hint="eastAsia" w:ascii="宋体" w:hAnsi="宋体" w:eastAsia="宋体" w:cs="宋体"/>
          <w:b w:val="0"/>
          <w:bCs/>
          <w:snapToGrid/>
          <w:color w:val="auto"/>
          <w:kern w:val="2"/>
          <w:sz w:val="21"/>
          <w:szCs w:val="21"/>
          <w:highlight w:val="none"/>
          <w:u w:val="none"/>
          <w:lang w:val="en-US" w:eastAsia="zh-CN"/>
        </w:rPr>
      </w:pPr>
      <w:r>
        <w:rPr>
          <w:rFonts w:hint="eastAsia" w:ascii="宋体" w:hAnsi="宋体" w:eastAsia="宋体" w:cs="宋体"/>
          <w:b w:val="0"/>
          <w:bCs/>
          <w:snapToGrid/>
          <w:color w:val="auto"/>
          <w:kern w:val="2"/>
          <w:sz w:val="21"/>
          <w:szCs w:val="21"/>
          <w:highlight w:val="none"/>
          <w:u w:val="none"/>
          <w:lang w:val="en-US" w:eastAsia="zh-CN"/>
        </w:rPr>
        <w:t>开户名称： 广西医科大学第二附属医院</w:t>
      </w:r>
    </w:p>
    <w:p w14:paraId="56B5068A">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outlineLvl w:val="0"/>
        <w:rPr>
          <w:rFonts w:hint="eastAsia" w:ascii="宋体" w:hAnsi="宋体" w:eastAsia="宋体" w:cs="宋体"/>
          <w:b w:val="0"/>
          <w:bCs/>
          <w:snapToGrid/>
          <w:color w:val="auto"/>
          <w:kern w:val="2"/>
          <w:sz w:val="21"/>
          <w:szCs w:val="21"/>
          <w:highlight w:val="none"/>
          <w:u w:val="none"/>
          <w:lang w:val="en-US" w:eastAsia="zh-CN"/>
        </w:rPr>
      </w:pPr>
      <w:r>
        <w:rPr>
          <w:rFonts w:hint="eastAsia" w:ascii="宋体" w:hAnsi="宋体" w:eastAsia="宋体" w:cs="宋体"/>
          <w:b w:val="0"/>
          <w:bCs/>
          <w:snapToGrid/>
          <w:color w:val="auto"/>
          <w:kern w:val="2"/>
          <w:sz w:val="21"/>
          <w:szCs w:val="21"/>
          <w:highlight w:val="none"/>
          <w:u w:val="none"/>
          <w:lang w:val="en-US" w:eastAsia="zh-CN"/>
        </w:rPr>
        <w:t>开户银行： 中国建设银行南宁医科大支行</w:t>
      </w:r>
    </w:p>
    <w:p w14:paraId="71E89FAB">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outlineLvl w:val="0"/>
        <w:rPr>
          <w:rFonts w:hint="eastAsia" w:ascii="宋体" w:hAnsi="宋体" w:eastAsia="宋体" w:cs="宋体"/>
          <w:b w:val="0"/>
          <w:bCs/>
          <w:snapToGrid/>
          <w:color w:val="auto"/>
          <w:kern w:val="2"/>
          <w:sz w:val="21"/>
          <w:szCs w:val="21"/>
          <w:highlight w:val="none"/>
          <w:u w:val="none"/>
          <w:lang w:val="en-US" w:eastAsia="zh-CN"/>
        </w:rPr>
      </w:pPr>
      <w:r>
        <w:rPr>
          <w:rFonts w:hint="eastAsia" w:ascii="宋体" w:hAnsi="宋体" w:eastAsia="宋体" w:cs="宋体"/>
          <w:b w:val="0"/>
          <w:bCs/>
          <w:snapToGrid/>
          <w:color w:val="auto"/>
          <w:kern w:val="2"/>
          <w:sz w:val="21"/>
          <w:szCs w:val="21"/>
          <w:highlight w:val="none"/>
          <w:u w:val="none"/>
          <w:lang w:val="en-US" w:eastAsia="zh-CN"/>
        </w:rPr>
        <w:t>银行账号： 45050 1604 5600 9666 888</w:t>
      </w:r>
    </w:p>
    <w:p w14:paraId="10CD82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snapToGrid/>
          <w:color w:val="auto"/>
          <w:kern w:val="2"/>
          <w:sz w:val="21"/>
          <w:szCs w:val="21"/>
          <w:highlight w:val="none"/>
          <w:u w:val="none"/>
          <w:lang w:val="en-US" w:eastAsia="zh-CN"/>
        </w:rPr>
      </w:pPr>
      <w:r>
        <w:rPr>
          <w:rFonts w:hint="eastAsia" w:ascii="宋体" w:hAnsi="宋体" w:eastAsia="宋体" w:cs="宋体"/>
          <w:b w:val="0"/>
          <w:bCs/>
          <w:snapToGrid/>
          <w:color w:val="auto"/>
          <w:kern w:val="2"/>
          <w:sz w:val="21"/>
          <w:szCs w:val="21"/>
          <w:highlight w:val="none"/>
          <w:u w:val="none"/>
          <w:lang w:val="en-US" w:eastAsia="zh-CN"/>
        </w:rPr>
        <w:t>3.履约保证金退付方式、时间及条件：待维保服务期限届满及无违约问题，由成交人向采购人提供项目履约保证金退付申请，采购人在收到合格材料后进行核对，如有违约或赔偿的，涉及违约的违约金和损失赔偿从履约保证金中扣减后，采购人审核后转账退还（无息）。</w:t>
      </w:r>
    </w:p>
    <w:p w14:paraId="6A756E2B">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税费</w:t>
      </w:r>
    </w:p>
    <w:p w14:paraId="7E9ADF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本合同执行中相关的一切税费均由乙方负担。</w:t>
      </w:r>
    </w:p>
    <w:p w14:paraId="077CBCD0">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违约责任</w:t>
      </w:r>
    </w:p>
    <w:p w14:paraId="7D8DC3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u w:val="none"/>
          <w:lang w:val="en-US" w:eastAsia="zh-CN"/>
        </w:rPr>
        <w:t>乙方未能按本合同约定的要求向甲方提供相应服务的，甲方有权要求乙方整改，乙方应在收到甲方整改通知之日起的7日内完成整改，逾期未整改完毕的，按本条第2项的约定处理</w:t>
      </w:r>
      <w:r>
        <w:rPr>
          <w:rFonts w:hint="eastAsia" w:ascii="宋体" w:hAnsi="宋体" w:eastAsia="宋体" w:cs="宋体"/>
          <w:color w:val="auto"/>
          <w:kern w:val="2"/>
          <w:sz w:val="21"/>
          <w:szCs w:val="21"/>
          <w:highlight w:val="none"/>
          <w:lang w:val="en-US" w:eastAsia="zh-CN" w:bidi="ar-SA"/>
        </w:rPr>
        <w:t>。</w:t>
      </w:r>
    </w:p>
    <w:p w14:paraId="271B6A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2.乙方未能按本合同约定的服务期间完成服务的，自逾期之日起，每日按合同总金额的</w:t>
      </w:r>
      <w:r>
        <w:rPr>
          <w:rFonts w:hint="eastAsia" w:ascii="宋体" w:hAnsi="宋体" w:eastAsia="宋体" w:cs="宋体"/>
          <w:snapToGrid w:val="0"/>
          <w:color w:val="auto"/>
          <w:kern w:val="2"/>
          <w:sz w:val="21"/>
          <w:szCs w:val="21"/>
          <w:highlight w:val="none"/>
          <w:u w:val="single"/>
          <w:lang w:val="en-US" w:eastAsia="zh-CN" w:bidi="ar-SA"/>
        </w:rPr>
        <w:t xml:space="preserve"> 3‰ </w:t>
      </w:r>
      <w:r>
        <w:rPr>
          <w:rFonts w:hint="eastAsia" w:ascii="宋体" w:hAnsi="宋体" w:eastAsia="宋体" w:cs="宋体"/>
          <w:snapToGrid w:val="0"/>
          <w:color w:val="auto"/>
          <w:kern w:val="2"/>
          <w:sz w:val="21"/>
          <w:szCs w:val="21"/>
          <w:highlight w:val="none"/>
          <w:lang w:val="en-US" w:eastAsia="zh-CN" w:bidi="ar-SA"/>
        </w:rPr>
        <w:t>向甲方支付逾期违约金，但违约金累计不得超过合同总金额的</w:t>
      </w:r>
      <w:r>
        <w:rPr>
          <w:rFonts w:hint="eastAsia" w:ascii="宋体" w:hAnsi="宋体" w:eastAsia="宋体" w:cs="宋体"/>
          <w:snapToGrid w:val="0"/>
          <w:color w:val="auto"/>
          <w:kern w:val="2"/>
          <w:sz w:val="21"/>
          <w:szCs w:val="21"/>
          <w:highlight w:val="none"/>
          <w:u w:val="single"/>
          <w:lang w:val="en-US" w:eastAsia="zh-CN" w:bidi="ar-SA"/>
        </w:rPr>
        <w:t xml:space="preserve"> 5% </w:t>
      </w:r>
      <w:r>
        <w:rPr>
          <w:rFonts w:hint="eastAsia" w:ascii="宋体" w:hAnsi="宋体" w:eastAsia="宋体" w:cs="宋体"/>
          <w:snapToGrid w:val="0"/>
          <w:color w:val="auto"/>
          <w:kern w:val="2"/>
          <w:sz w:val="21"/>
          <w:szCs w:val="21"/>
          <w:highlight w:val="none"/>
          <w:lang w:val="en-US" w:eastAsia="zh-CN" w:bidi="ar-SA"/>
        </w:rPr>
        <w:t>；逾期 15日以上（含 15 日）的，甲方有权解除本合同，乙方应全额退还</w:t>
      </w:r>
      <w:r>
        <w:rPr>
          <w:rFonts w:hint="eastAsia" w:ascii="宋体" w:hAnsi="宋体" w:eastAsia="宋体" w:cs="宋体"/>
          <w:snapToGrid w:val="0"/>
          <w:color w:val="auto"/>
          <w:kern w:val="2"/>
          <w:sz w:val="21"/>
          <w:szCs w:val="21"/>
          <w:highlight w:val="none"/>
          <w:lang w:val="en-US" w:eastAsia="zh-CN" w:bidi="ar-SA"/>
        </w:rPr>
        <w:t>甲方已付服务费（如有）并向</w:t>
      </w:r>
      <w:r>
        <w:rPr>
          <w:rFonts w:hint="eastAsia" w:ascii="宋体" w:hAnsi="宋体" w:eastAsia="宋体" w:cs="宋体"/>
          <w:snapToGrid w:val="0"/>
          <w:color w:val="auto"/>
          <w:kern w:val="2"/>
          <w:sz w:val="21"/>
          <w:szCs w:val="21"/>
          <w:highlight w:val="none"/>
          <w:u w:val="none"/>
          <w:lang w:val="en-US" w:eastAsia="zh-CN" w:bidi="ar-SA"/>
        </w:rPr>
        <w:t>甲方支付合同总</w:t>
      </w:r>
      <w:r>
        <w:rPr>
          <w:rFonts w:hint="eastAsia" w:ascii="宋体" w:hAnsi="宋体" w:eastAsia="宋体" w:cs="宋体"/>
          <w:snapToGrid w:val="0"/>
          <w:color w:val="auto"/>
          <w:kern w:val="2"/>
          <w:sz w:val="21"/>
          <w:szCs w:val="21"/>
          <w:highlight w:val="none"/>
          <w:u w:val="none"/>
          <w:lang w:val="en-US" w:eastAsia="zh-CN" w:bidi="ar-SA"/>
        </w:rPr>
        <w:t>金</w:t>
      </w:r>
      <w:r>
        <w:rPr>
          <w:rFonts w:hint="eastAsia" w:ascii="宋体" w:hAnsi="宋体" w:eastAsia="宋体" w:cs="宋体"/>
          <w:snapToGrid w:val="0"/>
          <w:color w:val="auto"/>
          <w:kern w:val="2"/>
          <w:sz w:val="21"/>
          <w:szCs w:val="21"/>
          <w:highlight w:val="none"/>
          <w:lang w:val="en-US" w:eastAsia="zh-CN" w:bidi="ar-SA"/>
        </w:rPr>
        <w:t>额</w:t>
      </w:r>
      <w:r>
        <w:rPr>
          <w:rFonts w:hint="eastAsia" w:ascii="宋体" w:hAnsi="宋体" w:eastAsia="宋体" w:cs="宋体"/>
          <w:snapToGrid w:val="0"/>
          <w:color w:val="auto"/>
          <w:kern w:val="2"/>
          <w:sz w:val="21"/>
          <w:szCs w:val="21"/>
          <w:highlight w:val="none"/>
          <w:u w:val="single"/>
          <w:lang w:val="en-US" w:eastAsia="zh-CN" w:bidi="ar-SA"/>
        </w:rPr>
        <w:t xml:space="preserve"> 5% </w:t>
      </w:r>
      <w:r>
        <w:rPr>
          <w:rFonts w:hint="eastAsia" w:ascii="宋体" w:hAnsi="宋体" w:eastAsia="宋体" w:cs="宋体"/>
          <w:snapToGrid w:val="0"/>
          <w:color w:val="auto"/>
          <w:kern w:val="2"/>
          <w:sz w:val="21"/>
          <w:szCs w:val="21"/>
          <w:highlight w:val="none"/>
          <w:lang w:val="en-US" w:eastAsia="zh-CN" w:bidi="ar-SA"/>
        </w:rPr>
        <w:t>的违约金，若由此造成的甲方遭受经济损失的，乙方还应承担赔偿责任。</w:t>
      </w:r>
    </w:p>
    <w:p w14:paraId="60DC811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3.乙方提供的服务如侵犯了第三方合法权益而引发的任何纠纷或诉讼，均由乙方负责交涉并承担全部责任。</w:t>
      </w:r>
      <w:r>
        <w:rPr>
          <w:rFonts w:hint="eastAsia" w:ascii="宋体" w:hAnsi="宋体" w:eastAsia="宋体" w:cs="宋体"/>
          <w:b w:val="0"/>
          <w:bCs w:val="0"/>
          <w:color w:val="auto"/>
          <w:sz w:val="21"/>
          <w:szCs w:val="21"/>
          <w:highlight w:val="none"/>
          <w:u w:val="none"/>
          <w:lang w:val="en-US" w:eastAsia="zh-CN"/>
        </w:rPr>
        <w:t>如甲方为解决纠纷先行垫支了费用及承担了赔偿责任的，乙方须在接到甲方通知之日起5个工作日内向甲方偿还完毕，逾期未偿还的甲方有权追缴并按照同期银行贷款利率的四倍向乙方主张资金占用费，并赔偿甲方全部经济损失。</w:t>
      </w:r>
    </w:p>
    <w:p w14:paraId="5E6E17A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4.甲方无正当理由拒收或终止服务的，甲方应按本合同总金额的</w:t>
      </w:r>
      <w:r>
        <w:rPr>
          <w:rFonts w:hint="eastAsia" w:ascii="宋体" w:hAnsi="宋体" w:eastAsia="宋体" w:cs="宋体"/>
          <w:color w:val="auto"/>
          <w:kern w:val="2"/>
          <w:sz w:val="21"/>
          <w:szCs w:val="21"/>
          <w:highlight w:val="none"/>
          <w:u w:val="single"/>
          <w:lang w:val="en-US" w:eastAsia="zh-CN" w:bidi="ar-SA"/>
        </w:rPr>
        <w:t xml:space="preserve"> 5% </w:t>
      </w:r>
      <w:r>
        <w:rPr>
          <w:rFonts w:hint="eastAsia" w:ascii="宋体" w:hAnsi="宋体" w:eastAsia="宋体" w:cs="宋体"/>
          <w:color w:val="auto"/>
          <w:kern w:val="2"/>
          <w:sz w:val="21"/>
          <w:szCs w:val="21"/>
          <w:highlight w:val="none"/>
          <w:lang w:val="en-US" w:eastAsia="zh-CN" w:bidi="ar-SA"/>
        </w:rPr>
        <w:t>向乙方支付违约金。</w:t>
      </w:r>
    </w:p>
    <w:p w14:paraId="3B3994A3">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不可抗力事件处理</w:t>
      </w:r>
    </w:p>
    <w:p w14:paraId="3478F73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1.在合同有效期内，任何一方因不可抗力事件导致不能履行合同，则合同履行期可延长，其延长期与不可抗力影响期相同。</w:t>
      </w:r>
    </w:p>
    <w:p w14:paraId="7B44AA1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2.不可抗力事件发生后，应立即通知对方，并寄送有关权威机构出具的证明。</w:t>
      </w:r>
    </w:p>
    <w:p w14:paraId="5F8BAEA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3.不可抗力事件延续120天以上，双方应通过友好协商，确定是否继续履行合同。</w:t>
      </w:r>
    </w:p>
    <w:p w14:paraId="4D6F998A">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合同争议解决</w:t>
      </w:r>
    </w:p>
    <w:p w14:paraId="42467C12">
      <w:pPr>
        <w:keepNext w:val="0"/>
        <w:keepLines w:val="0"/>
        <w:pageBreakBefore w:val="0"/>
        <w:widowControl w:val="0"/>
        <w:kinsoku/>
        <w:wordWrap/>
        <w:overflowPunct/>
        <w:topLinePunct w:val="0"/>
        <w:autoSpaceDE/>
        <w:autoSpaceDN/>
        <w:bidi w:val="0"/>
        <w:adjustRightInd/>
        <w:snapToGrid/>
        <w:spacing w:line="400" w:lineRule="exact"/>
        <w:ind w:left="-61" w:firstLine="514"/>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1.因服务成果质量问题发生争议的，应邀请国家认定的质量检测机构按照国家标准对服务成果质量进行验收。服务成果符合国家标准的，鉴定费由甲方承担；服务成果不符合国家标准的，鉴定费由乙方承担。</w:t>
      </w:r>
    </w:p>
    <w:p w14:paraId="0297FA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val="en-US" w:eastAsia="zh-CN"/>
        </w:rPr>
        <w:t>2</w:t>
      </w:r>
      <w:r>
        <w:rPr>
          <w:rFonts w:hint="eastAsia" w:ascii="宋体" w:hAnsi="宋体" w:eastAsia="宋体" w:cs="宋体"/>
          <w:snapToGrid/>
          <w:color w:val="auto"/>
          <w:kern w:val="2"/>
          <w:sz w:val="21"/>
          <w:szCs w:val="21"/>
          <w:highlight w:val="none"/>
          <w:lang w:eastAsia="zh-CN"/>
        </w:rPr>
        <w:t>.因履行本合同引起的或与本合同有关的争议，甲乙双方应首先通过友好协商解决，如果协商不能解决，可向甲方所在地人民法院提起诉讼。因</w:t>
      </w:r>
      <w:r>
        <w:rPr>
          <w:rFonts w:hint="eastAsia" w:ascii="宋体" w:hAnsi="宋体" w:eastAsia="宋体" w:cs="宋体"/>
          <w:snapToGrid/>
          <w:color w:val="auto"/>
          <w:kern w:val="2"/>
          <w:sz w:val="21"/>
          <w:szCs w:val="21"/>
          <w:highlight w:val="none"/>
          <w:lang w:val="en-US" w:eastAsia="zh-CN"/>
        </w:rPr>
        <w:t>争议</w:t>
      </w:r>
      <w:r>
        <w:rPr>
          <w:rFonts w:hint="eastAsia" w:ascii="宋体" w:hAnsi="宋体" w:eastAsia="宋体" w:cs="宋体"/>
          <w:snapToGrid/>
          <w:color w:val="auto"/>
          <w:kern w:val="2"/>
          <w:sz w:val="21"/>
          <w:szCs w:val="21"/>
          <w:highlight w:val="none"/>
          <w:lang w:eastAsia="zh-CN"/>
        </w:rPr>
        <w:t>产生的诉讼费、律师费、保全费、</w:t>
      </w:r>
      <w:r>
        <w:rPr>
          <w:rFonts w:hint="eastAsia" w:ascii="宋体" w:hAnsi="宋体" w:eastAsia="宋体" w:cs="宋体"/>
          <w:snapToGrid/>
          <w:color w:val="auto"/>
          <w:kern w:val="2"/>
          <w:sz w:val="21"/>
          <w:szCs w:val="21"/>
          <w:highlight w:val="none"/>
          <w:lang w:val="en-US" w:eastAsia="zh-CN"/>
        </w:rPr>
        <w:t>保险费、</w:t>
      </w:r>
      <w:r>
        <w:rPr>
          <w:rFonts w:hint="eastAsia" w:ascii="宋体" w:hAnsi="宋体" w:eastAsia="宋体" w:cs="宋体"/>
          <w:snapToGrid/>
          <w:color w:val="auto"/>
          <w:kern w:val="2"/>
          <w:sz w:val="21"/>
          <w:szCs w:val="21"/>
          <w:highlight w:val="none"/>
          <w:lang w:eastAsia="zh-CN"/>
        </w:rPr>
        <w:t>担保费，调查费、交通费、差旅费等所有费</w:t>
      </w:r>
      <w:r>
        <w:rPr>
          <w:rFonts w:hint="eastAsia" w:ascii="宋体" w:hAnsi="宋体" w:eastAsia="宋体" w:cs="宋体"/>
          <w:snapToGrid/>
          <w:color w:val="auto"/>
          <w:kern w:val="2"/>
          <w:sz w:val="21"/>
          <w:szCs w:val="21"/>
          <w:highlight w:val="none"/>
          <w:lang w:val="en-US" w:eastAsia="zh-CN"/>
        </w:rPr>
        <w:t>用</w:t>
      </w:r>
      <w:r>
        <w:rPr>
          <w:rFonts w:hint="eastAsia" w:ascii="宋体" w:hAnsi="宋体" w:eastAsia="宋体" w:cs="宋体"/>
          <w:snapToGrid/>
          <w:color w:val="auto"/>
          <w:kern w:val="2"/>
          <w:sz w:val="21"/>
          <w:szCs w:val="21"/>
          <w:highlight w:val="none"/>
          <w:lang w:eastAsia="zh-CN"/>
        </w:rPr>
        <w:t>，均由</w:t>
      </w:r>
      <w:r>
        <w:rPr>
          <w:rFonts w:hint="eastAsia" w:ascii="宋体" w:hAnsi="宋体" w:eastAsia="宋体" w:cs="宋体"/>
          <w:snapToGrid/>
          <w:color w:val="auto"/>
          <w:kern w:val="2"/>
          <w:sz w:val="21"/>
          <w:szCs w:val="21"/>
          <w:highlight w:val="none"/>
          <w:lang w:val="en-US" w:eastAsia="zh-CN"/>
        </w:rPr>
        <w:t>违约方</w:t>
      </w:r>
      <w:r>
        <w:rPr>
          <w:rFonts w:hint="eastAsia" w:ascii="宋体" w:hAnsi="宋体" w:eastAsia="宋体" w:cs="宋体"/>
          <w:snapToGrid/>
          <w:color w:val="auto"/>
          <w:kern w:val="2"/>
          <w:sz w:val="21"/>
          <w:szCs w:val="21"/>
          <w:highlight w:val="none"/>
          <w:lang w:eastAsia="zh-CN"/>
        </w:rPr>
        <w:t>承担。</w:t>
      </w:r>
    </w:p>
    <w:p w14:paraId="1536A6B4">
      <w:pPr>
        <w:keepNext w:val="0"/>
        <w:keepLines w:val="0"/>
        <w:pageBreakBefore w:val="0"/>
        <w:widowControl w:val="0"/>
        <w:kinsoku/>
        <w:wordWrap/>
        <w:overflowPunct/>
        <w:topLinePunct w:val="0"/>
        <w:autoSpaceDE/>
        <w:autoSpaceDN/>
        <w:bidi w:val="0"/>
        <w:adjustRightInd/>
        <w:snapToGrid/>
        <w:spacing w:line="400" w:lineRule="exact"/>
        <w:ind w:left="-61" w:firstLine="514"/>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val="en-US" w:eastAsia="zh-CN"/>
        </w:rPr>
        <w:t>3.</w:t>
      </w:r>
      <w:r>
        <w:rPr>
          <w:rFonts w:hint="eastAsia" w:ascii="宋体" w:hAnsi="宋体" w:eastAsia="宋体" w:cs="宋体"/>
          <w:snapToGrid/>
          <w:color w:val="auto"/>
          <w:kern w:val="2"/>
          <w:sz w:val="21"/>
          <w:szCs w:val="21"/>
          <w:highlight w:val="none"/>
          <w:lang w:eastAsia="zh-CN"/>
        </w:rPr>
        <w:t>诉讼期间，本合同是否继续履行，由甲方决定。</w:t>
      </w:r>
    </w:p>
    <w:p w14:paraId="3A70FC00">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合同生效及其他</w:t>
      </w:r>
    </w:p>
    <w:p w14:paraId="717A6C3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1.合同经双方法定代表人或被授权代表签字并加盖单位公章后生效。</w:t>
      </w:r>
    </w:p>
    <w:p w14:paraId="5C0610C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2.合同执行中涉及采购资金和采购内容修改或补充的，在法规范围内，须双方签书面补充协议确认，补充协议方可作为主合同不可分割的一部分。</w:t>
      </w:r>
    </w:p>
    <w:p w14:paraId="75010DD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3.本合同未尽事宜，遵照《</w:t>
      </w:r>
      <w:r>
        <w:rPr>
          <w:rFonts w:hint="eastAsia" w:ascii="宋体" w:hAnsi="宋体" w:eastAsia="宋体" w:cs="宋体"/>
          <w:color w:val="auto"/>
          <w:kern w:val="0"/>
          <w:sz w:val="21"/>
          <w:szCs w:val="21"/>
          <w:highlight w:val="none"/>
          <w:lang w:val="en-US" w:eastAsia="zh-CN" w:bidi="ar-SA"/>
        </w:rPr>
        <w:t>中华人民共和国民法典</w:t>
      </w:r>
      <w:r>
        <w:rPr>
          <w:rFonts w:hint="eastAsia" w:ascii="宋体" w:hAnsi="宋体" w:eastAsia="宋体" w:cs="宋体"/>
          <w:color w:val="auto"/>
          <w:kern w:val="2"/>
          <w:sz w:val="21"/>
          <w:szCs w:val="21"/>
          <w:highlight w:val="none"/>
          <w:lang w:val="en-US" w:eastAsia="zh-CN" w:bidi="ar-SA"/>
        </w:rPr>
        <w:t>》有关条文执行。</w:t>
      </w:r>
    </w:p>
    <w:p w14:paraId="1D0ECDF5">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合同变更、终止与转让</w:t>
      </w:r>
    </w:p>
    <w:p w14:paraId="763F01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1.除《中华人民共和国政府采购法》第五十条规定的情形外，本合同一经签订，甲乙双方不得擅自变更、中止或终止。</w:t>
      </w:r>
    </w:p>
    <w:p w14:paraId="05E0FF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2.未经甲方书面同意，乙方不得擅自转让（无进口资格的供应商委托进口货物除外）其应履行的合同义务。一经发现，乙方应退回甲方已支付的合同款项，并向甲方支付合同总金额</w:t>
      </w:r>
      <w:r>
        <w:rPr>
          <w:rFonts w:hint="eastAsia" w:ascii="宋体" w:hAnsi="宋体" w:eastAsia="宋体" w:cs="宋体"/>
          <w:b w:val="0"/>
          <w:bCs w:val="0"/>
          <w:color w:val="auto"/>
          <w:sz w:val="21"/>
          <w:szCs w:val="21"/>
          <w:highlight w:val="none"/>
          <w:u w:val="single"/>
          <w:lang w:val="en-US" w:eastAsia="zh-CN"/>
        </w:rPr>
        <w:t xml:space="preserve"> 20% </w:t>
      </w:r>
      <w:r>
        <w:rPr>
          <w:rFonts w:hint="eastAsia" w:ascii="宋体" w:hAnsi="宋体" w:eastAsia="宋体" w:cs="宋体"/>
          <w:b w:val="0"/>
          <w:bCs w:val="0"/>
          <w:color w:val="auto"/>
          <w:sz w:val="21"/>
          <w:szCs w:val="21"/>
          <w:highlight w:val="none"/>
          <w:lang w:val="en-US" w:eastAsia="zh-CN"/>
        </w:rPr>
        <w:t>的违约金，若由此造成的甲方遭受经济损失的，乙方还应承担赔偿责任。</w:t>
      </w:r>
    </w:p>
    <w:p w14:paraId="4AF04796">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2" w:firstLineChars="200"/>
        <w:textAlignment w:val="auto"/>
        <w:outlineLvl w:val="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w:t>
      </w:r>
    </w:p>
    <w:p w14:paraId="4904C4A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1.采购文件</w:t>
      </w:r>
    </w:p>
    <w:p w14:paraId="0E813D8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2.乙方提供的响应文件</w:t>
      </w:r>
    </w:p>
    <w:p w14:paraId="2376DAC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3.成交通知书</w:t>
      </w:r>
    </w:p>
    <w:p w14:paraId="416ADFA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4.廉洁供销、不提供“回扣”承诺书</w:t>
      </w:r>
    </w:p>
    <w:p w14:paraId="1FF2EB13">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本合同一式</w:t>
      </w:r>
      <w:r>
        <w:rPr>
          <w:rFonts w:hint="eastAsia" w:ascii="宋体" w:hAnsi="宋体" w:eastAsia="宋体" w:cs="宋体"/>
          <w:b w:val="0"/>
          <w:bCs w:val="0"/>
          <w:color w:val="auto"/>
          <w:sz w:val="21"/>
          <w:szCs w:val="21"/>
          <w:highlight w:val="none"/>
          <w:u w:val="single"/>
          <w:lang w:val="en-US" w:eastAsia="zh-CN"/>
        </w:rPr>
        <w:t xml:space="preserve"> 玖 </w:t>
      </w:r>
      <w:r>
        <w:rPr>
          <w:rFonts w:hint="eastAsia" w:ascii="宋体" w:hAnsi="宋体" w:eastAsia="宋体" w:cs="宋体"/>
          <w:b w:val="0"/>
          <w:bCs w:val="0"/>
          <w:color w:val="auto"/>
          <w:sz w:val="21"/>
          <w:szCs w:val="21"/>
          <w:highlight w:val="none"/>
          <w:lang w:val="en-US" w:eastAsia="zh-CN"/>
        </w:rPr>
        <w:t>份，具有同等法律效力，甲方执</w:t>
      </w:r>
      <w:r>
        <w:rPr>
          <w:rFonts w:hint="eastAsia" w:ascii="宋体" w:hAnsi="宋体" w:eastAsia="宋体" w:cs="宋体"/>
          <w:b w:val="0"/>
          <w:bCs w:val="0"/>
          <w:color w:val="auto"/>
          <w:sz w:val="21"/>
          <w:szCs w:val="21"/>
          <w:highlight w:val="none"/>
          <w:u w:val="single"/>
          <w:lang w:val="en-US" w:eastAsia="zh-CN"/>
        </w:rPr>
        <w:t xml:space="preserve"> 陆 </w:t>
      </w:r>
      <w:r>
        <w:rPr>
          <w:rFonts w:hint="eastAsia" w:ascii="宋体" w:hAnsi="宋体" w:eastAsia="宋体" w:cs="宋体"/>
          <w:b w:val="0"/>
          <w:bCs w:val="0"/>
          <w:color w:val="auto"/>
          <w:sz w:val="21"/>
          <w:szCs w:val="21"/>
          <w:highlight w:val="none"/>
          <w:lang w:val="en-US" w:eastAsia="zh-CN"/>
        </w:rPr>
        <w:t>份，乙方执</w:t>
      </w:r>
      <w:r>
        <w:rPr>
          <w:rFonts w:hint="eastAsia" w:ascii="宋体" w:hAnsi="宋体" w:eastAsia="宋体" w:cs="宋体"/>
          <w:b w:val="0"/>
          <w:bCs w:val="0"/>
          <w:color w:val="auto"/>
          <w:sz w:val="21"/>
          <w:szCs w:val="21"/>
          <w:highlight w:val="none"/>
          <w:u w:val="single"/>
          <w:lang w:val="en-US" w:eastAsia="zh-CN"/>
        </w:rPr>
        <w:t xml:space="preserve"> 贰 </w:t>
      </w:r>
      <w:r>
        <w:rPr>
          <w:rFonts w:hint="eastAsia" w:ascii="宋体" w:hAnsi="宋体" w:eastAsia="宋体" w:cs="宋体"/>
          <w:b w:val="0"/>
          <w:bCs w:val="0"/>
          <w:color w:val="auto"/>
          <w:sz w:val="21"/>
          <w:szCs w:val="21"/>
          <w:highlight w:val="none"/>
          <w:lang w:val="en-US" w:eastAsia="zh-CN"/>
        </w:rPr>
        <w:t>份，采购代理机构执</w:t>
      </w:r>
      <w:r>
        <w:rPr>
          <w:rFonts w:hint="eastAsia" w:ascii="宋体" w:hAnsi="宋体" w:eastAsia="宋体" w:cs="宋体"/>
          <w:b w:val="0"/>
          <w:bCs w:val="0"/>
          <w:color w:val="auto"/>
          <w:sz w:val="21"/>
          <w:szCs w:val="21"/>
          <w:highlight w:val="none"/>
          <w:u w:val="single"/>
          <w:lang w:val="en-US" w:eastAsia="zh-CN"/>
        </w:rPr>
        <w:t xml:space="preserve"> 壹 </w:t>
      </w:r>
      <w:r>
        <w:rPr>
          <w:rFonts w:hint="eastAsia" w:ascii="宋体" w:hAnsi="宋体" w:eastAsia="宋体" w:cs="宋体"/>
          <w:b w:val="0"/>
          <w:bCs w:val="0"/>
          <w:color w:val="auto"/>
          <w:sz w:val="21"/>
          <w:szCs w:val="21"/>
          <w:highlight w:val="none"/>
          <w:lang w:val="en-US" w:eastAsia="zh-CN"/>
        </w:rPr>
        <w:t>份（可根据需要另增加）。</w:t>
      </w:r>
    </w:p>
    <w:p w14:paraId="5C0A5E0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本合同自签订之日起2个工作日内，甲方应当将采购合同在广西壮族自治区财政厅指定的媒体上公告。</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31"/>
      </w:tblGrid>
      <w:tr w14:paraId="2402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2499" w:type="pct"/>
            <w:tcBorders>
              <w:top w:val="single" w:color="auto" w:sz="4" w:space="0"/>
              <w:left w:val="single" w:color="auto" w:sz="4" w:space="0"/>
              <w:bottom w:val="single" w:color="auto" w:sz="4" w:space="0"/>
              <w:right w:val="single" w:color="auto" w:sz="4" w:space="0"/>
            </w:tcBorders>
            <w:noWrap w:val="0"/>
            <w:vAlign w:val="center"/>
          </w:tcPr>
          <w:p w14:paraId="151D556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14:paraId="01931DE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广西医科大学第二附属医院</w:t>
            </w:r>
          </w:p>
          <w:p w14:paraId="62269ED5">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p>
          <w:p w14:paraId="294AA9F4">
            <w:pPr>
              <w:keepNext w:val="0"/>
              <w:keepLines w:val="0"/>
              <w:pageBreakBefore w:val="0"/>
              <w:widowControl w:val="0"/>
              <w:kinsoku/>
              <w:wordWrap/>
              <w:overflowPunct/>
              <w:topLinePunct w:val="0"/>
              <w:autoSpaceDE/>
              <w:autoSpaceDN/>
              <w:bidi w:val="0"/>
              <w:adjustRightInd/>
              <w:snapToGrid w:val="0"/>
              <w:spacing w:line="400" w:lineRule="exact"/>
              <w:ind w:firstLine="1155" w:firstLineChars="5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116D0C55">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14:paraId="62A0219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6A4F8C1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p>
          <w:p w14:paraId="0CF19F2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tc>
      </w:tr>
      <w:tr w14:paraId="0A85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jc w:val="center"/>
        </w:trPr>
        <w:tc>
          <w:tcPr>
            <w:tcW w:w="2499" w:type="pct"/>
            <w:tcBorders>
              <w:top w:val="single" w:color="auto" w:sz="4" w:space="0"/>
              <w:left w:val="single" w:color="auto" w:sz="4" w:space="0"/>
              <w:bottom w:val="single" w:color="auto" w:sz="4" w:space="0"/>
              <w:right w:val="single" w:color="auto" w:sz="4" w:space="0"/>
            </w:tcBorders>
            <w:noWrap w:val="0"/>
            <w:vAlign w:val="center"/>
          </w:tcPr>
          <w:p w14:paraId="21F325EC">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单位地址：</w:t>
            </w:r>
            <w:r>
              <w:rPr>
                <w:rFonts w:hint="eastAsia" w:ascii="宋体" w:hAnsi="宋体" w:eastAsia="宋体" w:cs="宋体"/>
                <w:color w:val="auto"/>
                <w:sz w:val="21"/>
                <w:szCs w:val="21"/>
                <w:highlight w:val="none"/>
                <w:lang w:val="en-US" w:eastAsia="zh-CN"/>
              </w:rPr>
              <w:t>广西南宁市大学东路166号</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59C4956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14:paraId="01D4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99" w:type="pct"/>
            <w:tcBorders>
              <w:top w:val="single" w:color="auto" w:sz="4" w:space="0"/>
              <w:left w:val="single" w:color="auto" w:sz="4" w:space="0"/>
              <w:bottom w:val="single" w:color="auto" w:sz="4" w:space="0"/>
              <w:right w:val="single" w:color="auto" w:sz="4" w:space="0"/>
            </w:tcBorders>
            <w:noWrap w:val="0"/>
            <w:vAlign w:val="center"/>
          </w:tcPr>
          <w:p w14:paraId="7040749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45CB2BC0">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r>
      <w:tr w14:paraId="32F7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99" w:type="pct"/>
            <w:tcBorders>
              <w:top w:val="single" w:color="auto" w:sz="4" w:space="0"/>
              <w:left w:val="single" w:color="auto" w:sz="4" w:space="0"/>
              <w:bottom w:val="single" w:color="auto" w:sz="4" w:space="0"/>
              <w:right w:val="single" w:color="auto" w:sz="4" w:space="0"/>
            </w:tcBorders>
            <w:noWrap w:val="0"/>
            <w:vAlign w:val="center"/>
          </w:tcPr>
          <w:p w14:paraId="13EF4465">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18115AC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lang w:eastAsia="zh-CN"/>
              </w:rPr>
              <w:t>：</w:t>
            </w:r>
          </w:p>
        </w:tc>
      </w:tr>
      <w:tr w14:paraId="70CB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99" w:type="pct"/>
            <w:tcBorders>
              <w:top w:val="single" w:color="auto" w:sz="4" w:space="0"/>
              <w:left w:val="single" w:color="auto" w:sz="4" w:space="0"/>
              <w:bottom w:val="single" w:color="auto" w:sz="4" w:space="0"/>
              <w:right w:val="single" w:color="auto" w:sz="4" w:space="0"/>
            </w:tcBorders>
            <w:noWrap w:val="0"/>
            <w:vAlign w:val="center"/>
          </w:tcPr>
          <w:p w14:paraId="4A35A25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电话：0771-3277155</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5D1151A1">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14:paraId="1B8D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99" w:type="pct"/>
            <w:tcBorders>
              <w:top w:val="single" w:color="auto" w:sz="4" w:space="0"/>
              <w:left w:val="single" w:color="auto" w:sz="4" w:space="0"/>
              <w:bottom w:val="single" w:color="auto" w:sz="4" w:space="0"/>
              <w:right w:val="single" w:color="auto" w:sz="4" w:space="0"/>
            </w:tcBorders>
            <w:noWrap w:val="0"/>
            <w:vAlign w:val="center"/>
          </w:tcPr>
          <w:p w14:paraId="5E0E146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lang w:val="en-US" w:eastAsia="zh-CN"/>
              </w:rPr>
              <w:t>/</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15DC6EEB">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14:paraId="0EFB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99" w:type="pct"/>
            <w:tcBorders>
              <w:top w:val="single" w:color="auto" w:sz="4" w:space="0"/>
              <w:left w:val="single" w:color="auto" w:sz="4" w:space="0"/>
              <w:bottom w:val="single" w:color="auto" w:sz="4" w:space="0"/>
              <w:right w:val="single" w:color="auto" w:sz="4" w:space="0"/>
            </w:tcBorders>
            <w:noWrap w:val="0"/>
            <w:vAlign w:val="center"/>
          </w:tcPr>
          <w:p w14:paraId="47840571">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开户银行：建行南宁医科大支行</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5E29253">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12A4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99" w:type="pct"/>
            <w:tcBorders>
              <w:top w:val="single" w:color="auto" w:sz="4" w:space="0"/>
              <w:left w:val="single" w:color="auto" w:sz="4" w:space="0"/>
              <w:bottom w:val="single" w:color="auto" w:sz="4" w:space="0"/>
              <w:right w:val="single" w:color="auto" w:sz="4" w:space="0"/>
            </w:tcBorders>
            <w:noWrap w:val="0"/>
            <w:vAlign w:val="center"/>
          </w:tcPr>
          <w:p w14:paraId="49F1FD7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账号：45050160456009666888</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4988E93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1929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99" w:type="pct"/>
            <w:tcBorders>
              <w:top w:val="single" w:color="auto" w:sz="4" w:space="0"/>
              <w:left w:val="single" w:color="auto" w:sz="4" w:space="0"/>
              <w:bottom w:val="single" w:color="auto" w:sz="4" w:space="0"/>
              <w:right w:val="single" w:color="auto" w:sz="4" w:space="0"/>
            </w:tcBorders>
            <w:noWrap w:val="0"/>
            <w:vAlign w:val="center"/>
          </w:tcPr>
          <w:p w14:paraId="0F0FABE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纳税人识别号或统一社会信用代码：</w:t>
            </w:r>
          </w:p>
          <w:p w14:paraId="78C7BAEC">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12450000MB0514976U</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42EC87E8">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纳税人识别号或统一社会信用代码：</w:t>
            </w:r>
          </w:p>
          <w:p w14:paraId="293C4FC4">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p>
        </w:tc>
      </w:tr>
      <w:tr w14:paraId="68B6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99" w:type="pct"/>
            <w:tcBorders>
              <w:top w:val="single" w:color="auto" w:sz="4" w:space="0"/>
              <w:left w:val="single" w:color="auto" w:sz="4" w:space="0"/>
              <w:bottom w:val="single" w:color="auto" w:sz="4" w:space="0"/>
              <w:right w:val="single" w:color="auto" w:sz="4" w:space="0"/>
            </w:tcBorders>
            <w:noWrap w:val="0"/>
            <w:vAlign w:val="center"/>
          </w:tcPr>
          <w:p w14:paraId="01A4708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lang w:val="en-US" w:eastAsia="zh-CN"/>
              </w:rPr>
              <w:t>/</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38DAF53">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bl>
    <w:p w14:paraId="1AA6DAC3">
      <w:pPr>
        <w:keepNext w:val="0"/>
        <w:keepLines w:val="0"/>
        <w:pageBreakBefore w:val="0"/>
        <w:wordWrap/>
        <w:overflowPunct/>
        <w:topLinePunct w:val="0"/>
        <w:bidi w:val="0"/>
        <w:spacing w:line="320" w:lineRule="exact"/>
        <w:rPr>
          <w:rFonts w:hint="eastAsia" w:ascii="宋体" w:hAnsi="宋体" w:eastAsia="宋体" w:cs="宋体"/>
          <w:color w:val="auto"/>
          <w:sz w:val="24"/>
          <w:szCs w:val="24"/>
          <w:highlight w:val="none"/>
        </w:rPr>
      </w:pPr>
    </w:p>
    <w:p w14:paraId="3A56193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C46190D">
      <w:pPr>
        <w:keepNext w:val="0"/>
        <w:keepLines w:val="0"/>
        <w:pageBreakBefore w:val="0"/>
        <w:wordWrap/>
        <w:overflowPunct/>
        <w:topLinePunct w:val="0"/>
        <w:bidi w:val="0"/>
        <w:spacing w:line="440" w:lineRule="exac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附件：</w:t>
      </w:r>
    </w:p>
    <w:p w14:paraId="252F8CDE">
      <w:pPr>
        <w:keepNext w:val="0"/>
        <w:keepLines w:val="0"/>
        <w:pageBreakBefore w:val="0"/>
        <w:wordWrap/>
        <w:overflowPunct/>
        <w:topLinePunct w:val="0"/>
        <w:bidi w:val="0"/>
        <w:spacing w:line="440" w:lineRule="exact"/>
        <w:rPr>
          <w:rFonts w:hint="default" w:ascii="宋体" w:hAnsi="宋体" w:eastAsia="宋体" w:cs="宋体"/>
          <w:b/>
          <w:bCs/>
          <w:color w:val="auto"/>
          <w:sz w:val="36"/>
          <w:szCs w:val="36"/>
          <w:highlight w:val="none"/>
          <w:lang w:val="en-US" w:eastAsia="zh-CN"/>
        </w:rPr>
      </w:pPr>
    </w:p>
    <w:p w14:paraId="4ED167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0"/>
          <w:sz w:val="44"/>
          <w:szCs w:val="44"/>
          <w:highlight w:val="none"/>
        </w:rPr>
      </w:pPr>
      <w:r>
        <w:rPr>
          <w:rFonts w:hint="eastAsia" w:ascii="宋体" w:hAnsi="宋体" w:eastAsia="宋体" w:cs="宋体"/>
          <w:bCs/>
          <w:color w:val="auto"/>
          <w:kern w:val="0"/>
          <w:sz w:val="44"/>
          <w:szCs w:val="44"/>
          <w:highlight w:val="none"/>
        </w:rPr>
        <w:t>广西医科大学第二附属医院</w:t>
      </w:r>
    </w:p>
    <w:p w14:paraId="3ABEF8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0"/>
          <w:sz w:val="44"/>
          <w:szCs w:val="44"/>
          <w:highlight w:val="none"/>
        </w:rPr>
      </w:pPr>
      <w:r>
        <w:rPr>
          <w:rFonts w:hint="eastAsia" w:ascii="宋体" w:hAnsi="宋体" w:eastAsia="宋体" w:cs="宋体"/>
          <w:bCs/>
          <w:color w:val="auto"/>
          <w:kern w:val="0"/>
          <w:sz w:val="44"/>
          <w:szCs w:val="44"/>
          <w:highlight w:val="none"/>
        </w:rPr>
        <w:t>药品、医疗设备、医用耗材</w:t>
      </w:r>
      <w:r>
        <w:rPr>
          <w:rFonts w:hint="eastAsia" w:ascii="宋体" w:hAnsi="宋体" w:eastAsia="宋体" w:cs="宋体"/>
          <w:bCs/>
          <w:color w:val="auto"/>
          <w:kern w:val="0"/>
          <w:sz w:val="44"/>
          <w:szCs w:val="44"/>
          <w:highlight w:val="none"/>
          <w:lang w:eastAsia="zh-CN"/>
        </w:rPr>
        <w:t>、</w:t>
      </w:r>
      <w:r>
        <w:rPr>
          <w:rFonts w:hint="eastAsia" w:ascii="宋体" w:hAnsi="宋体" w:eastAsia="宋体" w:cs="宋体"/>
          <w:bCs/>
          <w:color w:val="auto"/>
          <w:kern w:val="0"/>
          <w:sz w:val="44"/>
          <w:szCs w:val="44"/>
          <w:highlight w:val="none"/>
          <w:lang w:val="en-US" w:eastAsia="zh-CN"/>
        </w:rPr>
        <w:t>服务</w:t>
      </w:r>
      <w:r>
        <w:rPr>
          <w:rFonts w:hint="eastAsia" w:ascii="宋体" w:hAnsi="宋体" w:eastAsia="宋体" w:cs="宋体"/>
          <w:bCs/>
          <w:color w:val="auto"/>
          <w:kern w:val="0"/>
          <w:sz w:val="44"/>
          <w:szCs w:val="44"/>
          <w:highlight w:val="none"/>
        </w:rPr>
        <w:t>供应商（经销商）廉洁供销、不提供“回扣”</w:t>
      </w:r>
    </w:p>
    <w:p w14:paraId="3520BB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0"/>
          <w:sz w:val="44"/>
          <w:szCs w:val="44"/>
          <w:highlight w:val="none"/>
        </w:rPr>
      </w:pPr>
      <w:r>
        <w:rPr>
          <w:rFonts w:hint="eastAsia" w:ascii="宋体" w:hAnsi="宋体" w:eastAsia="宋体" w:cs="宋体"/>
          <w:bCs/>
          <w:color w:val="auto"/>
          <w:kern w:val="0"/>
          <w:sz w:val="44"/>
          <w:szCs w:val="44"/>
          <w:highlight w:val="none"/>
        </w:rPr>
        <w:t>承诺书</w:t>
      </w:r>
    </w:p>
    <w:p w14:paraId="09AB3A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kern w:val="0"/>
          <w:sz w:val="44"/>
          <w:szCs w:val="44"/>
          <w:highlight w:val="none"/>
        </w:rPr>
      </w:pPr>
    </w:p>
    <w:p w14:paraId="29103E5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积极配合医院开展医药购销和医疗服务中不正之风专项整治工作，规范医院及从业人员执业行为，杜绝医药购销领域中的“回扣”和“提成”等不正之风，树立医院良好的服务品牌，维护本企业的信誉和形象，我单位和所属工作人员郑重承诺如下：</w:t>
      </w:r>
    </w:p>
    <w:p w14:paraId="1EFA70F7">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一、遵守国家的法律法规，依法办理医药购销业务，保证不搞违法乱纪活动，自觉接受执法执纪部门的监督检查。</w:t>
      </w:r>
    </w:p>
    <w:p w14:paraId="5F22F163">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二、在医药购销活动中，不以任何形式给予医院医药“回扣”等商业贿赂。</w:t>
      </w:r>
    </w:p>
    <w:p w14:paraId="43184B9F">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三、在与医院正常业务交往中，不赠送各种礼金、有价证券和贵重物品，不给对方报销应由个人支付的费用，不以旅游、考察、宴请等各种名义和形式进行促销。</w:t>
      </w:r>
    </w:p>
    <w:p w14:paraId="46BCBEE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四、配合医院维护正常的医疗秩序，营销人员不进入医院诊疗区域从事药品、器械等商品推销活动。不向医院工作人员查询药品耗材的进、销、存量和使用情况，不以任何形式和方式统计处方。</w:t>
      </w:r>
    </w:p>
    <w:p w14:paraId="501F4E71">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五、我单位给医院的捐赠款物，保证严格按照《中华人民共和国捐赠法》的有关规定执行。</w:t>
      </w:r>
    </w:p>
    <w:p w14:paraId="2AD0D2D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以上承诺如有违反，我们接受停药、取消中标资格、记入不良行为数据库等处理，以及执法执纪部门的其他处理。</w:t>
      </w:r>
    </w:p>
    <w:p w14:paraId="70D39D1A">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1072F0D">
      <w:pPr>
        <w:keepNext w:val="0"/>
        <w:keepLines w:val="0"/>
        <w:pageBreakBefore w:val="0"/>
        <w:widowControl w:val="0"/>
        <w:kinsoku/>
        <w:wordWrap/>
        <w:overflowPunct/>
        <w:topLinePunct w:val="0"/>
        <w:autoSpaceDE/>
        <w:autoSpaceDN/>
        <w:bidi w:val="0"/>
        <w:adjustRightInd/>
        <w:snapToGrid/>
        <w:spacing w:line="480" w:lineRule="exact"/>
        <w:ind w:firstLine="2310" w:firstLineChars="1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承诺单位(盖章)：</w:t>
      </w:r>
    </w:p>
    <w:p w14:paraId="1B9B8BC6">
      <w:pPr>
        <w:keepNext w:val="0"/>
        <w:keepLines w:val="0"/>
        <w:pageBreakBefore w:val="0"/>
        <w:widowControl w:val="0"/>
        <w:kinsoku/>
        <w:wordWrap/>
        <w:overflowPunct/>
        <w:topLinePunct w:val="0"/>
        <w:autoSpaceDE/>
        <w:autoSpaceDN/>
        <w:bidi w:val="0"/>
        <w:adjustRightInd/>
        <w:snapToGrid/>
        <w:spacing w:line="480" w:lineRule="exact"/>
        <w:ind w:firstLine="2310" w:firstLineChars="1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承诺单位代表（签字）：</w:t>
      </w:r>
    </w:p>
    <w:p w14:paraId="4C261905">
      <w:pPr>
        <w:keepNext w:val="0"/>
        <w:keepLines w:val="0"/>
        <w:pageBreakBefore w:val="0"/>
        <w:widowControl w:val="0"/>
        <w:kinsoku/>
        <w:wordWrap/>
        <w:overflowPunct/>
        <w:topLinePunct w:val="0"/>
        <w:autoSpaceDE/>
        <w:autoSpaceDN/>
        <w:bidi w:val="0"/>
        <w:adjustRightInd/>
        <w:snapToGrid/>
        <w:spacing w:line="480" w:lineRule="exact"/>
        <w:ind w:firstLine="2310" w:firstLineChars="1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66D89DEA">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14:paraId="435A679B">
      <w:pPr>
        <w:spacing w:line="400" w:lineRule="exact"/>
        <w:ind w:right="800"/>
        <w:rPr>
          <w:rFonts w:hint="eastAsia" w:ascii="宋体" w:hAnsi="宋体" w:eastAsia="宋体" w:cs="宋体"/>
          <w:color w:val="auto"/>
          <w:szCs w:val="21"/>
          <w:highlight w:val="none"/>
        </w:rPr>
      </w:pPr>
    </w:p>
    <w:p w14:paraId="690B4D95">
      <w:pPr>
        <w:spacing w:line="400" w:lineRule="exact"/>
        <w:ind w:right="800"/>
        <w:rPr>
          <w:rFonts w:hint="eastAsia" w:ascii="宋体" w:hAnsi="宋体" w:eastAsia="宋体" w:cs="宋体"/>
          <w:color w:val="auto"/>
          <w:szCs w:val="21"/>
          <w:highlight w:val="none"/>
        </w:rPr>
      </w:pPr>
    </w:p>
    <w:p w14:paraId="05E4E8F6">
      <w:pPr>
        <w:rPr>
          <w:rFonts w:hint="eastAsia" w:ascii="宋体" w:hAnsi="宋体" w:eastAsia="宋体" w:cs="宋体"/>
          <w:b w:val="0"/>
          <w:color w:val="auto"/>
          <w:highlight w:val="none"/>
        </w:rPr>
      </w:pPr>
      <w:bookmarkStart w:id="158" w:name="_Toc13011"/>
      <w:bookmarkStart w:id="159" w:name="_Toc20915"/>
      <w:bookmarkStart w:id="160" w:name="_Toc610"/>
      <w:bookmarkStart w:id="161" w:name="_Toc80886951"/>
      <w:bookmarkStart w:id="162" w:name="_Toc28283"/>
      <w:bookmarkStart w:id="163" w:name="_Toc178"/>
      <w:bookmarkStart w:id="164" w:name="_Toc8963"/>
      <w:bookmarkStart w:id="165" w:name="_Toc29624"/>
    </w:p>
    <w:p w14:paraId="58957F31">
      <w:pPr>
        <w:pStyle w:val="23"/>
        <w:rPr>
          <w:rFonts w:hint="eastAsia" w:ascii="宋体" w:hAnsi="宋体" w:eastAsia="宋体" w:cs="宋体"/>
          <w:b w:val="0"/>
          <w:color w:val="auto"/>
          <w:highlight w:val="none"/>
        </w:rPr>
      </w:pPr>
    </w:p>
    <w:p w14:paraId="778D1707">
      <w:pPr>
        <w:rPr>
          <w:rFonts w:hint="eastAsia" w:ascii="宋体" w:hAnsi="宋体" w:eastAsia="宋体" w:cs="宋体"/>
          <w:b w:val="0"/>
          <w:color w:val="auto"/>
          <w:highlight w:val="none"/>
        </w:rPr>
      </w:pPr>
    </w:p>
    <w:p w14:paraId="5C48F63B">
      <w:pPr>
        <w:pStyle w:val="23"/>
        <w:rPr>
          <w:rFonts w:hint="eastAsia" w:ascii="宋体" w:hAnsi="宋体" w:eastAsia="宋体" w:cs="宋体"/>
          <w:b w:val="0"/>
          <w:color w:val="auto"/>
          <w:highlight w:val="none"/>
        </w:rPr>
      </w:pPr>
    </w:p>
    <w:p w14:paraId="0C21055B">
      <w:pPr>
        <w:rPr>
          <w:rFonts w:hint="eastAsia" w:ascii="宋体" w:hAnsi="宋体" w:eastAsia="宋体" w:cs="宋体"/>
          <w:b w:val="0"/>
          <w:color w:val="auto"/>
          <w:highlight w:val="none"/>
        </w:rPr>
      </w:pPr>
    </w:p>
    <w:p w14:paraId="3756AE63">
      <w:pPr>
        <w:pStyle w:val="23"/>
        <w:rPr>
          <w:rFonts w:hint="eastAsia" w:ascii="宋体" w:hAnsi="宋体" w:eastAsia="宋体" w:cs="宋体"/>
          <w:b w:val="0"/>
          <w:color w:val="auto"/>
          <w:highlight w:val="none"/>
        </w:rPr>
      </w:pPr>
    </w:p>
    <w:p w14:paraId="1B01E12F">
      <w:pPr>
        <w:rPr>
          <w:rFonts w:hint="eastAsia" w:ascii="宋体" w:hAnsi="宋体" w:eastAsia="宋体" w:cs="宋体"/>
          <w:b w:val="0"/>
          <w:color w:val="auto"/>
          <w:highlight w:val="none"/>
        </w:rPr>
      </w:pPr>
    </w:p>
    <w:p w14:paraId="41FEFFAE">
      <w:pPr>
        <w:pStyle w:val="23"/>
        <w:rPr>
          <w:rFonts w:hint="eastAsia" w:ascii="宋体" w:hAnsi="宋体" w:eastAsia="宋体" w:cs="宋体"/>
          <w:b w:val="0"/>
          <w:color w:val="auto"/>
          <w:highlight w:val="none"/>
        </w:rPr>
      </w:pPr>
    </w:p>
    <w:p w14:paraId="7F6DE9A5">
      <w:pPr>
        <w:rPr>
          <w:rFonts w:hint="eastAsia" w:ascii="宋体" w:hAnsi="宋体" w:eastAsia="宋体" w:cs="宋体"/>
          <w:b w:val="0"/>
          <w:color w:val="auto"/>
          <w:highlight w:val="none"/>
        </w:rPr>
      </w:pPr>
    </w:p>
    <w:p w14:paraId="499BBEA7">
      <w:pPr>
        <w:pStyle w:val="23"/>
        <w:rPr>
          <w:rFonts w:hint="eastAsia" w:ascii="宋体" w:hAnsi="宋体" w:eastAsia="宋体" w:cs="宋体"/>
          <w:b w:val="0"/>
          <w:color w:val="auto"/>
          <w:highlight w:val="none"/>
        </w:rPr>
      </w:pPr>
    </w:p>
    <w:p w14:paraId="34A5E106">
      <w:pPr>
        <w:rPr>
          <w:rFonts w:hint="eastAsia" w:ascii="宋体" w:hAnsi="宋体" w:eastAsia="宋体" w:cs="宋体"/>
          <w:b w:val="0"/>
          <w:color w:val="auto"/>
          <w:highlight w:val="none"/>
        </w:rPr>
      </w:pPr>
    </w:p>
    <w:p w14:paraId="6CE2CD55">
      <w:pPr>
        <w:pStyle w:val="23"/>
        <w:rPr>
          <w:rFonts w:hint="eastAsia" w:ascii="宋体" w:hAnsi="宋体" w:eastAsia="宋体" w:cs="宋体"/>
          <w:b w:val="0"/>
          <w:color w:val="auto"/>
          <w:highlight w:val="none"/>
        </w:rPr>
      </w:pPr>
    </w:p>
    <w:p w14:paraId="2C034273">
      <w:pPr>
        <w:rPr>
          <w:rFonts w:hint="eastAsia" w:ascii="宋体" w:hAnsi="宋体" w:eastAsia="宋体" w:cs="宋体"/>
          <w:b w:val="0"/>
          <w:color w:val="auto"/>
          <w:highlight w:val="none"/>
        </w:rPr>
      </w:pPr>
    </w:p>
    <w:p w14:paraId="414991B8">
      <w:pPr>
        <w:pStyle w:val="23"/>
        <w:rPr>
          <w:rFonts w:hint="eastAsia" w:ascii="宋体" w:hAnsi="宋体" w:eastAsia="宋体" w:cs="宋体"/>
          <w:color w:val="auto"/>
          <w:highlight w:val="none"/>
        </w:rPr>
      </w:pPr>
    </w:p>
    <w:p w14:paraId="1DF52295">
      <w:pPr>
        <w:pStyle w:val="2"/>
        <w:jc w:val="center"/>
        <w:rPr>
          <w:rFonts w:hint="eastAsia" w:ascii="宋体" w:hAnsi="宋体" w:eastAsia="宋体" w:cs="宋体"/>
          <w:color w:val="auto"/>
          <w:highlight w:val="none"/>
        </w:rPr>
        <w:sectPr>
          <w:pgSz w:w="11911" w:h="16838"/>
          <w:pgMar w:top="1134" w:right="1134" w:bottom="1134" w:left="1134" w:header="720" w:footer="720" w:gutter="0"/>
          <w:cols w:space="720" w:num="1"/>
        </w:sectPr>
      </w:pPr>
      <w:r>
        <w:rPr>
          <w:rFonts w:hint="eastAsia" w:ascii="宋体" w:hAnsi="宋体" w:eastAsia="宋体" w:cs="宋体"/>
          <w:b w:val="0"/>
          <w:color w:val="auto"/>
          <w:highlight w:val="none"/>
        </w:rPr>
        <w:t>第七章 质疑、投诉材料格式</w:t>
      </w:r>
      <w:bookmarkEnd w:id="158"/>
      <w:bookmarkEnd w:id="159"/>
      <w:bookmarkEnd w:id="160"/>
      <w:bookmarkEnd w:id="161"/>
      <w:bookmarkEnd w:id="162"/>
      <w:bookmarkEnd w:id="163"/>
      <w:bookmarkEnd w:id="164"/>
      <w:bookmarkEnd w:id="165"/>
    </w:p>
    <w:p w14:paraId="44FC2CB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2F92A3E3">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一、质疑供应商基本信息：</w:t>
      </w:r>
    </w:p>
    <w:p w14:paraId="3541FD5D">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质疑供应商：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1B69BCB6">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28BC0AE">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6D5F51A5">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p>
    <w:p w14:paraId="5DAC1C10">
      <w:pPr>
        <w:spacing w:line="360" w:lineRule="auto"/>
        <w:ind w:firstLine="480" w:firstLineChars="200"/>
        <w:contextualSpacing/>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113E9DA7">
      <w:pPr>
        <w:spacing w:line="360" w:lineRule="auto"/>
        <w:ind w:firstLine="480" w:firstLineChars="200"/>
        <w:contextualSpacing/>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7640F6A">
      <w:pPr>
        <w:spacing w:line="360" w:lineRule="auto"/>
        <w:ind w:firstLine="482" w:firstLineChars="200"/>
        <w:contextualSpacing/>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二、质疑项目基本情况：</w:t>
      </w:r>
    </w:p>
    <w:p w14:paraId="7F08F0A0">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635E84EB">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质疑</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3D85DF2B">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68355665">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w:t>
      </w:r>
    </w:p>
    <w:p w14:paraId="6BF8A280">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□采购文件   采购文件获取日期：</w:t>
      </w:r>
      <w:r>
        <w:rPr>
          <w:rFonts w:hint="eastAsia" w:ascii="宋体" w:hAnsi="宋体" w:eastAsia="宋体" w:cs="宋体"/>
          <w:bCs/>
          <w:color w:val="auto"/>
          <w:kern w:val="0"/>
          <w:sz w:val="24"/>
          <w:highlight w:val="none"/>
          <w:u w:val="single"/>
        </w:rPr>
        <w:t xml:space="preserve">                                   </w:t>
      </w:r>
    </w:p>
    <w:p w14:paraId="3AD6CA54">
      <w:pPr>
        <w:spacing w:line="360" w:lineRule="auto"/>
        <w:ind w:left="25" w:leftChars="12" w:firstLine="352" w:firstLineChars="14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□采购过程   </w:t>
      </w:r>
    </w:p>
    <w:p w14:paraId="0E67FD44">
      <w:pPr>
        <w:spacing w:line="360" w:lineRule="auto"/>
        <w:ind w:left="25" w:leftChars="12" w:firstLine="352" w:firstLineChars="147"/>
        <w:contextualSpacing/>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□成交结果   </w:t>
      </w:r>
    </w:p>
    <w:p w14:paraId="789D2326">
      <w:pPr>
        <w:spacing w:line="360" w:lineRule="auto"/>
        <w:ind w:left="25" w:leftChars="12" w:firstLine="472" w:firstLineChars="196"/>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三、质疑事项具体内容</w:t>
      </w:r>
    </w:p>
    <w:p w14:paraId="18E33C1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质疑事项1：</w:t>
      </w:r>
      <w:r>
        <w:rPr>
          <w:rFonts w:hint="eastAsia" w:ascii="宋体" w:hAnsi="宋体" w:eastAsia="宋体" w:cs="宋体"/>
          <w:bCs/>
          <w:color w:val="auto"/>
          <w:kern w:val="0"/>
          <w:sz w:val="24"/>
          <w:highlight w:val="none"/>
          <w:u w:val="single"/>
        </w:rPr>
        <w:t xml:space="preserve">                                                                    </w:t>
      </w:r>
    </w:p>
    <w:p w14:paraId="5FD1DE57">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事实依据：</w:t>
      </w:r>
      <w:r>
        <w:rPr>
          <w:rFonts w:hint="eastAsia" w:ascii="宋体" w:hAnsi="宋体" w:eastAsia="宋体" w:cs="宋体"/>
          <w:bCs/>
          <w:color w:val="auto"/>
          <w:kern w:val="0"/>
          <w:sz w:val="24"/>
          <w:highlight w:val="none"/>
          <w:u w:val="single"/>
        </w:rPr>
        <w:t xml:space="preserve">                                                                      </w:t>
      </w:r>
    </w:p>
    <w:p w14:paraId="2DF0C21A">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法律依据：</w:t>
      </w:r>
      <w:r>
        <w:rPr>
          <w:rFonts w:hint="eastAsia" w:ascii="宋体" w:hAnsi="宋体" w:eastAsia="宋体" w:cs="宋体"/>
          <w:color w:val="auto"/>
          <w:kern w:val="0"/>
          <w:sz w:val="24"/>
          <w:highlight w:val="none"/>
          <w:u w:val="single"/>
        </w:rPr>
        <w:t xml:space="preserve">                                                        </w:t>
      </w:r>
      <w:r>
        <w:rPr>
          <w:rFonts w:hint="eastAsia" w:ascii="宋体" w:hAnsi="宋体" w:eastAsia="宋体" w:cs="宋体"/>
          <w:bCs/>
          <w:color w:val="auto"/>
          <w:kern w:val="0"/>
          <w:sz w:val="24"/>
          <w:highlight w:val="none"/>
          <w:u w:val="single"/>
        </w:rPr>
        <w:t xml:space="preserve">               </w:t>
      </w:r>
    </w:p>
    <w:p w14:paraId="2DBA78A4">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质疑事项2</w:t>
      </w:r>
    </w:p>
    <w:p w14:paraId="1B52FA57">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25D1EFCE">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四、与质疑事项相关的质疑请求：</w:t>
      </w:r>
    </w:p>
    <w:p w14:paraId="26FE7CAC">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120E9FE9">
      <w:pPr>
        <w:spacing w:line="360" w:lineRule="auto"/>
        <w:ind w:left="25" w:leftChars="12" w:firstLine="352" w:firstLineChars="147"/>
        <w:contextualSpacing/>
        <w:rPr>
          <w:rFonts w:hint="eastAsia" w:ascii="宋体" w:hAnsi="宋体" w:eastAsia="宋体" w:cs="宋体"/>
          <w:color w:val="auto"/>
          <w:kern w:val="0"/>
          <w:sz w:val="24"/>
          <w:highlight w:val="none"/>
        </w:rPr>
      </w:pPr>
    </w:p>
    <w:p w14:paraId="74166CF2">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0A7BF6B9">
      <w:pPr>
        <w:spacing w:line="360" w:lineRule="auto"/>
        <w:ind w:left="25" w:leftChars="12" w:firstLine="352" w:firstLineChars="147"/>
        <w:contextualSpacing/>
        <w:rPr>
          <w:rFonts w:hint="eastAsia" w:ascii="宋体" w:hAnsi="宋体" w:eastAsia="宋体" w:cs="宋体"/>
          <w:color w:val="auto"/>
          <w:kern w:val="0"/>
          <w:sz w:val="24"/>
          <w:highlight w:val="none"/>
        </w:rPr>
      </w:pPr>
    </w:p>
    <w:p w14:paraId="52F89200">
      <w:pPr>
        <w:spacing w:line="360" w:lineRule="auto"/>
        <w:ind w:left="25" w:leftChars="12" w:firstLine="472" w:firstLineChars="197"/>
        <w:contextualSpacing/>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4AB3EF27">
      <w:pPr>
        <w:spacing w:line="360" w:lineRule="auto"/>
        <w:contextualSpacing/>
        <w:rPr>
          <w:rFonts w:hint="eastAsia" w:ascii="宋体" w:hAnsi="宋体" w:eastAsia="宋体" w:cs="宋体"/>
          <w:b/>
          <w:color w:val="auto"/>
          <w:kern w:val="0"/>
          <w:sz w:val="24"/>
          <w:highlight w:val="none"/>
        </w:rPr>
      </w:pPr>
    </w:p>
    <w:p w14:paraId="7EDCFC3A">
      <w:pPr>
        <w:spacing w:line="360" w:lineRule="auto"/>
        <w:contextualSpacing/>
        <w:rPr>
          <w:rFonts w:hint="eastAsia" w:ascii="宋体" w:hAnsi="宋体" w:eastAsia="宋体" w:cs="宋体"/>
          <w:b/>
          <w:color w:val="auto"/>
          <w:kern w:val="0"/>
          <w:sz w:val="24"/>
          <w:highlight w:val="none"/>
        </w:rPr>
      </w:pPr>
    </w:p>
    <w:p w14:paraId="02D1C059">
      <w:pPr>
        <w:spacing w:line="360" w:lineRule="auto"/>
        <w:contextualSpacing/>
        <w:rPr>
          <w:rFonts w:hint="eastAsia" w:ascii="宋体" w:hAnsi="宋体" w:eastAsia="宋体" w:cs="宋体"/>
          <w:b/>
          <w:color w:val="auto"/>
          <w:kern w:val="0"/>
          <w:sz w:val="24"/>
          <w:highlight w:val="none"/>
        </w:rPr>
      </w:pPr>
    </w:p>
    <w:p w14:paraId="5DA08CB2">
      <w:pPr>
        <w:spacing w:line="360" w:lineRule="auto"/>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5D7CF657">
      <w:pPr>
        <w:spacing w:line="360" w:lineRule="auto"/>
        <w:ind w:left="25" w:leftChars="12" w:firstLine="354" w:firstLineChars="147"/>
        <w:contextualSpacing/>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1.供应商提出质疑时，应提交质疑函和必要的证明材料</w:t>
      </w:r>
      <w:r>
        <w:rPr>
          <w:rFonts w:hint="eastAsia" w:ascii="宋体" w:hAnsi="宋体" w:eastAsia="宋体" w:cs="宋体"/>
          <w:b/>
          <w:bCs/>
          <w:color w:val="auto"/>
          <w:kern w:val="0"/>
          <w:sz w:val="24"/>
          <w:highlight w:val="none"/>
        </w:rPr>
        <w:t>。</w:t>
      </w:r>
    </w:p>
    <w:p w14:paraId="253E79C2">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F5C9002">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3.质疑函的质疑事项应具体、明确，并有必要的事实依据和法律依据。</w:t>
      </w:r>
    </w:p>
    <w:p w14:paraId="6A57EBDA">
      <w:pPr>
        <w:spacing w:line="360" w:lineRule="auto"/>
        <w:ind w:left="25" w:leftChars="12" w:firstLine="354" w:firstLineChars="147"/>
        <w:contextualSpacing/>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4.质疑函的质疑请求应与质疑事项相关。</w:t>
      </w:r>
    </w:p>
    <w:p w14:paraId="433418E3">
      <w:pPr>
        <w:spacing w:line="360" w:lineRule="auto"/>
        <w:ind w:left="25" w:leftChars="12" w:firstLine="354" w:firstLineChars="147"/>
        <w:contextualSpacing/>
        <w:rPr>
          <w:rFonts w:hint="eastAsia" w:ascii="宋体" w:hAnsi="宋体" w:eastAsia="宋体" w:cs="宋体"/>
          <w:b/>
          <w:color w:val="auto"/>
          <w:kern w:val="0"/>
          <w:sz w:val="20"/>
          <w:szCs w:val="21"/>
          <w:highlight w:val="none"/>
        </w:rPr>
      </w:pPr>
      <w:r>
        <w:rPr>
          <w:rFonts w:hint="eastAsia" w:ascii="宋体" w:hAnsi="宋体" w:eastAsia="宋体" w:cs="宋体"/>
          <w:b/>
          <w:color w:val="auto"/>
          <w:kern w:val="0"/>
          <w:sz w:val="24"/>
          <w:highlight w:val="none"/>
        </w:rPr>
        <w:t>5.质疑供应商为法人或者其他组织的，质疑函应由法定代表人、主要负责人，或者其授权代表签字或者盖章，并加盖公章。</w:t>
      </w:r>
    </w:p>
    <w:p w14:paraId="78DFB2FE">
      <w:pPr>
        <w:snapToGrid w:val="0"/>
        <w:rPr>
          <w:rFonts w:hint="eastAsia" w:ascii="宋体" w:hAnsi="宋体" w:eastAsia="宋体" w:cs="宋体"/>
          <w:b/>
          <w:color w:val="auto"/>
          <w:kern w:val="0"/>
          <w:sz w:val="24"/>
          <w:highlight w:val="none"/>
        </w:rPr>
      </w:pPr>
    </w:p>
    <w:p w14:paraId="16A557D8">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2C97E4F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7C2EEE46">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一、投诉相关主体基本情况：</w:t>
      </w:r>
    </w:p>
    <w:p w14:paraId="23FB60EF">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供应商：</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2846FC71">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5653D3DB">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法定代表人/主要负责人：</w:t>
      </w:r>
      <w:r>
        <w:rPr>
          <w:rFonts w:hint="eastAsia" w:ascii="宋体" w:hAnsi="宋体" w:eastAsia="宋体" w:cs="宋体"/>
          <w:bCs/>
          <w:color w:val="auto"/>
          <w:kern w:val="0"/>
          <w:sz w:val="24"/>
          <w:highlight w:val="none"/>
          <w:u w:val="single"/>
        </w:rPr>
        <w:t xml:space="preserve">                                                         </w:t>
      </w:r>
    </w:p>
    <w:p w14:paraId="0E274DDA">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5B364C8F">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授权代表：</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4A9F6491">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226D3DC0">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39DD1340">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被投诉人1：</w:t>
      </w:r>
    </w:p>
    <w:p w14:paraId="63513D16">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p>
    <w:p w14:paraId="1AF5F7D0">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1FE2E18F">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p>
    <w:p w14:paraId="79A1D14F">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被投诉人2：</w:t>
      </w:r>
    </w:p>
    <w:p w14:paraId="4B3FC1AF">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4405A050">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相关供应商：</w:t>
      </w:r>
      <w:r>
        <w:rPr>
          <w:rFonts w:hint="eastAsia" w:ascii="宋体" w:hAnsi="宋体" w:eastAsia="宋体" w:cs="宋体"/>
          <w:bCs/>
          <w:color w:val="auto"/>
          <w:kern w:val="0"/>
          <w:sz w:val="24"/>
          <w:highlight w:val="none"/>
          <w:u w:val="single"/>
        </w:rPr>
        <w:t xml:space="preserve">                                                                       </w:t>
      </w:r>
    </w:p>
    <w:p w14:paraId="79298895">
      <w:pPr>
        <w:snapToGrid w:val="0"/>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地址：</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邮编：</w:t>
      </w:r>
      <w:r>
        <w:rPr>
          <w:rFonts w:hint="eastAsia" w:ascii="宋体" w:hAnsi="宋体" w:eastAsia="宋体" w:cs="宋体"/>
          <w:bCs/>
          <w:color w:val="auto"/>
          <w:kern w:val="0"/>
          <w:sz w:val="24"/>
          <w:highlight w:val="none"/>
          <w:u w:val="single"/>
        </w:rPr>
        <w:t xml:space="preserve">                         </w:t>
      </w:r>
    </w:p>
    <w:p w14:paraId="1584404D">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联系人：</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联系电话：</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rPr>
        <w:t xml:space="preserve">                </w:t>
      </w:r>
    </w:p>
    <w:p w14:paraId="524FDF4C">
      <w:pPr>
        <w:snapToGrid w:val="0"/>
        <w:spacing w:line="360" w:lineRule="auto"/>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二、投诉项目基本情况：</w:t>
      </w:r>
    </w:p>
    <w:p w14:paraId="427E48CB">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项目的名称：</w:t>
      </w:r>
      <w:r>
        <w:rPr>
          <w:rFonts w:hint="eastAsia" w:ascii="宋体" w:hAnsi="宋体" w:eastAsia="宋体" w:cs="宋体"/>
          <w:bCs/>
          <w:color w:val="auto"/>
          <w:kern w:val="0"/>
          <w:sz w:val="24"/>
          <w:highlight w:val="none"/>
          <w:u w:val="single"/>
        </w:rPr>
        <w:t xml:space="preserve">                                                                   </w:t>
      </w:r>
    </w:p>
    <w:p w14:paraId="60AF39B1">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采购</w:t>
      </w:r>
      <w:r>
        <w:rPr>
          <w:rFonts w:hint="eastAsia" w:ascii="宋体" w:hAnsi="宋体" w:eastAsia="宋体" w:cs="宋体"/>
          <w:color w:val="auto"/>
          <w:kern w:val="0"/>
          <w:sz w:val="24"/>
          <w:highlight w:val="none"/>
        </w:rPr>
        <w:t>项目的编号：</w:t>
      </w:r>
      <w:r>
        <w:rPr>
          <w:rFonts w:hint="eastAsia" w:ascii="宋体" w:hAnsi="宋体" w:eastAsia="宋体" w:cs="宋体"/>
          <w:bCs/>
          <w:color w:val="auto"/>
          <w:kern w:val="0"/>
          <w:sz w:val="24"/>
          <w:highlight w:val="none"/>
          <w:u w:val="single"/>
        </w:rPr>
        <w:t xml:space="preserve">                                          </w:t>
      </w:r>
    </w:p>
    <w:p w14:paraId="5875C064">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采购人名称：</w:t>
      </w:r>
      <w:r>
        <w:rPr>
          <w:rFonts w:hint="eastAsia" w:ascii="宋体" w:hAnsi="宋体" w:eastAsia="宋体" w:cs="宋体"/>
          <w:bCs/>
          <w:color w:val="auto"/>
          <w:kern w:val="0"/>
          <w:sz w:val="24"/>
          <w:highlight w:val="none"/>
          <w:u w:val="single"/>
        </w:rPr>
        <w:t xml:space="preserve">                                                                        </w:t>
      </w:r>
    </w:p>
    <w:p w14:paraId="03526CF6">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代理机构名称：</w:t>
      </w:r>
      <w:r>
        <w:rPr>
          <w:rFonts w:hint="eastAsia" w:ascii="宋体" w:hAnsi="宋体" w:eastAsia="宋体" w:cs="宋体"/>
          <w:bCs/>
          <w:color w:val="auto"/>
          <w:kern w:val="0"/>
          <w:sz w:val="24"/>
          <w:highlight w:val="none"/>
          <w:u w:val="single"/>
        </w:rPr>
        <w:t xml:space="preserve">                                                                      </w:t>
      </w:r>
    </w:p>
    <w:p w14:paraId="4EB6FB85">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采购文件公告：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1B0975E8">
      <w:pPr>
        <w:spacing w:line="360" w:lineRule="auto"/>
        <w:ind w:left="25" w:leftChars="12" w:firstLine="472" w:firstLineChars="197"/>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采购结果公告：</w:t>
      </w:r>
      <w:r>
        <w:rPr>
          <w:rFonts w:hint="eastAsia" w:ascii="宋体" w:hAnsi="宋体" w:eastAsia="宋体" w:cs="宋体"/>
          <w:bCs/>
          <w:color w:val="auto"/>
          <w:kern w:val="0"/>
          <w:sz w:val="24"/>
          <w:highlight w:val="none"/>
          <w:u w:val="single"/>
        </w:rPr>
        <w:t>是/否</w:t>
      </w:r>
      <w:r>
        <w:rPr>
          <w:rFonts w:hint="eastAsia" w:ascii="宋体" w:hAnsi="宋体" w:eastAsia="宋体" w:cs="宋体"/>
          <w:bCs/>
          <w:color w:val="auto"/>
          <w:kern w:val="0"/>
          <w:sz w:val="24"/>
          <w:highlight w:val="none"/>
        </w:rPr>
        <w:t>公告期限：</w:t>
      </w:r>
      <w:r>
        <w:rPr>
          <w:rFonts w:hint="eastAsia" w:ascii="宋体" w:hAnsi="宋体" w:eastAsia="宋体" w:cs="宋体"/>
          <w:bCs/>
          <w:color w:val="auto"/>
          <w:kern w:val="0"/>
          <w:sz w:val="24"/>
          <w:highlight w:val="none"/>
          <w:u w:val="single"/>
        </w:rPr>
        <w:t xml:space="preserve">                                                       </w:t>
      </w:r>
    </w:p>
    <w:p w14:paraId="68D46A38">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三、质疑基本情况</w:t>
      </w:r>
    </w:p>
    <w:p w14:paraId="2173A33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投诉人于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日，向</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提出质疑，质疑事项为：</w:t>
      </w:r>
    </w:p>
    <w:p w14:paraId="337536BE">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6936F69D">
      <w:pPr>
        <w:spacing w:line="360" w:lineRule="auto"/>
        <w:ind w:firstLine="241"/>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4C915B7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采购人/采购代理机构</w:t>
      </w:r>
      <w:r>
        <w:rPr>
          <w:rFonts w:hint="eastAsia" w:ascii="宋体" w:hAnsi="宋体" w:eastAsia="宋体" w:cs="宋体"/>
          <w:bCs/>
          <w:color w:val="auto"/>
          <w:kern w:val="0"/>
          <w:sz w:val="24"/>
          <w:highlight w:val="none"/>
        </w:rPr>
        <w:t>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r>
        <w:rPr>
          <w:rFonts w:hint="eastAsia" w:ascii="宋体" w:hAnsi="宋体" w:eastAsia="宋体" w:cs="宋体"/>
          <w:bCs/>
          <w:color w:val="auto"/>
          <w:kern w:val="0"/>
          <w:sz w:val="24"/>
          <w:highlight w:val="none"/>
        </w:rPr>
        <w:t xml:space="preserve">就质疑事项作出了答复/没有在法定期限内作出答复。                                                                                             </w:t>
      </w:r>
    </w:p>
    <w:p w14:paraId="1A654A7D">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四、投诉事项具体内容</w:t>
      </w:r>
    </w:p>
    <w:p w14:paraId="04489A7C">
      <w:pPr>
        <w:spacing w:line="360" w:lineRule="auto"/>
        <w:ind w:left="25" w:leftChars="12" w:firstLine="472" w:firstLineChars="197"/>
        <w:rPr>
          <w:rFonts w:hint="eastAsia" w:ascii="宋体" w:hAnsi="宋体" w:eastAsia="宋体" w:cs="宋体"/>
          <w:bCs/>
          <w:color w:val="auto"/>
          <w:kern w:val="0"/>
          <w:sz w:val="24"/>
          <w:highlight w:val="none"/>
          <w:u w:val="single"/>
        </w:rPr>
      </w:pPr>
      <w:r>
        <w:rPr>
          <w:rFonts w:hint="eastAsia" w:ascii="宋体" w:hAnsi="宋体" w:eastAsia="宋体" w:cs="宋体"/>
          <w:color w:val="auto"/>
          <w:kern w:val="0"/>
          <w:sz w:val="24"/>
          <w:highlight w:val="none"/>
        </w:rPr>
        <w:t>投诉事项1：</w:t>
      </w:r>
      <w:r>
        <w:rPr>
          <w:rFonts w:hint="eastAsia" w:ascii="宋体" w:hAnsi="宋体" w:eastAsia="宋体" w:cs="宋体"/>
          <w:bCs/>
          <w:color w:val="auto"/>
          <w:kern w:val="0"/>
          <w:sz w:val="24"/>
          <w:highlight w:val="none"/>
          <w:u w:val="single"/>
        </w:rPr>
        <w:t xml:space="preserve">                                                                           </w:t>
      </w:r>
    </w:p>
    <w:p w14:paraId="29861786">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事实依据：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439079DA">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u w:val="single"/>
        </w:rPr>
        <w:t xml:space="preserve">                                                                                        </w:t>
      </w:r>
    </w:p>
    <w:p w14:paraId="546E1ED9">
      <w:pPr>
        <w:spacing w:line="360" w:lineRule="auto"/>
        <w:ind w:firstLine="480" w:firstLineChars="200"/>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法律依据：</w:t>
      </w:r>
      <w:r>
        <w:rPr>
          <w:rFonts w:hint="eastAsia" w:ascii="宋体" w:hAnsi="宋体" w:eastAsia="宋体" w:cs="宋体"/>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0D36150F">
      <w:pPr>
        <w:spacing w:line="360" w:lineRule="auto"/>
        <w:ind w:left="25" w:leftChars="12" w:firstLine="352" w:firstLineChars="147"/>
        <w:rPr>
          <w:rFonts w:hint="eastAsia" w:ascii="宋体" w:hAnsi="宋体" w:eastAsia="宋体" w:cs="宋体"/>
          <w:bCs/>
          <w:color w:val="auto"/>
          <w:kern w:val="0"/>
          <w:sz w:val="24"/>
          <w:highlight w:val="none"/>
          <w:u w:val="single"/>
        </w:rPr>
      </w:pPr>
      <w:r>
        <w:rPr>
          <w:rFonts w:hint="eastAsia" w:ascii="宋体" w:hAnsi="宋体" w:eastAsia="宋体" w:cs="宋体"/>
          <w:bCs/>
          <w:color w:val="auto"/>
          <w:kern w:val="0"/>
          <w:sz w:val="24"/>
          <w:highlight w:val="none"/>
        </w:rPr>
        <w:t xml:space="preserve"> </w:t>
      </w:r>
      <w:r>
        <w:rPr>
          <w:rFonts w:hint="eastAsia" w:ascii="宋体" w:hAnsi="宋体" w:eastAsia="宋体" w:cs="宋体"/>
          <w:bCs/>
          <w:color w:val="auto"/>
          <w:kern w:val="0"/>
          <w:sz w:val="24"/>
          <w:highlight w:val="none"/>
          <w:u w:val="single"/>
        </w:rPr>
        <w:t xml:space="preserve">                                                                                        </w:t>
      </w:r>
    </w:p>
    <w:p w14:paraId="4EED408A">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 xml:space="preserve">投诉事项2  </w:t>
      </w:r>
      <w:r>
        <w:rPr>
          <w:rFonts w:hint="eastAsia" w:ascii="宋体" w:hAnsi="宋体" w:eastAsia="宋体" w:cs="宋体"/>
          <w:bCs/>
          <w:color w:val="auto"/>
          <w:kern w:val="0"/>
          <w:sz w:val="24"/>
          <w:highlight w:val="none"/>
        </w:rPr>
        <w:t xml:space="preserve">   </w:t>
      </w:r>
    </w:p>
    <w:p w14:paraId="29C989E5">
      <w:pPr>
        <w:spacing w:line="360" w:lineRule="auto"/>
        <w:ind w:left="25" w:leftChars="12" w:firstLine="472" w:firstLineChars="197"/>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w:t>
      </w:r>
    </w:p>
    <w:p w14:paraId="61B66DFC">
      <w:pPr>
        <w:spacing w:line="360" w:lineRule="auto"/>
        <w:ind w:left="25" w:leftChars="12"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五、与投诉事项相关的投诉请求：</w:t>
      </w:r>
    </w:p>
    <w:p w14:paraId="0A6BA0D9">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请求：</w:t>
      </w:r>
      <w:r>
        <w:rPr>
          <w:rFonts w:hint="eastAsia" w:ascii="宋体" w:hAnsi="宋体" w:eastAsia="宋体" w:cs="宋体"/>
          <w:bCs/>
          <w:color w:val="auto"/>
          <w:kern w:val="0"/>
          <w:sz w:val="24"/>
          <w:highlight w:val="none"/>
          <w:u w:val="single"/>
        </w:rPr>
        <w:t xml:space="preserve">                                                                                 </w:t>
      </w:r>
    </w:p>
    <w:p w14:paraId="3896D6DB">
      <w:pPr>
        <w:spacing w:line="360" w:lineRule="auto"/>
        <w:ind w:left="25" w:leftChars="12" w:firstLine="352" w:firstLineChars="147"/>
        <w:rPr>
          <w:rFonts w:hint="eastAsia" w:ascii="宋体" w:hAnsi="宋体" w:eastAsia="宋体" w:cs="宋体"/>
          <w:color w:val="auto"/>
          <w:kern w:val="0"/>
          <w:sz w:val="24"/>
          <w:highlight w:val="none"/>
        </w:rPr>
      </w:pPr>
    </w:p>
    <w:p w14:paraId="039CF3FA">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签字（签章）：                                       公章：</w:t>
      </w:r>
    </w:p>
    <w:p w14:paraId="0B9043D6">
      <w:pPr>
        <w:spacing w:line="360" w:lineRule="auto"/>
        <w:ind w:left="25" w:leftChars="12" w:firstLine="352" w:firstLineChars="147"/>
        <w:rPr>
          <w:rFonts w:hint="eastAsia" w:ascii="宋体" w:hAnsi="宋体" w:eastAsia="宋体" w:cs="宋体"/>
          <w:color w:val="auto"/>
          <w:kern w:val="0"/>
          <w:sz w:val="24"/>
          <w:highlight w:val="none"/>
        </w:rPr>
      </w:pPr>
    </w:p>
    <w:p w14:paraId="1594AF69">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14:paraId="2F05CD39">
      <w:pPr>
        <w:spacing w:line="360" w:lineRule="auto"/>
        <w:ind w:left="25" w:leftChars="12" w:firstLine="472" w:firstLineChars="197"/>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 xml:space="preserve">                                                                                 </w:t>
      </w:r>
    </w:p>
    <w:p w14:paraId="193D7A72">
      <w:pPr>
        <w:snapToGrid w:val="0"/>
        <w:spacing w:line="360" w:lineRule="auto"/>
        <w:rPr>
          <w:rFonts w:hint="eastAsia" w:ascii="宋体" w:hAnsi="宋体" w:eastAsia="宋体" w:cs="宋体"/>
          <w:b/>
          <w:color w:val="auto"/>
          <w:kern w:val="0"/>
          <w:sz w:val="24"/>
          <w:highlight w:val="none"/>
        </w:rPr>
      </w:pPr>
    </w:p>
    <w:p w14:paraId="7C01291E">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说明：</w:t>
      </w:r>
    </w:p>
    <w:p w14:paraId="17159E38">
      <w:pPr>
        <w:spacing w:line="360" w:lineRule="auto"/>
        <w:ind w:left="25" w:leftChars="12" w:firstLine="354" w:firstLineChars="147"/>
        <w:rPr>
          <w:rFonts w:hint="eastAsia" w:ascii="宋体" w:hAnsi="宋体" w:eastAsia="宋体" w:cs="宋体"/>
          <w:b/>
          <w:bCs/>
          <w:color w:val="auto"/>
          <w:kern w:val="0"/>
          <w:sz w:val="24"/>
          <w:highlight w:val="none"/>
        </w:rPr>
      </w:pPr>
      <w:r>
        <w:rPr>
          <w:rFonts w:hint="eastAsia" w:ascii="宋体" w:hAnsi="宋体" w:eastAsia="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highlight w:val="none"/>
        </w:rPr>
        <w:t>。</w:t>
      </w:r>
    </w:p>
    <w:p w14:paraId="41DE1702">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37A9A8E">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3.投诉书应简要列明质疑事项，质疑函、质疑答复等作为附件材料提供。</w:t>
      </w:r>
    </w:p>
    <w:p w14:paraId="2427128D">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4.投诉书的投诉事项应具体、明确，并有必要的事实依据和法律依据。</w:t>
      </w:r>
    </w:p>
    <w:p w14:paraId="4EDB37D6">
      <w:pPr>
        <w:spacing w:line="360" w:lineRule="auto"/>
        <w:ind w:left="25" w:leftChars="12" w:firstLine="354" w:firstLineChars="147"/>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5.投诉书的投诉请求应与投诉事项相关。</w:t>
      </w:r>
    </w:p>
    <w:p w14:paraId="12EB6284">
      <w:pPr>
        <w:spacing w:line="360" w:lineRule="auto"/>
        <w:ind w:left="25" w:leftChars="12" w:firstLine="354" w:firstLineChars="147"/>
        <w:rPr>
          <w:rFonts w:hint="eastAsia" w:ascii="宋体" w:hAnsi="宋体" w:eastAsia="宋体" w:cs="宋体"/>
          <w:color w:val="auto"/>
          <w:highlight w:val="none"/>
        </w:rPr>
      </w:pPr>
      <w:r>
        <w:rPr>
          <w:rFonts w:hint="eastAsia" w:ascii="宋体" w:hAnsi="宋体" w:eastAsia="宋体" w:cs="宋体"/>
          <w:b/>
          <w:color w:val="auto"/>
          <w:kern w:val="0"/>
          <w:sz w:val="24"/>
          <w:highlight w:val="none"/>
        </w:rPr>
        <w:t>6.投诉人为法人或者其他组织的，投诉书应由法定代表人、主要负责人，或者其授权代表签字或者盖章，并加盖公章。</w:t>
      </w:r>
    </w:p>
    <w:p w14:paraId="50A23AEB">
      <w:pPr>
        <w:rPr>
          <w:rFonts w:hint="eastAsia" w:ascii="宋体" w:hAnsi="宋体" w:eastAsia="宋体" w:cs="宋体"/>
          <w:color w:val="auto"/>
          <w:highlight w:val="none"/>
        </w:rPr>
      </w:pPr>
    </w:p>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E625A9C-0EAA-435E-982C-C7C36A3E558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CA88711-5D40-43D6-849B-A10DB6A16B14}"/>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DejaVu Sans">
    <w:altName w:val="Segoe Print"/>
    <w:panose1 w:val="020B0606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FF3E2">
    <w:pPr>
      <w:pStyle w:val="23"/>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0BBD">
    <w:pPr>
      <w:pStyle w:val="23"/>
      <w:framePr w:wrap="around" w:vAnchor="text" w:hAnchor="margin" w:xAlign="center" w:y="1"/>
      <w:rPr>
        <w:rStyle w:val="36"/>
        <w:rFonts w:ascii="Calibri" w:hAnsi="Calibri"/>
        <w:sz w:val="21"/>
      </w:rPr>
    </w:pPr>
    <w:r>
      <w:rPr>
        <w:rFonts w:ascii="Calibri" w:hAnsi="Calibri"/>
        <w:sz w:val="21"/>
      </w:rPr>
      <w:fldChar w:fldCharType="begin"/>
    </w:r>
    <w:r>
      <w:rPr>
        <w:rStyle w:val="36"/>
        <w:rFonts w:ascii="Calibri" w:hAnsi="Calibri"/>
        <w:sz w:val="21"/>
      </w:rPr>
      <w:instrText xml:space="preserve">PAGE  </w:instrText>
    </w:r>
    <w:r>
      <w:rPr>
        <w:rFonts w:ascii="Calibri" w:hAnsi="Calibri"/>
        <w:sz w:val="21"/>
      </w:rPr>
      <w:fldChar w:fldCharType="separate"/>
    </w:r>
    <w:r>
      <w:rPr>
        <w:rStyle w:val="36"/>
        <w:rFonts w:ascii="Calibri" w:hAnsi="Calibri"/>
        <w:sz w:val="21"/>
      </w:rPr>
      <w:t>0</w:t>
    </w:r>
    <w:r>
      <w:rPr>
        <w:rFonts w:ascii="Calibri" w:hAnsi="Calibri"/>
        <w:sz w:val="21"/>
      </w:rPr>
      <w:fldChar w:fldCharType="end"/>
    </w:r>
  </w:p>
  <w:p w14:paraId="0D3F648E">
    <w:pPr>
      <w:pStyle w:val="23"/>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19DE">
    <w:pPr>
      <w:pStyle w:val="23"/>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2333A2">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LTkcsBAACcAwAADgAAAGRycy9lMm9Eb2MueG1srVPNjtMwEL4j8Q6W&#10;79RpE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a+W&#10;L2+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Ay05HLAQAAnAMAAA4AAAAAAAAAAQAgAAAAHgEAAGRycy9lMm9E&#10;b2MueG1sUEsFBgAAAAAGAAYAWQEAAFsFAAAAAA==&#10;">
              <v:fill on="f" focussize="0,0"/>
              <v:stroke on="f"/>
              <v:imagedata o:title=""/>
              <o:lock v:ext="edit" aspectratio="f"/>
              <v:textbox inset="0mm,0mm,0mm,0mm" style="mso-fit-shape-to-text:t;">
                <w:txbxContent>
                  <w:p w14:paraId="222333A2">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6B8E3">
    <w:pPr>
      <w:pStyle w:val="23"/>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40ED18">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7my8wBAACcAwAADgAAAGRycy9lMm9Eb2MueG1srVNLbtswEN0XyB0I&#10;7mPKAhI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YlJZYbHPj5x/fzz9/nX9/I&#10;zbK8TR3qPVSY+OgxNQ7v3IB7M/sBnUn40AaTviiJYBz7e7r0Vw6RiPRoVa5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jubLzAEAAJwDAAAOAAAAAAAAAAEAIAAAAB4BAABkcnMvZTJv&#10;RG9jLnhtbFBLBQYAAAAABgAGAFkBAABcBQAAAAA=&#10;">
              <v:fill on="f" focussize="0,0"/>
              <v:stroke on="f"/>
              <v:imagedata o:title=""/>
              <o:lock v:ext="edit" aspectratio="f"/>
              <v:textbox inset="0mm,0mm,0mm,0mm" style="mso-fit-shape-to-text:t;">
                <w:txbxContent>
                  <w:p w14:paraId="4140ED18">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E0D6F">
    <w:pPr>
      <w:pStyle w:val="23"/>
      <w:jc w:val="center"/>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5CD958">
                          <w:pPr>
                            <w:pStyle w:val="2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24GEKzAEAAJwDAAAOAAAAAAAAAAEAIAAAAB4BAABkcnMvZTJv&#10;RG9jLnhtbFBLBQYAAAAABgAGAFkBAABcBQAAAAA=&#10;">
              <v:fill on="f" focussize="0,0"/>
              <v:stroke on="f"/>
              <v:imagedata o:title=""/>
              <o:lock v:ext="edit" aspectratio="f"/>
              <v:textbox inset="0mm,0mm,0mm,0mm" style="mso-fit-shape-to-text:t;">
                <w:txbxContent>
                  <w:p w14:paraId="1B5CD958">
                    <w:pPr>
                      <w:pStyle w:val="2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14:paraId="6D291B79">
    <w:pPr>
      <w:pStyle w:val="23"/>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AA0BA">
    <w:pPr>
      <w:pStyle w:val="2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6C1300">
                          <w:pPr>
                            <w:pStyle w:val="23"/>
                            <w:jc w:val="cente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sN0c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6w3RzAEAAJwDAAAOAAAAAAAAAAEAIAAAAB4BAABkcnMvZTJv&#10;RG9jLnhtbFBLBQYAAAAABgAGAFkBAABcBQAAAAA=&#10;">
              <v:fill on="f" focussize="0,0"/>
              <v:stroke on="f"/>
              <v:imagedata o:title=""/>
              <o:lock v:ext="edit" aspectratio="f"/>
              <v:textbox inset="0mm,0mm,0mm,0mm" style="mso-fit-shape-to-text:t;">
                <w:txbxContent>
                  <w:p w14:paraId="2E6C1300">
                    <w:pPr>
                      <w:pStyle w:val="23"/>
                      <w:jc w:val="cente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v:textbox>
            </v:shape>
          </w:pict>
        </mc:Fallback>
      </mc:AlternateContent>
    </w:r>
  </w:p>
  <w:p w14:paraId="756618B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C7F9D">
    <w:pPr>
      <w:pStyle w:val="24"/>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9F7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9EE0">
    <w:pPr>
      <w:pStyle w:val="24"/>
      <w:tabs>
        <w:tab w:val="center" w:pos="0"/>
        <w:tab w:val="clear" w:pos="4153"/>
      </w:tabs>
      <w:rPr>
        <w:rFonts w:ascii="Calibri" w:hAnsi="Calibri"/>
      </w:rPr>
    </w:pPr>
    <w:r>
      <w:rPr>
        <w:rFonts w:hint="eastAsia" w:ascii="Calibri" w:hAnsi="Calibri"/>
      </w:rPr>
      <w:t>南宁市政府采购竞争性磋商采购文件（项目编号：NNZC2021-C3--KLZB）</w:t>
    </w:r>
  </w:p>
  <w:p w14:paraId="6A28F16A">
    <w:pPr>
      <w:pStyle w:val="24"/>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C845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95E7">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7A35B"/>
    <w:multiLevelType w:val="singleLevel"/>
    <w:tmpl w:val="C417A35B"/>
    <w:lvl w:ilvl="0" w:tentative="0">
      <w:start w:val="1"/>
      <w:numFmt w:val="chineseCounting"/>
      <w:suff w:val="nothing"/>
      <w:lvlText w:val="第%1条　"/>
      <w:lvlJc w:val="left"/>
      <w:rPr>
        <w:rFonts w:hint="eastAsia"/>
        <w:b/>
        <w:bCs/>
      </w:rPr>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3"/>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abstractNum w:abstractNumId="3">
    <w:nsid w:val="300143DE"/>
    <w:multiLevelType w:val="multilevel"/>
    <w:tmpl w:val="300143DE"/>
    <w:lvl w:ilvl="0" w:tentative="0">
      <w:start w:val="1"/>
      <w:numFmt w:val="decimal"/>
      <w:lvlText w:val="%1"/>
      <w:lvlJc w:val="left"/>
      <w:pPr>
        <w:ind w:left="425" w:hanging="425"/>
      </w:pPr>
      <w:rPr>
        <w:rFonts w:hint="eastAsia"/>
      </w:rPr>
    </w:lvl>
    <w:lvl w:ilvl="1" w:tentative="0">
      <w:start w:val="1"/>
      <w:numFmt w:val="lowerLetter"/>
      <w:lvlText w:val="%2）"/>
      <w:lvlJc w:val="left"/>
      <w:pPr>
        <w:ind w:left="992"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81D7EFA"/>
    <w:multiLevelType w:val="multilevel"/>
    <w:tmpl w:val="381D7EFA"/>
    <w:lvl w:ilvl="0" w:tentative="0">
      <w:start w:val="1"/>
      <w:numFmt w:val="decimal"/>
      <w:lvlText w:val="%1."/>
      <w:lvlJc w:val="left"/>
      <w:pPr>
        <w:ind w:left="440" w:hanging="440"/>
      </w:pPr>
      <w:rPr>
        <w:rFonts w:hint="eastAsia"/>
      </w:rPr>
    </w:lvl>
    <w:lvl w:ilvl="1" w:tentative="0">
      <w:start w:val="1"/>
      <w:numFmt w:val="lowerLetter"/>
      <w:lvlText w:val="%2）"/>
      <w:lvlJc w:val="left"/>
      <w:pPr>
        <w:ind w:left="992"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8A3D735"/>
    <w:multiLevelType w:val="singleLevel"/>
    <w:tmpl w:val="38A3D735"/>
    <w:lvl w:ilvl="0" w:tentative="0">
      <w:start w:val="7"/>
      <w:numFmt w:val="decimal"/>
      <w:lvlText w:val="%1."/>
      <w:lvlJc w:val="left"/>
      <w:pPr>
        <w:tabs>
          <w:tab w:val="left" w:pos="312"/>
        </w:tabs>
      </w:pPr>
    </w:lvl>
  </w:abstractNum>
  <w:abstractNum w:abstractNumId="6">
    <w:nsid w:val="3FD34003"/>
    <w:multiLevelType w:val="multilevel"/>
    <w:tmpl w:val="3FD34003"/>
    <w:lvl w:ilvl="0" w:tentative="0">
      <w:start w:val="1"/>
      <w:numFmt w:val="decimal"/>
      <w:lvlText w:val="%1"/>
      <w:lvlJc w:val="left"/>
      <w:pPr>
        <w:ind w:left="425" w:hanging="425"/>
      </w:pPr>
      <w:rPr>
        <w:rFonts w:hint="eastAsia"/>
      </w:rPr>
    </w:lvl>
    <w:lvl w:ilvl="1" w:tentative="0">
      <w:start w:val="1"/>
      <w:numFmt w:val="lowerLetter"/>
      <w:lvlText w:val="%2）"/>
      <w:lvlJc w:val="left"/>
      <w:pPr>
        <w:ind w:left="992"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5364AFC7"/>
    <w:multiLevelType w:val="singleLevel"/>
    <w:tmpl w:val="5364AFC7"/>
    <w:lvl w:ilvl="0" w:tentative="0">
      <w:start w:val="1"/>
      <w:numFmt w:val="decimal"/>
      <w:lvlText w:val="%1."/>
      <w:lvlJc w:val="left"/>
      <w:pPr>
        <w:tabs>
          <w:tab w:val="left" w:pos="312"/>
        </w:tabs>
      </w:pPr>
    </w:lvl>
  </w:abstractNum>
  <w:abstractNum w:abstractNumId="8">
    <w:nsid w:val="68850182"/>
    <w:multiLevelType w:val="multilevel"/>
    <w:tmpl w:val="68850182"/>
    <w:lvl w:ilvl="0" w:tentative="0">
      <w:start w:val="1"/>
      <w:numFmt w:val="decimal"/>
      <w:lvlText w:val="%1"/>
      <w:lvlJc w:val="left"/>
      <w:pPr>
        <w:ind w:left="425" w:hanging="425"/>
      </w:pPr>
      <w:rPr>
        <w:rFonts w:hint="eastAsia"/>
      </w:rPr>
    </w:lvl>
    <w:lvl w:ilvl="1" w:tentative="0">
      <w:start w:val="1"/>
      <w:numFmt w:val="lowerLetter"/>
      <w:lvlText w:val="%2）"/>
      <w:lvlJc w:val="left"/>
      <w:pPr>
        <w:ind w:left="1134"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74455F19"/>
    <w:multiLevelType w:val="multilevel"/>
    <w:tmpl w:val="74455F19"/>
    <w:lvl w:ilvl="0" w:tentative="0">
      <w:start w:val="1"/>
      <w:numFmt w:val="decimal"/>
      <w:lvlText w:val="%1."/>
      <w:lvlJc w:val="left"/>
      <w:pPr>
        <w:ind w:left="440" w:hanging="440"/>
      </w:pPr>
      <w:rPr>
        <w:rFonts w:hint="eastAsia"/>
      </w:rPr>
    </w:lvl>
    <w:lvl w:ilvl="1" w:tentative="0">
      <w:start w:val="1"/>
      <w:numFmt w:val="lowerLetter"/>
      <w:lvlText w:val="%2）"/>
      <w:lvlJc w:val="left"/>
      <w:pPr>
        <w:ind w:left="992"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8"/>
  </w:num>
  <w:num w:numId="3">
    <w:abstractNumId w:val="4"/>
  </w:num>
  <w:num w:numId="4">
    <w:abstractNumId w:val="6"/>
  </w:num>
  <w:num w:numId="5">
    <w:abstractNumId w:val="3"/>
  </w:num>
  <w:num w:numId="6">
    <w:abstractNumId w:val="9"/>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GFhZmExN2JiZDViZDYwMmUyYmFjOTc3MDY1Y2I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39CD"/>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771"/>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430F"/>
    <w:rsid w:val="002952B1"/>
    <w:rsid w:val="00295C93"/>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0F2F"/>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375D"/>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AC0"/>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27F2"/>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D7AD4"/>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53F4"/>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C77"/>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227"/>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30A9"/>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792"/>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A30"/>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35"/>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1EFC"/>
    <w:rsid w:val="00B62159"/>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4DD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5CCD"/>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8770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6BD7"/>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5966"/>
    <w:rsid w:val="00FF78E5"/>
    <w:rsid w:val="0103398B"/>
    <w:rsid w:val="011E1F3A"/>
    <w:rsid w:val="012D0F5C"/>
    <w:rsid w:val="014C1D05"/>
    <w:rsid w:val="015C7AD5"/>
    <w:rsid w:val="0168437B"/>
    <w:rsid w:val="01907316"/>
    <w:rsid w:val="01A433EB"/>
    <w:rsid w:val="01AF3D99"/>
    <w:rsid w:val="01B90B97"/>
    <w:rsid w:val="01C628D4"/>
    <w:rsid w:val="01E3453D"/>
    <w:rsid w:val="01FF3BC3"/>
    <w:rsid w:val="01FF4BEC"/>
    <w:rsid w:val="021741B2"/>
    <w:rsid w:val="021E604C"/>
    <w:rsid w:val="02204683"/>
    <w:rsid w:val="022E44A8"/>
    <w:rsid w:val="02511F9D"/>
    <w:rsid w:val="025F06CD"/>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63544C"/>
    <w:rsid w:val="039A08B0"/>
    <w:rsid w:val="03A314B8"/>
    <w:rsid w:val="03C8711A"/>
    <w:rsid w:val="03D25887"/>
    <w:rsid w:val="03D82B98"/>
    <w:rsid w:val="03D964F4"/>
    <w:rsid w:val="03F83E8B"/>
    <w:rsid w:val="04902A30"/>
    <w:rsid w:val="049570A7"/>
    <w:rsid w:val="04AF7A85"/>
    <w:rsid w:val="04B74446"/>
    <w:rsid w:val="04BA414C"/>
    <w:rsid w:val="04C505BB"/>
    <w:rsid w:val="04CD2CEE"/>
    <w:rsid w:val="04CD5F10"/>
    <w:rsid w:val="04E87914"/>
    <w:rsid w:val="04FA60EF"/>
    <w:rsid w:val="04FC24D4"/>
    <w:rsid w:val="05023BEB"/>
    <w:rsid w:val="05096B07"/>
    <w:rsid w:val="050E5E84"/>
    <w:rsid w:val="05102192"/>
    <w:rsid w:val="054F7686"/>
    <w:rsid w:val="05557587"/>
    <w:rsid w:val="05681A7F"/>
    <w:rsid w:val="057F4E2B"/>
    <w:rsid w:val="0585008B"/>
    <w:rsid w:val="058F6224"/>
    <w:rsid w:val="05C56868"/>
    <w:rsid w:val="05D74547"/>
    <w:rsid w:val="06040198"/>
    <w:rsid w:val="06045222"/>
    <w:rsid w:val="060774EA"/>
    <w:rsid w:val="06083B9D"/>
    <w:rsid w:val="06211C5A"/>
    <w:rsid w:val="06737835"/>
    <w:rsid w:val="06B25549"/>
    <w:rsid w:val="06B96E5F"/>
    <w:rsid w:val="06C91C0B"/>
    <w:rsid w:val="06D86BC4"/>
    <w:rsid w:val="072940AD"/>
    <w:rsid w:val="072E4C95"/>
    <w:rsid w:val="07325DEE"/>
    <w:rsid w:val="07633118"/>
    <w:rsid w:val="07736840"/>
    <w:rsid w:val="07746E01"/>
    <w:rsid w:val="07772CE0"/>
    <w:rsid w:val="078132CC"/>
    <w:rsid w:val="078627A3"/>
    <w:rsid w:val="07966D78"/>
    <w:rsid w:val="07A5201F"/>
    <w:rsid w:val="07B72767"/>
    <w:rsid w:val="07C23DE6"/>
    <w:rsid w:val="07D41D57"/>
    <w:rsid w:val="08077E72"/>
    <w:rsid w:val="080E162A"/>
    <w:rsid w:val="08203C28"/>
    <w:rsid w:val="083B22F1"/>
    <w:rsid w:val="083C419B"/>
    <w:rsid w:val="083C4C73"/>
    <w:rsid w:val="084430C0"/>
    <w:rsid w:val="084C5E23"/>
    <w:rsid w:val="0886060D"/>
    <w:rsid w:val="08882DD0"/>
    <w:rsid w:val="08BE34E2"/>
    <w:rsid w:val="08F821C8"/>
    <w:rsid w:val="09006769"/>
    <w:rsid w:val="091A48F3"/>
    <w:rsid w:val="09783845"/>
    <w:rsid w:val="097E7AC3"/>
    <w:rsid w:val="09860032"/>
    <w:rsid w:val="09921955"/>
    <w:rsid w:val="09CC2AAC"/>
    <w:rsid w:val="09D26E76"/>
    <w:rsid w:val="09DE2A8F"/>
    <w:rsid w:val="0A171D19"/>
    <w:rsid w:val="0A331AD7"/>
    <w:rsid w:val="0A3A3B56"/>
    <w:rsid w:val="0A4412A4"/>
    <w:rsid w:val="0A477589"/>
    <w:rsid w:val="0A5C3ECC"/>
    <w:rsid w:val="0A652D3E"/>
    <w:rsid w:val="0A6A1AA6"/>
    <w:rsid w:val="0A767E3E"/>
    <w:rsid w:val="0A9D4A5C"/>
    <w:rsid w:val="0AAB5F5D"/>
    <w:rsid w:val="0AB6063D"/>
    <w:rsid w:val="0ABC5428"/>
    <w:rsid w:val="0ADA366D"/>
    <w:rsid w:val="0B193B77"/>
    <w:rsid w:val="0B325243"/>
    <w:rsid w:val="0B326F2A"/>
    <w:rsid w:val="0B3D510B"/>
    <w:rsid w:val="0B475F57"/>
    <w:rsid w:val="0B5B05C2"/>
    <w:rsid w:val="0B5E289E"/>
    <w:rsid w:val="0B623221"/>
    <w:rsid w:val="0BA40399"/>
    <w:rsid w:val="0BB40771"/>
    <w:rsid w:val="0BE93715"/>
    <w:rsid w:val="0BEA3C78"/>
    <w:rsid w:val="0C11238F"/>
    <w:rsid w:val="0C1E2888"/>
    <w:rsid w:val="0C2D753D"/>
    <w:rsid w:val="0C2E225D"/>
    <w:rsid w:val="0C3B6140"/>
    <w:rsid w:val="0C4502C0"/>
    <w:rsid w:val="0C530F2E"/>
    <w:rsid w:val="0C5361CC"/>
    <w:rsid w:val="0C591AD6"/>
    <w:rsid w:val="0C6A764E"/>
    <w:rsid w:val="0C6F29D6"/>
    <w:rsid w:val="0C92213C"/>
    <w:rsid w:val="0C9F5D63"/>
    <w:rsid w:val="0CA737D5"/>
    <w:rsid w:val="0CAB5D64"/>
    <w:rsid w:val="0CB33F28"/>
    <w:rsid w:val="0CD304AC"/>
    <w:rsid w:val="0D0114AE"/>
    <w:rsid w:val="0D29001E"/>
    <w:rsid w:val="0D325EDF"/>
    <w:rsid w:val="0D445D4C"/>
    <w:rsid w:val="0D535069"/>
    <w:rsid w:val="0D6B3036"/>
    <w:rsid w:val="0D6D5644"/>
    <w:rsid w:val="0D84032B"/>
    <w:rsid w:val="0D953396"/>
    <w:rsid w:val="0D994191"/>
    <w:rsid w:val="0D9E6004"/>
    <w:rsid w:val="0DA2594C"/>
    <w:rsid w:val="0DBD35C9"/>
    <w:rsid w:val="0DD17D5D"/>
    <w:rsid w:val="0DE53B38"/>
    <w:rsid w:val="0DF4443C"/>
    <w:rsid w:val="0E071437"/>
    <w:rsid w:val="0E2B3D03"/>
    <w:rsid w:val="0E556B89"/>
    <w:rsid w:val="0E5B282E"/>
    <w:rsid w:val="0E5F47DD"/>
    <w:rsid w:val="0E6772B0"/>
    <w:rsid w:val="0E6B66E8"/>
    <w:rsid w:val="0E8370D0"/>
    <w:rsid w:val="0E8F2DCE"/>
    <w:rsid w:val="0E9434CC"/>
    <w:rsid w:val="0EB36C82"/>
    <w:rsid w:val="0ED45624"/>
    <w:rsid w:val="0EE04BDF"/>
    <w:rsid w:val="0EE44AEB"/>
    <w:rsid w:val="0F150F54"/>
    <w:rsid w:val="0F2A74C4"/>
    <w:rsid w:val="0F377C68"/>
    <w:rsid w:val="0F553015"/>
    <w:rsid w:val="0F620A17"/>
    <w:rsid w:val="0F7543D3"/>
    <w:rsid w:val="0F7A6CDB"/>
    <w:rsid w:val="0FDF7CBA"/>
    <w:rsid w:val="0FE030CE"/>
    <w:rsid w:val="0FEE5277"/>
    <w:rsid w:val="10136B03"/>
    <w:rsid w:val="10202CC1"/>
    <w:rsid w:val="103B47DC"/>
    <w:rsid w:val="106C7859"/>
    <w:rsid w:val="10730C95"/>
    <w:rsid w:val="107E2A9F"/>
    <w:rsid w:val="10A27F31"/>
    <w:rsid w:val="10A753AB"/>
    <w:rsid w:val="10AA5CB1"/>
    <w:rsid w:val="10B54EB2"/>
    <w:rsid w:val="10BF682C"/>
    <w:rsid w:val="10C047D8"/>
    <w:rsid w:val="10CB29C5"/>
    <w:rsid w:val="10CC3A02"/>
    <w:rsid w:val="10CC6281"/>
    <w:rsid w:val="10D20B24"/>
    <w:rsid w:val="10D87300"/>
    <w:rsid w:val="10DA48AD"/>
    <w:rsid w:val="10E33AF2"/>
    <w:rsid w:val="110B438A"/>
    <w:rsid w:val="1167339E"/>
    <w:rsid w:val="11785740"/>
    <w:rsid w:val="118E435A"/>
    <w:rsid w:val="11927058"/>
    <w:rsid w:val="119423C1"/>
    <w:rsid w:val="11A02DC7"/>
    <w:rsid w:val="11AB0C22"/>
    <w:rsid w:val="11B50F78"/>
    <w:rsid w:val="11B5291B"/>
    <w:rsid w:val="11C1301D"/>
    <w:rsid w:val="11EE4343"/>
    <w:rsid w:val="11EF6FB9"/>
    <w:rsid w:val="11FE186C"/>
    <w:rsid w:val="12086E43"/>
    <w:rsid w:val="120D4199"/>
    <w:rsid w:val="120F3D85"/>
    <w:rsid w:val="12171B57"/>
    <w:rsid w:val="12286136"/>
    <w:rsid w:val="12573688"/>
    <w:rsid w:val="127F4FEA"/>
    <w:rsid w:val="12AA40AD"/>
    <w:rsid w:val="12BC14E9"/>
    <w:rsid w:val="12D720A5"/>
    <w:rsid w:val="12EF08E6"/>
    <w:rsid w:val="133E327C"/>
    <w:rsid w:val="13467E71"/>
    <w:rsid w:val="134E47DC"/>
    <w:rsid w:val="13542B43"/>
    <w:rsid w:val="1358476B"/>
    <w:rsid w:val="13617E51"/>
    <w:rsid w:val="138949A5"/>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AA65E4"/>
    <w:rsid w:val="14D43C93"/>
    <w:rsid w:val="14D958EC"/>
    <w:rsid w:val="14FA3E00"/>
    <w:rsid w:val="1531036E"/>
    <w:rsid w:val="1534169A"/>
    <w:rsid w:val="155D666F"/>
    <w:rsid w:val="156D25A1"/>
    <w:rsid w:val="15812F88"/>
    <w:rsid w:val="158939BB"/>
    <w:rsid w:val="158D0E46"/>
    <w:rsid w:val="158E1BEE"/>
    <w:rsid w:val="15911585"/>
    <w:rsid w:val="159513FB"/>
    <w:rsid w:val="159C0EE7"/>
    <w:rsid w:val="15A27358"/>
    <w:rsid w:val="15B14FA7"/>
    <w:rsid w:val="15C03E03"/>
    <w:rsid w:val="15C3785B"/>
    <w:rsid w:val="15D26520"/>
    <w:rsid w:val="15EE508B"/>
    <w:rsid w:val="160F4148"/>
    <w:rsid w:val="162A25EB"/>
    <w:rsid w:val="16473933"/>
    <w:rsid w:val="16775078"/>
    <w:rsid w:val="168B7C8B"/>
    <w:rsid w:val="169F56FE"/>
    <w:rsid w:val="16A267A7"/>
    <w:rsid w:val="16BD39C5"/>
    <w:rsid w:val="16BD6398"/>
    <w:rsid w:val="16BD6B43"/>
    <w:rsid w:val="16D31DF9"/>
    <w:rsid w:val="16D67838"/>
    <w:rsid w:val="16FD2A55"/>
    <w:rsid w:val="17067C1A"/>
    <w:rsid w:val="172045B4"/>
    <w:rsid w:val="172F08F7"/>
    <w:rsid w:val="17366761"/>
    <w:rsid w:val="17393A34"/>
    <w:rsid w:val="173A76F6"/>
    <w:rsid w:val="173C6721"/>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A419CD"/>
    <w:rsid w:val="18AC51E6"/>
    <w:rsid w:val="18EE2472"/>
    <w:rsid w:val="19002335"/>
    <w:rsid w:val="19206078"/>
    <w:rsid w:val="19314F92"/>
    <w:rsid w:val="193F68F3"/>
    <w:rsid w:val="1942209D"/>
    <w:rsid w:val="19434380"/>
    <w:rsid w:val="19491239"/>
    <w:rsid w:val="19537014"/>
    <w:rsid w:val="19621891"/>
    <w:rsid w:val="197A7D49"/>
    <w:rsid w:val="19915DD8"/>
    <w:rsid w:val="19934424"/>
    <w:rsid w:val="19A5109C"/>
    <w:rsid w:val="19AD5CB2"/>
    <w:rsid w:val="19BD66DD"/>
    <w:rsid w:val="19C607E7"/>
    <w:rsid w:val="19F6165F"/>
    <w:rsid w:val="1A0B68A8"/>
    <w:rsid w:val="1A1B0F5C"/>
    <w:rsid w:val="1A232551"/>
    <w:rsid w:val="1A340F0D"/>
    <w:rsid w:val="1A614813"/>
    <w:rsid w:val="1A6962BC"/>
    <w:rsid w:val="1A782658"/>
    <w:rsid w:val="1A7D68F1"/>
    <w:rsid w:val="1A7F33F1"/>
    <w:rsid w:val="1A8573D4"/>
    <w:rsid w:val="1A867FDC"/>
    <w:rsid w:val="1AA7D608"/>
    <w:rsid w:val="1AB34603"/>
    <w:rsid w:val="1AB74F63"/>
    <w:rsid w:val="1AC3132A"/>
    <w:rsid w:val="1AE94689"/>
    <w:rsid w:val="1AF65A4C"/>
    <w:rsid w:val="1AFF0AFE"/>
    <w:rsid w:val="1B0C4085"/>
    <w:rsid w:val="1B29065F"/>
    <w:rsid w:val="1B34103B"/>
    <w:rsid w:val="1B39650C"/>
    <w:rsid w:val="1B4F19F8"/>
    <w:rsid w:val="1B5C2F75"/>
    <w:rsid w:val="1B6B7470"/>
    <w:rsid w:val="1BAE3D4C"/>
    <w:rsid w:val="1BC81E14"/>
    <w:rsid w:val="1BE91714"/>
    <w:rsid w:val="1BEE7729"/>
    <w:rsid w:val="1C100CC6"/>
    <w:rsid w:val="1C1A42E7"/>
    <w:rsid w:val="1C1F28DB"/>
    <w:rsid w:val="1C226F03"/>
    <w:rsid w:val="1C3F670D"/>
    <w:rsid w:val="1C55025E"/>
    <w:rsid w:val="1C623272"/>
    <w:rsid w:val="1C741AB0"/>
    <w:rsid w:val="1C9A50D4"/>
    <w:rsid w:val="1CA823CD"/>
    <w:rsid w:val="1CB515F6"/>
    <w:rsid w:val="1CDE1F2F"/>
    <w:rsid w:val="1CE61E5F"/>
    <w:rsid w:val="1CF93E51"/>
    <w:rsid w:val="1D1C46B8"/>
    <w:rsid w:val="1D3943AC"/>
    <w:rsid w:val="1D7C700E"/>
    <w:rsid w:val="1D805CF0"/>
    <w:rsid w:val="1D8F637F"/>
    <w:rsid w:val="1D996796"/>
    <w:rsid w:val="1DA07F2F"/>
    <w:rsid w:val="1DD106A3"/>
    <w:rsid w:val="1DE75398"/>
    <w:rsid w:val="1E0450B5"/>
    <w:rsid w:val="1E0968DC"/>
    <w:rsid w:val="1E2734BD"/>
    <w:rsid w:val="1E375346"/>
    <w:rsid w:val="1E657FE9"/>
    <w:rsid w:val="1E6B39C7"/>
    <w:rsid w:val="1E72152A"/>
    <w:rsid w:val="1E842C7C"/>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9B383D"/>
    <w:rsid w:val="1FBC5DF5"/>
    <w:rsid w:val="1FC16863"/>
    <w:rsid w:val="1FDB8314"/>
    <w:rsid w:val="1FEA075F"/>
    <w:rsid w:val="1FEF662C"/>
    <w:rsid w:val="1FF26E0D"/>
    <w:rsid w:val="1FF90588"/>
    <w:rsid w:val="201167D2"/>
    <w:rsid w:val="20134907"/>
    <w:rsid w:val="201474B7"/>
    <w:rsid w:val="20213923"/>
    <w:rsid w:val="20233DBF"/>
    <w:rsid w:val="20245062"/>
    <w:rsid w:val="204D2ACD"/>
    <w:rsid w:val="20874471"/>
    <w:rsid w:val="20914128"/>
    <w:rsid w:val="20BB6724"/>
    <w:rsid w:val="20BF7883"/>
    <w:rsid w:val="20C3623F"/>
    <w:rsid w:val="20D84C09"/>
    <w:rsid w:val="20F12AC3"/>
    <w:rsid w:val="20F25B07"/>
    <w:rsid w:val="211041C1"/>
    <w:rsid w:val="211636D4"/>
    <w:rsid w:val="212B4272"/>
    <w:rsid w:val="2144147A"/>
    <w:rsid w:val="21781212"/>
    <w:rsid w:val="21833156"/>
    <w:rsid w:val="21AB0864"/>
    <w:rsid w:val="21B83F86"/>
    <w:rsid w:val="21E069CE"/>
    <w:rsid w:val="22106A4D"/>
    <w:rsid w:val="221178A8"/>
    <w:rsid w:val="221213CF"/>
    <w:rsid w:val="22327A92"/>
    <w:rsid w:val="227D782B"/>
    <w:rsid w:val="22A84DFE"/>
    <w:rsid w:val="22BB3EC7"/>
    <w:rsid w:val="22DB129D"/>
    <w:rsid w:val="22F47D51"/>
    <w:rsid w:val="22FA4C94"/>
    <w:rsid w:val="230436F8"/>
    <w:rsid w:val="231D53A2"/>
    <w:rsid w:val="23435214"/>
    <w:rsid w:val="234401DF"/>
    <w:rsid w:val="235477BA"/>
    <w:rsid w:val="236D5383"/>
    <w:rsid w:val="236E417A"/>
    <w:rsid w:val="23811F5D"/>
    <w:rsid w:val="23A41B75"/>
    <w:rsid w:val="23B134E6"/>
    <w:rsid w:val="23B74A16"/>
    <w:rsid w:val="23B7504C"/>
    <w:rsid w:val="23BA654A"/>
    <w:rsid w:val="23C509CD"/>
    <w:rsid w:val="240D25B5"/>
    <w:rsid w:val="241E5A1E"/>
    <w:rsid w:val="24205BC8"/>
    <w:rsid w:val="242C0CB6"/>
    <w:rsid w:val="24354590"/>
    <w:rsid w:val="24571307"/>
    <w:rsid w:val="24705167"/>
    <w:rsid w:val="247C7D19"/>
    <w:rsid w:val="24B34021"/>
    <w:rsid w:val="24BE0ABD"/>
    <w:rsid w:val="24CB4B0D"/>
    <w:rsid w:val="24E05D15"/>
    <w:rsid w:val="24E91BBE"/>
    <w:rsid w:val="25006BE0"/>
    <w:rsid w:val="25110A2A"/>
    <w:rsid w:val="251513DA"/>
    <w:rsid w:val="251569DF"/>
    <w:rsid w:val="252F3220"/>
    <w:rsid w:val="255A7B41"/>
    <w:rsid w:val="25647DF0"/>
    <w:rsid w:val="256C0944"/>
    <w:rsid w:val="25773D5F"/>
    <w:rsid w:val="257751E6"/>
    <w:rsid w:val="257E73F2"/>
    <w:rsid w:val="25A979D1"/>
    <w:rsid w:val="25BE7679"/>
    <w:rsid w:val="25C00F8A"/>
    <w:rsid w:val="25D53DA4"/>
    <w:rsid w:val="25E410EC"/>
    <w:rsid w:val="25EC2CF7"/>
    <w:rsid w:val="261F4447"/>
    <w:rsid w:val="263050F1"/>
    <w:rsid w:val="26381F9B"/>
    <w:rsid w:val="26446DE3"/>
    <w:rsid w:val="267B0CDC"/>
    <w:rsid w:val="269669E7"/>
    <w:rsid w:val="26A744DB"/>
    <w:rsid w:val="26D4005A"/>
    <w:rsid w:val="26D7699F"/>
    <w:rsid w:val="26DA3B4A"/>
    <w:rsid w:val="26E26183"/>
    <w:rsid w:val="26E36ACC"/>
    <w:rsid w:val="26F73A2A"/>
    <w:rsid w:val="26FF2BB8"/>
    <w:rsid w:val="270417B7"/>
    <w:rsid w:val="27102C21"/>
    <w:rsid w:val="27227C57"/>
    <w:rsid w:val="272858CA"/>
    <w:rsid w:val="2750171F"/>
    <w:rsid w:val="275122E4"/>
    <w:rsid w:val="2769156F"/>
    <w:rsid w:val="27793F5D"/>
    <w:rsid w:val="27A2622E"/>
    <w:rsid w:val="27A60F83"/>
    <w:rsid w:val="27C12412"/>
    <w:rsid w:val="27D24FCB"/>
    <w:rsid w:val="28124EAE"/>
    <w:rsid w:val="2847059C"/>
    <w:rsid w:val="28785F5E"/>
    <w:rsid w:val="2895115B"/>
    <w:rsid w:val="28BA46FA"/>
    <w:rsid w:val="28BE38E2"/>
    <w:rsid w:val="28F14595"/>
    <w:rsid w:val="28F416F8"/>
    <w:rsid w:val="29063629"/>
    <w:rsid w:val="291137B2"/>
    <w:rsid w:val="2913753A"/>
    <w:rsid w:val="29323E05"/>
    <w:rsid w:val="293D6B2E"/>
    <w:rsid w:val="29462E61"/>
    <w:rsid w:val="295563B0"/>
    <w:rsid w:val="295E2317"/>
    <w:rsid w:val="296B020D"/>
    <w:rsid w:val="297D3FFE"/>
    <w:rsid w:val="29802F8C"/>
    <w:rsid w:val="29AD0C8B"/>
    <w:rsid w:val="29BB39AC"/>
    <w:rsid w:val="29C2444D"/>
    <w:rsid w:val="29C5574F"/>
    <w:rsid w:val="29C67FA0"/>
    <w:rsid w:val="29D00278"/>
    <w:rsid w:val="29DC3BA0"/>
    <w:rsid w:val="29E509C9"/>
    <w:rsid w:val="29EF6C45"/>
    <w:rsid w:val="2A007C29"/>
    <w:rsid w:val="2A1769A3"/>
    <w:rsid w:val="2A4D3396"/>
    <w:rsid w:val="2A541720"/>
    <w:rsid w:val="2A834AE2"/>
    <w:rsid w:val="2A83619E"/>
    <w:rsid w:val="2AA66A22"/>
    <w:rsid w:val="2AC53F93"/>
    <w:rsid w:val="2ACF406E"/>
    <w:rsid w:val="2AD830F7"/>
    <w:rsid w:val="2AE241C5"/>
    <w:rsid w:val="2AFF2E12"/>
    <w:rsid w:val="2B253E47"/>
    <w:rsid w:val="2B4A1AA4"/>
    <w:rsid w:val="2B5221EC"/>
    <w:rsid w:val="2B6A0459"/>
    <w:rsid w:val="2B743A0A"/>
    <w:rsid w:val="2B774624"/>
    <w:rsid w:val="2B8A5BDD"/>
    <w:rsid w:val="2B8C3FB1"/>
    <w:rsid w:val="2B9D1BD3"/>
    <w:rsid w:val="2BA80578"/>
    <w:rsid w:val="2BC83AB9"/>
    <w:rsid w:val="2BEA293F"/>
    <w:rsid w:val="2BF5056F"/>
    <w:rsid w:val="2BFD7FCA"/>
    <w:rsid w:val="2C1B56AB"/>
    <w:rsid w:val="2C4402A1"/>
    <w:rsid w:val="2C534988"/>
    <w:rsid w:val="2C796B75"/>
    <w:rsid w:val="2C7A72BE"/>
    <w:rsid w:val="2C890BCA"/>
    <w:rsid w:val="2C8A7A52"/>
    <w:rsid w:val="2C9A7D75"/>
    <w:rsid w:val="2CB734DA"/>
    <w:rsid w:val="2CBC587B"/>
    <w:rsid w:val="2CBF4377"/>
    <w:rsid w:val="2CC17412"/>
    <w:rsid w:val="2CCB04B9"/>
    <w:rsid w:val="2CD40732"/>
    <w:rsid w:val="2CDF598A"/>
    <w:rsid w:val="2CEA1907"/>
    <w:rsid w:val="2CF26A4B"/>
    <w:rsid w:val="2CF350E3"/>
    <w:rsid w:val="2CFE48F4"/>
    <w:rsid w:val="2CFF7BB9"/>
    <w:rsid w:val="2D04594C"/>
    <w:rsid w:val="2D0C5851"/>
    <w:rsid w:val="2D1C1975"/>
    <w:rsid w:val="2D1F543F"/>
    <w:rsid w:val="2D3E4B0D"/>
    <w:rsid w:val="2D446A9B"/>
    <w:rsid w:val="2D863EDD"/>
    <w:rsid w:val="2DA120C4"/>
    <w:rsid w:val="2DAC6336"/>
    <w:rsid w:val="2DC65BA0"/>
    <w:rsid w:val="2DD85E2E"/>
    <w:rsid w:val="2E41718B"/>
    <w:rsid w:val="2E554EA6"/>
    <w:rsid w:val="2E5F03A4"/>
    <w:rsid w:val="2E6A1892"/>
    <w:rsid w:val="2E717F8B"/>
    <w:rsid w:val="2E88190D"/>
    <w:rsid w:val="2E8E1E30"/>
    <w:rsid w:val="2E9976CE"/>
    <w:rsid w:val="2EC67693"/>
    <w:rsid w:val="2ECE34C2"/>
    <w:rsid w:val="2EDE539C"/>
    <w:rsid w:val="2F134027"/>
    <w:rsid w:val="2F330F99"/>
    <w:rsid w:val="2F3951BF"/>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1D39A1"/>
    <w:rsid w:val="30237A24"/>
    <w:rsid w:val="30242658"/>
    <w:rsid w:val="302F4907"/>
    <w:rsid w:val="303218E5"/>
    <w:rsid w:val="30390DDE"/>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3C4010"/>
    <w:rsid w:val="317172BB"/>
    <w:rsid w:val="318E6873"/>
    <w:rsid w:val="31B46ACE"/>
    <w:rsid w:val="31F51115"/>
    <w:rsid w:val="32003808"/>
    <w:rsid w:val="32172470"/>
    <w:rsid w:val="321A6930"/>
    <w:rsid w:val="32364B30"/>
    <w:rsid w:val="32432DA9"/>
    <w:rsid w:val="32453A27"/>
    <w:rsid w:val="3263064A"/>
    <w:rsid w:val="3265766A"/>
    <w:rsid w:val="327D2533"/>
    <w:rsid w:val="329842A9"/>
    <w:rsid w:val="329B7A68"/>
    <w:rsid w:val="32A43132"/>
    <w:rsid w:val="32AB00DA"/>
    <w:rsid w:val="32AC0C06"/>
    <w:rsid w:val="32AD0CCA"/>
    <w:rsid w:val="32C33CD3"/>
    <w:rsid w:val="32D54349"/>
    <w:rsid w:val="32E04E37"/>
    <w:rsid w:val="32E15130"/>
    <w:rsid w:val="33027836"/>
    <w:rsid w:val="3323565B"/>
    <w:rsid w:val="3331060D"/>
    <w:rsid w:val="33344EF5"/>
    <w:rsid w:val="33496CCF"/>
    <w:rsid w:val="336B2DD8"/>
    <w:rsid w:val="3378161D"/>
    <w:rsid w:val="339C3B02"/>
    <w:rsid w:val="33A05880"/>
    <w:rsid w:val="33A35F1E"/>
    <w:rsid w:val="33B22505"/>
    <w:rsid w:val="33D36651"/>
    <w:rsid w:val="33E85CE2"/>
    <w:rsid w:val="341D0201"/>
    <w:rsid w:val="34246B9F"/>
    <w:rsid w:val="342A2472"/>
    <w:rsid w:val="342B0F4F"/>
    <w:rsid w:val="344D3742"/>
    <w:rsid w:val="347B2D6D"/>
    <w:rsid w:val="34AB2475"/>
    <w:rsid w:val="34B52163"/>
    <w:rsid w:val="34D72013"/>
    <w:rsid w:val="34E432D6"/>
    <w:rsid w:val="34EB7D5F"/>
    <w:rsid w:val="34EE1C44"/>
    <w:rsid w:val="35007447"/>
    <w:rsid w:val="35293FD9"/>
    <w:rsid w:val="352C24DC"/>
    <w:rsid w:val="3537750C"/>
    <w:rsid w:val="3537798C"/>
    <w:rsid w:val="357005A7"/>
    <w:rsid w:val="357A579A"/>
    <w:rsid w:val="358E312C"/>
    <w:rsid w:val="35BA016D"/>
    <w:rsid w:val="35C13FC9"/>
    <w:rsid w:val="35E07056"/>
    <w:rsid w:val="35E91989"/>
    <w:rsid w:val="35EF4FE4"/>
    <w:rsid w:val="35F2040C"/>
    <w:rsid w:val="35F9471D"/>
    <w:rsid w:val="35FA915D"/>
    <w:rsid w:val="36085EA6"/>
    <w:rsid w:val="36266D8A"/>
    <w:rsid w:val="36410A9D"/>
    <w:rsid w:val="364257B6"/>
    <w:rsid w:val="36636B8E"/>
    <w:rsid w:val="36741335"/>
    <w:rsid w:val="369E4AB8"/>
    <w:rsid w:val="36AC6498"/>
    <w:rsid w:val="36B55EFA"/>
    <w:rsid w:val="370419F2"/>
    <w:rsid w:val="3705788F"/>
    <w:rsid w:val="3724059E"/>
    <w:rsid w:val="3729538A"/>
    <w:rsid w:val="374E4FB2"/>
    <w:rsid w:val="376462CF"/>
    <w:rsid w:val="37725F65"/>
    <w:rsid w:val="37734E19"/>
    <w:rsid w:val="377868E8"/>
    <w:rsid w:val="377F5B53"/>
    <w:rsid w:val="379C5435"/>
    <w:rsid w:val="37DE378C"/>
    <w:rsid w:val="37EA5922"/>
    <w:rsid w:val="380C2E7F"/>
    <w:rsid w:val="38134D6C"/>
    <w:rsid w:val="381C20D2"/>
    <w:rsid w:val="38205CA3"/>
    <w:rsid w:val="38276B93"/>
    <w:rsid w:val="38336FC4"/>
    <w:rsid w:val="383427CA"/>
    <w:rsid w:val="384C0C8E"/>
    <w:rsid w:val="384D3BF2"/>
    <w:rsid w:val="386A2AA2"/>
    <w:rsid w:val="388D1222"/>
    <w:rsid w:val="389430F0"/>
    <w:rsid w:val="38A43E6B"/>
    <w:rsid w:val="38AC3431"/>
    <w:rsid w:val="38B9690B"/>
    <w:rsid w:val="38C26745"/>
    <w:rsid w:val="38CD0AA7"/>
    <w:rsid w:val="38E67108"/>
    <w:rsid w:val="38F06097"/>
    <w:rsid w:val="38FE35D2"/>
    <w:rsid w:val="39226DE8"/>
    <w:rsid w:val="392F2E16"/>
    <w:rsid w:val="39387BD3"/>
    <w:rsid w:val="39406F09"/>
    <w:rsid w:val="396554F4"/>
    <w:rsid w:val="39791C92"/>
    <w:rsid w:val="398147FC"/>
    <w:rsid w:val="39854459"/>
    <w:rsid w:val="399F120C"/>
    <w:rsid w:val="39A85265"/>
    <w:rsid w:val="39B614C9"/>
    <w:rsid w:val="39BE755C"/>
    <w:rsid w:val="39C02F77"/>
    <w:rsid w:val="39D678CC"/>
    <w:rsid w:val="39D94185"/>
    <w:rsid w:val="39E00529"/>
    <w:rsid w:val="39E359C2"/>
    <w:rsid w:val="39E9733C"/>
    <w:rsid w:val="3A0B6254"/>
    <w:rsid w:val="3A0B64A7"/>
    <w:rsid w:val="3A1C7B1C"/>
    <w:rsid w:val="3A271BC8"/>
    <w:rsid w:val="3A2F182B"/>
    <w:rsid w:val="3A36312B"/>
    <w:rsid w:val="3A3B5CDC"/>
    <w:rsid w:val="3A477746"/>
    <w:rsid w:val="3A520B7E"/>
    <w:rsid w:val="3A574DDA"/>
    <w:rsid w:val="3A7C0B25"/>
    <w:rsid w:val="3A93234D"/>
    <w:rsid w:val="3A952A43"/>
    <w:rsid w:val="3AA73CF1"/>
    <w:rsid w:val="3AAA5A75"/>
    <w:rsid w:val="3AAD99E0"/>
    <w:rsid w:val="3ABF074A"/>
    <w:rsid w:val="3AD3075A"/>
    <w:rsid w:val="3AD5142D"/>
    <w:rsid w:val="3AD71232"/>
    <w:rsid w:val="3AF66579"/>
    <w:rsid w:val="3AF74C02"/>
    <w:rsid w:val="3AF85A26"/>
    <w:rsid w:val="3B0754C5"/>
    <w:rsid w:val="3B5E05B5"/>
    <w:rsid w:val="3B615C75"/>
    <w:rsid w:val="3B761717"/>
    <w:rsid w:val="3B831369"/>
    <w:rsid w:val="3B87DD50"/>
    <w:rsid w:val="3B8B5350"/>
    <w:rsid w:val="3B954BE0"/>
    <w:rsid w:val="3B9F1620"/>
    <w:rsid w:val="3BB84161"/>
    <w:rsid w:val="3BCD4E66"/>
    <w:rsid w:val="3BD53F3C"/>
    <w:rsid w:val="3BDE6D8B"/>
    <w:rsid w:val="3BE94F0A"/>
    <w:rsid w:val="3BEFBFE8"/>
    <w:rsid w:val="3C0059A5"/>
    <w:rsid w:val="3C067321"/>
    <w:rsid w:val="3C07120D"/>
    <w:rsid w:val="3C134E78"/>
    <w:rsid w:val="3C15518D"/>
    <w:rsid w:val="3C2528F1"/>
    <w:rsid w:val="3C2A0F17"/>
    <w:rsid w:val="3C33057E"/>
    <w:rsid w:val="3C334EAF"/>
    <w:rsid w:val="3C3D49BD"/>
    <w:rsid w:val="3C6D16C6"/>
    <w:rsid w:val="3C921FB2"/>
    <w:rsid w:val="3C9333AF"/>
    <w:rsid w:val="3C9E1EBC"/>
    <w:rsid w:val="3CA5540E"/>
    <w:rsid w:val="3CD21D29"/>
    <w:rsid w:val="3CEB4892"/>
    <w:rsid w:val="3CF52957"/>
    <w:rsid w:val="3D147205"/>
    <w:rsid w:val="3D187F39"/>
    <w:rsid w:val="3D2E6923"/>
    <w:rsid w:val="3D33169F"/>
    <w:rsid w:val="3D4B61CB"/>
    <w:rsid w:val="3D506996"/>
    <w:rsid w:val="3D5257CC"/>
    <w:rsid w:val="3D614B55"/>
    <w:rsid w:val="3D67163F"/>
    <w:rsid w:val="3D6871A7"/>
    <w:rsid w:val="3D817764"/>
    <w:rsid w:val="3D873FCE"/>
    <w:rsid w:val="3DA70690"/>
    <w:rsid w:val="3DB17E6C"/>
    <w:rsid w:val="3DC213DF"/>
    <w:rsid w:val="3DCE1FF5"/>
    <w:rsid w:val="3DE61DFF"/>
    <w:rsid w:val="3DEBB81F"/>
    <w:rsid w:val="3DEC7285"/>
    <w:rsid w:val="3DF6345D"/>
    <w:rsid w:val="3E2B5515"/>
    <w:rsid w:val="3E310A54"/>
    <w:rsid w:val="3E3E5EF1"/>
    <w:rsid w:val="3E4D4F28"/>
    <w:rsid w:val="3E5325C6"/>
    <w:rsid w:val="3E5840E2"/>
    <w:rsid w:val="3E706639"/>
    <w:rsid w:val="3E7F32DC"/>
    <w:rsid w:val="3EB11AC7"/>
    <w:rsid w:val="3EBF3622"/>
    <w:rsid w:val="3EC9706E"/>
    <w:rsid w:val="3ED818CD"/>
    <w:rsid w:val="3EDA43EF"/>
    <w:rsid w:val="3EE13701"/>
    <w:rsid w:val="3EE25742"/>
    <w:rsid w:val="3EFBD257"/>
    <w:rsid w:val="3F0C5D2F"/>
    <w:rsid w:val="3F144FB4"/>
    <w:rsid w:val="3F1A4BB3"/>
    <w:rsid w:val="3F372168"/>
    <w:rsid w:val="3F46A7D5"/>
    <w:rsid w:val="3F4A64D9"/>
    <w:rsid w:val="3F571CFE"/>
    <w:rsid w:val="3F60225A"/>
    <w:rsid w:val="3F632CDC"/>
    <w:rsid w:val="3F79605C"/>
    <w:rsid w:val="3F7EE665"/>
    <w:rsid w:val="3F847A6C"/>
    <w:rsid w:val="3F934E86"/>
    <w:rsid w:val="3FBFC3CE"/>
    <w:rsid w:val="3FD921B4"/>
    <w:rsid w:val="3FD9E34E"/>
    <w:rsid w:val="3FF30045"/>
    <w:rsid w:val="3FF317AE"/>
    <w:rsid w:val="3FF3E083"/>
    <w:rsid w:val="3FFA2455"/>
    <w:rsid w:val="3FFE8857"/>
    <w:rsid w:val="40010575"/>
    <w:rsid w:val="400E712D"/>
    <w:rsid w:val="40192BA6"/>
    <w:rsid w:val="401D2E8B"/>
    <w:rsid w:val="402C58F5"/>
    <w:rsid w:val="40484D68"/>
    <w:rsid w:val="40761BDC"/>
    <w:rsid w:val="408D092B"/>
    <w:rsid w:val="40963BF6"/>
    <w:rsid w:val="40991CAB"/>
    <w:rsid w:val="40B15F11"/>
    <w:rsid w:val="40BE68D5"/>
    <w:rsid w:val="40D43427"/>
    <w:rsid w:val="41071387"/>
    <w:rsid w:val="41184017"/>
    <w:rsid w:val="411D2299"/>
    <w:rsid w:val="413C6B6B"/>
    <w:rsid w:val="413D6CFA"/>
    <w:rsid w:val="4144773B"/>
    <w:rsid w:val="414E40BA"/>
    <w:rsid w:val="4151394D"/>
    <w:rsid w:val="415560AD"/>
    <w:rsid w:val="41766EA9"/>
    <w:rsid w:val="418762CA"/>
    <w:rsid w:val="41906B0F"/>
    <w:rsid w:val="4192330C"/>
    <w:rsid w:val="41F6509D"/>
    <w:rsid w:val="41FB50DD"/>
    <w:rsid w:val="42145CCA"/>
    <w:rsid w:val="42241EB7"/>
    <w:rsid w:val="423035D9"/>
    <w:rsid w:val="42550A18"/>
    <w:rsid w:val="425A4BD1"/>
    <w:rsid w:val="427B1BBB"/>
    <w:rsid w:val="429C7597"/>
    <w:rsid w:val="429D496A"/>
    <w:rsid w:val="42B81FA5"/>
    <w:rsid w:val="42CC751E"/>
    <w:rsid w:val="42E0276A"/>
    <w:rsid w:val="42EB6093"/>
    <w:rsid w:val="42F473A1"/>
    <w:rsid w:val="42F61AFB"/>
    <w:rsid w:val="42F80FA5"/>
    <w:rsid w:val="4305361D"/>
    <w:rsid w:val="431C26D3"/>
    <w:rsid w:val="431F637C"/>
    <w:rsid w:val="434E3AB8"/>
    <w:rsid w:val="43537F8A"/>
    <w:rsid w:val="43805D73"/>
    <w:rsid w:val="43D83C99"/>
    <w:rsid w:val="43DD4E0B"/>
    <w:rsid w:val="440F18CC"/>
    <w:rsid w:val="44107EE3"/>
    <w:rsid w:val="441E62C0"/>
    <w:rsid w:val="44380293"/>
    <w:rsid w:val="443E50E2"/>
    <w:rsid w:val="44406167"/>
    <w:rsid w:val="44967985"/>
    <w:rsid w:val="44974521"/>
    <w:rsid w:val="44FB65C3"/>
    <w:rsid w:val="45097E82"/>
    <w:rsid w:val="45147341"/>
    <w:rsid w:val="45192471"/>
    <w:rsid w:val="45235D5B"/>
    <w:rsid w:val="452802B4"/>
    <w:rsid w:val="452F1A92"/>
    <w:rsid w:val="45322F35"/>
    <w:rsid w:val="45325D14"/>
    <w:rsid w:val="453A5298"/>
    <w:rsid w:val="454F4D0B"/>
    <w:rsid w:val="456A5852"/>
    <w:rsid w:val="456B6447"/>
    <w:rsid w:val="457D0B54"/>
    <w:rsid w:val="45811C7C"/>
    <w:rsid w:val="45906116"/>
    <w:rsid w:val="45A0305D"/>
    <w:rsid w:val="45A03571"/>
    <w:rsid w:val="45B44292"/>
    <w:rsid w:val="45B61450"/>
    <w:rsid w:val="45B72BF8"/>
    <w:rsid w:val="45C96298"/>
    <w:rsid w:val="45DD1BD3"/>
    <w:rsid w:val="45E356FB"/>
    <w:rsid w:val="45F51AEF"/>
    <w:rsid w:val="460B016C"/>
    <w:rsid w:val="46263C87"/>
    <w:rsid w:val="465219D4"/>
    <w:rsid w:val="465716AD"/>
    <w:rsid w:val="46745ABF"/>
    <w:rsid w:val="46830E83"/>
    <w:rsid w:val="468B3EFB"/>
    <w:rsid w:val="46AB5C9A"/>
    <w:rsid w:val="46AE3D43"/>
    <w:rsid w:val="46C44510"/>
    <w:rsid w:val="46CC1041"/>
    <w:rsid w:val="46CD455E"/>
    <w:rsid w:val="46D5130D"/>
    <w:rsid w:val="46E15B1B"/>
    <w:rsid w:val="46FF778E"/>
    <w:rsid w:val="470A6193"/>
    <w:rsid w:val="471B4E2C"/>
    <w:rsid w:val="47385210"/>
    <w:rsid w:val="474C2DD7"/>
    <w:rsid w:val="474D5830"/>
    <w:rsid w:val="47543636"/>
    <w:rsid w:val="475C3001"/>
    <w:rsid w:val="47625066"/>
    <w:rsid w:val="47690E29"/>
    <w:rsid w:val="47767EAB"/>
    <w:rsid w:val="47864E13"/>
    <w:rsid w:val="478F1033"/>
    <w:rsid w:val="479A5F27"/>
    <w:rsid w:val="47A837E0"/>
    <w:rsid w:val="47D31E5D"/>
    <w:rsid w:val="47DC4F5C"/>
    <w:rsid w:val="47DD36B3"/>
    <w:rsid w:val="47F32E64"/>
    <w:rsid w:val="481C7304"/>
    <w:rsid w:val="482C6A5C"/>
    <w:rsid w:val="485C15EC"/>
    <w:rsid w:val="486F432D"/>
    <w:rsid w:val="48783354"/>
    <w:rsid w:val="488D3FC9"/>
    <w:rsid w:val="48992B03"/>
    <w:rsid w:val="48B40671"/>
    <w:rsid w:val="48D8429F"/>
    <w:rsid w:val="48E34F9B"/>
    <w:rsid w:val="48F52BF7"/>
    <w:rsid w:val="48F73DFC"/>
    <w:rsid w:val="490D112E"/>
    <w:rsid w:val="493C2711"/>
    <w:rsid w:val="495664BB"/>
    <w:rsid w:val="496727A8"/>
    <w:rsid w:val="49724D22"/>
    <w:rsid w:val="49751310"/>
    <w:rsid w:val="49905150"/>
    <w:rsid w:val="49973F6B"/>
    <w:rsid w:val="499B5738"/>
    <w:rsid w:val="499F244D"/>
    <w:rsid w:val="49D7054F"/>
    <w:rsid w:val="4A105051"/>
    <w:rsid w:val="4A280204"/>
    <w:rsid w:val="4A2D0198"/>
    <w:rsid w:val="4A420EE7"/>
    <w:rsid w:val="4A7459B6"/>
    <w:rsid w:val="4A973F3F"/>
    <w:rsid w:val="4AE6282E"/>
    <w:rsid w:val="4AED2A70"/>
    <w:rsid w:val="4AF4108E"/>
    <w:rsid w:val="4AF50338"/>
    <w:rsid w:val="4AF96BC7"/>
    <w:rsid w:val="4B136101"/>
    <w:rsid w:val="4B1C090F"/>
    <w:rsid w:val="4B203103"/>
    <w:rsid w:val="4B2E1D56"/>
    <w:rsid w:val="4B3010A3"/>
    <w:rsid w:val="4B32607A"/>
    <w:rsid w:val="4B464533"/>
    <w:rsid w:val="4B496045"/>
    <w:rsid w:val="4B545C08"/>
    <w:rsid w:val="4B5A416B"/>
    <w:rsid w:val="4B5D14C2"/>
    <w:rsid w:val="4B662EDE"/>
    <w:rsid w:val="4B667F55"/>
    <w:rsid w:val="4B6A63A2"/>
    <w:rsid w:val="4B6E0A3F"/>
    <w:rsid w:val="4B7C6990"/>
    <w:rsid w:val="4B8273D5"/>
    <w:rsid w:val="4B862A85"/>
    <w:rsid w:val="4B8B200B"/>
    <w:rsid w:val="4B98008D"/>
    <w:rsid w:val="4B992AAD"/>
    <w:rsid w:val="4BAC4867"/>
    <w:rsid w:val="4BE82445"/>
    <w:rsid w:val="4BF16188"/>
    <w:rsid w:val="4BF417D4"/>
    <w:rsid w:val="4BF92147"/>
    <w:rsid w:val="4C01654C"/>
    <w:rsid w:val="4C3A28DD"/>
    <w:rsid w:val="4C8018E7"/>
    <w:rsid w:val="4C8624FC"/>
    <w:rsid w:val="4C8A38D4"/>
    <w:rsid w:val="4C9C27CC"/>
    <w:rsid w:val="4CA20A24"/>
    <w:rsid w:val="4CB755B1"/>
    <w:rsid w:val="4CC4300C"/>
    <w:rsid w:val="4CD143CF"/>
    <w:rsid w:val="4CEF36E2"/>
    <w:rsid w:val="4CEF4DC5"/>
    <w:rsid w:val="4CF23DD6"/>
    <w:rsid w:val="4CF25996"/>
    <w:rsid w:val="4D100260"/>
    <w:rsid w:val="4D171C3B"/>
    <w:rsid w:val="4D353E59"/>
    <w:rsid w:val="4D3D7D51"/>
    <w:rsid w:val="4D411D80"/>
    <w:rsid w:val="4D482BAA"/>
    <w:rsid w:val="4D4873F2"/>
    <w:rsid w:val="4D54264D"/>
    <w:rsid w:val="4D6A5813"/>
    <w:rsid w:val="4D74240C"/>
    <w:rsid w:val="4D922FBD"/>
    <w:rsid w:val="4D9A766C"/>
    <w:rsid w:val="4DA62246"/>
    <w:rsid w:val="4DB54B95"/>
    <w:rsid w:val="4DC17B81"/>
    <w:rsid w:val="4DC23F1C"/>
    <w:rsid w:val="4DEE41E3"/>
    <w:rsid w:val="4DF21879"/>
    <w:rsid w:val="4DF71805"/>
    <w:rsid w:val="4E0A3FBD"/>
    <w:rsid w:val="4E0F62D9"/>
    <w:rsid w:val="4E17231F"/>
    <w:rsid w:val="4E180C61"/>
    <w:rsid w:val="4E257655"/>
    <w:rsid w:val="4E2670DE"/>
    <w:rsid w:val="4E352A01"/>
    <w:rsid w:val="4E8E7871"/>
    <w:rsid w:val="4EA85542"/>
    <w:rsid w:val="4EAB47D5"/>
    <w:rsid w:val="4EC4406A"/>
    <w:rsid w:val="4EC455C1"/>
    <w:rsid w:val="4ED1491A"/>
    <w:rsid w:val="4EF86E3C"/>
    <w:rsid w:val="4F06496B"/>
    <w:rsid w:val="4F0C1AC6"/>
    <w:rsid w:val="4F127C58"/>
    <w:rsid w:val="4F365F84"/>
    <w:rsid w:val="4F367AC5"/>
    <w:rsid w:val="4F372380"/>
    <w:rsid w:val="4F372FFB"/>
    <w:rsid w:val="4F4B5D83"/>
    <w:rsid w:val="4F71142E"/>
    <w:rsid w:val="4F7A6CA5"/>
    <w:rsid w:val="4F9C17F9"/>
    <w:rsid w:val="4FA72457"/>
    <w:rsid w:val="4FA7341A"/>
    <w:rsid w:val="4FBEA4D0"/>
    <w:rsid w:val="4FC66A35"/>
    <w:rsid w:val="4FE34F88"/>
    <w:rsid w:val="4FEF4AC6"/>
    <w:rsid w:val="4FEF6022"/>
    <w:rsid w:val="5025116D"/>
    <w:rsid w:val="50310AE7"/>
    <w:rsid w:val="503D7DBA"/>
    <w:rsid w:val="507725C3"/>
    <w:rsid w:val="50811214"/>
    <w:rsid w:val="508A158E"/>
    <w:rsid w:val="50BF67C9"/>
    <w:rsid w:val="50C85235"/>
    <w:rsid w:val="50CA0599"/>
    <w:rsid w:val="50ED7CC8"/>
    <w:rsid w:val="50FB62A0"/>
    <w:rsid w:val="511E0283"/>
    <w:rsid w:val="513C9CA3"/>
    <w:rsid w:val="515158DB"/>
    <w:rsid w:val="515A7AB7"/>
    <w:rsid w:val="516623C4"/>
    <w:rsid w:val="519A02E5"/>
    <w:rsid w:val="51B05107"/>
    <w:rsid w:val="51DA39DC"/>
    <w:rsid w:val="51E0241A"/>
    <w:rsid w:val="51F1394A"/>
    <w:rsid w:val="5201085F"/>
    <w:rsid w:val="522024E6"/>
    <w:rsid w:val="52314419"/>
    <w:rsid w:val="52395ECD"/>
    <w:rsid w:val="526D1B33"/>
    <w:rsid w:val="526D4E29"/>
    <w:rsid w:val="52735E8B"/>
    <w:rsid w:val="52917E8F"/>
    <w:rsid w:val="5298444C"/>
    <w:rsid w:val="52B44696"/>
    <w:rsid w:val="52BB5DFD"/>
    <w:rsid w:val="52C10D75"/>
    <w:rsid w:val="52D55821"/>
    <w:rsid w:val="52EB2FB5"/>
    <w:rsid w:val="52F946E2"/>
    <w:rsid w:val="53376E09"/>
    <w:rsid w:val="53655BA8"/>
    <w:rsid w:val="53A303CC"/>
    <w:rsid w:val="53C27FF8"/>
    <w:rsid w:val="53D0274A"/>
    <w:rsid w:val="53EA1FF6"/>
    <w:rsid w:val="53EC03B2"/>
    <w:rsid w:val="53F42A3B"/>
    <w:rsid w:val="540B5AE5"/>
    <w:rsid w:val="54167271"/>
    <w:rsid w:val="54457E2A"/>
    <w:rsid w:val="544A1D81"/>
    <w:rsid w:val="544C150D"/>
    <w:rsid w:val="544E00F4"/>
    <w:rsid w:val="5475679C"/>
    <w:rsid w:val="548850A3"/>
    <w:rsid w:val="548E3F00"/>
    <w:rsid w:val="548E485C"/>
    <w:rsid w:val="549E1A80"/>
    <w:rsid w:val="54AB108A"/>
    <w:rsid w:val="54BA25DB"/>
    <w:rsid w:val="54C658F4"/>
    <w:rsid w:val="54CB45B1"/>
    <w:rsid w:val="54CF22DF"/>
    <w:rsid w:val="54E0494C"/>
    <w:rsid w:val="54E171CD"/>
    <w:rsid w:val="54E7784F"/>
    <w:rsid w:val="550C4BD7"/>
    <w:rsid w:val="55322669"/>
    <w:rsid w:val="5539470A"/>
    <w:rsid w:val="554C1D56"/>
    <w:rsid w:val="55572986"/>
    <w:rsid w:val="555761AA"/>
    <w:rsid w:val="555E236D"/>
    <w:rsid w:val="55805785"/>
    <w:rsid w:val="55A82C22"/>
    <w:rsid w:val="55C062DD"/>
    <w:rsid w:val="55C84FE2"/>
    <w:rsid w:val="55CB0F14"/>
    <w:rsid w:val="55DD225C"/>
    <w:rsid w:val="55E822CC"/>
    <w:rsid w:val="5607446A"/>
    <w:rsid w:val="56081243"/>
    <w:rsid w:val="56182C00"/>
    <w:rsid w:val="56245CC2"/>
    <w:rsid w:val="56293A3C"/>
    <w:rsid w:val="56330E85"/>
    <w:rsid w:val="565340FA"/>
    <w:rsid w:val="565C3ECA"/>
    <w:rsid w:val="56636EEC"/>
    <w:rsid w:val="56684793"/>
    <w:rsid w:val="56790914"/>
    <w:rsid w:val="567D64C6"/>
    <w:rsid w:val="568E01E7"/>
    <w:rsid w:val="569A7860"/>
    <w:rsid w:val="56A14C4D"/>
    <w:rsid w:val="56B25952"/>
    <w:rsid w:val="56FC519F"/>
    <w:rsid w:val="571B3688"/>
    <w:rsid w:val="571F4860"/>
    <w:rsid w:val="5723343E"/>
    <w:rsid w:val="573D7EAB"/>
    <w:rsid w:val="57580904"/>
    <w:rsid w:val="5768CCF8"/>
    <w:rsid w:val="578057C8"/>
    <w:rsid w:val="578231ED"/>
    <w:rsid w:val="57856002"/>
    <w:rsid w:val="57893184"/>
    <w:rsid w:val="57A66BAB"/>
    <w:rsid w:val="57AA18F7"/>
    <w:rsid w:val="57D21B1D"/>
    <w:rsid w:val="57DD34B9"/>
    <w:rsid w:val="57E6392C"/>
    <w:rsid w:val="57F38C95"/>
    <w:rsid w:val="57F706C9"/>
    <w:rsid w:val="57FFA0A7"/>
    <w:rsid w:val="58017793"/>
    <w:rsid w:val="58244E5C"/>
    <w:rsid w:val="58685C59"/>
    <w:rsid w:val="58697500"/>
    <w:rsid w:val="5874230E"/>
    <w:rsid w:val="58843841"/>
    <w:rsid w:val="5891308F"/>
    <w:rsid w:val="589236B1"/>
    <w:rsid w:val="58C86B99"/>
    <w:rsid w:val="58DB0E48"/>
    <w:rsid w:val="58F830CC"/>
    <w:rsid w:val="5904102E"/>
    <w:rsid w:val="590A564B"/>
    <w:rsid w:val="59415D84"/>
    <w:rsid w:val="5944577D"/>
    <w:rsid w:val="594D2B53"/>
    <w:rsid w:val="598813E0"/>
    <w:rsid w:val="59914276"/>
    <w:rsid w:val="5999679A"/>
    <w:rsid w:val="599B7268"/>
    <w:rsid w:val="599C38F2"/>
    <w:rsid w:val="59A03BB4"/>
    <w:rsid w:val="59AA0FB1"/>
    <w:rsid w:val="59B91F8C"/>
    <w:rsid w:val="59D57B48"/>
    <w:rsid w:val="59EF6A42"/>
    <w:rsid w:val="59F20EF7"/>
    <w:rsid w:val="5A1030D6"/>
    <w:rsid w:val="5A2F2CC8"/>
    <w:rsid w:val="5A317807"/>
    <w:rsid w:val="5A6059E2"/>
    <w:rsid w:val="5A673F93"/>
    <w:rsid w:val="5A723722"/>
    <w:rsid w:val="5A7D02BC"/>
    <w:rsid w:val="5A84088B"/>
    <w:rsid w:val="5AAA4EE2"/>
    <w:rsid w:val="5AC95C92"/>
    <w:rsid w:val="5B2D1503"/>
    <w:rsid w:val="5B436D5A"/>
    <w:rsid w:val="5B487697"/>
    <w:rsid w:val="5B570637"/>
    <w:rsid w:val="5B79092D"/>
    <w:rsid w:val="5B7D33AD"/>
    <w:rsid w:val="5B7F28A2"/>
    <w:rsid w:val="5B8E36FB"/>
    <w:rsid w:val="5B9C3F03"/>
    <w:rsid w:val="5B9F373F"/>
    <w:rsid w:val="5BA26962"/>
    <w:rsid w:val="5BA85879"/>
    <w:rsid w:val="5BAF1477"/>
    <w:rsid w:val="5BAF6C35"/>
    <w:rsid w:val="5BB978F4"/>
    <w:rsid w:val="5BC1259B"/>
    <w:rsid w:val="5BEF222A"/>
    <w:rsid w:val="5BFBB935"/>
    <w:rsid w:val="5BFE78AD"/>
    <w:rsid w:val="5C10702D"/>
    <w:rsid w:val="5C14136F"/>
    <w:rsid w:val="5C152601"/>
    <w:rsid w:val="5C20614F"/>
    <w:rsid w:val="5C591F03"/>
    <w:rsid w:val="5C654C39"/>
    <w:rsid w:val="5C697AAA"/>
    <w:rsid w:val="5C7F72CD"/>
    <w:rsid w:val="5C8A1B2F"/>
    <w:rsid w:val="5C9257B9"/>
    <w:rsid w:val="5C96399E"/>
    <w:rsid w:val="5CAF3DCD"/>
    <w:rsid w:val="5CEA4062"/>
    <w:rsid w:val="5D2C1215"/>
    <w:rsid w:val="5D4D4133"/>
    <w:rsid w:val="5D4D67F8"/>
    <w:rsid w:val="5D857790"/>
    <w:rsid w:val="5D861815"/>
    <w:rsid w:val="5D864D36"/>
    <w:rsid w:val="5D8936D2"/>
    <w:rsid w:val="5D914004"/>
    <w:rsid w:val="5DD80331"/>
    <w:rsid w:val="5DD95E29"/>
    <w:rsid w:val="5DDD16DD"/>
    <w:rsid w:val="5DF41766"/>
    <w:rsid w:val="5E015F08"/>
    <w:rsid w:val="5E0E66F5"/>
    <w:rsid w:val="5E512226"/>
    <w:rsid w:val="5E615889"/>
    <w:rsid w:val="5E727AB0"/>
    <w:rsid w:val="5E77EA69"/>
    <w:rsid w:val="5E847BF7"/>
    <w:rsid w:val="5E936FAE"/>
    <w:rsid w:val="5EAA1124"/>
    <w:rsid w:val="5EC8520A"/>
    <w:rsid w:val="5ED25050"/>
    <w:rsid w:val="5F0341A4"/>
    <w:rsid w:val="5F0A7504"/>
    <w:rsid w:val="5F114CB9"/>
    <w:rsid w:val="5F1374EB"/>
    <w:rsid w:val="5F174D94"/>
    <w:rsid w:val="5F350C33"/>
    <w:rsid w:val="5F3B10F1"/>
    <w:rsid w:val="5F4F5E24"/>
    <w:rsid w:val="5F561B72"/>
    <w:rsid w:val="5F772535"/>
    <w:rsid w:val="5F7F8330"/>
    <w:rsid w:val="5F811AD3"/>
    <w:rsid w:val="5F8E3288"/>
    <w:rsid w:val="5F8F1327"/>
    <w:rsid w:val="5F92448C"/>
    <w:rsid w:val="5FA13309"/>
    <w:rsid w:val="5FB646B2"/>
    <w:rsid w:val="5FBB0ADC"/>
    <w:rsid w:val="5FC2179D"/>
    <w:rsid w:val="5FE00927"/>
    <w:rsid w:val="5FE24EDD"/>
    <w:rsid w:val="5FE437FC"/>
    <w:rsid w:val="5FED0446"/>
    <w:rsid w:val="5FEFE67C"/>
    <w:rsid w:val="5FF2A012"/>
    <w:rsid w:val="5FF87C07"/>
    <w:rsid w:val="5FFFFF7E"/>
    <w:rsid w:val="60014470"/>
    <w:rsid w:val="602A626F"/>
    <w:rsid w:val="603E60FC"/>
    <w:rsid w:val="60504C82"/>
    <w:rsid w:val="606007BB"/>
    <w:rsid w:val="606163EC"/>
    <w:rsid w:val="608E10F9"/>
    <w:rsid w:val="6095423F"/>
    <w:rsid w:val="60AC7F66"/>
    <w:rsid w:val="60C13070"/>
    <w:rsid w:val="6100382D"/>
    <w:rsid w:val="61042335"/>
    <w:rsid w:val="611E12A8"/>
    <w:rsid w:val="61226064"/>
    <w:rsid w:val="61497909"/>
    <w:rsid w:val="614E0C9F"/>
    <w:rsid w:val="614F0CAD"/>
    <w:rsid w:val="6189448A"/>
    <w:rsid w:val="61A475B0"/>
    <w:rsid w:val="61A66546"/>
    <w:rsid w:val="61BD42A4"/>
    <w:rsid w:val="61BF10D9"/>
    <w:rsid w:val="61BF1193"/>
    <w:rsid w:val="61DA3D4C"/>
    <w:rsid w:val="61F215C9"/>
    <w:rsid w:val="61F734FF"/>
    <w:rsid w:val="62052E11"/>
    <w:rsid w:val="6265481D"/>
    <w:rsid w:val="626A5412"/>
    <w:rsid w:val="626D7B14"/>
    <w:rsid w:val="6299193B"/>
    <w:rsid w:val="62A52C3E"/>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3FD72C7"/>
    <w:rsid w:val="64481274"/>
    <w:rsid w:val="645F0D81"/>
    <w:rsid w:val="648743E5"/>
    <w:rsid w:val="64941CD4"/>
    <w:rsid w:val="64AF189F"/>
    <w:rsid w:val="64B10E28"/>
    <w:rsid w:val="64BB10E5"/>
    <w:rsid w:val="64C0006E"/>
    <w:rsid w:val="64C210FC"/>
    <w:rsid w:val="64D8014C"/>
    <w:rsid w:val="64E45EF7"/>
    <w:rsid w:val="64E536C8"/>
    <w:rsid w:val="64F3D6D6"/>
    <w:rsid w:val="650D635E"/>
    <w:rsid w:val="651240A3"/>
    <w:rsid w:val="6528541A"/>
    <w:rsid w:val="652C53ED"/>
    <w:rsid w:val="6544472C"/>
    <w:rsid w:val="65465871"/>
    <w:rsid w:val="654866C3"/>
    <w:rsid w:val="654E2D83"/>
    <w:rsid w:val="6555098E"/>
    <w:rsid w:val="65AE15F5"/>
    <w:rsid w:val="65D06BA5"/>
    <w:rsid w:val="65F12154"/>
    <w:rsid w:val="661D63AD"/>
    <w:rsid w:val="6630196A"/>
    <w:rsid w:val="665253D0"/>
    <w:rsid w:val="667F3F32"/>
    <w:rsid w:val="66815672"/>
    <w:rsid w:val="66873275"/>
    <w:rsid w:val="6691014E"/>
    <w:rsid w:val="66C1066D"/>
    <w:rsid w:val="66C87CCE"/>
    <w:rsid w:val="66D23840"/>
    <w:rsid w:val="66E1028C"/>
    <w:rsid w:val="66E73D86"/>
    <w:rsid w:val="66FB490A"/>
    <w:rsid w:val="670006DA"/>
    <w:rsid w:val="671A1FC1"/>
    <w:rsid w:val="67220FA2"/>
    <w:rsid w:val="673F7D09"/>
    <w:rsid w:val="67592253"/>
    <w:rsid w:val="677435B2"/>
    <w:rsid w:val="6779688C"/>
    <w:rsid w:val="67814D8C"/>
    <w:rsid w:val="678801E7"/>
    <w:rsid w:val="678D2EAE"/>
    <w:rsid w:val="679D472E"/>
    <w:rsid w:val="67AC1EB3"/>
    <w:rsid w:val="67D52AA8"/>
    <w:rsid w:val="67E35B9E"/>
    <w:rsid w:val="67E912B9"/>
    <w:rsid w:val="67EF75F1"/>
    <w:rsid w:val="67F323FA"/>
    <w:rsid w:val="67F979D3"/>
    <w:rsid w:val="67FDCB5A"/>
    <w:rsid w:val="682062DD"/>
    <w:rsid w:val="6828218F"/>
    <w:rsid w:val="68327BBE"/>
    <w:rsid w:val="6878540C"/>
    <w:rsid w:val="68836ACA"/>
    <w:rsid w:val="688D5804"/>
    <w:rsid w:val="689736F8"/>
    <w:rsid w:val="68B35F15"/>
    <w:rsid w:val="68EB7F57"/>
    <w:rsid w:val="69124F16"/>
    <w:rsid w:val="692556B9"/>
    <w:rsid w:val="69280117"/>
    <w:rsid w:val="693022D8"/>
    <w:rsid w:val="694A5205"/>
    <w:rsid w:val="694C59EB"/>
    <w:rsid w:val="69574D48"/>
    <w:rsid w:val="69874AA4"/>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676547"/>
    <w:rsid w:val="6A767148"/>
    <w:rsid w:val="6A7F05D0"/>
    <w:rsid w:val="6AAB324D"/>
    <w:rsid w:val="6AB235AF"/>
    <w:rsid w:val="6ABD719F"/>
    <w:rsid w:val="6AC13E4D"/>
    <w:rsid w:val="6ADA17F5"/>
    <w:rsid w:val="6AE461D0"/>
    <w:rsid w:val="6AE519EC"/>
    <w:rsid w:val="6AE644C3"/>
    <w:rsid w:val="6AE71A96"/>
    <w:rsid w:val="6AE805FF"/>
    <w:rsid w:val="6AF64E0B"/>
    <w:rsid w:val="6AFD4928"/>
    <w:rsid w:val="6B14078A"/>
    <w:rsid w:val="6B175FBC"/>
    <w:rsid w:val="6B296741"/>
    <w:rsid w:val="6B297797"/>
    <w:rsid w:val="6B2F4D3E"/>
    <w:rsid w:val="6B303F71"/>
    <w:rsid w:val="6B374E7A"/>
    <w:rsid w:val="6B4317B4"/>
    <w:rsid w:val="6B4A10E4"/>
    <w:rsid w:val="6B5C4B71"/>
    <w:rsid w:val="6B614E02"/>
    <w:rsid w:val="6B623CC4"/>
    <w:rsid w:val="6B7E2908"/>
    <w:rsid w:val="6B9946B3"/>
    <w:rsid w:val="6BA40927"/>
    <w:rsid w:val="6BA42319"/>
    <w:rsid w:val="6BAF3D73"/>
    <w:rsid w:val="6BF5106A"/>
    <w:rsid w:val="6BFC36AC"/>
    <w:rsid w:val="6C211E68"/>
    <w:rsid w:val="6C241930"/>
    <w:rsid w:val="6C2D0A9C"/>
    <w:rsid w:val="6C372961"/>
    <w:rsid w:val="6C4052D5"/>
    <w:rsid w:val="6C431EF3"/>
    <w:rsid w:val="6C4B0DE1"/>
    <w:rsid w:val="6C4E6902"/>
    <w:rsid w:val="6C5B59F4"/>
    <w:rsid w:val="6C6278D3"/>
    <w:rsid w:val="6C662189"/>
    <w:rsid w:val="6C6B22D7"/>
    <w:rsid w:val="6C6C2F38"/>
    <w:rsid w:val="6C7007C7"/>
    <w:rsid w:val="6C8C2B67"/>
    <w:rsid w:val="6C8D38AF"/>
    <w:rsid w:val="6C8D7684"/>
    <w:rsid w:val="6CA13443"/>
    <w:rsid w:val="6CA83959"/>
    <w:rsid w:val="6CB04275"/>
    <w:rsid w:val="6CDC07DA"/>
    <w:rsid w:val="6CDF720B"/>
    <w:rsid w:val="6CEB7CE9"/>
    <w:rsid w:val="6CEF3AB7"/>
    <w:rsid w:val="6CF92C55"/>
    <w:rsid w:val="6D21360D"/>
    <w:rsid w:val="6D3A3B10"/>
    <w:rsid w:val="6D415399"/>
    <w:rsid w:val="6D4C7D54"/>
    <w:rsid w:val="6D5E0131"/>
    <w:rsid w:val="6D60703C"/>
    <w:rsid w:val="6D616805"/>
    <w:rsid w:val="6D68310A"/>
    <w:rsid w:val="6D6D4330"/>
    <w:rsid w:val="6D7D4C51"/>
    <w:rsid w:val="6D8B0FD6"/>
    <w:rsid w:val="6D915D95"/>
    <w:rsid w:val="6D94625C"/>
    <w:rsid w:val="6D9B53CB"/>
    <w:rsid w:val="6DA32372"/>
    <w:rsid w:val="6DB63374"/>
    <w:rsid w:val="6DE76850"/>
    <w:rsid w:val="6DF8337B"/>
    <w:rsid w:val="6E030A47"/>
    <w:rsid w:val="6E1A3980"/>
    <w:rsid w:val="6E2B50E3"/>
    <w:rsid w:val="6E506EFF"/>
    <w:rsid w:val="6E5C0465"/>
    <w:rsid w:val="6E8059E4"/>
    <w:rsid w:val="6E930639"/>
    <w:rsid w:val="6E9E45BF"/>
    <w:rsid w:val="6EA34CC4"/>
    <w:rsid w:val="6EC00BE3"/>
    <w:rsid w:val="6ED3BFD8"/>
    <w:rsid w:val="6EE14809"/>
    <w:rsid w:val="6EE54F57"/>
    <w:rsid w:val="6EFDFD78"/>
    <w:rsid w:val="6F055DD7"/>
    <w:rsid w:val="6F2E0D5F"/>
    <w:rsid w:val="6F395B8B"/>
    <w:rsid w:val="6F4A6530"/>
    <w:rsid w:val="6F6B76CB"/>
    <w:rsid w:val="6F6E0ACF"/>
    <w:rsid w:val="6F753C1F"/>
    <w:rsid w:val="6F7EE4E6"/>
    <w:rsid w:val="6F964F3B"/>
    <w:rsid w:val="6F993A2D"/>
    <w:rsid w:val="6FB20BD4"/>
    <w:rsid w:val="6FB650F7"/>
    <w:rsid w:val="6FB75277"/>
    <w:rsid w:val="6FBA59BE"/>
    <w:rsid w:val="6FBF34B7"/>
    <w:rsid w:val="6FD64135"/>
    <w:rsid w:val="6FF16C9A"/>
    <w:rsid w:val="6FF2418B"/>
    <w:rsid w:val="6FF3192C"/>
    <w:rsid w:val="6FFE9FD8"/>
    <w:rsid w:val="6FFF69F4"/>
    <w:rsid w:val="6FFF7E4D"/>
    <w:rsid w:val="702726F0"/>
    <w:rsid w:val="70296B3E"/>
    <w:rsid w:val="704255C1"/>
    <w:rsid w:val="704751B9"/>
    <w:rsid w:val="70497291"/>
    <w:rsid w:val="705B357E"/>
    <w:rsid w:val="70611204"/>
    <w:rsid w:val="70BF0EE0"/>
    <w:rsid w:val="70C20C9C"/>
    <w:rsid w:val="70C57C29"/>
    <w:rsid w:val="70D01410"/>
    <w:rsid w:val="70D036E5"/>
    <w:rsid w:val="70D32204"/>
    <w:rsid w:val="70E85E5F"/>
    <w:rsid w:val="70F15847"/>
    <w:rsid w:val="70F7644C"/>
    <w:rsid w:val="70FE451B"/>
    <w:rsid w:val="710A582E"/>
    <w:rsid w:val="71147BFE"/>
    <w:rsid w:val="713116FD"/>
    <w:rsid w:val="71370AC8"/>
    <w:rsid w:val="713D46C5"/>
    <w:rsid w:val="71434E47"/>
    <w:rsid w:val="71486F7F"/>
    <w:rsid w:val="715F178A"/>
    <w:rsid w:val="715F2A54"/>
    <w:rsid w:val="71662A10"/>
    <w:rsid w:val="71926986"/>
    <w:rsid w:val="71982A8B"/>
    <w:rsid w:val="71A17BB2"/>
    <w:rsid w:val="71FFF204"/>
    <w:rsid w:val="72204649"/>
    <w:rsid w:val="722C5869"/>
    <w:rsid w:val="72326EE7"/>
    <w:rsid w:val="72354F42"/>
    <w:rsid w:val="72450FB0"/>
    <w:rsid w:val="72487743"/>
    <w:rsid w:val="725E1213"/>
    <w:rsid w:val="727D6954"/>
    <w:rsid w:val="72844D41"/>
    <w:rsid w:val="72862C7E"/>
    <w:rsid w:val="728976DF"/>
    <w:rsid w:val="72936E2F"/>
    <w:rsid w:val="72CF4F19"/>
    <w:rsid w:val="72EA7F26"/>
    <w:rsid w:val="72EC79FB"/>
    <w:rsid w:val="72F67BF9"/>
    <w:rsid w:val="731178E3"/>
    <w:rsid w:val="73240DF9"/>
    <w:rsid w:val="732C6F33"/>
    <w:rsid w:val="733D16A9"/>
    <w:rsid w:val="73425548"/>
    <w:rsid w:val="73445350"/>
    <w:rsid w:val="73514DB1"/>
    <w:rsid w:val="736A73D7"/>
    <w:rsid w:val="737C5261"/>
    <w:rsid w:val="738A77D2"/>
    <w:rsid w:val="73A553FF"/>
    <w:rsid w:val="73AC15DC"/>
    <w:rsid w:val="73E07E7C"/>
    <w:rsid w:val="73F27930"/>
    <w:rsid w:val="74121260"/>
    <w:rsid w:val="743462D3"/>
    <w:rsid w:val="74365CEE"/>
    <w:rsid w:val="743E7D5E"/>
    <w:rsid w:val="7441374C"/>
    <w:rsid w:val="744149C3"/>
    <w:rsid w:val="74474E71"/>
    <w:rsid w:val="746F7188"/>
    <w:rsid w:val="74A91386"/>
    <w:rsid w:val="74A93E5A"/>
    <w:rsid w:val="74C633BB"/>
    <w:rsid w:val="74FA2C30"/>
    <w:rsid w:val="75113D1A"/>
    <w:rsid w:val="751D1A0B"/>
    <w:rsid w:val="7533222E"/>
    <w:rsid w:val="753B09F7"/>
    <w:rsid w:val="753F7C07"/>
    <w:rsid w:val="754D5C4B"/>
    <w:rsid w:val="756C78B0"/>
    <w:rsid w:val="75775737"/>
    <w:rsid w:val="757939B3"/>
    <w:rsid w:val="757E50F6"/>
    <w:rsid w:val="75855224"/>
    <w:rsid w:val="75974422"/>
    <w:rsid w:val="75A05064"/>
    <w:rsid w:val="75A85DA3"/>
    <w:rsid w:val="75AB5440"/>
    <w:rsid w:val="75CB60C0"/>
    <w:rsid w:val="75E76F6F"/>
    <w:rsid w:val="75EC127C"/>
    <w:rsid w:val="75F142DB"/>
    <w:rsid w:val="75F23E97"/>
    <w:rsid w:val="760B3F34"/>
    <w:rsid w:val="76255BA9"/>
    <w:rsid w:val="76334397"/>
    <w:rsid w:val="765B4F30"/>
    <w:rsid w:val="766C4E79"/>
    <w:rsid w:val="766D6FAF"/>
    <w:rsid w:val="767D07C6"/>
    <w:rsid w:val="768F7316"/>
    <w:rsid w:val="76A143E8"/>
    <w:rsid w:val="76BF1D66"/>
    <w:rsid w:val="76C240A7"/>
    <w:rsid w:val="76C8773D"/>
    <w:rsid w:val="76CD1F40"/>
    <w:rsid w:val="76F263F7"/>
    <w:rsid w:val="770F3331"/>
    <w:rsid w:val="77285125"/>
    <w:rsid w:val="77315AC4"/>
    <w:rsid w:val="775246B7"/>
    <w:rsid w:val="77583C37"/>
    <w:rsid w:val="775974AF"/>
    <w:rsid w:val="778264A7"/>
    <w:rsid w:val="77930B55"/>
    <w:rsid w:val="77977DAD"/>
    <w:rsid w:val="77BDF6C2"/>
    <w:rsid w:val="77CA234A"/>
    <w:rsid w:val="77DB6E4C"/>
    <w:rsid w:val="77DC51EC"/>
    <w:rsid w:val="77EBD342"/>
    <w:rsid w:val="77FD545C"/>
    <w:rsid w:val="780C466E"/>
    <w:rsid w:val="781E69D1"/>
    <w:rsid w:val="782A2DF7"/>
    <w:rsid w:val="788D27B5"/>
    <w:rsid w:val="78A056E9"/>
    <w:rsid w:val="78DE4305"/>
    <w:rsid w:val="78E72FCC"/>
    <w:rsid w:val="79091C23"/>
    <w:rsid w:val="79463091"/>
    <w:rsid w:val="797F0359"/>
    <w:rsid w:val="7988495F"/>
    <w:rsid w:val="798927D7"/>
    <w:rsid w:val="79962040"/>
    <w:rsid w:val="799A2861"/>
    <w:rsid w:val="79A4105F"/>
    <w:rsid w:val="79BC014A"/>
    <w:rsid w:val="79BC34FC"/>
    <w:rsid w:val="79C95D86"/>
    <w:rsid w:val="79D042C8"/>
    <w:rsid w:val="79D90DD4"/>
    <w:rsid w:val="79FB7D10"/>
    <w:rsid w:val="79FE4BA6"/>
    <w:rsid w:val="7A263B6B"/>
    <w:rsid w:val="7A2A6E84"/>
    <w:rsid w:val="7A2D01BD"/>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AB97BD"/>
    <w:rsid w:val="7BCDE15E"/>
    <w:rsid w:val="7BCEE65C"/>
    <w:rsid w:val="7BDD6F19"/>
    <w:rsid w:val="7BF64EDE"/>
    <w:rsid w:val="7BF67D9B"/>
    <w:rsid w:val="7C10151B"/>
    <w:rsid w:val="7C141428"/>
    <w:rsid w:val="7C1FC153"/>
    <w:rsid w:val="7C221C6B"/>
    <w:rsid w:val="7C3311E0"/>
    <w:rsid w:val="7C370186"/>
    <w:rsid w:val="7C400C1E"/>
    <w:rsid w:val="7C867B15"/>
    <w:rsid w:val="7C99714C"/>
    <w:rsid w:val="7CA07DE8"/>
    <w:rsid w:val="7CA53FD5"/>
    <w:rsid w:val="7CB3FA8A"/>
    <w:rsid w:val="7CB50883"/>
    <w:rsid w:val="7CBE6D5D"/>
    <w:rsid w:val="7CCF481C"/>
    <w:rsid w:val="7CDD1808"/>
    <w:rsid w:val="7CF57CC1"/>
    <w:rsid w:val="7CF65E91"/>
    <w:rsid w:val="7D0B5456"/>
    <w:rsid w:val="7D2B12B1"/>
    <w:rsid w:val="7D352792"/>
    <w:rsid w:val="7D563551"/>
    <w:rsid w:val="7D6F6791"/>
    <w:rsid w:val="7D7558BB"/>
    <w:rsid w:val="7D830B9D"/>
    <w:rsid w:val="7D905E8D"/>
    <w:rsid w:val="7DB23C3E"/>
    <w:rsid w:val="7DC1F5F1"/>
    <w:rsid w:val="7DD11708"/>
    <w:rsid w:val="7DE5430C"/>
    <w:rsid w:val="7DE57D18"/>
    <w:rsid w:val="7DE64899"/>
    <w:rsid w:val="7DF813B2"/>
    <w:rsid w:val="7DFC32D8"/>
    <w:rsid w:val="7DFD7978"/>
    <w:rsid w:val="7DFD98C9"/>
    <w:rsid w:val="7DFEC81D"/>
    <w:rsid w:val="7E0763E6"/>
    <w:rsid w:val="7E1202A7"/>
    <w:rsid w:val="7E156055"/>
    <w:rsid w:val="7E2D7872"/>
    <w:rsid w:val="7E522C19"/>
    <w:rsid w:val="7E57133D"/>
    <w:rsid w:val="7E5C0F61"/>
    <w:rsid w:val="7E786F03"/>
    <w:rsid w:val="7E7B37EB"/>
    <w:rsid w:val="7E8E6EBF"/>
    <w:rsid w:val="7E9C62BA"/>
    <w:rsid w:val="7EAA7A04"/>
    <w:rsid w:val="7EAD21C3"/>
    <w:rsid w:val="7EBD579E"/>
    <w:rsid w:val="7EBE6185"/>
    <w:rsid w:val="7EC167BD"/>
    <w:rsid w:val="7ED56D33"/>
    <w:rsid w:val="7EEF2DCE"/>
    <w:rsid w:val="7EFC345C"/>
    <w:rsid w:val="7EFE72FF"/>
    <w:rsid w:val="7F11694B"/>
    <w:rsid w:val="7F1A6960"/>
    <w:rsid w:val="7F272D9E"/>
    <w:rsid w:val="7F376DBE"/>
    <w:rsid w:val="7F397426"/>
    <w:rsid w:val="7F507488"/>
    <w:rsid w:val="7F657C66"/>
    <w:rsid w:val="7F687D9B"/>
    <w:rsid w:val="7F7848F6"/>
    <w:rsid w:val="7F83A47A"/>
    <w:rsid w:val="7F955DEB"/>
    <w:rsid w:val="7F9C5245"/>
    <w:rsid w:val="7FBFEC02"/>
    <w:rsid w:val="7FBFEF76"/>
    <w:rsid w:val="7FDF6607"/>
    <w:rsid w:val="7FEDBDA0"/>
    <w:rsid w:val="7FEDC53D"/>
    <w:rsid w:val="7FF54CAF"/>
    <w:rsid w:val="7FFA6612"/>
    <w:rsid w:val="7FFD534D"/>
    <w:rsid w:val="7FFDEB0B"/>
    <w:rsid w:val="7FFEB0E5"/>
    <w:rsid w:val="7FFF7992"/>
    <w:rsid w:val="99AF61A6"/>
    <w:rsid w:val="9F2BA9FF"/>
    <w:rsid w:val="9FF77EF9"/>
    <w:rsid w:val="ABBCA9FD"/>
    <w:rsid w:val="B2FE8660"/>
    <w:rsid w:val="B3DF4AA6"/>
    <w:rsid w:val="B6BB1F5B"/>
    <w:rsid w:val="B6F35D15"/>
    <w:rsid w:val="B7FF9E05"/>
    <w:rsid w:val="B9DF1AAF"/>
    <w:rsid w:val="BB79E768"/>
    <w:rsid w:val="BD57296E"/>
    <w:rsid w:val="BD6CFD51"/>
    <w:rsid w:val="BDAF3FCF"/>
    <w:rsid w:val="BDEF0F22"/>
    <w:rsid w:val="BDFF6A2A"/>
    <w:rsid w:val="BE4F924D"/>
    <w:rsid w:val="BF7FC1E6"/>
    <w:rsid w:val="BFB73FA3"/>
    <w:rsid w:val="C57F744C"/>
    <w:rsid w:val="C6E7BFB3"/>
    <w:rsid w:val="C7F6EFD9"/>
    <w:rsid w:val="CBEBC891"/>
    <w:rsid w:val="CEDC51F6"/>
    <w:rsid w:val="D67F0F86"/>
    <w:rsid w:val="D6D79D01"/>
    <w:rsid w:val="D8B86ABE"/>
    <w:rsid w:val="D9F3E651"/>
    <w:rsid w:val="DB99174F"/>
    <w:rsid w:val="DBF3F303"/>
    <w:rsid w:val="DC5F2F85"/>
    <w:rsid w:val="DD7FCE67"/>
    <w:rsid w:val="DFB78EB5"/>
    <w:rsid w:val="DFF7E2A7"/>
    <w:rsid w:val="DFFE054A"/>
    <w:rsid w:val="E0FEEAB1"/>
    <w:rsid w:val="E5AF531D"/>
    <w:rsid w:val="E67BE927"/>
    <w:rsid w:val="E7F99A6A"/>
    <w:rsid w:val="E7FB1880"/>
    <w:rsid w:val="EB2A16F8"/>
    <w:rsid w:val="EBE7D4F9"/>
    <w:rsid w:val="EC9F699C"/>
    <w:rsid w:val="EDE7CA8E"/>
    <w:rsid w:val="EDFF41DA"/>
    <w:rsid w:val="EEEF97F5"/>
    <w:rsid w:val="EEFBAC32"/>
    <w:rsid w:val="EF1E6839"/>
    <w:rsid w:val="EFAA02DC"/>
    <w:rsid w:val="EFCCFA23"/>
    <w:rsid w:val="EFDA53CF"/>
    <w:rsid w:val="EFEED03F"/>
    <w:rsid w:val="EFFFC8F3"/>
    <w:rsid w:val="F377EF8B"/>
    <w:rsid w:val="F4BE93BF"/>
    <w:rsid w:val="F58E8AEB"/>
    <w:rsid w:val="F76C5CCB"/>
    <w:rsid w:val="F76ED5E4"/>
    <w:rsid w:val="F7A6143F"/>
    <w:rsid w:val="F7F38504"/>
    <w:rsid w:val="F7FA63D6"/>
    <w:rsid w:val="F7FFD53E"/>
    <w:rsid w:val="F7FFE58D"/>
    <w:rsid w:val="F95FBD44"/>
    <w:rsid w:val="F9FD3D0D"/>
    <w:rsid w:val="F9FF7FD0"/>
    <w:rsid w:val="FAFF2B55"/>
    <w:rsid w:val="FB7781C6"/>
    <w:rsid w:val="FB9FD62E"/>
    <w:rsid w:val="FBCE9468"/>
    <w:rsid w:val="FBDE0FF6"/>
    <w:rsid w:val="FBEB9CB9"/>
    <w:rsid w:val="FBF7B1C2"/>
    <w:rsid w:val="FBF92EFA"/>
    <w:rsid w:val="FBFBB32F"/>
    <w:rsid w:val="FBFFDC58"/>
    <w:rsid w:val="FCA684B8"/>
    <w:rsid w:val="FD54872D"/>
    <w:rsid w:val="FD7F3F84"/>
    <w:rsid w:val="FDBF01FB"/>
    <w:rsid w:val="FDBF32E5"/>
    <w:rsid w:val="FDCDE925"/>
    <w:rsid w:val="FDE7276A"/>
    <w:rsid w:val="FDEE4E22"/>
    <w:rsid w:val="FE7AA0C1"/>
    <w:rsid w:val="FEEB0857"/>
    <w:rsid w:val="FEF5B55A"/>
    <w:rsid w:val="FEFF2A02"/>
    <w:rsid w:val="FEFFA562"/>
    <w:rsid w:val="FF270629"/>
    <w:rsid w:val="FF737EE4"/>
    <w:rsid w:val="FFB70DA1"/>
    <w:rsid w:val="FFBDAEDD"/>
    <w:rsid w:val="FFC7C72B"/>
    <w:rsid w:val="FFCD4576"/>
    <w:rsid w:val="FFD7072F"/>
    <w:rsid w:val="FFDE72A0"/>
    <w:rsid w:val="FFED5B3E"/>
    <w:rsid w:val="FFEF468E"/>
    <w:rsid w:val="FFFAF444"/>
    <w:rsid w:val="FFFE06FC"/>
    <w:rsid w:val="FFFE5CE4"/>
    <w:rsid w:val="FFFF4948"/>
    <w:rsid w:val="FFFFC9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0"/>
    <w:qFormat/>
    <w:uiPriority w:val="99"/>
    <w:pPr>
      <w:keepNext/>
      <w:keepLines/>
      <w:spacing w:before="260" w:after="260" w:line="416" w:lineRule="auto"/>
      <w:outlineLvl w:val="2"/>
    </w:pPr>
    <w:rPr>
      <w:b/>
      <w:bCs/>
      <w:sz w:val="32"/>
      <w:szCs w:val="32"/>
    </w:rPr>
  </w:style>
  <w:style w:type="paragraph" w:styleId="5">
    <w:name w:val="heading 4"/>
    <w:basedOn w:val="1"/>
    <w:next w:val="1"/>
    <w:link w:val="51"/>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7"/>
    <w:link w:val="52"/>
    <w:qFormat/>
    <w:uiPriority w:val="9"/>
    <w:pPr>
      <w:keepNext/>
      <w:keepLines/>
      <w:spacing w:before="280" w:after="290" w:line="376" w:lineRule="auto"/>
      <w:outlineLvl w:val="4"/>
    </w:pPr>
    <w:rPr>
      <w:b/>
      <w:bCs/>
      <w:sz w:val="28"/>
      <w:szCs w:val="28"/>
    </w:rPr>
  </w:style>
  <w:style w:type="paragraph" w:styleId="8">
    <w:name w:val="heading 8"/>
    <w:basedOn w:val="1"/>
    <w:next w:val="1"/>
    <w:link w:val="53"/>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9">
    <w:name w:val="table of authorities"/>
    <w:basedOn w:val="1"/>
    <w:next w:val="1"/>
    <w:qFormat/>
    <w:uiPriority w:val="99"/>
    <w:pPr>
      <w:ind w:left="420" w:leftChars="200"/>
    </w:pPr>
    <w:rPr>
      <w:rFonts w:ascii="Calibri" w:hAnsi="Calibri"/>
    </w:rPr>
  </w:style>
  <w:style w:type="paragraph" w:styleId="10">
    <w:name w:val="index 8"/>
    <w:basedOn w:val="1"/>
    <w:next w:val="1"/>
    <w:qFormat/>
    <w:uiPriority w:val="0"/>
    <w:pPr>
      <w:ind w:left="2940"/>
    </w:pPr>
  </w:style>
  <w:style w:type="paragraph" w:styleId="11">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caption"/>
    <w:basedOn w:val="1"/>
    <w:next w:val="1"/>
    <w:qFormat/>
    <w:uiPriority w:val="0"/>
    <w:rPr>
      <w:rFonts w:ascii="DejaVu Sans" w:hAnsi="DejaVu Sans" w:eastAsia="方正黑体_GBK"/>
      <w:sz w:val="20"/>
    </w:rPr>
  </w:style>
  <w:style w:type="paragraph" w:styleId="13">
    <w:name w:val="annotation text"/>
    <w:basedOn w:val="1"/>
    <w:link w:val="45"/>
    <w:qFormat/>
    <w:uiPriority w:val="99"/>
    <w:pPr>
      <w:jc w:val="left"/>
    </w:pPr>
  </w:style>
  <w:style w:type="paragraph" w:styleId="14">
    <w:name w:val="Body Text 3"/>
    <w:basedOn w:val="1"/>
    <w:link w:val="54"/>
    <w:unhideWhenUsed/>
    <w:qFormat/>
    <w:uiPriority w:val="99"/>
    <w:pPr>
      <w:spacing w:after="120"/>
    </w:pPr>
    <w:rPr>
      <w:sz w:val="16"/>
      <w:szCs w:val="16"/>
    </w:rPr>
  </w:style>
  <w:style w:type="paragraph" w:styleId="15">
    <w:name w:val="Body Text"/>
    <w:basedOn w:val="1"/>
    <w:link w:val="55"/>
    <w:unhideWhenUsed/>
    <w:qFormat/>
    <w:uiPriority w:val="0"/>
    <w:pPr>
      <w:spacing w:after="120"/>
    </w:pPr>
  </w:style>
  <w:style w:type="paragraph" w:styleId="16">
    <w:name w:val="Body Text Indent"/>
    <w:basedOn w:val="1"/>
    <w:next w:val="17"/>
    <w:link w:val="44"/>
    <w:qFormat/>
    <w:uiPriority w:val="99"/>
    <w:pPr>
      <w:ind w:firstLine="830" w:firstLineChars="352"/>
    </w:pPr>
    <w:rPr>
      <w:rFonts w:ascii="仿宋_GB2312" w:eastAsia="仿宋_GB2312"/>
      <w:kern w:val="0"/>
      <w:sz w:val="32"/>
      <w:szCs w:val="20"/>
    </w:rPr>
  </w:style>
  <w:style w:type="paragraph" w:styleId="17">
    <w:name w:val="annotation subject"/>
    <w:basedOn w:val="13"/>
    <w:next w:val="1"/>
    <w:link w:val="46"/>
    <w:qFormat/>
    <w:uiPriority w:val="99"/>
    <w:rPr>
      <w:b/>
      <w:bCs/>
    </w:rPr>
  </w:style>
  <w:style w:type="paragraph" w:styleId="18">
    <w:name w:val="List 2"/>
    <w:basedOn w:val="1"/>
    <w:unhideWhenUsed/>
    <w:qFormat/>
    <w:uiPriority w:val="99"/>
    <w:pPr>
      <w:ind w:left="100" w:leftChars="200" w:hanging="200" w:hangingChars="200"/>
      <w:contextualSpacing/>
    </w:pPr>
  </w:style>
  <w:style w:type="paragraph" w:styleId="19">
    <w:name w:val="toc 3"/>
    <w:basedOn w:val="1"/>
    <w:next w:val="1"/>
    <w:unhideWhenUsed/>
    <w:qFormat/>
    <w:uiPriority w:val="39"/>
    <w:pPr>
      <w:ind w:left="840" w:leftChars="400"/>
    </w:pPr>
  </w:style>
  <w:style w:type="paragraph" w:styleId="20">
    <w:name w:val="Plain Text"/>
    <w:basedOn w:val="1"/>
    <w:next w:val="10"/>
    <w:link w:val="56"/>
    <w:qFormat/>
    <w:uiPriority w:val="0"/>
    <w:rPr>
      <w:rFonts w:ascii="宋体" w:hAnsi="Courier New"/>
      <w:kern w:val="0"/>
      <w:sz w:val="20"/>
      <w:szCs w:val="21"/>
    </w:rPr>
  </w:style>
  <w:style w:type="paragraph" w:styleId="21">
    <w:name w:val="Date"/>
    <w:basedOn w:val="1"/>
    <w:next w:val="1"/>
    <w:link w:val="57"/>
    <w:unhideWhenUsed/>
    <w:qFormat/>
    <w:uiPriority w:val="99"/>
    <w:pPr>
      <w:ind w:left="100" w:leftChars="2500"/>
    </w:pPr>
  </w:style>
  <w:style w:type="paragraph" w:styleId="22">
    <w:name w:val="Balloon Text"/>
    <w:basedOn w:val="1"/>
    <w:semiHidden/>
    <w:qFormat/>
    <w:uiPriority w:val="0"/>
    <w:rPr>
      <w:sz w:val="18"/>
      <w:szCs w:val="18"/>
    </w:rPr>
  </w:style>
  <w:style w:type="paragraph" w:styleId="23">
    <w:name w:val="footer"/>
    <w:basedOn w:val="1"/>
    <w:next w:val="1"/>
    <w:link w:val="58"/>
    <w:unhideWhenUsed/>
    <w:qFormat/>
    <w:uiPriority w:val="99"/>
    <w:pPr>
      <w:tabs>
        <w:tab w:val="center" w:pos="4153"/>
        <w:tab w:val="right" w:pos="8306"/>
      </w:tabs>
      <w:snapToGrid w:val="0"/>
      <w:jc w:val="left"/>
    </w:pPr>
    <w:rPr>
      <w:kern w:val="0"/>
      <w:sz w:val="18"/>
      <w:szCs w:val="18"/>
    </w:rPr>
  </w:style>
  <w:style w:type="paragraph" w:styleId="24">
    <w:name w:val="header"/>
    <w:basedOn w:val="1"/>
    <w:link w:val="5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style>
  <w:style w:type="paragraph" w:styleId="26">
    <w:name w:val="List"/>
    <w:basedOn w:val="1"/>
    <w:unhideWhenUsed/>
    <w:qFormat/>
    <w:uiPriority w:val="99"/>
    <w:pPr>
      <w:ind w:left="200" w:hanging="200" w:hangingChars="200"/>
      <w:contextualSpacing/>
    </w:pPr>
  </w:style>
  <w:style w:type="paragraph" w:styleId="27">
    <w:name w:val="toc 2"/>
    <w:basedOn w:val="1"/>
    <w:next w:val="1"/>
    <w:unhideWhenUsed/>
    <w:qFormat/>
    <w:uiPriority w:val="39"/>
    <w:pPr>
      <w:tabs>
        <w:tab w:val="right" w:leader="dot" w:pos="8296"/>
      </w:tabs>
      <w:ind w:left="420" w:leftChars="200"/>
    </w:pPr>
  </w:style>
  <w:style w:type="paragraph" w:styleId="28">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29">
    <w:name w:val="Normal (Web)"/>
    <w:basedOn w:val="1"/>
    <w:unhideWhenUsed/>
    <w:qFormat/>
    <w:uiPriority w:val="99"/>
    <w:rPr>
      <w:rFonts w:ascii="Calibri" w:hAnsi="Calibri"/>
      <w:kern w:val="0"/>
      <w:sz w:val="24"/>
    </w:rPr>
  </w:style>
  <w:style w:type="paragraph" w:styleId="30">
    <w:name w:val="Body Text First Indent"/>
    <w:basedOn w:val="15"/>
    <w:qFormat/>
    <w:uiPriority w:val="0"/>
    <w:pPr>
      <w:ind w:firstLine="420" w:firstLineChars="100"/>
    </w:pPr>
  </w:style>
  <w:style w:type="paragraph" w:styleId="31">
    <w:name w:val="Body Text First Indent 2"/>
    <w:basedOn w:val="16"/>
    <w:link w:val="47"/>
    <w:qFormat/>
    <w:uiPriority w:val="99"/>
    <w:pPr>
      <w:autoSpaceDE w:val="0"/>
      <w:autoSpaceDN w:val="0"/>
      <w:spacing w:after="120" w:line="360" w:lineRule="auto"/>
      <w:ind w:left="420" w:leftChars="200" w:firstLine="420" w:firstLineChars="200"/>
    </w:pPr>
    <w:rPr>
      <w:sz w:val="21"/>
      <w:szCs w:val="24"/>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unhideWhenUsed/>
    <w:qFormat/>
    <w:uiPriority w:val="99"/>
    <w:rPr>
      <w:vertAlign w:val="superscript"/>
    </w:rPr>
  </w:style>
  <w:style w:type="character" w:styleId="36">
    <w:name w:val="page number"/>
    <w:qFormat/>
    <w:uiPriority w:val="0"/>
  </w:style>
  <w:style w:type="character" w:styleId="37">
    <w:name w:val="FollowedHyperlink"/>
    <w:unhideWhenUsed/>
    <w:qFormat/>
    <w:uiPriority w:val="99"/>
    <w:rPr>
      <w:color w:val="800080"/>
      <w:u w:val="single"/>
    </w:rPr>
  </w:style>
  <w:style w:type="character" w:styleId="38">
    <w:name w:val="Emphasis"/>
    <w:basedOn w:val="34"/>
    <w:qFormat/>
    <w:uiPriority w:val="20"/>
    <w:rPr>
      <w:i/>
    </w:rPr>
  </w:style>
  <w:style w:type="character" w:styleId="39">
    <w:name w:val="Hyperlink"/>
    <w:unhideWhenUsed/>
    <w:qFormat/>
    <w:uiPriority w:val="99"/>
    <w:rPr>
      <w:color w:val="0000FF"/>
      <w:u w:val="single"/>
    </w:rPr>
  </w:style>
  <w:style w:type="character" w:styleId="40">
    <w:name w:val="annotation reference"/>
    <w:qFormat/>
    <w:uiPriority w:val="99"/>
    <w:rPr>
      <w:sz w:val="21"/>
      <w:szCs w:val="21"/>
    </w:rPr>
  </w:style>
  <w:style w:type="character" w:customStyle="1" w:styleId="41">
    <w:name w:val="标题 2 Char"/>
    <w:qFormat/>
    <w:uiPriority w:val="99"/>
    <w:rPr>
      <w:rFonts w:ascii="Cambria" w:hAnsi="Cambria" w:eastAsia="宋体" w:cs="Times New Roman"/>
      <w:b/>
      <w:bCs/>
      <w:kern w:val="2"/>
      <w:sz w:val="32"/>
      <w:szCs w:val="32"/>
    </w:rPr>
  </w:style>
  <w:style w:type="paragraph" w:customStyle="1" w:styleId="42">
    <w:name w:val="正文 首行缩进:  2 字符"/>
    <w:basedOn w:val="1"/>
    <w:qFormat/>
    <w:uiPriority w:val="0"/>
    <w:pPr>
      <w:spacing w:line="360" w:lineRule="auto"/>
      <w:ind w:firstLine="200" w:firstLineChars="200"/>
    </w:pPr>
    <w:rPr>
      <w:rFonts w:cs="宋体"/>
      <w:sz w:val="24"/>
      <w:szCs w:val="20"/>
    </w:rPr>
  </w:style>
  <w:style w:type="paragraph" w:customStyle="1" w:styleId="43">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44">
    <w:name w:val="正文文本缩进 字符"/>
    <w:link w:val="16"/>
    <w:qFormat/>
    <w:uiPriority w:val="99"/>
    <w:rPr>
      <w:rFonts w:ascii="仿宋_GB2312" w:hAnsi="Times New Roman" w:eastAsia="仿宋_GB2312" w:cs="Times New Roman"/>
      <w:sz w:val="32"/>
      <w:szCs w:val="20"/>
    </w:rPr>
  </w:style>
  <w:style w:type="character" w:customStyle="1" w:styleId="45">
    <w:name w:val="批注文字 字符2"/>
    <w:link w:val="13"/>
    <w:qFormat/>
    <w:uiPriority w:val="99"/>
    <w:rPr>
      <w:rFonts w:ascii="Times New Roman" w:hAnsi="Times New Roman"/>
      <w:kern w:val="2"/>
      <w:sz w:val="21"/>
      <w:szCs w:val="24"/>
    </w:rPr>
  </w:style>
  <w:style w:type="character" w:customStyle="1" w:styleId="46">
    <w:name w:val="批注主题 字符"/>
    <w:link w:val="17"/>
    <w:qFormat/>
    <w:uiPriority w:val="99"/>
    <w:rPr>
      <w:rFonts w:ascii="Times New Roman" w:hAnsi="Times New Roman"/>
      <w:b/>
      <w:bCs/>
      <w:kern w:val="2"/>
      <w:sz w:val="21"/>
      <w:szCs w:val="24"/>
    </w:rPr>
  </w:style>
  <w:style w:type="character" w:customStyle="1" w:styleId="47">
    <w:name w:val="正文文本首行缩进 2 字符"/>
    <w:link w:val="31"/>
    <w:qFormat/>
    <w:uiPriority w:val="99"/>
    <w:rPr>
      <w:kern w:val="2"/>
      <w:sz w:val="21"/>
      <w:szCs w:val="24"/>
    </w:rPr>
  </w:style>
  <w:style w:type="character" w:customStyle="1" w:styleId="48">
    <w:name w:val="标题 1 字符"/>
    <w:link w:val="2"/>
    <w:qFormat/>
    <w:uiPriority w:val="99"/>
    <w:rPr>
      <w:b/>
      <w:bCs/>
      <w:kern w:val="44"/>
      <w:sz w:val="44"/>
      <w:szCs w:val="44"/>
    </w:rPr>
  </w:style>
  <w:style w:type="character" w:customStyle="1" w:styleId="49">
    <w:name w:val="标题 2 字符"/>
    <w:link w:val="3"/>
    <w:qFormat/>
    <w:uiPriority w:val="9"/>
    <w:rPr>
      <w:rFonts w:ascii="Cambria" w:hAnsi="Cambria" w:eastAsia="宋体" w:cs="Times New Roman"/>
      <w:b/>
      <w:bCs/>
      <w:kern w:val="2"/>
      <w:sz w:val="32"/>
      <w:szCs w:val="32"/>
    </w:rPr>
  </w:style>
  <w:style w:type="character" w:customStyle="1" w:styleId="50">
    <w:name w:val="标题 3 字符"/>
    <w:link w:val="4"/>
    <w:qFormat/>
    <w:uiPriority w:val="99"/>
    <w:rPr>
      <w:b/>
      <w:bCs/>
      <w:kern w:val="2"/>
      <w:sz w:val="32"/>
      <w:szCs w:val="32"/>
    </w:rPr>
  </w:style>
  <w:style w:type="character" w:customStyle="1" w:styleId="51">
    <w:name w:val="标题 4 字符"/>
    <w:link w:val="5"/>
    <w:qFormat/>
    <w:uiPriority w:val="9"/>
    <w:rPr>
      <w:rFonts w:ascii="Arial" w:hAnsi="Arial" w:eastAsia="黑体"/>
      <w:b/>
      <w:kern w:val="2"/>
      <w:sz w:val="28"/>
      <w:szCs w:val="24"/>
    </w:rPr>
  </w:style>
  <w:style w:type="character" w:customStyle="1" w:styleId="52">
    <w:name w:val="标题 5 字符"/>
    <w:link w:val="6"/>
    <w:qFormat/>
    <w:uiPriority w:val="9"/>
    <w:rPr>
      <w:rFonts w:ascii="Times New Roman" w:hAnsi="Times New Roman"/>
      <w:b/>
      <w:bCs/>
      <w:kern w:val="2"/>
      <w:sz w:val="28"/>
      <w:szCs w:val="28"/>
    </w:rPr>
  </w:style>
  <w:style w:type="character" w:customStyle="1" w:styleId="53">
    <w:name w:val="标题 8 字符"/>
    <w:link w:val="8"/>
    <w:semiHidden/>
    <w:qFormat/>
    <w:uiPriority w:val="9"/>
    <w:rPr>
      <w:rFonts w:ascii="等线 Light" w:hAnsi="等线 Light" w:eastAsia="等线 Light" w:cs="Times New Roman"/>
      <w:kern w:val="2"/>
      <w:sz w:val="24"/>
      <w:szCs w:val="24"/>
    </w:rPr>
  </w:style>
  <w:style w:type="character" w:customStyle="1" w:styleId="54">
    <w:name w:val="正文文本 3 字符"/>
    <w:link w:val="14"/>
    <w:semiHidden/>
    <w:qFormat/>
    <w:uiPriority w:val="99"/>
    <w:rPr>
      <w:kern w:val="2"/>
      <w:sz w:val="16"/>
      <w:szCs w:val="16"/>
    </w:rPr>
  </w:style>
  <w:style w:type="character" w:customStyle="1" w:styleId="55">
    <w:name w:val="正文文本 字符1"/>
    <w:link w:val="15"/>
    <w:qFormat/>
    <w:uiPriority w:val="0"/>
    <w:rPr>
      <w:rFonts w:ascii="Times New Roman" w:hAnsi="Times New Roman"/>
      <w:kern w:val="2"/>
      <w:sz w:val="21"/>
      <w:szCs w:val="24"/>
    </w:rPr>
  </w:style>
  <w:style w:type="character" w:customStyle="1" w:styleId="56">
    <w:name w:val="纯文本 字符3"/>
    <w:link w:val="20"/>
    <w:qFormat/>
    <w:uiPriority w:val="0"/>
    <w:rPr>
      <w:rFonts w:ascii="宋体" w:hAnsi="Courier New" w:eastAsia="宋体" w:cs="Courier New"/>
      <w:szCs w:val="21"/>
    </w:rPr>
  </w:style>
  <w:style w:type="character" w:customStyle="1" w:styleId="57">
    <w:name w:val="日期 字符"/>
    <w:link w:val="21"/>
    <w:semiHidden/>
    <w:qFormat/>
    <w:uiPriority w:val="99"/>
    <w:rPr>
      <w:rFonts w:ascii="Times New Roman" w:hAnsi="Times New Roman"/>
      <w:kern w:val="2"/>
      <w:sz w:val="21"/>
      <w:szCs w:val="24"/>
    </w:rPr>
  </w:style>
  <w:style w:type="character" w:customStyle="1" w:styleId="58">
    <w:name w:val="页脚 字符"/>
    <w:link w:val="23"/>
    <w:qFormat/>
    <w:uiPriority w:val="99"/>
    <w:rPr>
      <w:sz w:val="18"/>
      <w:szCs w:val="18"/>
    </w:rPr>
  </w:style>
  <w:style w:type="character" w:customStyle="1" w:styleId="59">
    <w:name w:val="页眉 字符"/>
    <w:link w:val="24"/>
    <w:qFormat/>
    <w:uiPriority w:val="99"/>
    <w:rPr>
      <w:sz w:val="18"/>
      <w:szCs w:val="18"/>
    </w:rPr>
  </w:style>
  <w:style w:type="character" w:customStyle="1" w:styleId="60">
    <w:name w:val="textcontents"/>
    <w:qFormat/>
    <w:uiPriority w:val="0"/>
  </w:style>
  <w:style w:type="character" w:customStyle="1" w:styleId="6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2">
    <w:name w:val="纯文本 字符2"/>
    <w:qFormat/>
    <w:uiPriority w:val="0"/>
    <w:rPr>
      <w:rFonts w:ascii="宋体" w:hAnsi="Courier New" w:eastAsia="宋体" w:cs="Courier New"/>
      <w:szCs w:val="21"/>
    </w:rPr>
  </w:style>
  <w:style w:type="character" w:customStyle="1" w:styleId="63">
    <w:name w:val="正文文本 字符"/>
    <w:qFormat/>
    <w:uiPriority w:val="0"/>
    <w:rPr>
      <w:rFonts w:ascii="Times New Roman" w:hAnsi="Times New Roman"/>
      <w:kern w:val="2"/>
      <w:sz w:val="21"/>
      <w:szCs w:val="24"/>
    </w:rPr>
  </w:style>
  <w:style w:type="character" w:customStyle="1" w:styleId="64">
    <w:name w:val="批注文字 字符1"/>
    <w:qFormat/>
    <w:uiPriority w:val="0"/>
    <w:rPr>
      <w:rFonts w:ascii="Times New Roman" w:hAnsi="Times New Roman"/>
      <w:kern w:val="2"/>
      <w:sz w:val="21"/>
      <w:szCs w:val="24"/>
    </w:rPr>
  </w:style>
  <w:style w:type="character" w:customStyle="1" w:styleId="65">
    <w:name w:val="正文文本 Char"/>
    <w:qFormat/>
    <w:uiPriority w:val="99"/>
    <w:rPr>
      <w:rFonts w:ascii="Times New Roman" w:hAnsi="Times New Roman"/>
      <w:kern w:val="2"/>
      <w:sz w:val="21"/>
      <w:szCs w:val="24"/>
    </w:rPr>
  </w:style>
  <w:style w:type="character" w:customStyle="1" w:styleId="66">
    <w:name w:val="纯文本 字符"/>
    <w:qFormat/>
    <w:uiPriority w:val="0"/>
    <w:rPr>
      <w:rFonts w:ascii="宋体" w:hAnsi="Courier New" w:eastAsia="宋体" w:cs="Courier New"/>
      <w:szCs w:val="21"/>
    </w:rPr>
  </w:style>
  <w:style w:type="character" w:customStyle="1" w:styleId="67">
    <w:name w:val="标题 1 字符1"/>
    <w:qFormat/>
    <w:uiPriority w:val="0"/>
    <w:rPr>
      <w:b/>
      <w:bCs/>
      <w:kern w:val="44"/>
      <w:sz w:val="44"/>
      <w:szCs w:val="44"/>
    </w:rPr>
  </w:style>
  <w:style w:type="character" w:customStyle="1" w:styleId="68">
    <w:name w:val="正文2 Char Char"/>
    <w:link w:val="69"/>
    <w:qFormat/>
    <w:uiPriority w:val="0"/>
    <w:rPr>
      <w:sz w:val="24"/>
    </w:rPr>
  </w:style>
  <w:style w:type="paragraph" w:customStyle="1" w:styleId="69">
    <w:name w:val="正文2"/>
    <w:basedOn w:val="1"/>
    <w:link w:val="68"/>
    <w:qFormat/>
    <w:uiPriority w:val="0"/>
    <w:pPr>
      <w:adjustRightInd w:val="0"/>
      <w:spacing w:before="156" w:line="360" w:lineRule="auto"/>
      <w:ind w:firstLine="510" w:firstLineChars="200"/>
    </w:pPr>
    <w:rPr>
      <w:kern w:val="0"/>
      <w:sz w:val="24"/>
      <w:szCs w:val="20"/>
    </w:rPr>
  </w:style>
  <w:style w:type="character" w:customStyle="1" w:styleId="70">
    <w:name w:val="标题 8 Char"/>
    <w:qFormat/>
    <w:uiPriority w:val="0"/>
    <w:rPr>
      <w:rFonts w:ascii="Arial" w:hAnsi="Arial" w:eastAsia="黑体"/>
      <w:kern w:val="2"/>
      <w:sz w:val="24"/>
      <w:szCs w:val="24"/>
    </w:rPr>
  </w:style>
  <w:style w:type="character" w:customStyle="1" w:styleId="71">
    <w:name w:val="纯文本 Char"/>
    <w:qFormat/>
    <w:uiPriority w:val="99"/>
    <w:rPr>
      <w:rFonts w:ascii="宋体" w:hAnsi="Courier New" w:eastAsia="宋体" w:cs="Courier New"/>
      <w:szCs w:val="21"/>
    </w:rPr>
  </w:style>
  <w:style w:type="character" w:customStyle="1" w:styleId="72">
    <w:name w:val="批注文字 Char"/>
    <w:qFormat/>
    <w:uiPriority w:val="99"/>
    <w:rPr>
      <w:rFonts w:ascii="Times New Roman" w:hAnsi="Times New Roman"/>
      <w:kern w:val="2"/>
      <w:sz w:val="21"/>
      <w:szCs w:val="24"/>
    </w:rPr>
  </w:style>
  <w:style w:type="character" w:customStyle="1" w:styleId="73">
    <w:name w:val="纯文本 字符1"/>
    <w:qFormat/>
    <w:uiPriority w:val="0"/>
    <w:rPr>
      <w:rFonts w:ascii="宋体" w:hAnsi="Courier New"/>
    </w:rPr>
  </w:style>
  <w:style w:type="character" w:customStyle="1" w:styleId="74">
    <w:name w:val="未处理的提及1"/>
    <w:unhideWhenUsed/>
    <w:qFormat/>
    <w:uiPriority w:val="99"/>
    <w:rPr>
      <w:color w:val="605E5C"/>
      <w:shd w:val="clear" w:color="auto" w:fill="E1DFDD"/>
    </w:rPr>
  </w:style>
  <w:style w:type="character" w:customStyle="1" w:styleId="75">
    <w:name w:val="apple-style-span"/>
    <w:qFormat/>
    <w:uiPriority w:val="0"/>
  </w:style>
  <w:style w:type="character" w:customStyle="1" w:styleId="76">
    <w:name w:val="批注文字 字符"/>
    <w:qFormat/>
    <w:uiPriority w:val="0"/>
    <w:rPr>
      <w:rFonts w:ascii="Times New Roman" w:hAnsi="Times New Roman"/>
      <w:kern w:val="2"/>
      <w:sz w:val="21"/>
      <w:szCs w:val="24"/>
    </w:rPr>
  </w:style>
  <w:style w:type="paragraph" w:customStyle="1" w:styleId="77">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8">
    <w:name w:val="表头"/>
    <w:basedOn w:val="1"/>
    <w:qFormat/>
    <w:uiPriority w:val="0"/>
    <w:pPr>
      <w:widowControl/>
      <w:jc w:val="center"/>
    </w:pPr>
    <w:rPr>
      <w:rFonts w:ascii="仿宋_GB2312" w:hAnsi="宋体" w:eastAsia="仿宋_GB2312" w:cs="等线"/>
      <w:b/>
      <w:bCs/>
      <w:kern w:val="0"/>
      <w:sz w:val="24"/>
    </w:rPr>
  </w:style>
  <w:style w:type="paragraph" w:customStyle="1" w:styleId="79">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80">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2">
    <w:name w:val="Char Char Char Char"/>
    <w:basedOn w:val="1"/>
    <w:qFormat/>
    <w:uiPriority w:val="0"/>
    <w:pPr>
      <w:widowControl/>
      <w:spacing w:after="160" w:line="240" w:lineRule="exact"/>
      <w:jc w:val="left"/>
    </w:pPr>
  </w:style>
  <w:style w:type="paragraph" w:customStyle="1" w:styleId="8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4">
    <w:name w:val="列出段落3"/>
    <w:basedOn w:val="1"/>
    <w:unhideWhenUsed/>
    <w:qFormat/>
    <w:uiPriority w:val="99"/>
    <w:pPr>
      <w:ind w:firstLine="420"/>
    </w:pPr>
  </w:style>
  <w:style w:type="paragraph" w:customStyle="1" w:styleId="85">
    <w:name w:val="Table Paragraph"/>
    <w:basedOn w:val="1"/>
    <w:qFormat/>
    <w:uiPriority w:val="1"/>
    <w:pPr>
      <w:jc w:val="left"/>
    </w:pPr>
    <w:rPr>
      <w:rFonts w:ascii="Calibri" w:hAnsi="Calibri"/>
      <w:kern w:val="0"/>
      <w:sz w:val="22"/>
      <w:szCs w:val="22"/>
      <w:lang w:eastAsia="en-US"/>
    </w:rPr>
  </w:style>
  <w:style w:type="paragraph" w:customStyle="1" w:styleId="86">
    <w:name w:val="列出段落2"/>
    <w:basedOn w:val="1"/>
    <w:unhideWhenUsed/>
    <w:qFormat/>
    <w:uiPriority w:val="99"/>
    <w:pPr>
      <w:spacing w:line="360" w:lineRule="auto"/>
      <w:ind w:firstLine="420" w:firstLineChars="200"/>
    </w:pPr>
    <w:rPr>
      <w:rFonts w:ascii="Calibri" w:hAnsi="Calibri" w:eastAsia="仿宋"/>
      <w:sz w:val="28"/>
      <w:szCs w:val="22"/>
    </w:rPr>
  </w:style>
  <w:style w:type="paragraph" w:customStyle="1" w:styleId="8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8">
    <w:name w:val="表格内容"/>
    <w:basedOn w:val="1"/>
    <w:qFormat/>
    <w:uiPriority w:val="0"/>
    <w:pPr>
      <w:widowControl/>
      <w:jc w:val="left"/>
    </w:pPr>
    <w:rPr>
      <w:rFonts w:ascii="仿宋_GB2312" w:hAnsi="宋体" w:cs="等线"/>
      <w:kern w:val="0"/>
      <w:sz w:val="24"/>
    </w:rPr>
  </w:style>
  <w:style w:type="paragraph" w:styleId="89">
    <w:name w:val="List Paragraph"/>
    <w:basedOn w:val="1"/>
    <w:qFormat/>
    <w:uiPriority w:val="34"/>
    <w:pPr>
      <w:ind w:firstLine="420" w:firstLineChars="200"/>
    </w:pPr>
  </w:style>
  <w:style w:type="paragraph" w:customStyle="1" w:styleId="90">
    <w:name w:val="默认段落字体 Para Char Char Char Char Char Char Char Char Char1 Char Char Char Char"/>
    <w:basedOn w:val="1"/>
    <w:qFormat/>
    <w:uiPriority w:val="0"/>
    <w:rPr>
      <w:rFonts w:ascii="Tahoma" w:hAnsi="Tahoma"/>
      <w:sz w:val="24"/>
      <w:szCs w:val="20"/>
    </w:rPr>
  </w:style>
  <w:style w:type="paragraph" w:customStyle="1" w:styleId="91">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2">
    <w:name w:val="正文-2字符首行缩进"/>
    <w:basedOn w:val="1"/>
    <w:qFormat/>
    <w:uiPriority w:val="0"/>
    <w:pPr>
      <w:spacing w:line="360" w:lineRule="auto"/>
      <w:ind w:firstLine="200" w:firstLineChars="200"/>
    </w:pPr>
    <w:rPr>
      <w:rFonts w:ascii="仿宋_GB2312" w:hAnsi="宋体" w:eastAsia="仿宋_GB2312"/>
      <w:sz w:val="28"/>
      <w:szCs w:val="22"/>
    </w:rPr>
  </w:style>
  <w:style w:type="paragraph" w:customStyle="1" w:styleId="93">
    <w:name w:val="样式1"/>
    <w:basedOn w:val="1"/>
    <w:qFormat/>
    <w:uiPriority w:val="0"/>
    <w:pPr>
      <w:numPr>
        <w:ilvl w:val="2"/>
        <w:numId w:val="1"/>
      </w:numPr>
    </w:pPr>
  </w:style>
  <w:style w:type="paragraph" w:customStyle="1" w:styleId="94">
    <w:name w:val="样式 0正文 + 首行缩进:  2 字符1"/>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5">
    <w:name w:val="正文首行缩进两字"/>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97">
    <w:name w:val="列出段落1"/>
    <w:basedOn w:val="1"/>
    <w:qFormat/>
    <w:uiPriority w:val="34"/>
    <w:pPr>
      <w:ind w:firstLine="420"/>
    </w:pPr>
  </w:style>
  <w:style w:type="paragraph" w:customStyle="1" w:styleId="98">
    <w:name w:val="p0"/>
    <w:basedOn w:val="1"/>
    <w:qFormat/>
    <w:uiPriority w:val="0"/>
    <w:rPr>
      <w:szCs w:val="21"/>
    </w:rPr>
  </w:style>
  <w:style w:type="paragraph" w:customStyle="1" w:styleId="99">
    <w:name w:val="UserStyle_0"/>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广西云龙招标有限公司</Company>
  <Pages>83</Pages>
  <Words>14925</Words>
  <Characters>16383</Characters>
  <Lines>448</Lines>
  <Paragraphs>126</Paragraphs>
  <TotalTime>1</TotalTime>
  <ScaleCrop>false</ScaleCrop>
  <LinksUpToDate>false</LinksUpToDate>
  <CharactersWithSpaces>16555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2023-11-09T08:20:00Z</dcterms:created>
  <dc:creator>唐冰</dc:creator>
  <cp:lastModifiedBy>Lenovo</cp:lastModifiedBy>
  <cp:lastPrinted>2025-04-16T08:55:00Z</cp:lastPrinted>
  <dcterms:modified xsi:type="dcterms:W3CDTF">2025-07-28T08:02:34Z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B70C48C786ED41F0BDB48EB6C2A1E0B1_13</vt:lpwstr>
  </property>
  <property fmtid="{D5CDD505-2E9C-101B-9397-08002B2CF9AE}" pid="4" name="KSOTemplateDocerSaveRecord">
    <vt:lpwstr>eyJoZGlkIjoiM2Y1Yzc0NDI3ZDg1NWU0MzAzZDBlZDIwYjUzNjYxNTIiLCJ1c2VySWQiOiIxNTkxNTY5NTE4In0=</vt:lpwstr>
  </property>
</Properties>
</file>